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Établissements de santé déclarés au MSPP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Établissements de santé déclarés au ministère, confrontés à ceux que la carte montre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atmart_sante_declaree.json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relevé du 17/08/2026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jeanmyril@atmart.ltd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https://explorateur.atmart.ltd/data/atmart_sante_declaree.json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139.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MSPP — Carte sanitaire (cartesanitaire.sisnu.net, point d'entrée public de l'outil officiel) ; OpenStreetMap — extrait Humanitarian OpenStreetMap Team du 6 août 2026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139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t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écart modéré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fort désaccord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Registre = ce qui est DÉCLARÉ et enregistré au ministère, pas ce qui fonctionne. Un établissement fermé mais non radié y figure ; un dispensaire jamais enregistré n'y figure pas.</w:t>
      </w:r>
    </w:p>
    <w:p>
      <w:pPr>
        <w:pStyle w:val="ListBullet"/>
      </w:pPr>
      <w:r>
        <w:rPr>
          <w:b w:val="0"/>
        </w:rPr>
        <w:t>La Carte sanitaire s'appuie sur l'évaluation de la prestation des services (EPSSS), conduite tous les cinq ans : entre deux campagnes, ouvertures et fermetures n'y entrent pas.</w:t>
      </w:r>
    </w:p>
    <w:p>
      <w:pPr>
        <w:pStyle w:val="ListBullet"/>
      </w:pPr>
      <w:r>
        <w:rPr>
          <w:b w:val="0"/>
        </w:rPr>
        <w:t>Déclaré et vu ne mesurent pas la même chose. Leur écart décrit l'état de l'information sur un territoire, jamais le nombre réel d'établissements qui s'y trouvent.</w:t>
      </w:r>
    </w:p>
    <w:p>
      <w:pPr>
        <w:pStyle w:val="ListBullet"/>
      </w:pPr>
      <w:r>
        <w:rPr>
          <w:b w:val="0"/>
        </w:rPr>
        <w:t>Le comptage cartographié additionne hôpital, clinique, centre de santé et dispensaire ; il écarte la pharmacie et le cabinet dentaire, que le registre ne recense pas de la même façon.</w:t>
      </w:r>
    </w:p>
    <w:p>
      <w:pPr>
        <w:pStyle w:val="ListBullet"/>
      </w:pPr>
      <w:r>
        <w:rPr>
          <w:b w:val="0"/>
        </w:rPr>
        <w:t>Une commune absente du registre n'est pas une commune sans établissement : elle est absente du registre extrait.</w:t>
      </w:r>
    </w:p>
    <w:p>
      <w:pPr>
        <w:pStyle w:val="ListBullet"/>
      </w:pPr>
      <w:r>
        <w:rPr>
          <w:b w:val="0"/>
        </w:rPr>
        <w:t>Aucun nom d'établissement n'est publié ici : le comptage suffit à la fiche, la liste nominative reste chez son producteur.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d'établissements ne dit rien de leur </w:t>
      </w:r>
      <w:r>
        <w:rPr>
          <w:b/>
        </w:rPr>
        <w:t>capacité</w:t>
      </w:r>
      <w:r>
        <w:rPr>
          <w:b w:val="0"/>
        </w:rPr>
        <w:t>, de leur personnel, ni de leurs heures d'ouverture.</w:t>
      </w:r>
    </w:p>
    <w:p>
      <w:pPr>
        <w:pStyle w:val="ListBullet"/>
      </w:pPr>
      <w:r>
        <w:rPr>
          <w:b w:val="0"/>
        </w:rPr>
        <w:t xml:space="preserve">Un établissement </w:t>
      </w:r>
      <w:r>
        <w:rPr>
          <w:b/>
        </w:rPr>
        <w:t>déclaré</w:t>
      </w:r>
      <w:r>
        <w:rPr>
          <w:b w:val="0"/>
        </w:rPr>
        <w:t xml:space="preserve"> peut être fermé ; un établissement </w:t>
      </w:r>
      <w:r>
        <w:rPr>
          <w:b/>
        </w:rPr>
        <w:t>cartographié</w:t>
      </w:r>
      <w:r>
        <w:rPr>
          <w:b w:val="0"/>
        </w:rPr>
        <w:t xml:space="preserve"> peut être un cabinet privé fermé depuis des années.</w:t>
      </w:r>
    </w:p>
    <w:p>
      <w:pPr>
        <w:pStyle w:val="ListBullet"/>
      </w:pPr>
      <w:r>
        <w:rPr>
          <w:b w:val="0"/>
        </w:rPr>
        <w:t>Aucune conclusion sur l'accès : deux communes à cinq établissements n'ont pas le même accès si l'une est montagneuse.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PSP-048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Ministère de la Santé publique et de la Population (MSPP)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Données publiques haïtiennes — décret du 12/10/2005, art. 5 (textes administratifs et simples données hors protection)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OUVERTE_VALIDEE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— hors protection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hors protection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 — registre public d'établissements de santé, publié par le ministère pour consultation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aucune restriction commerciale sur un registre administratif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Atmart Data — 17/08/2026, décret du 12/10/2005 art. 5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