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Écoles déclarées au MENFP, confrontées à OpenStreetMap</w:t>
      </w:r>
    </w:p>
    <w:p>
      <w:r>
        <w:rPr>
          <w:i/>
          <w:color w:val="516173"/>
        </w:rPr>
        <w:t>Fiche de documentation — modèle « Datasheets for Datasets » (Gebru et al.), version Aether Transparency Working Group, adaptée par Atmart Data aux agrégats territoriaux.</w:t>
      </w:r>
    </w:p>
    <w:p>
      <w:pPr>
        <w:pStyle w:val="IntenseQuote"/>
      </w:pPr>
      <w:r>
        <w:rPr>
          <w:b/>
        </w:rPr>
        <w:t>Cette fiche est GÉNÉRÉE depuis le fichier publié.</w:t>
      </w:r>
      <w:r>
        <w:rPr>
          <w:b w:val="0"/>
        </w:rPr>
        <w:t xml:space="preserve"> Les chiffres de complétude sont recomptés à chaque exécution, jamais recopiés d'une note. Une fiche qui vieillit mal est pire qu'une absence de fiche.</w:t>
      </w:r>
    </w:p>
    <w:p>
      <w:pPr>
        <w:pStyle w:val="Heading1"/>
      </w:pPr>
      <w:r>
        <w:t>1. Bases : contact, diffusion, accès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 du jeu</w:t>
            </w:r>
          </w:p>
        </w:tc>
        <w:tc>
          <w:tcPr>
            <w:tcW w:type="dxa" w:w="4320"/>
          </w:tcPr>
          <w:p>
            <w:r>
              <w:t>Écoles déclarées au ministère, confrontées aux écoles cartographiées</w:t>
            </w:r>
          </w:p>
        </w:tc>
      </w:tr>
      <w:tr>
        <w:tc>
          <w:tcPr>
            <w:tcW w:type="dxa" w:w="4320"/>
          </w:tcPr>
          <w:p>
            <w:r>
              <w:t>Fichier</w:t>
            </w:r>
          </w:p>
        </w:tc>
        <w:tc>
          <w:tcPr>
            <w:tcW w:type="dxa" w:w="4320"/>
          </w:tcPr>
          <w:p>
            <w:r>
              <w:t>atmart_ecoles_declarees.json</w:t>
            </w:r>
          </w:p>
        </w:tc>
      </w:tr>
      <w:tr>
        <w:tc>
          <w:tcPr>
            <w:tcW w:type="dxa" w:w="4320"/>
          </w:tcPr>
          <w:p>
            <w:r>
              <w:t>Millésime</w:t>
            </w:r>
          </w:p>
        </w:tc>
        <w:tc>
          <w:tcPr>
            <w:tcW w:type="dxa" w:w="4320"/>
          </w:tcPr>
          <w:p>
            <w:r>
              <w:t>2024-2025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>Atmart Data — jeanmyril@atmart.ltd</w:t>
            </w:r>
          </w:p>
        </w:tc>
      </w:tr>
      <w:tr>
        <w:tc>
          <w:tcPr>
            <w:tcW w:type="dxa" w:w="4320"/>
          </w:tcPr>
          <w:p>
            <w:r>
              <w:t>Qui peut y accéder</w:t>
            </w:r>
          </w:p>
        </w:tc>
        <w:tc>
          <w:tcPr>
            <w:tcW w:type="dxa" w:w="4320"/>
          </w:tcPr>
          <w:p>
            <w:r>
              <w:t>tout le monde, sans compte</w:t>
            </w:r>
          </w:p>
        </w:tc>
      </w:tr>
      <w:tr>
        <w:tc>
          <w:tcPr>
            <w:tcW w:type="dxa" w:w="4320"/>
          </w:tcPr>
          <w:p>
            <w:r>
              <w:t>Comment</w:t>
            </w:r>
          </w:p>
        </w:tc>
        <w:tc>
          <w:tcPr>
            <w:tcW w:type="dxa" w:w="4320"/>
          </w:tcPr>
          <w:p>
            <w:r>
              <w:t>https://explorateur.atmart.ltd/data/atmart_ecoles_declarees.json</w:t>
            </w:r>
          </w:p>
        </w:tc>
      </w:tr>
    </w:tbl>
    <w:p>
      <w:pPr>
        <w:pStyle w:val="Heading1"/>
      </w:pPr>
      <w:r>
        <w:t>2. Contenu</w:t>
      </w:r>
    </w:p>
    <w:p>
      <w:pPr>
        <w:pStyle w:val="ListBullet"/>
      </w:pPr>
      <w:r>
        <w:rPr>
          <w:b/>
        </w:rPr>
        <w:t>Ce que représente chaque entrée</w:t>
      </w:r>
      <w:r>
        <w:rPr>
          <w:b w:val="0"/>
        </w:rPr>
        <w:t xml:space="preserve"> : une commune.</w:t>
      </w:r>
    </w:p>
    <w:p>
      <w:pPr>
        <w:pStyle w:val="ListBullet"/>
      </w:pPr>
      <w:r>
        <w:rPr>
          <w:b/>
        </w:rPr>
        <w:t>Nombre d'entrées</w:t>
      </w:r>
      <w:r>
        <w:rPr>
          <w:b w:val="0"/>
        </w:rPr>
        <w:t xml:space="preserve"> : 140.</w:t>
      </w:r>
    </w:p>
    <w:p>
      <w:pPr>
        <w:pStyle w:val="ListBullet"/>
      </w:pPr>
      <w:r>
        <w:rPr>
          <w:b/>
        </w:rPr>
        <w:t>Source d'origine</w:t>
      </w:r>
      <w:r>
        <w:rPr>
          <w:b w:val="0"/>
        </w:rPr>
        <w:t xml:space="preserve"> : MENFP — Direction de la planification et de la coopération externe (DPCE) (registres déclarés) ; OpenStreetMap — extrait HOT du 6 août 2026 (écoles vues)</w:t>
      </w:r>
    </w:p>
    <w:p>
      <w:pPr>
        <w:pStyle w:val="Heading1"/>
      </w:pPr>
      <w:r>
        <w:t>3. Complétude — MESURÉE, pas déclarée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Entrées portant une mesure</w:t>
            </w:r>
          </w:p>
        </w:tc>
        <w:tc>
          <w:tcPr>
            <w:tcW w:type="dxa" w:w="4320"/>
          </w:tcPr>
          <w:p>
            <w:r>
              <w:t>140 sur 140 (100 %)</w:t>
            </w:r>
          </w:p>
        </w:tc>
      </w:tr>
      <w:tr>
        <w:tc>
          <w:tcPr>
            <w:tcW w:type="dxa" w:w="4320"/>
          </w:tcPr>
          <w:p>
            <w:r>
              <w:t>Critère de comptage</w:t>
            </w:r>
          </w:p>
        </w:tc>
        <w:tc>
          <w:tcPr>
            <w:tcW w:type="dxa" w:w="4320"/>
          </w:tcPr>
          <w:p>
            <w:r>
              <w:t>champ « t » non vide</w:t>
            </w:r>
          </w:p>
        </w:tc>
      </w:tr>
    </w:tbl>
    <w:p>
      <w:r>
        <w:rPr>
          <w:b w:val="0"/>
        </w:rPr>
        <w:t xml:space="preserve">Toutes les entrées portent une mesure. </w:t>
      </w:r>
      <w:r>
        <w:rPr>
          <w:b/>
        </w:rPr>
        <w:t>Cela ne veut pas dire que les valeurs sont justes</w:t>
      </w:r>
      <w:r>
        <w:rPr>
          <w:b w:val="0"/>
        </w:rPr>
        <w:t xml:space="preserve"> : la complétude mesure la présence d'un chiffre, jamais sa justesse. Voir la section 4.</w:t>
      </w:r>
    </w:p>
    <w:p>
      <w:pPr>
        <w:pStyle w:val="Heading1"/>
      </w:pPr>
      <w:r>
        <w:t>4. Concordance avec d'autres sources</w:t>
      </w:r>
    </w:p>
    <w:p>
      <w:r>
        <w:rPr>
          <w:b w:val="0"/>
        </w:rPr>
        <w:t xml:space="preserve">Ce jeu est </w:t>
      </w:r>
      <w:r>
        <w:rPr>
          <w:b/>
        </w:rPr>
        <w:t>confrontable</w:t>
      </w:r>
      <w:r>
        <w:rPr>
          <w:b w:val="0"/>
        </w:rPr>
        <w:t xml:space="preserve"> : une autre source mesure le même objet par une méthode différente. Résultat de la confrontation, sur les 140 communes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État</w:t>
            </w:r>
          </w:p>
        </w:tc>
        <w:tc>
          <w:tcPr>
            <w:tcW w:type="dxa" w:w="4320"/>
          </w:tcPr>
          <w:p>
            <w:r>
              <w:t>Communes</w:t>
            </w:r>
          </w:p>
        </w:tc>
      </w:tr>
      <w:tr>
        <w:tc>
          <w:tcPr>
            <w:tcW w:type="dxa" w:w="4320"/>
          </w:tcPr>
          <w:p>
            <w:r>
              <w:t>concordant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ecart_modere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  <w:tr>
        <w:tc>
          <w:tcPr>
            <w:tcW w:type="dxa" w:w="4320"/>
          </w:tcPr>
          <w:p>
            <w:r>
              <w:t>desaccord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  <w:tr>
        <w:tc>
          <w:tcPr>
            <w:tcW w:type="dxa" w:w="4320"/>
          </w:tcPr>
          <w:p>
            <w:r>
              <w:t>invérifiable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r>
        <w:rPr>
          <w:b/>
        </w:rPr>
        <w:t>Plus de trois entrées sur dix sont en fort désaccord avec l'autre source.</w:t>
      </w:r>
      <w:r>
        <w:rPr>
          <w:b w:val="0"/>
        </w:rPr>
        <w:t xml:space="preserve"> Ce jeu ne doit pas être employé seul pour une décision : la confrontation fait partie de la lecture.</w:t>
      </w:r>
    </w:p>
    <w:p>
      <w:pPr>
        <w:pStyle w:val="Heading1"/>
      </w:pPr>
      <w:r>
        <w:t>5. Usages prévus, et usages inappropriés</w:t>
      </w:r>
    </w:p>
    <w:p>
      <w:r>
        <w:rPr>
          <w:b/>
        </w:rPr>
        <w:t>Prévu</w:t>
      </w:r>
      <w:r>
        <w:rPr>
          <w:b w:val="0"/>
        </w:rPr>
        <w:t xml:space="preserve"> : situer un territoire, comparer des communes, préparer un diagnostic, alimenter un rapport en citant la source et le millésime.</w:t>
      </w:r>
    </w:p>
    <w:p>
      <w:r>
        <w:rPr>
          <w:b/>
        </w:rPr>
        <w:t>Inapproprié</w:t>
      </w:r>
      <w:r>
        <w:rPr>
          <w:b w:val="0"/>
        </w:rPr>
        <w:t xml:space="preserve"> :</w:t>
      </w:r>
    </w:p>
    <w:p>
      <w:pPr>
        <w:pStyle w:val="ListBullet"/>
      </w:pPr>
      <w:r>
        <w:rPr>
          <w:b w:val="0"/>
        </w:rPr>
        <w:t>traiter une absence comme un zéro ;</w:t>
      </w:r>
    </w:p>
    <w:p>
      <w:pPr>
        <w:pStyle w:val="ListBullet"/>
      </w:pPr>
      <w:r>
        <w:rPr>
          <w:b w:val="0"/>
        </w:rPr>
        <w:t>comparer deux communes documentées par des millésimes différents sans le dire ;</w:t>
      </w:r>
    </w:p>
    <w:p>
      <w:pPr>
        <w:pStyle w:val="ListBullet"/>
      </w:pPr>
      <w:r>
        <w:rPr>
          <w:b w:val="0"/>
        </w:rPr>
        <w:t>en tirer une conclusion sur des personnes : ce jeu est un agrégat territorial et ne descend jamais à l'individu.</w:t>
      </w:r>
    </w:p>
    <w:p>
      <w:pPr>
        <w:pStyle w:val="Heading1"/>
      </w:pPr>
      <w:r>
        <w:t>6. Qualité des données — ce que le producteur signale</w:t>
      </w:r>
    </w:p>
    <w:p>
      <w:pPr>
        <w:pStyle w:val="ListBullet"/>
      </w:pPr>
      <w:r>
        <w:rPr>
          <w:b w:val="0"/>
        </w:rPr>
        <w:t>Registre = ce qui est DÉCLARÉ au ministère, pas ce qui est vu sur le terrain. Une école fermée mais non radiée y figure ; une école jamais recensée n'y figure pas.</w:t>
      </w:r>
    </w:p>
    <w:p>
      <w:pPr>
        <w:pStyle w:val="ListBullet"/>
      </w:pPr>
      <w:r>
        <w:rPr>
          <w:b w:val="0"/>
        </w:rPr>
        <w:t>Comptage = codes CIE DISTINCTS. Des blocs de pages entières sont matériellement répétés dans certains registres ; 643 lignes d'établissement en double ont été écartées. Les deux cas les plus lourds : Artibonite pages 52 à 70 du PDF (257 lignes reprises des pages 47 à 52) et Nord pages 106 à 110 (66 lignes de Cap-Haïtien et de Limonade réimprimées au milieu de Ranquitte). La colonne controle porte le décompte commune par commune.</w:t>
      </w:r>
    </w:p>
    <w:p>
      <w:pPr>
        <w:pStyle w:val="ListBullet"/>
      </w:pPr>
      <w:r>
        <w:rPr>
          <w:b w:val="0"/>
        </w:rPr>
        <w:t>Conséquence du point précédent : le nombre publié pour Ranquitte (Nord) ne repose que sur les lignes qui portent réellement son code. Si sa liste a été partiellement écrasée à l'impression, le registre ne permet pas de le savoir — on ne comble pas ce trou.</w:t>
      </w:r>
    </w:p>
    <w:p>
      <w:pPr>
        <w:pStyle w:val="ListBullet"/>
      </w:pPr>
      <w:r>
        <w:rPr>
          <w:b w:val="0"/>
        </w:rPr>
        <w:t>Le secteur vient du 7e chiffre du CIE, porté par chaque ligne, et non de l'en-tête « SECTEUR PUBLIC / NON PUBLIC », absent ou erroné par endroits (132 lignes en divergence).</w:t>
      </w:r>
    </w:p>
    <w:p>
      <w:pPr>
        <w:pStyle w:val="ListBullet"/>
      </w:pPr>
      <w:r>
        <w:rPr>
          <w:b w:val="0"/>
        </w:rPr>
        <w:t>page_pdf_debut est le numéro de page du PDF, qui ne coïncide pas avec le numéro imprimé en pied de page.</w:t>
      </w:r>
    </w:p>
    <w:p>
      <w:pPr>
        <w:pStyle w:val="ListBullet"/>
      </w:pPr>
      <w:r>
        <w:rPr>
          <w:b w:val="0"/>
        </w:rPr>
        <w:t>Aucune donnée personnelle (téléphone, fondateur) n'est publiée.</w:t>
      </w:r>
    </w:p>
    <w:p>
      <w:pPr>
        <w:pStyle w:val="ListBullet"/>
      </w:pPr>
      <w:r>
        <w:rPr>
          <w:b w:val="0"/>
        </w:rPr>
        <w:t>Aucune valeur départementale n'a été redescendue à la commune ; une commune absente du registre a un champ vide, jamais zéro.</w:t>
      </w:r>
    </w:p>
    <w:p>
      <w:pPr>
        <w:pStyle w:val="ListBullet"/>
      </w:pPr>
      <w:r>
        <w:rPr>
          <w:b w:val="0"/>
        </w:rPr>
        <w:t>6 entités du registre n'ont pas de correspondant dans le référentiel territorial (communes récentes ou non reprises par la couche CNIGS) : elles sont publiées sans atmart_geo_id plutôt qu'écartées.</w:t>
      </w:r>
    </w:p>
    <w:p>
      <w:pPr>
        <w:pStyle w:val="ListBullet"/>
      </w:pPr>
      <w:r>
        <w:rPr>
          <w:b w:val="0"/>
        </w:rPr>
        <w:t>Déclaré et vu ne mesurent pas la même chose : le registre compte ce qui est inscrit au ministère, la carte compte ce qui a été relevé par un contributeur. Leur écart décrit l'état de l'information, pas le nombre réel d'écoles.</w:t>
      </w:r>
    </w:p>
    <w:p>
      <w:pPr>
        <w:pStyle w:val="ListBullet"/>
      </w:pPr>
      <w:r>
        <w:rPr>
          <w:b w:val="0"/>
        </w:rPr>
        <w:t>Le comptage cartographié additionne école, collège et préscolaire ; il écarte l'université, absente du registre.</w:t>
      </w:r>
    </w:p>
    <w:p>
      <w:pPr>
        <w:pStyle w:val="ListBullet"/>
      </w:pPr>
      <w:r>
        <w:rPr>
          <w:b w:val="0"/>
        </w:rPr>
        <w:t>Une commune sans chiffre déclaré n'est pas une commune sans école : elle est absente du registre extrait.</w:t>
      </w:r>
    </w:p>
    <w:p>
      <w:pPr>
        <w:pStyle w:val="Heading1"/>
      </w:pPr>
      <w:r>
        <w:t>7. Ce que ce jeu NE PERMET PAS de conclure</w:t>
      </w:r>
    </w:p>
    <w:p>
      <w:r>
        <w:rPr>
          <w:b w:val="0"/>
        </w:rPr>
        <w:t>Section ajoutée par Atmart : elle n'existe pas dans le modèle d'origine, et c'est celle qu'aucun producteur ne remplit spontanément.</w:t>
      </w:r>
    </w:p>
    <w:p>
      <w:pPr>
        <w:pStyle w:val="ListBullet"/>
      </w:pPr>
      <w:r>
        <w:rPr>
          <w:b w:val="0"/>
        </w:rPr>
        <w:t xml:space="preserve">Le nombre d'écoles ne dit rien du </w:t>
      </w:r>
      <w:r>
        <w:rPr>
          <w:b/>
        </w:rPr>
        <w:t>nombre d'élèves</w:t>
      </w:r>
      <w:r>
        <w:rPr>
          <w:b w:val="0"/>
        </w:rPr>
        <w:t>, de la qualité, ni du niveau enseigné.</w:t>
      </w:r>
    </w:p>
    <w:p>
      <w:pPr>
        <w:pStyle w:val="ListBullet"/>
      </w:pPr>
      <w:r>
        <w:rPr>
          <w:b w:val="0"/>
        </w:rPr>
        <w:t xml:space="preserve">L'écart entre déclaré et cartographié mesure l'état de la </w:t>
      </w:r>
      <w:r>
        <w:rPr>
          <w:b/>
        </w:rPr>
        <w:t>cartographie</w:t>
      </w:r>
      <w:r>
        <w:rPr>
          <w:b w:val="0"/>
        </w:rPr>
        <w:t>, pas le nombre réel d'écoles.</w:t>
      </w:r>
    </w:p>
    <w:p>
      <w:pPr>
        <w:pStyle w:val="Heading1"/>
      </w:pPr>
      <w:r>
        <w:t>8. Vie privée</w:t>
      </w:r>
    </w:p>
    <w:p>
      <w:r>
        <w:rPr>
          <w:b/>
        </w:rPr>
        <w:t>Aucune donnée personnelle.</w:t>
      </w:r>
      <w:r>
        <w:rPr>
          <w:b w:val="0"/>
        </w:rPr>
        <w:t xml:space="preserve"> Ce jeu est un agrégat par commune ; aucune personne n'y est identifiable, directement ou indirectement, et aucun seuil de diffusion n'est requis. Les questions 24 à 27 du modèle Aether (consentement, données sensibles, analyse d'impact) sont donc </w:t>
      </w:r>
      <w:r>
        <w:rPr>
          <w:b/>
        </w:rPr>
        <w:t>sans objet</w:t>
      </w:r>
      <w:r>
        <w:rPr>
          <w:b w:val="0"/>
        </w:rPr>
        <w:t xml:space="preserve"> — et non « non renseignées ».</w:t>
      </w:r>
    </w:p>
    <w:p>
      <w:pPr>
        <w:pStyle w:val="Heading1"/>
      </w:pPr>
      <w:r>
        <w:t>9. Passeport juridique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Passeport</w:t>
            </w:r>
          </w:p>
        </w:tc>
        <w:tc>
          <w:tcPr>
            <w:tcW w:type="dxa" w:w="4320"/>
          </w:tcPr>
          <w:p>
            <w:r>
              <w:t>PSP-043</w:t>
            </w:r>
          </w:p>
        </w:tc>
      </w:tr>
      <w:tr>
        <w:tc>
          <w:tcPr>
            <w:tcW w:type="dxa" w:w="4320"/>
          </w:tcPr>
          <w:p>
            <w:r>
              <w:t>Producteur</w:t>
            </w:r>
          </w:p>
        </w:tc>
        <w:tc>
          <w:tcPr>
            <w:tcW w:type="dxa" w:w="4320"/>
          </w:tcPr>
          <w:p>
            <w:r>
              <w:t>MENFP / SIGEEE — Ministère de l'Éducation nationale</w:t>
            </w:r>
          </w:p>
        </w:tc>
      </w:tr>
      <w:tr>
        <w:tc>
          <w:tcPr>
            <w:tcW w:type="dxa" w:w="4320"/>
          </w:tcPr>
          <w:p>
            <w:r>
              <w:t>Licence</w:t>
            </w:r>
          </w:p>
        </w:tc>
        <w:tc>
          <w:tcPr>
            <w:tcW w:type="dxa" w:w="4320"/>
          </w:tcPr>
          <w:p>
            <w:r>
              <w:t>Décret du 12 octobre 2005 sur le droit d'auteur, art. 5 : les textes officiels administratifs et les « simples données » sont exclus de la protection</w:t>
            </w:r>
          </w:p>
        </w:tc>
      </w:tr>
      <w:tr>
        <w:tc>
          <w:tcPr>
            <w:tcW w:type="dxa" w:w="4320"/>
          </w:tcPr>
          <w:p>
            <w:r>
              <w:t>Statut juridique</w:t>
            </w:r>
          </w:p>
        </w:tc>
        <w:tc>
          <w:tcPr>
            <w:tcW w:type="dxa" w:w="4320"/>
          </w:tcPr>
          <w:p>
            <w:r>
              <w:t>OUVERTE_AVEC_ATTRIBUTION</w:t>
            </w:r>
          </w:p>
        </w:tc>
      </w:tr>
      <w:tr>
        <w:tc>
          <w:tcPr>
            <w:tcW w:type="dxa" w:w="4320"/>
          </w:tcPr>
          <w:p>
            <w:r>
              <w:t>Redistribution</w:t>
            </w:r>
          </w:p>
        </w:tc>
        <w:tc>
          <w:tcPr>
            <w:tcW w:type="dxa" w:w="4320"/>
          </w:tcPr>
          <w:p>
            <w:r>
              <w:t>Oui pour les données ; NON pour la mise en forme des rapports</w:t>
            </w:r>
          </w:p>
        </w:tc>
      </w:tr>
      <w:tr>
        <w:tc>
          <w:tcPr>
            <w:tcW w:type="dxa" w:w="4320"/>
          </w:tcPr>
          <w:p>
            <w:r>
              <w:t>Usage commercial</w:t>
            </w:r>
          </w:p>
        </w:tc>
        <w:tc>
          <w:tcPr>
            <w:tcW w:type="dxa" w:w="4320"/>
          </w:tcPr>
          <w:p>
            <w:r>
              <w:t>Oui — les faits ne sont pas appropriables</w:t>
            </w:r>
          </w:p>
        </w:tc>
      </w:tr>
      <w:tr>
        <w:tc>
          <w:tcPr>
            <w:tcW w:type="dxa" w:w="4320"/>
          </w:tcPr>
          <w:p>
            <w:r>
              <w:t>Publiable librement</w:t>
            </w:r>
          </w:p>
        </w:tc>
        <w:tc>
          <w:tcPr>
            <w:tcW w:type="dxa" w:w="4320"/>
          </w:tcPr>
          <w:p>
            <w:r>
              <w:t>OUI</w:t>
            </w:r>
          </w:p>
        </w:tc>
      </w:tr>
      <w:tr>
        <w:tc>
          <w:tcPr>
            <w:tcW w:type="dxa" w:w="4320"/>
          </w:tcPr>
          <w:p>
            <w:r>
              <w:t>Utilisable en prestation payante</w:t>
            </w:r>
          </w:p>
        </w:tc>
        <w:tc>
          <w:tcPr>
            <w:tcW w:type="dxa" w:w="4320"/>
          </w:tcPr>
          <w:p>
            <w:r>
              <w:t>OUI — les données ; pas la mise en forme</w:t>
            </w:r>
          </w:p>
        </w:tc>
      </w:tr>
      <w:tr>
        <w:tc>
          <w:tcPr>
            <w:tcW w:type="dxa" w:w="4320"/>
          </w:tcPr>
          <w:p>
            <w:r>
              <w:t>Vérifié par / le</w:t>
            </w:r>
          </w:p>
        </w:tc>
        <w:tc>
          <w:tcPr>
            <w:tcW w:type="dxa" w:w="4320"/>
          </w:tcPr>
          <w:p>
            <w:r>
              <w:t>Décret haïtien du 12/10/2005 (WIPO Lex), art. 5 — analysé le 17/08/2026 — 2026-08-17</w:t>
            </w:r>
          </w:p>
        </w:tc>
      </w:tr>
    </w:tbl>
    <w:p>
      <w:pPr>
        <w:pStyle w:val="Heading1"/>
      </w:pPr>
      <w:r>
        <w:t>10. Sections du modèle Aether sans objet ici, et pourquoi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 du modèle</w:t>
            </w:r>
          </w:p>
        </w:tc>
        <w:tc>
          <w:tcPr>
            <w:tcW w:type="dxa" w:w="4320"/>
          </w:tcPr>
          <w:p>
            <w:r>
              <w:t>Pourquoi elle ne s'applique pas</w:t>
            </w:r>
          </w:p>
        </w:tc>
      </w:tr>
      <w:tr>
        <w:tc>
          <w:tcPr>
            <w:tcW w:type="dxa" w:w="4320"/>
          </w:tcPr>
          <w:p>
            <w:r>
              <w:t>Découpages entraînement / validation / test</w:t>
            </w:r>
          </w:p>
        </w:tc>
        <w:tc>
          <w:tcPr>
            <w:tcW w:type="dxa" w:w="4320"/>
          </w:tcPr>
          <w:p>
            <w:r>
              <w:t>ce jeu n'entraîne aucun modèle ; il décrit un territoire</w:t>
            </w:r>
          </w:p>
        </w:tc>
      </w:tr>
      <w:tr>
        <w:tc>
          <w:tcPr>
            <w:tcW w:type="dxa" w:w="4320"/>
          </w:tcPr>
          <w:p>
            <w:r>
              <w:t>Groupes démographiques et leur répartition</w:t>
            </w:r>
          </w:p>
        </w:tc>
        <w:tc>
          <w:tcPr>
            <w:tcW w:type="dxa" w:w="4320"/>
          </w:tcPr>
          <w:p>
            <w:r>
              <w:t>agrégat territorial, aucune personne, aucune variable démographique individuelle</w:t>
            </w:r>
          </w:p>
        </w:tc>
      </w:tr>
      <w:tr>
        <w:tc>
          <w:tcPr>
            <w:tcW w:type="dxa" w:w="4320"/>
          </w:tcPr>
          <w:p>
            <w:r>
              <w:t>Consentement des personnes concernées</w:t>
            </w:r>
          </w:p>
        </w:tc>
        <w:tc>
          <w:tcPr>
            <w:tcW w:type="dxa" w:w="4320"/>
          </w:tcPr>
          <w:p>
            <w:r>
              <w:t>aucune personne concernée</w:t>
            </w:r>
          </w:p>
        </w:tc>
      </w:tr>
    </w:tbl>
    <w:p>
      <w:r>
        <w:rPr>
          <w:i/>
          <w:color w:val="516173"/>
        </w:rPr>
        <w:t>Fiche générée le 18/08/2026 par `build_datasheets.py`. Pour la mettre à jour : relancer le script — elle se recalcule sur le fichier publié.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