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국내외 AI 신약개발 기술 동향 요약</w:t>
      </w:r>
    </w:p>
    <w:p>
      <w:pPr>
        <w:jc w:val="center"/>
      </w:pPr>
      <w:r>
        <w:rPr>
          <w:color w:val="666666"/>
          <w:sz w:val="22"/>
        </w:rPr>
        <w:t>251028 정책연구센터 자료 — 합성신약·신규 모달리티별 AI 활용 및 국내외 기업 사례</w:t>
      </w:r>
    </w:p>
    <w:p>
      <w:pPr>
        <w:jc w:val="center"/>
      </w:pPr>
      <w:r>
        <w:rPr>
          <w:color w:val="888888"/>
          <w:sz w:val="19"/>
        </w:rPr>
        <w:t>출처: 국가생명공학정책연구센터(2025.10.28) · 정리: K-Moonshot PD실</w:t>
      </w:r>
    </w:p>
    <w:p/>
    <w:p>
      <w:r>
        <w:rPr>
          <w:b/>
          <w:color w:val="1F4E79"/>
          <w:sz w:val="28"/>
        </w:rPr>
        <w:t>개요</w:t>
      </w:r>
    </w:p>
    <w:p>
      <w:pPr>
        <w:spacing w:after="80"/>
      </w:pPr>
      <w:r>
        <w:t>글로벌 제약사가 AI 신약개발을 가속하는 가운데(한국일보 2025.10.27 "글로벌 제약사 AI 신약 질주, 한국은 걸음마") 국내외 AI 신약개발 기술 동향을 합성신약과 신규 모달리티로 나누어 정리한 정책연구센터 자료.</w:t>
      </w:r>
    </w:p>
    <w:p>
      <w:r>
        <w:rPr>
          <w:b/>
          <w:color w:val="1F4E79"/>
          <w:sz w:val="28"/>
        </w:rPr>
        <w:t>1. 합성신약 — 전주기 AI 활용</w:t>
      </w:r>
    </w:p>
    <w:p>
      <w:pPr>
        <w:pStyle w:val="ListBullet"/>
        <w:spacing w:after="40"/>
      </w:pPr>
      <w:r>
        <w:t>후보물질 발굴→전임상→임상 전주기에 AI 활용 확산. 후보물질 단계에서 시간 단축·비용 절감 가시화. 승인 신약은 아직 없으나 임상 2상 진입 사례 다수.</w:t>
      </w:r>
    </w:p>
    <w:p>
      <w:pPr>
        <w:pStyle w:val="ListBullet"/>
        <w:spacing w:after="40"/>
      </w:pPr>
      <w:r>
        <w:t>AI 역할: 표적 고속탐색·선도물질/후보물질 최적화(발굴), 독성·ADME·약물안정성 예측·가상대조군 생성(전임상), 임상설계·환자 선별/계층화(임상).</w:t>
      </w:r>
    </w:p>
    <w:p>
      <w:pPr>
        <w:pStyle w:val="ListBullet"/>
        <w:spacing w:after="40"/>
      </w:pPr>
      <w:r>
        <w:t>NAMs(신접근방법론) 동향: 오가노이드·Organ-on-a-Chip(in vitro), PBPK·QSP·ML/AI 예측모델(in silico) 등으로 동물실험 대체.</w:t>
      </w:r>
    </w:p>
    <w:p>
      <w:pPr>
        <w:pStyle w:val="ListBullet"/>
        <w:spacing w:after="40"/>
      </w:pPr>
      <w:r>
        <w:t>해외: 리커전·인실리코메디슨·엑스사이언시아·베네볼런트AI·아톰와이즈 + 사노피·화이자·노바티스·AZ·릴리·암젠·로슈(제넨텍). 국내: 대웅제약·동아ST·한미약품·JW중외제약·SK바이오팜·유한양행.</w:t>
      </w:r>
    </w:p>
    <w:p>
      <w:r>
        <w:rPr>
          <w:b/>
          <w:color w:val="1F4E79"/>
          <w:sz w:val="28"/>
        </w:rPr>
        <w:t>2. 신규 모달리티별 AI 적용</w:t>
      </w:r>
    </w:p>
    <w:p>
      <w:r>
        <w:rPr>
          <w:b/>
          <w:sz w:val="23"/>
        </w:rPr>
        <w:t>RNA 치료제</w:t>
      </w:r>
    </w:p>
    <w:p>
      <w:pPr>
        <w:pStyle w:val="ListBullet"/>
        <w:spacing w:after="40"/>
      </w:pPr>
      <w:r>
        <w:t>siRNA·ASO·리보자임 분야 FDA 승인 및 파이프라인 급증(ONPATTRO, LEQVIO, EXONDYS51, RZ-001 등).</w:t>
      </w:r>
    </w:p>
    <w:p>
      <w:pPr>
        <w:pStyle w:val="ListBullet"/>
        <w:spacing w:after="40"/>
      </w:pPr>
      <w:r>
        <w:t>AI 적용: RNA 2·3차 구조 예측, mRNA UTR/코돈 최적화, ASO 설계, RNA 변형 예측.</w:t>
      </w:r>
    </w:p>
    <w:p>
      <w:pPr>
        <w:pStyle w:val="ListBullet"/>
        <w:spacing w:after="40"/>
      </w:pPr>
      <w:r>
        <w:t>국내 사례: 한양대 남진우-허준호 교수팀 3세대 shRNA 최적설계 AI(shRNAi, 2025); KAIST 이정호-소바젠 뇌전증 MTOR ASO 7,500억 기술이전(2025); DeepGenomics BigRNA 파운데이션 모델.</w:t>
      </w:r>
    </w:p>
    <w:p>
      <w:r>
        <w:rPr>
          <w:b/>
          <w:sz w:val="23"/>
        </w:rPr>
        <w:t>유전자·세포 치료제</w:t>
      </w:r>
    </w:p>
    <w:p>
      <w:pPr>
        <w:pStyle w:val="ListBullet"/>
        <w:spacing w:after="40"/>
      </w:pPr>
      <w:r>
        <w:t>유전자편집: CRISPR 표적탐색·gRNA 설계·오프타깃 예측. (Harvard/Broad David Liu Lab base/prime editing 예측, CRISPR Tx·Editas·Intellia·Beam 파이프라인 in-silico 최적화)</w:t>
      </w:r>
    </w:p>
    <w:p>
      <w:pPr>
        <w:pStyle w:val="ListBullet"/>
        <w:spacing w:after="40"/>
      </w:pPr>
      <w:r>
        <w:t>세포치료제: 네오항원 면역원성·TCR 결합도·MHC-항원 결합 예측. (UPenn Carl June 등 T세포 소진 예측, Affini-T·Adaptimmune·Gritstone TCR 설계)</w:t>
      </w:r>
    </w:p>
    <w:p>
      <w:r>
        <w:rPr>
          <w:b/>
          <w:color w:val="1F4E79"/>
          <w:sz w:val="28"/>
        </w:rPr>
        <w:t>3. 주요 기업 사례</w:t>
      </w:r>
    </w:p>
    <w:p>
      <w:r>
        <w:rPr>
          <w:b/>
          <w:sz w:val="23"/>
        </w:rPr>
        <w:t>해외</w:t>
      </w:r>
    </w:p>
    <w:p>
      <w:pPr>
        <w:pStyle w:val="ListBullet"/>
        <w:spacing w:after="40"/>
      </w:pPr>
      <w:r>
        <w:t>Recursion: AI·로봇 자동화 Wet Lab(Recursion OS), 65PB 데이터, 슈퍼컴 BioHive-2, 자체 모델 Boltz-2/OpenPhenome/LOWE. 로슈·제넨텍·사노피·머크 협업, 엔비디아 투자.</w:t>
      </w:r>
    </w:p>
    <w:p>
      <w:pPr>
        <w:pStyle w:val="ListBullet"/>
        <w:spacing w:after="40"/>
      </w:pPr>
      <w:r>
        <w:t>Insilico Medicine: Pharma.AI 플랫폼, 전임상 후보 탐색 12~18개월 단축. IPF 치료제 Rentosertib(ISM001-055) 임상 2상, 30개 포트폴리오 중 10개 IND. 사노피·화이자·베링거 협업.</w:t>
      </w:r>
    </w:p>
    <w:p>
      <w:r>
        <w:rPr>
          <w:b/>
          <w:sz w:val="23"/>
        </w:rPr>
        <w:t>국내</w:t>
      </w:r>
    </w:p>
    <w:p>
      <w:pPr>
        <w:pStyle w:val="ListBullet"/>
        <w:spacing w:after="40"/>
      </w:pPr>
      <w:r>
        <w:t>대웅제약 DAISY(비만·당뇨), 동아ST(심플렉스 CEEK-CURE 활용 CNS), 한미약품 HM17321(비만, 개발기간 절반↓·FDA 1상), JW중외 JWELRY(탈모 JW0061), SK바이오팜 Hubble.</w:t>
      </w:r>
    </w:p>
    <w:p>
      <w:pPr>
        <w:pStyle w:val="ListBullet"/>
        <w:spacing w:after="40"/>
      </w:pPr>
      <w:r>
        <w:t>바이오벤처: 히츠(Hyper Lab), 갤럭스(GaluxDesign de novo 항체), 스탠다임(BEST), 온코크로스(RAPTOR AI), 신테카바이오(DeepMatcher), 이노보테라퓨틱스(딥제마, 흉터치료제 INV-001 임상2상 완료).</w:t>
      </w:r>
    </w:p>
    <w:p>
      <w:r>
        <w:rPr>
          <w:b/>
          <w:color w:val="1F4E79"/>
          <w:sz w:val="28"/>
        </w:rPr>
        <w:t>K-Moonshot 시사점</w:t>
      </w:r>
    </w:p>
    <w:p>
      <w:pPr>
        <w:pStyle w:val="ListBullet"/>
        <w:spacing w:after="40"/>
      </w:pPr>
      <w:r>
        <w:t>합성신약 전주기 AI + RNA/유전자·세포 모달리티별 설계 AI가 핵심 격전지 → 파운데이션 모델·모달리티별 설계기술 로드맵과 직결.</w:t>
      </w:r>
    </w:p>
    <w:p>
      <w:pPr>
        <w:pStyle w:val="ListBullet"/>
        <w:spacing w:after="40"/>
      </w:pPr>
      <w:r>
        <w:t>국내 학계(한양대 shRNAi, KAIST ASO 등)·기업의 모달리티별 AI 역량을 K-Moonshot 과제·데이터 인프라와 연계 필요.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