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첨단의료사업 성과교류회 발표자료 요약</w:t>
      </w:r>
    </w:p>
    <w:p>
      <w:pPr>
        <w:jc w:val="center"/>
      </w:pPr>
      <w:r>
        <w:rPr>
          <w:color w:val="666666"/>
          <w:sz w:val="22"/>
        </w:rPr>
        <w:t>"융합기반 첨단의료원천기술개발사업 성과교류회" 발표 — 신약 모달리티·디지털바이오 정책 동향</w:t>
      </w:r>
    </w:p>
    <w:p>
      <w:pPr>
        <w:jc w:val="center"/>
      </w:pPr>
      <w:r>
        <w:rPr>
          <w:color w:val="888888"/>
          <w:sz w:val="19"/>
        </w:rPr>
        <w:t>발표: 김현수 정책개발실장(국가생명공학정책연구센터) · 2025.6.19 · 정리: K-Moonshot PD실</w:t>
      </w:r>
    </w:p>
    <w:p/>
    <w:p>
      <w:r>
        <w:rPr>
          <w:b/>
          <w:color w:val="1F4E79"/>
          <w:sz w:val="28"/>
        </w:rPr>
        <w:t>개요</w:t>
      </w:r>
    </w:p>
    <w:p>
      <w:pPr>
        <w:spacing w:after="80"/>
      </w:pPr>
      <w:r>
        <w:t>국가생명공학정책연구센터 김현수 정책개발실장이 융합기반 첨단의료원천기술개발사업 성과교류회(2025.6.19)에서 발표한 자료로, 제4차 생명공학육성기본계획의 맥락에서 디지털바이오 전환과 신약 모달리티의 글로벌 동향을 데이터로 정리했다.</w:t>
      </w:r>
    </w:p>
    <w:p>
      <w:r>
        <w:rPr>
          <w:b/>
          <w:color w:val="1F4E79"/>
          <w:sz w:val="28"/>
        </w:rPr>
        <w:t>핵심 내용</w:t>
      </w:r>
    </w:p>
    <w:p>
      <w:r>
        <w:rPr>
          <w:b/>
          <w:sz w:val="23"/>
        </w:rPr>
        <w:t>① 디지털바이오 패러다임 전환</w:t>
      </w:r>
    </w:p>
    <w:p>
      <w:pPr>
        <w:pStyle w:val="ListBullet"/>
        <w:spacing w:after="40"/>
      </w:pPr>
      <w:r>
        <w:t>제4차 생명공학육성기본계획(2023.6) 주요 내용 및 이슈 — 바이오를 정보과학(Digital Biology)으로 보는 관점, 합성생물학 등 융합기반 원천기술의 중요성 부각.</w:t>
      </w:r>
    </w:p>
    <w:p>
      <w:r>
        <w:rPr>
          <w:b/>
          <w:sz w:val="23"/>
        </w:rPr>
        <w:t>② FDA 신약 승인의 모달리티 구조 변화 (2021~2026.5)</w:t>
      </w:r>
    </w:p>
    <w:p>
      <w:pPr>
        <w:pStyle w:val="ListBullet"/>
        <w:spacing w:after="40"/>
      </w:pPr>
      <w:r>
        <w:t>전체 284건 중 "BCG 뉴 모달리티"가 약 45%(127건), 전통 모달리티가 약 55%(157건)로 신규 모달리티 비중이 매년 44~49% 수준으로 유지.</w:t>
      </w:r>
    </w:p>
    <w:p>
      <w:pPr>
        <w:pStyle w:val="ListBullet"/>
        <w:spacing w:after="40"/>
      </w:pPr>
      <w:r>
        <w:t>뉴 모달리티 내에서는 mAb(41건)·재조합단백질(37건)이 최대, 이어 BsAb(13건)·유전자증강(9건)·RNAi(7건)·ADC(6건). 2024년부터 CAR-T·TIL·TCR-T·줄기세포·유전자편집 등 세포·유전자치료 승인이 본격 등장.</w:t>
      </w:r>
    </w:p>
    <w:p>
      <w:pPr>
        <w:pStyle w:val="ListBullet"/>
        <w:spacing w:after="40"/>
      </w:pPr>
      <w:r>
        <w:t>전통 모달리티는 저분자 표적치료(SM Targeted, 90건)가 중심.</w:t>
      </w:r>
    </w:p>
    <w:p>
      <w:r>
        <w:rPr>
          <w:b/>
          <w:sz w:val="23"/>
        </w:rPr>
        <w:t>③ 글로벌 파이프라인의 모달리티 분포</w:t>
      </w:r>
    </w:p>
    <w:p>
      <w:pPr>
        <w:pStyle w:val="ListBullet"/>
        <w:spacing w:after="40"/>
      </w:pPr>
      <w:r>
        <w:t>글로벌 개발 파이프라인 기준 재조합단백질(178건, 5.9%)·mAb(167건, 5.5%)·줄기세포(154건, 5.1%)가 상위, 마이크로바이옴(90건)·mRNA(84건)·DNA&amp;RNA(81건) 등 신흥 모달리티도 활발. 저분자 표적치료(347건, 11.5%)가 단일 최대.</w:t>
      </w:r>
    </w:p>
    <w:p>
      <w:pPr>
        <w:pStyle w:val="ListBullet"/>
        <w:spacing w:after="40"/>
      </w:pPr>
      <w:r>
        <w:t>항체의 진화(ADC·BsAb), 희귀질환 확장이 주요 성장 동인.</w:t>
      </w:r>
    </w:p>
    <w:p>
      <w:r>
        <w:rPr>
          <w:b/>
          <w:color w:val="1F4E79"/>
          <w:sz w:val="28"/>
        </w:rPr>
        <w:t>K-Moonshot 시사점</w:t>
      </w:r>
    </w:p>
    <w:p>
      <w:pPr>
        <w:pStyle w:val="ListBullet"/>
        <w:spacing w:after="40"/>
      </w:pPr>
      <w:r>
        <w:t>FDA 승인의 절반 가까이가 신규 모달리티 → AI신약 미션의 모달리티별 설계기술 투자 정당성 확인.</w:t>
      </w:r>
    </w:p>
    <w:p>
      <w:pPr>
        <w:pStyle w:val="ListBullet"/>
        <w:spacing w:after="40"/>
      </w:pPr>
      <w:r>
        <w:t>국내 정책(제4차 생명공학육성기본계획·디지털바이오)과 K-Moonshot AI신약 미션의 정합성 확보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