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신약 모달리티(New Drug Modalities) 동향</w:t>
      </w:r>
    </w:p>
    <w:p>
      <w:pPr>
        <w:jc w:val="center"/>
      </w:pPr>
      <w:r>
        <w:rPr>
          <w:color w:val="666666"/>
          <w:sz w:val="24"/>
        </w:rPr>
        <w:t>BCG 리포트 2건 요약 — K-Moonshot AI신약 미션 참고자료</w:t>
      </w:r>
    </w:p>
    <w:p>
      <w:pPr>
        <w:jc w:val="center"/>
      </w:pPr>
      <w:r>
        <w:rPr>
          <w:color w:val="888888"/>
          <w:sz w:val="19"/>
        </w:rPr>
        <w:t>정리: K-Moonshot 신약 AI 미션 PD실 · 2026.06.21</w:t>
      </w:r>
    </w:p>
    <w:p/>
    <w:p>
      <w:r>
        <w:rPr>
          <w:b/>
          <w:sz w:val="22"/>
        </w:rPr>
        <w:t>■ 출처</w:t>
      </w:r>
    </w:p>
    <w:p>
      <w:pPr>
        <w:pStyle w:val="ListBullet"/>
        <w:spacing w:after="40"/>
      </w:pPr>
      <w:r>
        <w:t>BCG (2023) "For Biopharma, a Rising Tide—and Choppy Waters: The Benefits and Risks of New Drug Modalities" — bcg.com/publications/2023/benefits-and-risks-of-new-drug-modalities</w:t>
      </w:r>
    </w:p>
    <w:p>
      <w:pPr>
        <w:pStyle w:val="ListBullet"/>
        <w:spacing w:after="40"/>
      </w:pPr>
      <w:r>
        <w:t>BCG (2025) "The New Drug Modalities 2025" — bcg.com/publications/2025/emerging-new-drug-modalities</w:t>
      </w:r>
    </w:p>
    <w:p/>
    <w:p>
      <w:r>
        <w:rPr>
          <w:b/>
          <w:color w:val="1F4E79"/>
          <w:sz w:val="32"/>
        </w:rPr>
        <w:t>핵심 요약 (Executive Summary)</w:t>
      </w:r>
    </w:p>
    <w:p>
      <w:pPr>
        <w:spacing w:after="80"/>
      </w:pPr>
      <w:r>
        <w:t>신약 산업은 저분자·단일클론항체(mAb) 중심의 전통적 플랫폼을 넘어, 유전자·세포치료, 핵산(RNA), 복합 바이오의약품 등 "신규 모달리티(new modalities)"로 빠르게 재편되고 있다. BCG는 이를 성숙도에 따라 분류하고 매년 6대 모달리티의 파이프라인·매출·딜 활동을 추적한다.</w:t>
      </w:r>
    </w:p>
    <w:p>
      <w:pPr>
        <w:pStyle w:val="ListBullet"/>
        <w:spacing w:after="40"/>
      </w:pPr>
      <w:r>
        <w:t>2025년 신규 모달리티 파이프라인 가치는 약 1,970억 달러로 전년 대비 +17% 성장(2021년 이후 최대폭). 항체, 단백질·펩타이드(특히 GLP-1), 핵산이 성장 견인.</w:t>
      </w:r>
    </w:p>
    <w:p>
      <w:pPr>
        <w:pStyle w:val="ListBullet"/>
        <w:spacing w:after="40"/>
      </w:pPr>
      <w:r>
        <w:t>2025년 매출 상위 10대 바이오의약품 중 8개가 신규 모달리티. 2030년에는 10개 중 9개(GLP-1 5종 포함) 전망.</w:t>
      </w:r>
    </w:p>
    <w:p>
      <w:pPr>
        <w:pStyle w:val="ListBullet"/>
        <w:spacing w:after="40"/>
      </w:pPr>
      <w:r>
        <w:t>성장은 모달리티별로 불균등: 항체·재조합단백질·CAR-T는 견조, 유전자치료·mRNA·마이크로바이옴 등 신흥 모달리티는 안전성·상업화 장벽으로 정체.</w:t>
      </w:r>
    </w:p>
    <w:p>
      <w:pPr>
        <w:pStyle w:val="ListBullet"/>
        <w:spacing w:after="40"/>
      </w:pPr>
      <w:r>
        <w:t>중국이 신규 모달리티 혁신 허브로 부상 — 임상단계 신규모달리티 4,000건+(미국 다음 2위), 글로벌 항체·세포치료 파이프라인 자산의 30%+가 중국 기원.</w:t>
      </w:r>
    </w:p>
    <w:p>
      <w:pPr>
        <w:pStyle w:val="ListBullet"/>
        <w:spacing w:after="40"/>
      </w:pPr>
      <w:r>
        <w:t>지난 3년간(2023~2025) 상위 20개 빅파마가 신규 모달리티 딜에 약 1,700억 달러 투입, 그중 항체가 딜 금액의 75%+ 차지.</w:t>
      </w:r>
    </w:p>
    <w:p/>
    <w:p>
      <w:r>
        <w:rPr>
          <w:b/>
          <w:color w:val="1F4E79"/>
          <w:sz w:val="32"/>
        </w:rPr>
        <w:t>1부. 신약 모달리티의 편익과 리스크 (BCG 2023)</w:t>
      </w:r>
    </w:p>
    <w:p>
      <w:r>
        <w:rPr>
          <w:b/>
          <w:color w:val="1F4E79"/>
          <w:sz w:val="26"/>
        </w:rPr>
        <w:t>1) 산업의 변곡점</w:t>
      </w:r>
    </w:p>
    <w:p>
      <w:pPr>
        <w:pStyle w:val="ListBullet"/>
        <w:spacing w:after="40"/>
      </w:pPr>
      <w:r>
        <w:t>2021년 한 해에만 신규 모달리티 관련 학술논문 약 10만 편 발표, 임상시험 약 4,000건 진행(92%가 초기단계).</w:t>
      </w:r>
    </w:p>
    <w:p>
      <w:pPr>
        <w:pStyle w:val="ListBullet"/>
        <w:spacing w:after="40"/>
      </w:pPr>
      <w:r>
        <w:t>최근 20년간 신규 모달리티 개발 기업 약 1,500개 신설(약 150개 상장).</w:t>
      </w:r>
    </w:p>
    <w:p>
      <w:pPr>
        <w:pStyle w:val="ListBullet"/>
        <w:spacing w:after="40"/>
      </w:pPr>
      <w:r>
        <w:t>신규 모달리티에 공개시장 자본 2,500억 달러 + 사모 1,000억 달러 유입. 미국·유럽이 R&amp;D 중심이나 중국이 빠르게 추격.</w:t>
      </w:r>
    </w:p>
    <w:p>
      <w:pPr>
        <w:pStyle w:val="ListBullet"/>
        <w:spacing w:after="40"/>
      </w:pPr>
      <w:r>
        <w:t>mRNA 제외 신규 모달리티 연매출 약 200억 달러 도달, 바이오파마 시총을 3,000억 달러+ 끌어올림.</w:t>
      </w:r>
    </w:p>
    <w:p>
      <w:r>
        <w:rPr>
          <w:b/>
          <w:color w:val="1F4E79"/>
          <w:sz w:val="26"/>
        </w:rPr>
        <w:t>2) 성숙도 3단계 분류 (17종+ 모달리티)</w:t>
      </w:r>
    </w:p>
    <w:p>
      <w:r>
        <w:rPr>
          <w:b/>
          <w:sz w:val="22"/>
        </w:rPr>
        <w:t>① 성숙(Mature) — 임상적으로 검증·광범위 사용</w:t>
      </w:r>
    </w:p>
    <w:p>
      <w:pPr>
        <w:pStyle w:val="ListBullet"/>
        <w:spacing w:after="40"/>
      </w:pPr>
      <w:r>
        <w:t>저분자 의약품(3만+ 제품), 재조합단백질, 단일클론항체(mAb). 향후 적응증 확대·난이도 높은 MoA·투여 편의성 개선, AI로 가속.</w:t>
      </w:r>
    </w:p>
    <w:p>
      <w:r>
        <w:rPr>
          <w:b/>
          <w:sz w:val="22"/>
        </w:rPr>
        <w:t>② 발전(Advancing) — 후기 임상 통과·상업화 진입</w:t>
      </w:r>
    </w:p>
    <w:p>
      <w:pPr>
        <w:pStyle w:val="ListBullet"/>
        <w:spacing w:after="40"/>
      </w:pPr>
      <w:r>
        <w:t>RNAi($27억, 2019), 항체-약물접합체(ADC)·항체-방사성접합체($20억), 이중특이항체(BsAb, $17억), CAR-T($7.43억), 유전자치료($5억, 주로 AAV in vivo).</w:t>
      </w:r>
    </w:p>
    <w:p>
      <w:r>
        <w:rPr>
          <w:b/>
          <w:sz w:val="22"/>
        </w:rPr>
        <w:t>③ 신흥(Emerging) — 개념증명 단계, 최고 위험·최고 잠재력</w:t>
      </w:r>
    </w:p>
    <w:p>
      <w:pPr>
        <w:pStyle w:val="ListBullet"/>
        <w:spacing w:after="40"/>
      </w:pPr>
      <w:r>
        <w:t>종양용해바이러스, mRNA 치료제·백신, 줄기세포, in vivo 유전자편집(CRISPR/Cas 등), 마이크로바이옴, PROTAC 등. 신규 질환기전 타깃으로 표준치료 혁신 가능성.</w:t>
      </w:r>
    </w:p>
    <w:p>
      <w:r>
        <w:rPr>
          <w:b/>
          <w:color w:val="1F4E79"/>
          <w:sz w:val="26"/>
        </w:rPr>
        <w:t>3) 가치창출의 4가지 경로</w:t>
      </w:r>
    </w:p>
    <w:p>
      <w:pPr>
        <w:pStyle w:val="ListBullet"/>
        <w:spacing w:after="40"/>
      </w:pPr>
      <w:r>
        <w:t>항암·희귀질환을 넘어선 확장: 현재 진행 중인 700개 유전자치료 임상이 표적하는 ~180개 질환의 3/4이 희귀질환·암. 향후 대사·신경·감염·호흡기로 확대.</w:t>
      </w:r>
    </w:p>
    <w:p>
      <w:pPr>
        <w:pStyle w:val="ListBullet"/>
        <w:spacing w:after="40"/>
      </w:pPr>
      <w:r>
        <w:t>새로운 작용기전(MoA): 유전체 영구 변경(유전자편집), 다중 치료효과 결합(종양용해바이러스). ~600개 ADC 임상이 ~75개 MoA(그중 ~30개는 무치료 영역) 타깃.</w:t>
      </w:r>
    </w:p>
    <w:p>
      <w:pPr>
        <w:pStyle w:val="ListBullet"/>
        <w:spacing w:after="40"/>
      </w:pPr>
      <w:r>
        <w:t>우월한 효능·편의성: Roctavian(혈우병A AAV유전자치료) 1회 주사로 4~6년 효과, Inclisiran(PCSK9 RNAi)은 6개월 1회 투여(기존 mAb 월 1회 대비).</w:t>
      </w:r>
    </w:p>
    <w:p>
      <w:pPr>
        <w:pStyle w:val="ListBullet"/>
        <w:spacing w:after="40"/>
      </w:pPr>
      <w:r>
        <w:t>전통 모달리티 보완: 종양용해바이러스·개인맞춤 mRNA 암백신을 PD-1 면역치료와 병용 시 시너지.</w:t>
      </w:r>
    </w:p>
    <w:p>
      <w:r>
        <w:rPr>
          <w:b/>
          <w:color w:val="1F4E79"/>
          <w:sz w:val="26"/>
        </w:rPr>
        <w:t>4) 도전과제 (리스크)</w:t>
      </w:r>
    </w:p>
    <w:p>
      <w:pPr>
        <w:pStyle w:val="ListBullet"/>
        <w:spacing w:after="40"/>
      </w:pPr>
      <w:r>
        <w:t>기술: 유전자·RNA 치료제는 여전히 효율적·안전·장기특이적 전달 시스템 부재. 최근 3년간 안전성 우려로 FDA가 유전자치료 임상 20건+ 중단.</w:t>
      </w:r>
    </w:p>
    <w:p>
      <w:pPr>
        <w:pStyle w:val="ListBullet"/>
        <w:spacing w:after="40"/>
      </w:pPr>
      <w:r>
        <w:t>제조·운영: 유전자치료·종양용해바이러스의 대량생산 효율·일관성, 자가유래 CAR-T·맞춤 mRNA의 신규 생산 워크플로우 필요.</w:t>
      </w:r>
    </w:p>
    <w:p>
      <w:pPr>
        <w:pStyle w:val="ListBullet"/>
        <w:spacing w:after="40"/>
      </w:pPr>
      <w:r>
        <w:t>상업화·가격·급여: 고비용·개인화에 맞는 가격·상환 모델 필요(예: Zolgensma 1회 약 250만 달러).</w:t>
      </w:r>
    </w:p>
    <w:p>
      <w:pPr>
        <w:pStyle w:val="ListBullet"/>
        <w:spacing w:after="40"/>
      </w:pPr>
      <w:r>
        <w:t>리스크-보상 균형: 광범위 질환 표적 vs 소수 질환 우월효능의 트레이드오프, 질환 선택("low-hanging fruit"/"hotspot"/"moonshot") 전략 필요.</w:t>
      </w:r>
    </w:p>
    <w:p>
      <w:r>
        <w:rPr>
          <w:b/>
          <w:color w:val="1F4E79"/>
          <w:sz w:val="26"/>
        </w:rPr>
        <w:t>5) 4대 개발 플랫폼 접근</w:t>
      </w:r>
    </w:p>
    <w:p>
      <w:pPr>
        <w:pStyle w:val="ListBullet"/>
        <w:spacing w:after="40"/>
      </w:pPr>
      <w:r>
        <w:t>단백질/항체 플랫폼: mAb·BsAb·융합단백질 → 종양용해바이러스·CAR-T로 역량 확장.</w:t>
      </w:r>
    </w:p>
    <w:p>
      <w:pPr>
        <w:pStyle w:val="ListBullet"/>
        <w:spacing w:after="40"/>
      </w:pPr>
      <w:r>
        <w:t>저분자·방사성·RNA 플랫폼: AI 기반 발굴 현대화, oligo 합성·mRNA 생성/변형, NGS.</w:t>
      </w:r>
    </w:p>
    <w:p>
      <w:pPr>
        <w:pStyle w:val="ListBullet"/>
        <w:spacing w:after="40"/>
      </w:pPr>
      <w:r>
        <w:t>바이러스·전달 플랫폼: 유전자·종양용해바이러스·세포치료용 바이러스 유전공학, LNP 등 비바이러스 전달체.</w:t>
      </w:r>
    </w:p>
    <w:p>
      <w:pPr>
        <w:pStyle w:val="ListBullet"/>
        <w:spacing w:after="40"/>
      </w:pPr>
      <w:r>
        <w:t>세포 엔지니어링 플랫폼: 줄기세포 등 다종 세포 배양·공정(CMC). 최근 CMC 문제로 다수 실패.</w:t>
      </w:r>
    </w:p>
    <w:p/>
    <w:p>
      <w:r>
        <w:rPr>
          <w:b/>
          <w:color w:val="1F4E79"/>
          <w:sz w:val="32"/>
        </w:rPr>
        <w:t>2부. 떠오르는 신약 모달리티 2025 (BCG 2025)</w:t>
      </w:r>
    </w:p>
    <w:p>
      <w:pPr>
        <w:spacing w:after="80"/>
      </w:pPr>
      <w:r>
        <w:t>BCG는 6대 신규 모달리티를 제품 수·파이프라인 매출·딜 활동 기준으로 추적한다. 2025년 신규 모달리티 파이프라인 가치는 1,970억 달러(+17% YoY)로 전통 모달리티를 크게 상회한다.</w:t>
      </w:r>
    </w:p>
    <w:p>
      <w:r>
        <w:rPr>
          <w:b/>
          <w:color w:val="1F4E79"/>
          <w:sz w:val="26"/>
        </w:rPr>
        <w:t>6대 모달리티별 동향</w:t>
      </w:r>
    </w:p>
    <w:p>
      <w:r>
        <w:rPr>
          <w:b/>
          <w:sz w:val="22"/>
        </w:rPr>
        <w:t>① 항체(Antibodies) — 견조·안정 성장</w:t>
      </w:r>
    </w:p>
    <w:p>
      <w:pPr>
        <w:pStyle w:val="ListBullet"/>
        <w:spacing w:after="40"/>
      </w:pPr>
      <w:r>
        <w:t>mAb: 신규 모달리티 중 최대 임상 파이프라인. 제품 수 +7%, 가치 +9%. 종양·면역 넘어 신경·희귀·소화기·심혈관 확장. (예: Apitegromab/척수성근위축증)</w:t>
      </w:r>
    </w:p>
    <w:p>
      <w:pPr>
        <w:pStyle w:val="ListBullet"/>
        <w:spacing w:after="40"/>
      </w:pPr>
      <w:r>
        <w:t>ADC: 기대 파이프라인 가치 1년간 +40%, 5년 CAGR 22%. (예: Datroway/유방암)</w:t>
      </w:r>
    </w:p>
    <w:p>
      <w:pPr>
        <w:pStyle w:val="ListBullet"/>
        <w:spacing w:after="40"/>
      </w:pPr>
      <w:r>
        <w:t>이중특이항체(BsAb): 파이프라인 매출 1년간 +50%. CD3 T세포 인게이저가 가장 검증된 MoA(상위 10개 중 7개). (예: ivonescimab)</w:t>
      </w:r>
    </w:p>
    <w:p>
      <w:r>
        <w:rPr>
          <w:b/>
          <w:sz w:val="22"/>
        </w:rPr>
        <w:t>② 단백질·펩타이드 — GLP-1이 견인하는 급성장</w:t>
      </w:r>
    </w:p>
    <w:p>
      <w:pPr>
        <w:pStyle w:val="ListBullet"/>
        <w:spacing w:after="40"/>
      </w:pPr>
      <w:r>
        <w:t>재조합 플랫폼 매출 +18%, GLP-1 작용제가 견인. 매출 상위권 재편(Mounjaro·Zepbound·Wegovy).</w:t>
      </w:r>
    </w:p>
    <w:p>
      <w:pPr>
        <w:pStyle w:val="ListBullet"/>
        <w:spacing w:after="40"/>
      </w:pPr>
      <w:r>
        <w:t>변수: 메디케어/메디케이드 비만 급여 논의, IRA 최대공정가(MFP) 협상(Ozempic·Wegovy 등 2027 적용), MFN 가격정책, DTP(직접판매, LillyDirect·NovoCare) 확산.</w:t>
      </w:r>
    </w:p>
    <w:p>
      <w:r>
        <w:rPr>
          <w:b/>
          <w:sz w:val="22"/>
        </w:rPr>
        <w:t>③ 세포치료 — 빠른 진화, 혼재된 결과</w:t>
      </w:r>
    </w:p>
    <w:p>
      <w:pPr>
        <w:pStyle w:val="ListBullet"/>
        <w:spacing w:after="40"/>
      </w:pPr>
      <w:r>
        <w:t>CAR-T: 혈액암 중심으로 급성장 지속. 고형암·자가면역은 혼재. in vivo CAR-T로 물류 한계 극복 시도.</w:t>
      </w:r>
    </w:p>
    <w:p>
      <w:pPr>
        <w:pStyle w:val="ListBullet"/>
        <w:spacing w:after="40"/>
      </w:pPr>
      <w:r>
        <w:t>TCR-T/TIL/줄기세포/CAR-NK: 제한적 채택. Tecelra(첫 TCR-T)·Amtagvi(TIL)·Ryoncil(첫 중간엽기질세포) 승인. CAR-NK는 임상 실망으로 이탈 다수.</w:t>
      </w:r>
    </w:p>
    <w:p>
      <w:r>
        <w:rPr>
          <w:b/>
          <w:sz w:val="22"/>
        </w:rPr>
        <w:t>④ 유전자치료 — 안전성 이슈로 성장 정체</w:t>
      </w:r>
    </w:p>
    <w:p>
      <w:pPr>
        <w:pStyle w:val="ListBullet"/>
        <w:spacing w:after="40"/>
      </w:pPr>
      <w:r>
        <w:t>Elevidys(Sarepta) 출하 일시중단·EMA 부정 권고, Beqvez(Pfizer) 출시 중단 등 상업화 난항.</w:t>
      </w:r>
    </w:p>
    <w:p>
      <w:pPr>
        <w:pStyle w:val="ListBullet"/>
        <w:spacing w:after="40"/>
      </w:pPr>
      <w:r>
        <w:t>유전자편집: Casgevy(Vertex/CRISPR)가 유일 승인 CRISPR 제품. 다만 Sarepta 벡터 플랫폼 지정, 중국 첫 혈우병B 유전자치료 승인 등 진전.</w:t>
      </w:r>
    </w:p>
    <w:p>
      <w:r>
        <w:rPr>
          <w:b/>
          <w:sz w:val="22"/>
        </w:rPr>
        <w:t>⑤ 핵산(Nucleic Acids) — 코로나 이후 새 성장원</w:t>
      </w:r>
    </w:p>
    <w:p>
      <w:pPr>
        <w:pStyle w:val="ListBullet"/>
        <w:spacing w:after="40"/>
      </w:pPr>
      <w:r>
        <w:t>DNA·RNA: 1년간 매출 +65%로 최고 성장. 안티센스 올리고(Rytelo·Izervay·Tryngolza) 견인.</w:t>
      </w:r>
    </w:p>
    <w:p>
      <w:pPr>
        <w:pStyle w:val="ListBullet"/>
        <w:spacing w:after="40"/>
      </w:pPr>
      <w:r>
        <w:t>RNAi: 파이프라인 가치 +27%. (Amvuttra, Qfitlia 등)</w:t>
      </w:r>
    </w:p>
    <w:p>
      <w:pPr>
        <w:pStyle w:val="ListBullet"/>
        <w:spacing w:after="40"/>
      </w:pPr>
      <w:r>
        <w:t>mRNA: 파이프라인 가치 급락($230억→$150억). 美 HHS의 mRNA 백신 지원 ~5억 달러 취소. 독감백신·in vivo CAR-T 등 신규 용도 전환.</w:t>
      </w:r>
    </w:p>
    <w:p>
      <w:r>
        <w:rPr>
          <w:b/>
          <w:sz w:val="22"/>
        </w:rPr>
        <w:t>⑥ 기타 신규 모달리티 — 완만한 성장</w:t>
      </w:r>
    </w:p>
    <w:p>
      <w:pPr>
        <w:pStyle w:val="ListBullet"/>
        <w:spacing w:after="40"/>
      </w:pPr>
      <w:r>
        <w:t>PROTAC: 효능 입증 난항이나 vepdegestrant(Pfizer/Arvinas) NDA 수리, BTK 분해제 3상 진입.</w:t>
      </w:r>
    </w:p>
    <w:p>
      <w:pPr>
        <w:pStyle w:val="ListBullet"/>
        <w:spacing w:after="40"/>
      </w:pPr>
      <w:r>
        <w:t>마이크로바이옴: 상업적 정체. 종양용해바이러스: cretostimogene 등 블록버스터 가능성.</w:t>
      </w:r>
    </w:p>
    <w:p>
      <w:r>
        <w:rPr>
          <w:b/>
          <w:color w:val="1F4E79"/>
          <w:sz w:val="26"/>
        </w:rPr>
        <w:t>딜 활동 (2023~2025)</w:t>
      </w:r>
    </w:p>
    <w:p>
      <w:pPr>
        <w:pStyle w:val="ListBullet"/>
        <w:spacing w:after="40"/>
      </w:pPr>
      <w:r>
        <w:t>상위 20개 빅파마가 신규 모달리티 딜에 약 1,700억 달러 투입(인수 37건 ~700억, 라이선스 81건). 초기단계 딜이 후기단계의 2배.</w:t>
      </w:r>
    </w:p>
    <w:p>
      <w:pPr>
        <w:pStyle w:val="ListBullet"/>
        <w:spacing w:after="40"/>
      </w:pPr>
      <w:r>
        <w:t>항체가 딜 건수의 절반 이상, 딜 금액의 75%+ 차지 — 검증된 바이오 모달리티에 대한 지속적 신뢰.</w:t>
      </w:r>
    </w:p>
    <w:p>
      <w:r>
        <w:rPr>
          <w:b/>
          <w:color w:val="1F4E79"/>
          <w:sz w:val="26"/>
        </w:rPr>
        <w:t>중국의 부상</w:t>
      </w:r>
    </w:p>
    <w:p>
      <w:pPr>
        <w:pStyle w:val="ListBullet"/>
        <w:spacing w:after="40"/>
      </w:pPr>
      <w:r>
        <w:t>중국 임상단계 신규 모달리티 4,000건+(미국 다음 2위). 글로벌 항체·세포치료 파이프라인 자산의 30%+가 중국 기원.</w:t>
      </w:r>
    </w:p>
    <w:p>
      <w:pPr>
        <w:pStyle w:val="ListBullet"/>
        <w:spacing w:after="40"/>
      </w:pPr>
      <w:r>
        <w:t>중국 임상자산의 절반 가까이가 글로벌 경쟁제품이 없는 신규 MoA. 2025년 상위 20개 빅파마 딜 지출의 40%+가 중국 기원 자산 관련(역대 최고).</w:t>
      </w:r>
    </w:p>
    <w:p>
      <w:pPr>
        <w:pStyle w:val="ListBullet"/>
        <w:spacing w:after="40"/>
      </w:pPr>
      <w:r>
        <w:t>Carvykti(CAR-T), Tevimbra·Anniko(mAb) 등 중국 기원 제품 글로벌 승인·상업화 확대.</w:t>
      </w:r>
    </w:p>
    <w:p/>
    <w:p>
      <w:r>
        <w:rPr>
          <w:b/>
          <w:color w:val="1F4E79"/>
          <w:sz w:val="32"/>
        </w:rPr>
        <w:t>K-Moonshot 시사점</w:t>
      </w:r>
    </w:p>
    <w:p>
      <w:pPr>
        <w:pStyle w:val="ListBullet"/>
        <w:spacing w:after="40"/>
      </w:pPr>
      <w:r>
        <w:t>AI신약 미션의 모달리티 우선순위: 검증·성장 견조한 항체(mAb/ADC/BsAb)·재조합단백질(GLP-1 계열)·핵산(RNAi/안티센스)에 AI 설계 역량을 우선 결합하면 상업화 성공률·딜 가치 측면에서 유리.</w:t>
      </w:r>
    </w:p>
    <w:p>
      <w:pPr>
        <w:pStyle w:val="ListBullet"/>
        <w:spacing w:after="40"/>
      </w:pPr>
      <w:r>
        <w:t>플랫폼 전략: BCG의 4대 플랫폼(단백질·항체 / 저분자·방사성·RNA / 바이러스·전달 / 세포엔지니어링)은 K-Moonshot 파운데이션 모델·모달리티별 설계기술 로드맵과 정합. 플랫폼 단위 역량 축적이 모달리티 간 시너지를 창출.</w:t>
      </w:r>
    </w:p>
    <w:p>
      <w:pPr>
        <w:pStyle w:val="ListBullet"/>
        <w:spacing w:after="40"/>
      </w:pPr>
      <w:r>
        <w:t>리스크 직시: 유전자·세포·mRNA 등 신흥 모달리티는 전달체·CMC·안전성·상환 장벽이 크므로, "디지털 비임상"·전달체 AI 설계 등으로 R&amp;D 리스크를 선제 완화하는 접근이 차별화 포인트.</w:t>
      </w:r>
    </w:p>
    <w:p>
      <w:pPr>
        <w:pStyle w:val="ListBullet"/>
        <w:spacing w:after="40"/>
      </w:pPr>
      <w:r>
        <w:t>중국 대응: 중국이 신규 모달리티 파이프라인·딜의 핵심 공급원으로 부상 → 한국은 신규 MoA·전달기술·AI 설계 속도에서 차별적 경쟁력을 확보해야 글로벌 라이선스/딜 시장에서 입지 확보 가능.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