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84B341" w14:textId="77777777" w:rsidR="002E0C9E" w:rsidRPr="002E0C9E" w:rsidRDefault="002E0C9E" w:rsidP="002E0C9E">
      <w:r w:rsidRPr="002E0C9E">
        <w:t xml:space="preserve">Teradata, particularly through its </w:t>
      </w:r>
      <w:proofErr w:type="spellStart"/>
      <w:r w:rsidRPr="002E0C9E">
        <w:rPr>
          <w:b/>
          <w:bCs/>
        </w:rPr>
        <w:t>VantageCloud</w:t>
      </w:r>
      <w:proofErr w:type="spellEnd"/>
      <w:r w:rsidRPr="002E0C9E">
        <w:t xml:space="preserve"> platform, is often viewed as the "heavy lifter" of the data world. While EHRs like Epic or Cerner are excellent at </w:t>
      </w:r>
      <w:r w:rsidRPr="002E0C9E">
        <w:rPr>
          <w:b/>
          <w:bCs/>
        </w:rPr>
        <w:t>operational</w:t>
      </w:r>
      <w:r w:rsidRPr="002E0C9E">
        <w:t xml:space="preserve"> tasks (transactional data entry), Teradata excels at the </w:t>
      </w:r>
      <w:r w:rsidRPr="002E0C9E">
        <w:rPr>
          <w:b/>
          <w:bCs/>
        </w:rPr>
        <w:t>analytical</w:t>
      </w:r>
      <w:r w:rsidRPr="002E0C9E">
        <w:t xml:space="preserve"> scale required for deep AI integration and complex clinical decision support (CDS).</w:t>
      </w:r>
    </w:p>
    <w:p w14:paraId="6BDDAEE6" w14:textId="77777777" w:rsidR="002E0C9E" w:rsidRPr="002E0C9E" w:rsidRDefault="002E0C9E" w:rsidP="002E0C9E">
      <w:r w:rsidRPr="002E0C9E">
        <w:t>For a high-level architecture involving AI and EHRs, Teradata acts as the longitudinal "Brain" that sits above the transactional "Nervous System."</w:t>
      </w:r>
    </w:p>
    <w:p w14:paraId="328B8D77" w14:textId="77777777" w:rsidR="002E0C9E" w:rsidRPr="002E0C9E" w:rsidRDefault="002E0C9E" w:rsidP="002E0C9E">
      <w:r w:rsidRPr="002E0C9E">
        <w:pict w14:anchorId="45524D5C">
          <v:rect id="_x0000_i1025" style="width:0;height:1.5pt" o:hralign="center" o:hrstd="t" o:hrnoshade="t" o:hr="t" fillcolor="gray" stroked="f"/>
        </w:pict>
      </w:r>
    </w:p>
    <w:p w14:paraId="2EBED4E4" w14:textId="77777777" w:rsidR="002E0C9E" w:rsidRPr="002E0C9E" w:rsidRDefault="002E0C9E" w:rsidP="002E0C9E">
      <w:pPr>
        <w:rPr>
          <w:b/>
          <w:bCs/>
        </w:rPr>
      </w:pPr>
      <w:r w:rsidRPr="002E0C9E">
        <w:rPr>
          <w:b/>
          <w:bCs/>
        </w:rPr>
        <w:t>1. AI Integration: Bringing the Model to the Data</w:t>
      </w:r>
    </w:p>
    <w:p w14:paraId="69F9ED51" w14:textId="77777777" w:rsidR="002E0C9E" w:rsidRPr="002E0C9E" w:rsidRDefault="002E0C9E" w:rsidP="002E0C9E">
      <w:r w:rsidRPr="002E0C9E">
        <w:t xml:space="preserve">One of the biggest hurdles in AI EHR integration is data gravity—moving petabytes of clinical data to an AI model is slow and expensive. Teradata’s </w:t>
      </w:r>
      <w:r w:rsidRPr="002E0C9E">
        <w:rPr>
          <w:b/>
          <w:bCs/>
        </w:rPr>
        <w:t>ClearScape Analytics</w:t>
      </w:r>
      <w:r w:rsidRPr="002E0C9E">
        <w:t xml:space="preserve"> flips this by allowing you to run AI/ML models directly within the database environment.</w:t>
      </w:r>
    </w:p>
    <w:p w14:paraId="341228FF" w14:textId="77777777" w:rsidR="002E0C9E" w:rsidRPr="002E0C9E" w:rsidRDefault="002E0C9E" w:rsidP="002E0C9E">
      <w:pPr>
        <w:numPr>
          <w:ilvl w:val="0"/>
          <w:numId w:val="1"/>
        </w:numPr>
      </w:pPr>
      <w:r w:rsidRPr="002E0C9E">
        <w:rPr>
          <w:b/>
          <w:bCs/>
        </w:rPr>
        <w:t>In-Database Scoring:</w:t>
      </w:r>
      <w:r w:rsidRPr="002E0C9E">
        <w:t xml:space="preserve"> You can deploy Python or R models (like a sepsis prediction or readmission risk model) directly onto the Teradata nodes. This eliminates the latency of exporting data to a separate AI server.</w:t>
      </w:r>
    </w:p>
    <w:p w14:paraId="37BBA00B" w14:textId="77777777" w:rsidR="002E0C9E" w:rsidRPr="002E0C9E" w:rsidRDefault="002E0C9E" w:rsidP="002E0C9E">
      <w:pPr>
        <w:numPr>
          <w:ilvl w:val="0"/>
          <w:numId w:val="1"/>
        </w:numPr>
      </w:pPr>
      <w:r w:rsidRPr="002E0C9E">
        <w:rPr>
          <w:b/>
          <w:bCs/>
        </w:rPr>
        <w:t>Massive Concurrency:</w:t>
      </w:r>
      <w:r w:rsidRPr="002E0C9E">
        <w:t xml:space="preserve"> Unlike smaller data warehouses, Teradata is designed to handle thousands of complex queries simultaneously. This is critical if you have 50,000 clinicians triggering AI-driven CDS alerts at the same time across a global health system.</w:t>
      </w:r>
    </w:p>
    <w:p w14:paraId="33F7A4EE" w14:textId="77777777" w:rsidR="002E0C9E" w:rsidRPr="002E0C9E" w:rsidRDefault="002E0C9E" w:rsidP="002E0C9E">
      <w:pPr>
        <w:rPr>
          <w:b/>
          <w:bCs/>
        </w:rPr>
      </w:pPr>
      <w:r w:rsidRPr="002E0C9E">
        <w:rPr>
          <w:b/>
          <w:bCs/>
        </w:rPr>
        <w:t>2. Clinical Decision Support (CDS) Architecture</w:t>
      </w:r>
    </w:p>
    <w:p w14:paraId="3E7F1D9F" w14:textId="77777777" w:rsidR="002E0C9E" w:rsidRPr="002E0C9E" w:rsidRDefault="002E0C9E" w:rsidP="002E0C9E">
      <w:r w:rsidRPr="002E0C9E">
        <w:t xml:space="preserve">Teradata's role in CDS is generally focused on </w:t>
      </w:r>
      <w:r w:rsidRPr="002E0C9E">
        <w:rPr>
          <w:b/>
          <w:bCs/>
        </w:rPr>
        <w:t>longitudinal and cross-functional intelligence</w:t>
      </w:r>
      <w:r w:rsidRPr="002E0C9E">
        <w:t xml:space="preserve"> rather than simple "if-then" alerts.</w:t>
      </w:r>
    </w:p>
    <w:tbl>
      <w:tblPr>
        <w:tblW w:w="0" w:type="auto"/>
        <w:tblCellSpacing w:w="15" w:type="dxa"/>
        <w:tblCellMar>
          <w:left w:w="0" w:type="dxa"/>
          <w:right w:w="0" w:type="dxa"/>
        </w:tblCellMar>
        <w:tblLook w:val="04A0" w:firstRow="1" w:lastRow="0" w:firstColumn="1" w:lastColumn="0" w:noHBand="0" w:noVBand="1"/>
      </w:tblPr>
      <w:tblGrid>
        <w:gridCol w:w="1979"/>
        <w:gridCol w:w="7365"/>
      </w:tblGrid>
      <w:tr w:rsidR="002E0C9E" w:rsidRPr="002E0C9E" w14:paraId="67461B80" w14:textId="77777777" w:rsidTr="002E0C9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A02A77" w14:textId="77777777" w:rsidR="002E0C9E" w:rsidRPr="002E0C9E" w:rsidRDefault="002E0C9E" w:rsidP="002E0C9E">
            <w:r w:rsidRPr="002E0C9E">
              <w:rPr>
                <w:b/>
                <w:bCs/>
              </w:rPr>
              <w:t>Feature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89D891" w14:textId="77777777" w:rsidR="002E0C9E" w:rsidRPr="002E0C9E" w:rsidRDefault="002E0C9E" w:rsidP="002E0C9E">
            <w:r w:rsidRPr="002E0C9E">
              <w:rPr>
                <w:b/>
                <w:bCs/>
              </w:rPr>
              <w:t>Role in Clinical Decision Making</w:t>
            </w:r>
          </w:p>
        </w:tc>
      </w:tr>
      <w:tr w:rsidR="002E0C9E" w:rsidRPr="002E0C9E" w14:paraId="1703ACA0" w14:textId="77777777" w:rsidTr="002E0C9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99DBD7" w14:textId="77777777" w:rsidR="002E0C9E" w:rsidRPr="002E0C9E" w:rsidRDefault="002E0C9E" w:rsidP="002E0C9E">
            <w:r w:rsidRPr="002E0C9E">
              <w:rPr>
                <w:b/>
                <w:bCs/>
              </w:rPr>
              <w:t>Multi-Source Integration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936E85" w14:textId="77777777" w:rsidR="002E0C9E" w:rsidRPr="002E0C9E" w:rsidRDefault="002E0C9E" w:rsidP="002E0C9E">
            <w:r w:rsidRPr="002E0C9E">
              <w:t>Combines EHR data with "outside-the-hospital" data (Social Determinants of Health, wearable data, genomic data) to provide a 360-degree patient view.</w:t>
            </w:r>
          </w:p>
        </w:tc>
      </w:tr>
      <w:tr w:rsidR="002E0C9E" w:rsidRPr="002E0C9E" w14:paraId="4D05E2F0" w14:textId="77777777" w:rsidTr="002E0C9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023478" w14:textId="77777777" w:rsidR="002E0C9E" w:rsidRPr="002E0C9E" w:rsidRDefault="002E0C9E" w:rsidP="002E0C9E">
            <w:r w:rsidRPr="002E0C9E">
              <w:rPr>
                <w:b/>
                <w:bCs/>
              </w:rPr>
              <w:t>Temporal Logic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A397DE" w14:textId="77777777" w:rsidR="002E0C9E" w:rsidRPr="002E0C9E" w:rsidRDefault="002E0C9E" w:rsidP="002E0C9E">
            <w:r w:rsidRPr="002E0C9E">
              <w:t>Teradata is world-class at handling time-series data. It can track a patient’s deteriorating vitals over 48 hours across three different facilities to trigger a high-fidelity alert.</w:t>
            </w:r>
          </w:p>
        </w:tc>
      </w:tr>
      <w:tr w:rsidR="002E0C9E" w:rsidRPr="002E0C9E" w14:paraId="50289154" w14:textId="77777777" w:rsidTr="002E0C9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DFE000" w14:textId="77777777" w:rsidR="002E0C9E" w:rsidRPr="002E0C9E" w:rsidRDefault="002E0C9E" w:rsidP="002E0C9E">
            <w:r w:rsidRPr="002E0C9E">
              <w:rPr>
                <w:b/>
                <w:bCs/>
              </w:rPr>
              <w:t>Real-Time Integration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A15437" w14:textId="77777777" w:rsidR="002E0C9E" w:rsidRPr="002E0C9E" w:rsidRDefault="002E0C9E" w:rsidP="002E0C9E">
            <w:r w:rsidRPr="002E0C9E">
              <w:t xml:space="preserve">Via </w:t>
            </w:r>
            <w:proofErr w:type="spellStart"/>
            <w:r w:rsidRPr="002E0C9E">
              <w:rPr>
                <w:b/>
                <w:bCs/>
              </w:rPr>
              <w:t>VantageCloud</w:t>
            </w:r>
            <w:proofErr w:type="spellEnd"/>
            <w:r w:rsidRPr="002E0C9E">
              <w:rPr>
                <w:b/>
                <w:bCs/>
              </w:rPr>
              <w:t xml:space="preserve"> Lake</w:t>
            </w:r>
            <w:r w:rsidRPr="002E0C9E">
              <w:t>, it can ingest streaming FHIR resources, process them against historical trends, and push an "Insight" back to the EHR's UI in sub-second time.</w:t>
            </w:r>
          </w:p>
        </w:tc>
      </w:tr>
    </w:tbl>
    <w:p w14:paraId="3F5C2B11" w14:textId="77777777" w:rsidR="002E0C9E" w:rsidRPr="002E0C9E" w:rsidRDefault="002E0C9E" w:rsidP="002E0C9E">
      <w:r w:rsidRPr="002E0C9E">
        <w:lastRenderedPageBreak/>
        <w:pict w14:anchorId="016EAEEC">
          <v:rect id="_x0000_i1026" style="width:0;height:1.5pt" o:hralign="center" o:hrstd="t" o:hrnoshade="t" o:hr="t" fillcolor="gray" stroked="f"/>
        </w:pict>
      </w:r>
    </w:p>
    <w:p w14:paraId="4DED0610" w14:textId="77777777" w:rsidR="002E0C9E" w:rsidRPr="002E0C9E" w:rsidRDefault="002E0C9E" w:rsidP="002E0C9E">
      <w:pPr>
        <w:rPr>
          <w:b/>
          <w:bCs/>
        </w:rPr>
      </w:pPr>
      <w:r w:rsidRPr="002E0C9E">
        <w:rPr>
          <w:b/>
          <w:bCs/>
        </w:rPr>
        <w:t>3. The "Architect’s View" on Integration Strategy</w:t>
      </w:r>
    </w:p>
    <w:p w14:paraId="190E7A51" w14:textId="77777777" w:rsidR="002E0C9E" w:rsidRPr="002E0C9E" w:rsidRDefault="002E0C9E" w:rsidP="002E0C9E">
      <w:r w:rsidRPr="002E0C9E">
        <w:t>To integrate Teradata into an AI EHR ecosystem, the architecture typically follows a "Medallion" or "Hub-and-Spoke" model:</w:t>
      </w:r>
    </w:p>
    <w:p w14:paraId="5B773B7B" w14:textId="77777777" w:rsidR="002E0C9E" w:rsidRPr="002E0C9E" w:rsidRDefault="002E0C9E" w:rsidP="002E0C9E">
      <w:pPr>
        <w:numPr>
          <w:ilvl w:val="0"/>
          <w:numId w:val="2"/>
        </w:numPr>
      </w:pPr>
      <w:r w:rsidRPr="002E0C9E">
        <w:rPr>
          <w:b/>
          <w:bCs/>
        </w:rPr>
        <w:t>The Ingestion Layer:</w:t>
      </w:r>
      <w:r w:rsidRPr="002E0C9E">
        <w:t xml:space="preserve"> Use </w:t>
      </w:r>
      <w:r w:rsidRPr="002E0C9E">
        <w:rPr>
          <w:b/>
          <w:bCs/>
        </w:rPr>
        <w:t>Google Cloud Dataflow</w:t>
      </w:r>
      <w:r w:rsidRPr="002E0C9E">
        <w:t xml:space="preserve"> or </w:t>
      </w:r>
      <w:r w:rsidRPr="002E0C9E">
        <w:rPr>
          <w:b/>
          <w:bCs/>
        </w:rPr>
        <w:t>Azure Data Factory</w:t>
      </w:r>
      <w:r w:rsidRPr="002E0C9E">
        <w:t xml:space="preserve"> to stream FHIR R4/R5 resources from the EHR into Teradata.</w:t>
      </w:r>
    </w:p>
    <w:p w14:paraId="0831D785" w14:textId="77777777" w:rsidR="002E0C9E" w:rsidRPr="002E0C9E" w:rsidRDefault="002E0C9E" w:rsidP="002E0C9E">
      <w:pPr>
        <w:numPr>
          <w:ilvl w:val="0"/>
          <w:numId w:val="2"/>
        </w:numPr>
      </w:pPr>
      <w:r w:rsidRPr="002E0C9E">
        <w:rPr>
          <w:b/>
          <w:bCs/>
        </w:rPr>
        <w:t>The Semantic Layer:</w:t>
      </w:r>
      <w:r w:rsidRPr="002E0C9E">
        <w:t xml:space="preserve"> Teradata structures this raw data into a Unified Healthcare Data Model. This is where "dirty" clinical data from multiple sources is cleaned and mapped.</w:t>
      </w:r>
    </w:p>
    <w:p w14:paraId="7B25CA20" w14:textId="77777777" w:rsidR="002E0C9E" w:rsidRPr="002E0C9E" w:rsidRDefault="002E0C9E" w:rsidP="002E0C9E">
      <w:pPr>
        <w:numPr>
          <w:ilvl w:val="0"/>
          <w:numId w:val="2"/>
        </w:numPr>
      </w:pPr>
      <w:r w:rsidRPr="002E0C9E">
        <w:rPr>
          <w:b/>
          <w:bCs/>
        </w:rPr>
        <w:t>The AI Inference Layer:</w:t>
      </w:r>
      <w:r w:rsidRPr="002E0C9E">
        <w:t xml:space="preserve"> ClearScape Analytics runs the neural nets. It looks at the current FHIR record + 10 years of history + regional health trends.</w:t>
      </w:r>
    </w:p>
    <w:p w14:paraId="73C83265" w14:textId="77777777" w:rsidR="002E0C9E" w:rsidRPr="002E0C9E" w:rsidRDefault="002E0C9E" w:rsidP="002E0C9E">
      <w:pPr>
        <w:numPr>
          <w:ilvl w:val="0"/>
          <w:numId w:val="2"/>
        </w:numPr>
      </w:pPr>
      <w:r w:rsidRPr="002E0C9E">
        <w:rPr>
          <w:b/>
          <w:bCs/>
        </w:rPr>
        <w:t>The Action Layer:</w:t>
      </w:r>
      <w:r w:rsidRPr="002E0C9E">
        <w:t xml:space="preserve"> The resulting score or recommendation is sent back to the EHR via an </w:t>
      </w:r>
      <w:r w:rsidRPr="002E0C9E">
        <w:rPr>
          <w:b/>
          <w:bCs/>
        </w:rPr>
        <w:t>API / SMART on FHIR</w:t>
      </w:r>
      <w:r w:rsidRPr="002E0C9E">
        <w:t xml:space="preserve"> app, appearing directly in the clinician's workflow.</w:t>
      </w:r>
    </w:p>
    <w:p w14:paraId="624247CC" w14:textId="77777777" w:rsidR="002E0C9E" w:rsidRPr="002E0C9E" w:rsidRDefault="002E0C9E" w:rsidP="002E0C9E">
      <w:r w:rsidRPr="002E0C9E">
        <w:pict w14:anchorId="0E3947D0">
          <v:rect id="_x0000_i1027" style="width:0;height:1.5pt" o:hralign="center" o:hrstd="t" o:hrnoshade="t" o:hr="t" fillcolor="gray" stroked="f"/>
        </w:pict>
      </w:r>
    </w:p>
    <w:p w14:paraId="23C947BC" w14:textId="77777777" w:rsidR="002E0C9E" w:rsidRPr="002E0C9E" w:rsidRDefault="002E0C9E" w:rsidP="002E0C9E">
      <w:pPr>
        <w:rPr>
          <w:b/>
          <w:bCs/>
        </w:rPr>
      </w:pPr>
      <w:r w:rsidRPr="002E0C9E">
        <w:rPr>
          <w:b/>
          <w:bCs/>
        </w:rPr>
        <w:t>4. Pros and Cons for Healthcare</w:t>
      </w:r>
    </w:p>
    <w:p w14:paraId="7BD1BCFA" w14:textId="77777777" w:rsidR="002E0C9E" w:rsidRPr="002E0C9E" w:rsidRDefault="002E0C9E" w:rsidP="002E0C9E">
      <w:pPr>
        <w:numPr>
          <w:ilvl w:val="0"/>
          <w:numId w:val="3"/>
        </w:numPr>
      </w:pPr>
      <w:r w:rsidRPr="002E0C9E">
        <w:rPr>
          <w:b/>
          <w:bCs/>
        </w:rPr>
        <w:t>Pros:</w:t>
      </w:r>
    </w:p>
    <w:p w14:paraId="384BC02D" w14:textId="77777777" w:rsidR="002E0C9E" w:rsidRPr="002E0C9E" w:rsidRDefault="002E0C9E" w:rsidP="002E0C9E">
      <w:pPr>
        <w:numPr>
          <w:ilvl w:val="1"/>
          <w:numId w:val="3"/>
        </w:numPr>
      </w:pPr>
      <w:r w:rsidRPr="002E0C9E">
        <w:rPr>
          <w:b/>
          <w:bCs/>
        </w:rPr>
        <w:t>Scale:</w:t>
      </w:r>
      <w:r w:rsidRPr="002E0C9E">
        <w:t xml:space="preserve"> It doesn't "choke" on massive datasets (e.g., millions of patients with decades of history).</w:t>
      </w:r>
    </w:p>
    <w:p w14:paraId="4D1853D7" w14:textId="77777777" w:rsidR="002E0C9E" w:rsidRPr="002E0C9E" w:rsidRDefault="002E0C9E" w:rsidP="002E0C9E">
      <w:pPr>
        <w:numPr>
          <w:ilvl w:val="1"/>
          <w:numId w:val="3"/>
        </w:numPr>
      </w:pPr>
      <w:r w:rsidRPr="002E0C9E">
        <w:rPr>
          <w:b/>
          <w:bCs/>
        </w:rPr>
        <w:t>Security:</w:t>
      </w:r>
      <w:r w:rsidRPr="002E0C9E">
        <w:t xml:space="preserve"> Highly mature "Bring Your Own Key" (BYOK) encryption and HIPAA-compliant cloud VPCs.</w:t>
      </w:r>
    </w:p>
    <w:p w14:paraId="3955429C" w14:textId="77777777" w:rsidR="002E0C9E" w:rsidRPr="002E0C9E" w:rsidRDefault="002E0C9E" w:rsidP="002E0C9E">
      <w:pPr>
        <w:numPr>
          <w:ilvl w:val="1"/>
          <w:numId w:val="3"/>
        </w:numPr>
      </w:pPr>
      <w:r w:rsidRPr="002E0C9E">
        <w:rPr>
          <w:b/>
          <w:bCs/>
        </w:rPr>
        <w:t>Hybrid-Cloud:</w:t>
      </w:r>
      <w:r w:rsidRPr="002E0C9E">
        <w:t xml:space="preserve"> It can run on GCP, AWS, and Azure simultaneously, which is great for global health systems that need data residency in different countries.</w:t>
      </w:r>
    </w:p>
    <w:p w14:paraId="16E93CE8" w14:textId="77777777" w:rsidR="002E0C9E" w:rsidRPr="002E0C9E" w:rsidRDefault="002E0C9E" w:rsidP="002E0C9E">
      <w:pPr>
        <w:numPr>
          <w:ilvl w:val="0"/>
          <w:numId w:val="3"/>
        </w:numPr>
      </w:pPr>
      <w:r w:rsidRPr="002E0C9E">
        <w:rPr>
          <w:b/>
          <w:bCs/>
        </w:rPr>
        <w:t>Cons:</w:t>
      </w:r>
    </w:p>
    <w:p w14:paraId="0CD248C8" w14:textId="77777777" w:rsidR="002E0C9E" w:rsidRPr="002E0C9E" w:rsidRDefault="002E0C9E" w:rsidP="002E0C9E">
      <w:pPr>
        <w:numPr>
          <w:ilvl w:val="1"/>
          <w:numId w:val="3"/>
        </w:numPr>
      </w:pPr>
      <w:r w:rsidRPr="002E0C9E">
        <w:rPr>
          <w:b/>
          <w:bCs/>
        </w:rPr>
        <w:t>Cost:</w:t>
      </w:r>
      <w:r w:rsidRPr="002E0C9E">
        <w:t xml:space="preserve"> It is a premium enterprise tool. It’s often overkill for a single hospital but perfect for a national health ministry or a massive provider network.</w:t>
      </w:r>
    </w:p>
    <w:p w14:paraId="7A3ED27B" w14:textId="77777777" w:rsidR="002E0C9E" w:rsidRPr="002E0C9E" w:rsidRDefault="002E0C9E" w:rsidP="002E0C9E">
      <w:pPr>
        <w:numPr>
          <w:ilvl w:val="1"/>
          <w:numId w:val="3"/>
        </w:numPr>
      </w:pPr>
      <w:r w:rsidRPr="002E0C9E">
        <w:rPr>
          <w:b/>
          <w:bCs/>
        </w:rPr>
        <w:t>Complexity:</w:t>
      </w:r>
      <w:r w:rsidRPr="002E0C9E">
        <w:t xml:space="preserve"> It requires specialized DBAs to truly optimize the Massively Parallel Processing (MPP) architecture.</w:t>
      </w:r>
    </w:p>
    <w:p w14:paraId="571DB0DE" w14:textId="77777777" w:rsidR="002E0C9E" w:rsidRPr="002E0C9E" w:rsidRDefault="002E0C9E" w:rsidP="002E0C9E">
      <w:pPr>
        <w:rPr>
          <w:b/>
          <w:bCs/>
        </w:rPr>
      </w:pPr>
      <w:r w:rsidRPr="002E0C9E">
        <w:rPr>
          <w:b/>
          <w:bCs/>
        </w:rPr>
        <w:t>The "2026" Perspective</w:t>
      </w:r>
    </w:p>
    <w:p w14:paraId="29171BFA" w14:textId="77777777" w:rsidR="002E0C9E" w:rsidRPr="002E0C9E" w:rsidRDefault="002E0C9E" w:rsidP="002E0C9E">
      <w:r w:rsidRPr="002E0C9E">
        <w:t xml:space="preserve">As of this year, Teradata has leaned heavily into </w:t>
      </w:r>
      <w:r w:rsidRPr="002E0C9E">
        <w:rPr>
          <w:b/>
          <w:bCs/>
        </w:rPr>
        <w:t>Vector Database</w:t>
      </w:r>
      <w:r w:rsidRPr="002E0C9E">
        <w:t xml:space="preserve"> capabilities, allowing it to store "embeddings" for Generative AI. This means your EHR architecture could theoretically use Teradata to help an LLM search through millions of unstructured clinical notes to find similar patient cases in seconds.</w:t>
      </w:r>
    </w:p>
    <w:p w14:paraId="76990BCD" w14:textId="77777777" w:rsidR="002E0C9E" w:rsidRPr="002E0C9E" w:rsidRDefault="002E0C9E" w:rsidP="002E0C9E">
      <w:r w:rsidRPr="002E0C9E">
        <w:rPr>
          <w:b/>
          <w:bCs/>
        </w:rPr>
        <w:t>Would you like me to draft a high-level "Data Flow Diagram" description showing how Teradata sits between a GCP-hosted EHR and a neural net?</w:t>
      </w:r>
    </w:p>
    <w:tbl>
      <w:tblPr>
        <w:tblW w:w="0" w:type="auto"/>
        <w:tblCellSpacing w:w="15" w:type="dxa"/>
        <w:tblCellMar>
          <w:left w:w="0" w:type="dxa"/>
          <w:right w:w="0" w:type="dxa"/>
        </w:tblCellMar>
        <w:tblLook w:val="04A0" w:firstRow="1" w:lastRow="0" w:firstColumn="1" w:lastColumn="0" w:noHBand="0" w:noVBand="1"/>
      </w:tblPr>
      <w:tblGrid>
        <w:gridCol w:w="734"/>
        <w:gridCol w:w="1747"/>
        <w:gridCol w:w="6863"/>
      </w:tblGrid>
      <w:tr w:rsidR="000C2074" w:rsidRPr="000C2074" w14:paraId="619F3842" w14:textId="77777777" w:rsidTr="000C207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098781" w14:textId="77777777" w:rsidR="000C2074" w:rsidRPr="000C2074" w:rsidRDefault="000C2074" w:rsidP="000C2074">
            <w:r w:rsidRPr="000C2074">
              <w:rPr>
                <w:b/>
                <w:bCs/>
              </w:rPr>
              <w:lastRenderedPageBreak/>
              <w:t>Icon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A02E04" w14:textId="77777777" w:rsidR="000C2074" w:rsidRPr="000C2074" w:rsidRDefault="000C2074" w:rsidP="000C2074">
            <w:r w:rsidRPr="000C2074">
              <w:rPr>
                <w:b/>
                <w:bCs/>
              </w:rPr>
              <w:t>Component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12143D" w14:textId="77777777" w:rsidR="000C2074" w:rsidRPr="000C2074" w:rsidRDefault="000C2074" w:rsidP="000C2074">
            <w:r w:rsidRPr="000C2074">
              <w:rPr>
                <w:b/>
                <w:bCs/>
              </w:rPr>
              <w:t>The Final Impact</w:t>
            </w:r>
          </w:p>
        </w:tc>
      </w:tr>
      <w:tr w:rsidR="000C2074" w:rsidRPr="000C2074" w14:paraId="4939D2BA" w14:textId="77777777" w:rsidTr="000C207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3E1C7C" w14:textId="77777777" w:rsidR="000C2074" w:rsidRPr="000C2074" w:rsidRDefault="000C2074" w:rsidP="000C2074">
            <w:r w:rsidRPr="000C2074">
              <w:rPr>
                <w:b/>
                <w:bCs/>
              </w:rPr>
              <w:t>API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D79916" w14:textId="77777777" w:rsidR="000C2074" w:rsidRPr="000C2074" w:rsidRDefault="000C2074" w:rsidP="000C2074">
            <w:r w:rsidRPr="000C2074">
              <w:rPr>
                <w:b/>
                <w:bCs/>
              </w:rPr>
              <w:t>SMART on FHIR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18CB3D" w14:textId="77777777" w:rsidR="000C2074" w:rsidRPr="000C2074" w:rsidRDefault="000C2074" w:rsidP="000C2074">
            <w:r w:rsidRPr="000C2074">
              <w:t xml:space="preserve">ClearScape generates a simplified "Insight" or "Prediction Score" (e.g., </w:t>
            </w:r>
            <w:r w:rsidRPr="000C2074">
              <w:rPr>
                <w:i/>
                <w:iCs/>
              </w:rPr>
              <w:t>94% Sepsis Risk</w:t>
            </w:r>
            <w:r w:rsidRPr="000C2074">
              <w:t>). This insight is pushed back via a secure API.</w:t>
            </w:r>
          </w:p>
        </w:tc>
      </w:tr>
      <w:tr w:rsidR="000C2074" w:rsidRPr="000C2074" w14:paraId="45B694B5" w14:textId="77777777" w:rsidTr="000C207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56152B" w14:textId="77777777" w:rsidR="000C2074" w:rsidRPr="000C2074" w:rsidRDefault="000C2074" w:rsidP="000C2074">
            <w:r w:rsidRPr="000C2074">
              <w:rPr>
                <w:rFonts w:ascii="Segoe UI Emoji" w:hAnsi="Segoe UI Emoji" w:cs="Segoe UI Emoji"/>
                <w:b/>
                <w:bCs/>
              </w:rPr>
              <w:t>🧑</w:t>
            </w:r>
            <w:r w:rsidRPr="000C2074">
              <w:rPr>
                <w:b/>
                <w:bCs/>
              </w:rPr>
              <w:t>‍</w:t>
            </w:r>
            <w:r w:rsidRPr="000C2074">
              <w:rPr>
                <w:rFonts w:ascii="Segoe UI Symbol" w:hAnsi="Segoe UI Symbol" w:cs="Segoe UI Symbol"/>
                <w:b/>
                <w:bCs/>
              </w:rPr>
              <w:t>⚕</w:t>
            </w:r>
            <w:r w:rsidRPr="000C2074">
              <w:rPr>
                <w:b/>
                <w:bC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76E62A" w14:textId="77777777" w:rsidR="000C2074" w:rsidRPr="000C2074" w:rsidRDefault="000C2074" w:rsidP="000C2074">
            <w:r w:rsidRPr="000C2074">
              <w:rPr>
                <w:b/>
                <w:bCs/>
              </w:rPr>
              <w:t>Clinician Workflow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68C767" w14:textId="77777777" w:rsidR="000C2074" w:rsidRPr="000C2074" w:rsidRDefault="000C2074" w:rsidP="000C2074">
            <w:r w:rsidRPr="000C2074">
              <w:t xml:space="preserve">The insight arrives back at the original chart </w:t>
            </w:r>
            <w:r w:rsidRPr="000C2074">
              <w:rPr>
                <w:i/>
                <w:iCs/>
              </w:rPr>
              <w:t>before</w:t>
            </w:r>
            <w:r w:rsidRPr="000C2074">
              <w:t xml:space="preserve"> the clinician has finished reading the patient’s last note. It appears as a </w:t>
            </w:r>
            <w:r w:rsidRPr="000C2074">
              <w:rPr>
                <w:b/>
                <w:bCs/>
              </w:rPr>
              <w:t>CDS Alert,</w:t>
            </w:r>
            <w:r w:rsidRPr="000C2074">
              <w:t xml:space="preserve"> guiding their next decision with AI-powered, contextually deep intelligence.</w:t>
            </w:r>
          </w:p>
        </w:tc>
      </w:tr>
    </w:tbl>
    <w:p w14:paraId="5C7C24AE" w14:textId="77777777" w:rsidR="009B6433" w:rsidRDefault="009B6433"/>
    <w:sectPr w:rsidR="009B64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04131"/>
    <w:multiLevelType w:val="multilevel"/>
    <w:tmpl w:val="6E287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20287E"/>
    <w:multiLevelType w:val="multilevel"/>
    <w:tmpl w:val="4164F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9613B1"/>
    <w:multiLevelType w:val="multilevel"/>
    <w:tmpl w:val="5596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0099946">
    <w:abstractNumId w:val="2"/>
  </w:num>
  <w:num w:numId="2" w16cid:durableId="1870218785">
    <w:abstractNumId w:val="1"/>
  </w:num>
  <w:num w:numId="3" w16cid:durableId="1969776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C9E"/>
    <w:rsid w:val="000C2074"/>
    <w:rsid w:val="000F794F"/>
    <w:rsid w:val="002E0C9E"/>
    <w:rsid w:val="00401F3B"/>
    <w:rsid w:val="00553E87"/>
    <w:rsid w:val="006D16FD"/>
    <w:rsid w:val="00770D6D"/>
    <w:rsid w:val="009B6433"/>
    <w:rsid w:val="00CC5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CFA40"/>
  <w15:chartTrackingRefBased/>
  <w15:docId w15:val="{56A073F1-D059-449A-8FC3-7FA8DB3CA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C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0C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0C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0C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C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C9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C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C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C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C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0C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0C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C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C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C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C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C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C9E"/>
    <w:rPr>
      <w:rFonts w:eastAsiaTheme="majorEastAsia" w:cstheme="majorBidi"/>
      <w:color w:val="272727" w:themeColor="text1" w:themeTint="D8"/>
    </w:rPr>
  </w:style>
  <w:style w:type="paragraph" w:styleId="Title">
    <w:name w:val="Title"/>
    <w:basedOn w:val="Normal"/>
    <w:next w:val="Normal"/>
    <w:link w:val="TitleChar"/>
    <w:uiPriority w:val="10"/>
    <w:qFormat/>
    <w:rsid w:val="002E0C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C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C9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C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C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E0C9E"/>
    <w:rPr>
      <w:i/>
      <w:iCs/>
      <w:color w:val="404040" w:themeColor="text1" w:themeTint="BF"/>
    </w:rPr>
  </w:style>
  <w:style w:type="paragraph" w:styleId="ListParagraph">
    <w:name w:val="List Paragraph"/>
    <w:basedOn w:val="Normal"/>
    <w:uiPriority w:val="34"/>
    <w:qFormat/>
    <w:rsid w:val="002E0C9E"/>
    <w:pPr>
      <w:ind w:left="720"/>
      <w:contextualSpacing/>
    </w:pPr>
  </w:style>
  <w:style w:type="character" w:styleId="IntenseEmphasis">
    <w:name w:val="Intense Emphasis"/>
    <w:basedOn w:val="DefaultParagraphFont"/>
    <w:uiPriority w:val="21"/>
    <w:qFormat/>
    <w:rsid w:val="002E0C9E"/>
    <w:rPr>
      <w:i/>
      <w:iCs/>
      <w:color w:val="0F4761" w:themeColor="accent1" w:themeShade="BF"/>
    </w:rPr>
  </w:style>
  <w:style w:type="paragraph" w:styleId="IntenseQuote">
    <w:name w:val="Intense Quote"/>
    <w:basedOn w:val="Normal"/>
    <w:next w:val="Normal"/>
    <w:link w:val="IntenseQuoteChar"/>
    <w:uiPriority w:val="30"/>
    <w:qFormat/>
    <w:rsid w:val="002E0C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C9E"/>
    <w:rPr>
      <w:i/>
      <w:iCs/>
      <w:color w:val="0F4761" w:themeColor="accent1" w:themeShade="BF"/>
    </w:rPr>
  </w:style>
  <w:style w:type="character" w:styleId="IntenseReference">
    <w:name w:val="Intense Reference"/>
    <w:basedOn w:val="DefaultParagraphFont"/>
    <w:uiPriority w:val="32"/>
    <w:qFormat/>
    <w:rsid w:val="002E0C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265730">
      <w:bodyDiv w:val="1"/>
      <w:marLeft w:val="0"/>
      <w:marRight w:val="0"/>
      <w:marTop w:val="0"/>
      <w:marBottom w:val="0"/>
      <w:divBdr>
        <w:top w:val="none" w:sz="0" w:space="0" w:color="auto"/>
        <w:left w:val="none" w:sz="0" w:space="0" w:color="auto"/>
        <w:bottom w:val="none" w:sz="0" w:space="0" w:color="auto"/>
        <w:right w:val="none" w:sz="0" w:space="0" w:color="auto"/>
      </w:divBdr>
    </w:div>
    <w:div w:id="1966278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656</Words>
  <Characters>3740</Characters>
  <Application>Microsoft Office Word</Application>
  <DocSecurity>0</DocSecurity>
  <Lines>31</Lines>
  <Paragraphs>8</Paragraphs>
  <ScaleCrop>false</ScaleCrop>
  <Company/>
  <LinksUpToDate>false</LinksUpToDate>
  <CharactersWithSpaces>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Wolf</dc:creator>
  <cp:keywords/>
  <dc:description/>
  <cp:lastModifiedBy>John Wolf</cp:lastModifiedBy>
  <cp:revision>2</cp:revision>
  <dcterms:created xsi:type="dcterms:W3CDTF">2026-03-13T15:18:00Z</dcterms:created>
  <dcterms:modified xsi:type="dcterms:W3CDTF">2026-03-13T15:27:00Z</dcterms:modified>
</cp:coreProperties>
</file>