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400"/>
              <w:left w:type="dxa" w:w="600"/>
              <w:bottom w:type="dxa" w:w="400"/>
              <w:right w:type="dxa" w:w="600"/>
            </w:tcMar>
          </w:tcPr>
          <w:p>
            <w:pPr>
              <w:spacing w:after="120"/>
            </w:pPr>
            <w:r>
              <w:rPr>
                <w:rFonts w:ascii="Arial" w:cs="Arial" w:eastAsia="Arial" w:hAnsi="Arial"/>
                <w:b/>
                <w:bCs/>
                <w:color w:val="B8942A"/>
                <w:spacing w:val="100"/>
                <w:sz w:val="26"/>
                <w:szCs w:val="26"/>
              </w:rPr>
              <w:t xml:space="preserve">MERIDIAN INTELLIGENCE</w:t>
            </w:r>
          </w:p>
          <w:p>
            <w:pPr>
              <w:spacing w:after="180"/>
            </w:pPr>
            <w:r>
              <w:rPr>
                <w:rFonts w:ascii="Arial" w:cs="Arial" w:eastAsia="Arial" w:hAnsi="Arial"/>
                <w:color w:val="FFFFFF"/>
                <w:sz w:val="22"/>
                <w:szCs w:val="22"/>
              </w:rPr>
              <w:t xml:space="preserve">Planning Scrutiny Report</w:t>
            </w:r>
          </w:p>
          <w:p>
            <w:pPr>
              <w:spacing w:after="80"/>
            </w:pPr>
            <w:r>
              <w:rPr>
                <w:rFonts w:ascii="Arial" w:cs="Arial" w:eastAsia="Arial" w:hAnsi="Arial"/>
                <w:b/>
                <w:bCs/>
                <w:color w:val="FFFFFF"/>
                <w:sz w:val="32"/>
                <w:szCs w:val="32"/>
              </w:rPr>
              <w:t xml:space="preserve">Old Mill, Julianstown</w:t>
            </w:r>
          </w:p>
          <w:p>
            <w:pPr>
              <w:spacing w:after="200"/>
            </w:pPr>
            <w:r>
              <w:rPr>
                <w:rFonts w:ascii="Georgia" w:cs="Georgia" w:eastAsia="Georgia" w:hAnsi="Georgia"/>
                <w:color w:val="E8E8E8"/>
                <w:sz w:val="21"/>
                <w:szCs w:val="21"/>
              </w:rPr>
              <w:t xml:space="preserve">Scrutiny of Third-Party Observation submitted by F. Logue</w:t>
            </w:r>
          </w:p>
          <w:p>
            <w:pPr>
              <w:spacing w:after="40"/>
            </w:pPr>
            <w:r>
              <w:rPr>
                <w:rFonts w:ascii="Georgia" w:cs="Georgia" w:eastAsia="Georgia" w:hAnsi="Georgia"/>
                <w:color w:val="CCCCCC"/>
                <w:sz w:val="18"/>
                <w:szCs w:val="18"/>
              </w:rPr>
              <w:t xml:space="preserve">Planning Application Ref. 25-60781  |  Meath County Council</w:t>
            </w:r>
          </w:p>
          <w:p>
            <w:pPr>
              <w:spacing w:after="40"/>
            </w:pPr>
            <w:r>
              <w:rPr>
                <w:rFonts w:ascii="Georgia" w:cs="Georgia" w:eastAsia="Georgia" w:hAnsi="Georgia"/>
                <w:color w:val="CCCCCC"/>
                <w:sz w:val="18"/>
                <w:szCs w:val="18"/>
              </w:rPr>
              <w:t xml:space="preserve">Applicant: Casana Developments Limited</w:t>
            </w:r>
          </w:p>
          <w:p>
            <w:pPr>
              <w:spacing w:after="0"/>
            </w:pPr>
            <w:r>
              <w:rPr>
                <w:rFonts w:ascii="Georgia" w:cs="Georgia" w:eastAsia="Georgia" w:hAnsi="Georgia"/>
                <w:color w:val="AAAAAA"/>
                <w:sz w:val="18"/>
                <w:szCs w:val="18"/>
              </w:rPr>
              <w:t xml:space="preserve">Prepared for the project principals  |  July 2026</w:t>
            </w:r>
          </w:p>
          <w:p>
            <w:pPr>
              <w:spacing w:before="60"/>
            </w:pPr>
            <w:r>
              <w:rPr>
                <w:rFonts w:ascii="Arial" w:cs="Arial" w:eastAsia="Arial" w:hAnsi="Arial"/>
                <w:b/>
                <w:bCs/>
                <w:color w:val="B8942A"/>
                <w:sz w:val="15"/>
                <w:szCs w:val="15"/>
              </w:rPr>
              <w:t xml:space="preserve">PRIVATE AND CONFIDENTIAL  |  NOT FOR FILING  |  NOT FOR ONWARD CIRCULATION</w:t>
            </w:r>
          </w:p>
        </w:tc>
      </w:tr>
    </w:tbl>
    <w:p>
      <w:pPr>
        <w:spacing w:after="0" w:before="280"/>
      </w:pPr>
    </w:p>
    <w:p>
      <w:pPr>
        <w:spacing w:after="100" w:before="280"/>
      </w:pPr>
      <w:r>
        <w:rPr>
          <w:rFonts w:ascii="Arial" w:cs="Arial" w:eastAsia="Arial" w:hAnsi="Arial"/>
          <w:b/>
          <w:bCs/>
          <w:color w:val="B8942A"/>
          <w:spacing w:val="80"/>
          <w:sz w:val="16"/>
          <w:szCs w:val="16"/>
        </w:rPr>
        <w:t xml:space="preserve">PURPOSE AND STATUS</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This report scrutinises the 62-point observation submitted by F. Logue on 13 July 2026 in response to the Further Information lodged for planning application 25-60781. It is intended as decision-support for the project principals ahead of the design-team call, so that the meeting can focus on the grounds that genuinely carry risk and on who must answer each one.</w:t>
      </w:r>
    </w:p>
    <w:p>
      <w:pPr>
        <w:spacing w:after="70" w:before="70" w:line="272" w:lineRule="auto"/>
      </w:pPr>
      <w:r>
        <w:rPr>
          <w:rFonts w:ascii="Georgia" w:cs="Georgia" w:eastAsia="Georgia" w:hAnsi="Georgia"/>
          <w:b/>
          <w:bCs/>
          <w:i w:val="false"/>
          <w:iCs w:val="false"/>
          <w:color w:val="1A1A1A"/>
          <w:sz w:val="20"/>
          <w:szCs w:val="20"/>
        </w:rPr>
        <w:t xml:space="preserve">Status: this is supporting analysis, not legal advice and not for filing. </w:t>
      </w:r>
      <w:r>
        <w:rPr>
          <w:rFonts w:ascii="Georgia" w:cs="Georgia" w:eastAsia="Georgia" w:hAnsi="Georgia"/>
          <w:b w:val="false"/>
          <w:bCs w:val="false"/>
          <w:i w:val="false"/>
          <w:iCs w:val="false"/>
          <w:color w:val="1A1A1A"/>
          <w:sz w:val="20"/>
          <w:szCs w:val="20"/>
        </w:rPr>
        <w:t xml:space="preserve">Several of the objector’s strongest points turn on the exact wording of the Meath County Development Plan zoning objectives and on figures held in the applicant’s own documents. Those must be confirmed by the planning consultant, the flood consultant, the architect and the project solicitor before any point is relied on with the Council. The confirmation list is set out at the end.</w:t>
      </w:r>
    </w:p>
    <w:p>
      <w:pPr>
        <w:spacing w:after="100" w:before="280"/>
      </w:pPr>
      <w:r>
        <w:rPr>
          <w:rFonts w:ascii="Arial" w:cs="Arial" w:eastAsia="Arial" w:hAnsi="Arial"/>
          <w:b/>
          <w:bCs/>
          <w:color w:val="B8942A"/>
          <w:spacing w:val="80"/>
          <w:sz w:val="16"/>
          <w:szCs w:val="16"/>
        </w:rPr>
        <w:t xml:space="preserve">THE SHAPE OF THE SUBMISSION</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This is a professionally constructed refusal-and-appeal case by a planning solicitor who litigates judicial reviews. It is not a resident’s complaint. It attacks on three levels at once: planning merits (zoning, density, open space), environmental process (EIA, Appropriate Assessment, flood risk, landscape and visual assessment), and process integrity (an allegation of prejudgment bias). The strategy is to assemble enough independent grounds that a grant looks risky, and to pre-position a third-party appeal to An Coimisiun Pleanala, or a judicial review, if the Council grants. The final point makes the appeal threat explicit.</w:t>
      </w:r>
    </w:p>
    <w:p>
      <w:pPr>
        <w:pBdr>
          <w:left w:val="single" w:color="B8942A" w:sz="18"/>
        </w:pBdr>
        <w:shd w:fill="F0EBE0" w:val="clear"/>
        <w:spacing w:after="120" w:before="120" w:line="272" w:lineRule="auto"/>
        <w:ind w:left="240" w:right="240"/>
      </w:pPr>
      <w:r>
        <w:rPr>
          <w:rFonts w:ascii="Georgia" w:cs="Georgia" w:eastAsia="Georgia" w:hAnsi="Georgia"/>
          <w:i/>
          <w:iCs/>
          <w:color w:val="1A1A1A"/>
          <w:sz w:val="20"/>
          <w:szCs w:val="20"/>
        </w:rPr>
        <w:t xml:space="preserve">A large part of the submission rests on one underlying question: is the scheme consistent with the operative Meath County Development Plan zoning? Three of the objector’s strongest lines, the material-contravention argument, the flood Justification Test, and the density calculation, all depend on it. That is the spine of the case, and the decisive fact is the Council’s zoning matrix.</w:t>
      </w:r>
    </w:p>
    <w:p>
      <w:pPr>
        <w:spacing w:after="100" w:before="280"/>
      </w:pPr>
      <w:r>
        <w:rPr>
          <w:rFonts w:ascii="Arial" w:cs="Arial" w:eastAsia="Arial" w:hAnsi="Arial"/>
          <w:b/>
          <w:bCs/>
          <w:color w:val="B8942A"/>
          <w:spacing w:val="80"/>
          <w:sz w:val="16"/>
          <w:szCs w:val="16"/>
        </w:rPr>
        <w:t xml:space="preserve">THE THREE GROUNDS THAT MATTER</w:t>
      </w:r>
    </w:p>
    <w:p>
      <w:pPr>
        <w:pBdr>
          <w:bottom w:val="single" w:color="B8942A" w:sz="6"/>
        </w:pBdr>
        <w:spacing w:after="80" w:before="80"/>
      </w:pPr>
    </w:p>
    <w:p>
      <w:pPr>
        <w:spacing w:after="60" w:before="160"/>
      </w:pPr>
      <w:r>
        <w:rPr>
          <w:rFonts w:ascii="Arial" w:cs="Arial" w:eastAsia="Arial" w:hAnsi="Arial"/>
          <w:b/>
          <w:bCs/>
          <w:color w:val="0A1628"/>
          <w:sz w:val="19"/>
          <w:szCs w:val="19"/>
        </w:rPr>
        <w:t xml:space="preserve">1. Prejudgment bias  (the most dangerous, points 56 to 61)</w:t>
      </w:r>
    </w:p>
    <w:p>
      <w:pPr>
        <w:spacing w:after="70" w:before="70" w:line="272" w:lineRule="auto"/>
      </w:pPr>
      <w:r>
        <w:rPr>
          <w:rFonts w:ascii="Georgia" w:cs="Georgia" w:eastAsia="Georgia" w:hAnsi="Georgia"/>
          <w:color w:val="1A1A1A"/>
          <w:sz w:val="20"/>
          <w:szCs w:val="20"/>
        </w:rPr>
        <w:t xml:space="preserve">This is the ground to take most seriously, because it goes to the integrity of the process rather than the merits, and because the factual core is real and documented.</w:t>
      </w:r>
    </w:p>
    <w:p>
      <w:pPr>
        <w:spacing w:after="70" w:before="70" w:line="272" w:lineRule="auto"/>
      </w:pPr>
      <w:r>
        <w:rPr>
          <w:rFonts w:ascii="Georgia" w:cs="Georgia" w:eastAsia="Georgia" w:hAnsi="Georgia"/>
          <w:b/>
          <w:bCs/>
          <w:i w:val="false"/>
          <w:iCs w:val="false"/>
          <w:color w:val="1A1A1A"/>
          <w:sz w:val="20"/>
          <w:szCs w:val="20"/>
        </w:rPr>
        <w:t xml:space="preserve">On the law, the objector overstates his case. </w:t>
      </w:r>
      <w:r>
        <w:rPr>
          <w:rFonts w:ascii="Georgia" w:cs="Georgia" w:eastAsia="Georgia" w:hAnsi="Georgia"/>
          <w:b w:val="false"/>
          <w:bCs w:val="false"/>
          <w:i w:val="false"/>
          <w:iCs w:val="false"/>
          <w:color w:val="1A1A1A"/>
          <w:sz w:val="20"/>
          <w:szCs w:val="20"/>
        </w:rPr>
        <w:t xml:space="preserve">His claim that pre-application consultation is the only lawful facility for engagement is not correct: the Further Information process is itself a statutory channel for the Council and applicant to communicate during assessment. The legal test for objective bias is demanding and objective, and routine clarification does not meet it.</w:t>
      </w:r>
    </w:p>
    <w:p>
      <w:pPr>
        <w:spacing w:after="70" w:before="70" w:line="272" w:lineRule="auto"/>
      </w:pPr>
      <w:r>
        <w:rPr>
          <w:rFonts w:ascii="Georgia" w:cs="Georgia" w:eastAsia="Georgia" w:hAnsi="Georgia"/>
          <w:b/>
          <w:bCs/>
          <w:i w:val="false"/>
          <w:iCs w:val="false"/>
          <w:color w:val="1A1A1A"/>
          <w:sz w:val="20"/>
          <w:szCs w:val="20"/>
        </w:rPr>
        <w:t xml:space="preserve">But the factual core is real. </w:t>
      </w:r>
      <w:r>
        <w:rPr>
          <w:rFonts w:ascii="Georgia" w:cs="Georgia" w:eastAsia="Georgia" w:hAnsi="Georgia"/>
          <w:b w:val="false"/>
          <w:bCs w:val="false"/>
          <w:i w:val="false"/>
          <w:iCs w:val="false"/>
          <w:color w:val="1A1A1A"/>
          <w:sz w:val="20"/>
          <w:szCs w:val="20"/>
        </w:rPr>
        <w:t xml:space="preserve">The project correspondence confirms that the Council’s planning officer telephoned the planning consultant’s office on the evening of 12 November 2025, indicated that reducing the scheme from 62 to 56 units would satisfactorily address the density concern, and conveyed a view that a density of around 38 units per hectare would be acceptable. That is the telephone call the objector attacks. Objective bias turns on how matters appear to an informed observer, and an unrecorded telephone “agreement” that fed into the assessment is the objector’s single strongest card.</w:t>
      </w:r>
    </w:p>
    <w:p>
      <w:pPr>
        <w:pBdr>
          <w:left w:val="single" w:color="9B2226" w:sz="18"/>
        </w:pBdr>
        <w:shd w:fill="F5E9E9" w:val="clear"/>
        <w:spacing w:after="120" w:before="120" w:line="272" w:lineRule="auto"/>
        <w:ind w:left="240" w:right="240"/>
      </w:pPr>
      <w:r>
        <w:rPr>
          <w:rFonts w:ascii="Georgia" w:cs="Georgia" w:eastAsia="Georgia" w:hAnsi="Georgia"/>
          <w:i/>
          <w:iCs/>
          <w:color w:val="1A1A1A"/>
          <w:sz w:val="20"/>
          <w:szCs w:val="20"/>
        </w:rPr>
        <w:t xml:space="preserve">Priority: the answer is not the legal argument, it is the record. The November engagement should be characterised as lawful Further Information clarification, and anything material from it placed on the planning file. A file note or confirming letter cures the “nothing is on the file” complaint. This is a matter for the project solicitor to lead, with the planning consultant.</w:t>
      </w:r>
    </w:p>
    <w:p>
      <w:pPr>
        <w:spacing w:after="60" w:before="160"/>
      </w:pPr>
      <w:r>
        <w:rPr>
          <w:rFonts w:ascii="Arial" w:cs="Arial" w:eastAsia="Arial" w:hAnsi="Arial"/>
          <w:b/>
          <w:bCs/>
          <w:color w:val="0A1628"/>
          <w:sz w:val="19"/>
          <w:szCs w:val="19"/>
        </w:rPr>
        <w:t xml:space="preserve">2. Zoning and the flood Justification Test  (the spine, points 12 to 15 and 30)</w:t>
      </w:r>
    </w:p>
    <w:p>
      <w:pPr>
        <w:spacing w:after="70" w:before="70" w:line="272" w:lineRule="auto"/>
      </w:pPr>
      <w:r>
        <w:rPr>
          <w:rFonts w:ascii="Georgia" w:cs="Georgia" w:eastAsia="Georgia" w:hAnsi="Georgia"/>
          <w:color w:val="1A1A1A"/>
          <w:sz w:val="20"/>
          <w:szCs w:val="20"/>
        </w:rPr>
        <w:t xml:space="preserve">The objector argues the scheme materially contravenes all three zonings on the site (High Amenity, Business, and Rural Area), and that the flood Justification Test therefore fails at the first step, because one of its criteria requires the development to be consistent with the plan’s zoning. That flood criterion cannot be cured by engineering; it is a land-use fact, so it rises or falls with the zoning position.</w:t>
      </w:r>
    </w:p>
    <w:p>
      <w:pPr>
        <w:spacing w:after="70" w:before="70" w:line="272" w:lineRule="auto"/>
      </w:pPr>
      <w:r>
        <w:rPr>
          <w:rFonts w:ascii="Georgia" w:cs="Georgia" w:eastAsia="Georgia" w:hAnsi="Georgia"/>
          <w:b/>
          <w:bCs/>
          <w:i w:val="false"/>
          <w:iCs w:val="false"/>
          <w:color w:val="1A1A1A"/>
          <w:sz w:val="20"/>
          <w:szCs w:val="20"/>
        </w:rPr>
        <w:t xml:space="preserve">The powerful counter, confirmed against the Planning and Development Act: material contravention is not automatically fatal. </w:t>
      </w:r>
      <w:r>
        <w:rPr>
          <w:rFonts w:ascii="Georgia" w:cs="Georgia" w:eastAsia="Georgia" w:hAnsi="Georgia"/>
          <w:b w:val="false"/>
          <w:bCs w:val="false"/>
          <w:i w:val="false"/>
          <w:iCs w:val="false"/>
          <w:color w:val="1A1A1A"/>
          <w:sz w:val="20"/>
          <w:szCs w:val="20"/>
        </w:rPr>
        <w:t xml:space="preserve">Under section 34(6) the Council may still grant a permission that contravenes the development plan, through the published-notice and elected-members reserved procedure. This converts the objector’s “must refuse” framing into “if the Council wishes to grant, it must use the reserved route.” It is the most useful single structural rebuttal in the file. The planning consultant must confirm the actual zoning matrix rows for High Amenity and Rural Area land, which are the hinge of these points.</w:t>
      </w:r>
    </w:p>
    <w:p>
      <w:pPr>
        <w:spacing w:after="60" w:before="160"/>
      </w:pPr>
      <w:r>
        <w:rPr>
          <w:rFonts w:ascii="Arial" w:cs="Arial" w:eastAsia="Arial" w:hAnsi="Arial"/>
          <w:b/>
          <w:bCs/>
          <w:color w:val="0A1628"/>
          <w:sz w:val="19"/>
          <w:szCs w:val="19"/>
        </w:rPr>
        <w:t xml:space="preserve">3. Data inconsistency  (corrosive housekeeping, points 31 to 37)</w:t>
      </w:r>
    </w:p>
    <w:p>
      <w:pPr>
        <w:spacing w:after="70" w:before="70" w:line="272" w:lineRule="auto"/>
      </w:pPr>
      <w:r>
        <w:rPr>
          <w:rFonts w:ascii="Georgia" w:cs="Georgia" w:eastAsia="Georgia" w:hAnsi="Georgia"/>
          <w:color w:val="1A1A1A"/>
          <w:sz w:val="20"/>
          <w:szCs w:val="20"/>
        </w:rPr>
        <w:t xml:space="preserve">The objector lists conflicting site areas and floor-area figures across the drawings and reports, and argues the application is invalid for want of accurate particulars. These are not legal arguments; they are consistency checks on the applicant’s own documents. If the numbers genuinely conflict, they hand both the objector and the planner an easy line. The architect should reconcile every area and floor-area figure into one consistent schedule before the decision. Low glamour, high impact.</w:t>
      </w:r>
    </w:p>
    <w:p>
      <w:pPr>
        <w:spacing w:after="100" w:before="280"/>
      </w:pPr>
      <w:r>
        <w:rPr>
          <w:rFonts w:ascii="Arial" w:cs="Arial" w:eastAsia="Arial" w:hAnsi="Arial"/>
          <w:b/>
          <w:bCs/>
          <w:color w:val="B8942A"/>
          <w:spacing w:val="80"/>
          <w:sz w:val="16"/>
          <w:szCs w:val="16"/>
        </w:rPr>
        <w:t xml:space="preserve">FULL POINT-BY-POINT ASSESSMENT</w:t>
      </w:r>
    </w:p>
    <w:p>
      <w:pPr>
        <w:pBdr>
          <w:bottom w:val="single" w:color="B8942A" w:sz="6"/>
        </w:pBdr>
        <w:spacing w:after="80" w:before="80"/>
      </w:pPr>
    </w:p>
    <w:p>
      <w:pPr>
        <w:spacing w:after="100" w:before="70" w:line="272" w:lineRule="auto"/>
      </w:pPr>
      <w:r>
        <w:rPr>
          <w:rFonts w:ascii="Georgia" w:cs="Georgia" w:eastAsia="Georgia" w:hAnsi="Georgia"/>
          <w:color w:val="1A1A1A"/>
          <w:sz w:val="20"/>
          <w:szCs w:val="20"/>
        </w:rPr>
        <w:t xml:space="preserve">Grouped by the objector’s own headings. Strength is graded STRONG (must be answered with evidence), MODERATE (arguable and contestable), or WEAK (rhetoric, or readily answered).</w:t>
      </w:r>
    </w:p>
    <w:p>
      <w:pPr>
        <w:spacing w:after="60" w:before="160"/>
      </w:pPr>
      <w:r>
        <w:rPr>
          <w:rFonts w:ascii="Arial" w:cs="Arial" w:eastAsia="Arial" w:hAnsi="Arial"/>
          <w:b/>
          <w:bCs/>
          <w:color w:val="0A1628"/>
          <w:sz w:val="19"/>
          <w:szCs w:val="19"/>
        </w:rPr>
        <w:t xml:space="preserve">Dereliction, viability and CPO (points 1 to 8)</w:t>
      </w:r>
    </w:p>
    <w:p>
      <w:pPr>
        <w:spacing w:after="40" w:before="140"/>
      </w:pPr>
      <w:r>
        <w:rPr>
          <w:rFonts w:ascii="Arial" w:cs="Arial" w:eastAsia="Arial" w:hAnsi="Arial"/>
          <w:b/>
          <w:bCs/>
          <w:color w:val="B8942A"/>
          <w:sz w:val="18"/>
          <w:szCs w:val="18"/>
        </w:rPr>
        <w:t xml:space="preserve">1-5, 7  </w:t>
      </w:r>
      <w:r>
        <w:rPr>
          <w:rFonts w:ascii="Arial" w:cs="Arial" w:eastAsia="Arial" w:hAnsi="Arial"/>
          <w:b/>
          <w:bCs/>
          <w:color w:val="0A1628"/>
          <w:sz w:val="18"/>
          <w:szCs w:val="18"/>
        </w:rPr>
        <w:t xml:space="preserve">History, “unviability”, owners profiting, CPO powers   </w:t>
      </w:r>
      <w:r>
        <w:rPr>
          <w:rFonts w:ascii="Arial" w:cs="Arial" w:eastAsia="Arial" w:hAnsi="Arial"/>
          <w:b/>
          <w:bCs/>
          <w:color w:val="FFFFFF"/>
          <w:sz w:val="15"/>
          <w:szCs w:val="15"/>
          <w:shd w:fill="1A5C2A" w:val="clear"/>
        </w:rPr>
        <w:t xml:space="preserve"> WEAK </w:t>
      </w:r>
    </w:p>
    <w:p>
      <w:pPr>
        <w:spacing w:after="40" w:before="40" w:line="272" w:lineRule="auto"/>
      </w:pPr>
      <w:r>
        <w:rPr>
          <w:rFonts w:ascii="Georgia" w:cs="Georgia" w:eastAsia="Georgia" w:hAnsi="Georgia"/>
          <w:color w:val="1A1A1A"/>
          <w:sz w:val="20"/>
          <w:szCs w:val="20"/>
        </w:rPr>
        <w:t xml:space="preserve">These are arguments about motive and history, not planning grounds for refusal. Viability and who owns the site are not material planning considerations for assessing this application. The point that the Council could use Derelict Sites or compulsory purchase powers is a comment on what it could do, not a defect in the application. Answer in one line and move on. Owner: planning consultant.</w:t>
      </w:r>
    </w:p>
    <w:p>
      <w:pPr>
        <w:spacing w:after="60" w:before="160"/>
      </w:pPr>
      <w:r>
        <w:rPr>
          <w:rFonts w:ascii="Arial" w:cs="Arial" w:eastAsia="Arial" w:hAnsi="Arial"/>
          <w:b/>
          <w:bCs/>
          <w:color w:val="0A1628"/>
          <w:sz w:val="19"/>
          <w:szCs w:val="19"/>
        </w:rPr>
        <w:t xml:space="preserve">Julianstown bypass (points 9 to 11)</w:t>
      </w:r>
    </w:p>
    <w:p>
      <w:pPr>
        <w:spacing w:after="40" w:before="140"/>
      </w:pPr>
      <w:r>
        <w:rPr>
          <w:rFonts w:ascii="Arial" w:cs="Arial" w:eastAsia="Arial" w:hAnsi="Arial"/>
          <w:b/>
          <w:bCs/>
          <w:color w:val="B8942A"/>
          <w:sz w:val="18"/>
          <w:szCs w:val="18"/>
        </w:rPr>
        <w:t xml:space="preserve">9-11  </w:t>
      </w:r>
      <w:r>
        <w:rPr>
          <w:rFonts w:ascii="Arial" w:cs="Arial" w:eastAsia="Arial" w:hAnsi="Arial"/>
          <w:b/>
          <w:bCs/>
          <w:color w:val="0A1628"/>
          <w:sz w:val="18"/>
          <w:szCs w:val="18"/>
        </w:rPr>
        <w:t xml:space="preserve">Traffic Relief Scheme and the western bypass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Time-sensitive, because the Julianstown Traffic Relief Scheme consultation is live at present and the objector is exploiting genuine current uncertainty. The answer is that an emerging, non-statutory study at options stage is not an adopted objective that can bar an otherwise compliant application. Handle carefully given the parallel scheme, and note the scheme also carries a separate commercial interest for the principals. Owners: planning consultant and architect.</w:t>
      </w:r>
    </w:p>
    <w:p>
      <w:pPr>
        <w:spacing w:after="60" w:before="160"/>
      </w:pPr>
      <w:r>
        <w:rPr>
          <w:rFonts w:ascii="Arial" w:cs="Arial" w:eastAsia="Arial" w:hAnsi="Arial"/>
          <w:b/>
          <w:bCs/>
          <w:color w:val="0A1628"/>
          <w:sz w:val="19"/>
          <w:szCs w:val="19"/>
        </w:rPr>
        <w:t xml:space="preserve">Zoning (points 12 to 15)</w:t>
      </w:r>
    </w:p>
    <w:p>
      <w:pPr>
        <w:spacing w:after="40" w:before="140"/>
      </w:pPr>
      <w:r>
        <w:rPr>
          <w:rFonts w:ascii="Arial" w:cs="Arial" w:eastAsia="Arial" w:hAnsi="Arial"/>
          <w:b/>
          <w:bCs/>
          <w:color w:val="B8942A"/>
          <w:sz w:val="18"/>
          <w:szCs w:val="18"/>
        </w:rPr>
        <w:t xml:space="preserve">12  </w:t>
      </w:r>
      <w:r>
        <w:rPr>
          <w:rFonts w:ascii="Arial" w:cs="Arial" w:eastAsia="Arial" w:hAnsi="Arial"/>
          <w:b/>
          <w:bCs/>
          <w:color w:val="0A1628"/>
          <w:sz w:val="18"/>
          <w:szCs w:val="18"/>
        </w:rPr>
        <w:t xml:space="preserve">Umbrella: “materially contravenes all three zonings”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See the section 34(6) reframe above: material contravention is a procedural gateway, not an automatic refusal. Owners: planning consultant and solicitor.</w:t>
      </w:r>
    </w:p>
    <w:p>
      <w:pPr>
        <w:spacing w:after="40" w:before="140"/>
      </w:pPr>
      <w:r>
        <w:rPr>
          <w:rFonts w:ascii="Arial" w:cs="Arial" w:eastAsia="Arial" w:hAnsi="Arial"/>
          <w:b/>
          <w:bCs/>
          <w:color w:val="B8942A"/>
          <w:sz w:val="18"/>
          <w:szCs w:val="18"/>
        </w:rPr>
        <w:t xml:space="preserve">13  </w:t>
      </w:r>
      <w:r>
        <w:rPr>
          <w:rFonts w:ascii="Arial" w:cs="Arial" w:eastAsia="Arial" w:hAnsi="Arial"/>
          <w:b/>
          <w:bCs/>
          <w:color w:val="0A1628"/>
          <w:sz w:val="18"/>
          <w:szCs w:val="18"/>
        </w:rPr>
        <w:t xml:space="preserve">High Amenity land: road and car parking as mixed use   </w:t>
      </w:r>
      <w:r>
        <w:rPr>
          <w:rFonts w:ascii="Arial" w:cs="Arial" w:eastAsia="Arial" w:hAnsi="Arial"/>
          <w:b/>
          <w:bCs/>
          <w:color w:val="FFFFFF"/>
          <w:sz w:val="15"/>
          <w:szCs w:val="15"/>
          <w:shd w:fill="9B2226" w:val="clear"/>
        </w:rPr>
        <w:t xml:space="preserve"> STRONG* </w:t>
      </w:r>
    </w:p>
    <w:p>
      <w:pPr>
        <w:spacing w:after="40" w:before="40" w:line="272" w:lineRule="auto"/>
      </w:pPr>
      <w:r>
        <w:rPr>
          <w:rFonts w:ascii="Georgia" w:cs="Georgia" w:eastAsia="Georgia" w:hAnsi="Georgia"/>
          <w:color w:val="1A1A1A"/>
          <w:sz w:val="20"/>
          <w:szCs w:val="20"/>
        </w:rPr>
        <w:t xml:space="preserve">Potentially strong, but turns entirely on the High Amenity land-use matrix row in the development plan, which must be confirmed by the planning consultant. Marked provisional until confirmed. Owner: planning consultant.</w:t>
      </w:r>
    </w:p>
    <w:p>
      <w:pPr>
        <w:spacing w:after="40" w:before="140"/>
      </w:pPr>
      <w:r>
        <w:rPr>
          <w:rFonts w:ascii="Arial" w:cs="Arial" w:eastAsia="Arial" w:hAnsi="Arial"/>
          <w:b/>
          <w:bCs/>
          <w:color w:val="B8942A"/>
          <w:sz w:val="18"/>
          <w:szCs w:val="18"/>
        </w:rPr>
        <w:t xml:space="preserve">14  </w:t>
      </w:r>
      <w:r>
        <w:rPr>
          <w:rFonts w:ascii="Arial" w:cs="Arial" w:eastAsia="Arial" w:hAnsi="Arial"/>
          <w:b/>
          <w:bCs/>
          <w:color w:val="0A1628"/>
          <w:sz w:val="18"/>
          <w:szCs w:val="18"/>
        </w:rPr>
        <w:t xml:space="preserve">Business zoning: 30 per cent residential cap   </w:t>
      </w:r>
      <w:r>
        <w:rPr>
          <w:rFonts w:ascii="Arial" w:cs="Arial" w:eastAsia="Arial" w:hAnsi="Arial"/>
          <w:b/>
          <w:bCs/>
          <w:color w:val="FFFFFF"/>
          <w:sz w:val="15"/>
          <w:szCs w:val="15"/>
          <w:shd w:fill="9B2226" w:val="clear"/>
        </w:rPr>
        <w:t xml:space="preserve"> STRONG </w:t>
      </w:r>
    </w:p>
    <w:p>
      <w:pPr>
        <w:spacing w:after="40" w:before="40" w:line="272" w:lineRule="auto"/>
      </w:pPr>
      <w:r>
        <w:rPr>
          <w:rFonts w:ascii="Georgia" w:cs="Georgia" w:eastAsia="Georgia" w:hAnsi="Georgia"/>
          <w:color w:val="1A1A1A"/>
          <w:sz w:val="20"/>
          <w:szCs w:val="20"/>
        </w:rPr>
        <w:t xml:space="preserve">The 30 per cent residential cap on Business-zoned land is consistent with the development plan, which supports the objector’s factual premise. Whether the scheme is “more than 2.5 times” that cap is arithmetic tied to the disputed density inputs. Note a tension in the objector’s own case: he relies both on the regional strategy allowing up to 50 per cent and on the plan capping at 30 per cent; the controlling instrument for a Meath application is the development plan. Owner: planning consultant.</w:t>
      </w:r>
    </w:p>
    <w:p>
      <w:pPr>
        <w:spacing w:after="40" w:before="140"/>
      </w:pPr>
      <w:r>
        <w:rPr>
          <w:rFonts w:ascii="Arial" w:cs="Arial" w:eastAsia="Arial" w:hAnsi="Arial"/>
          <w:b/>
          <w:bCs/>
          <w:color w:val="B8942A"/>
          <w:sz w:val="18"/>
          <w:szCs w:val="18"/>
        </w:rPr>
        <w:t xml:space="preserve">15  </w:t>
      </w:r>
      <w:r>
        <w:rPr>
          <w:rFonts w:ascii="Arial" w:cs="Arial" w:eastAsia="Arial" w:hAnsi="Arial"/>
          <w:b/>
          <w:bCs/>
          <w:color w:val="0A1628"/>
          <w:sz w:val="18"/>
          <w:szCs w:val="18"/>
        </w:rPr>
        <w:t xml:space="preserve">Rural Area land: roadway and flood storage are “structures”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The statutory definition of “structure” expressly includes “excavation”, so the excavated flood-storage area is arguably a structure. Do not deny this outright. A roadway is more finely balanced and is often better analysed as “works”. The better response is not to fight the label but to move to zoning acceptability and the section 34(6) route. Owner: planning consultant.</w:t>
      </w:r>
    </w:p>
    <w:p>
      <w:pPr>
        <w:spacing w:after="60" w:before="160"/>
      </w:pPr>
      <w:r>
        <w:rPr>
          <w:rFonts w:ascii="Arial" w:cs="Arial" w:eastAsia="Arial" w:hAnsi="Arial"/>
          <w:b/>
          <w:bCs/>
          <w:color w:val="0A1628"/>
          <w:sz w:val="19"/>
          <w:szCs w:val="19"/>
        </w:rPr>
        <w:t xml:space="preserve">Density (points 16 to 21)</w:t>
      </w:r>
    </w:p>
    <w:p>
      <w:pPr>
        <w:spacing w:after="40" w:before="140"/>
      </w:pPr>
      <w:r>
        <w:rPr>
          <w:rFonts w:ascii="Arial" w:cs="Arial" w:eastAsia="Arial" w:hAnsi="Arial"/>
          <w:b/>
          <w:bCs/>
          <w:color w:val="B8942A"/>
          <w:sz w:val="18"/>
          <w:szCs w:val="18"/>
        </w:rPr>
        <w:t xml:space="preserve">16-21  </w:t>
      </w:r>
      <w:r>
        <w:rPr>
          <w:rFonts w:ascii="Arial" w:cs="Arial" w:eastAsia="Arial" w:hAnsi="Arial"/>
          <w:b/>
          <w:bCs/>
          <w:color w:val="0A1628"/>
          <w:sz w:val="18"/>
          <w:szCs w:val="18"/>
        </w:rPr>
        <w:t xml:space="preserve">Density measured on residential land only: 76 units per hectare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A genuine methodological dispute, not a knockout for either side. The objector’s instinct, to measure density against developable residential land, is directionally consistent with the net-density convention and the guidelines. But the guidelines do not prescribe a hard rule that the denominator is exactly the Business-zoned parcel and nothing else, so whether the amenity land partly serves the residential development is a matter of planning judgement.</w:t>
      </w:r>
    </w:p>
    <w:p>
      <w:pPr>
        <w:spacing w:after="40" w:before="40" w:line="272" w:lineRule="auto"/>
      </w:pPr>
      <w:r>
        <w:rPr>
          <w:rFonts w:ascii="Georgia" w:cs="Georgia" w:eastAsia="Georgia" w:hAnsi="Georgia"/>
          <w:color w:val="1A1A1A"/>
          <w:sz w:val="20"/>
          <w:szCs w:val="20"/>
        </w:rPr>
        <w:t xml:space="preserve">The project correspondence records the planning consultant’s own candid view that the objector is applying the guideline methodology correctly, that the strict result yields the higher figure, and that the applicant relies on a reasoned departure justified by the site’s characteristics. Concede the method as respectable; contest the inputs. This is a planning-judgement point the planning consultant must carry. Owner: planning consultant.</w:t>
      </w:r>
    </w:p>
    <w:p>
      <w:pPr>
        <w:spacing w:after="60" w:before="160"/>
      </w:pPr>
      <w:r>
        <w:rPr>
          <w:rFonts w:ascii="Arial" w:cs="Arial" w:eastAsia="Arial" w:hAnsi="Arial"/>
          <w:b/>
          <w:bCs/>
          <w:color w:val="0A1628"/>
          <w:sz w:val="19"/>
          <w:szCs w:val="19"/>
        </w:rPr>
        <w:t xml:space="preserve">Public open space (points 22 to 26)</w:t>
      </w:r>
    </w:p>
    <w:p>
      <w:pPr>
        <w:spacing w:after="40" w:before="140"/>
      </w:pPr>
      <w:r>
        <w:rPr>
          <w:rFonts w:ascii="Arial" w:cs="Arial" w:eastAsia="Arial" w:hAnsi="Arial"/>
          <w:b/>
          <w:bCs/>
          <w:color w:val="B8942A"/>
          <w:sz w:val="18"/>
          <w:szCs w:val="18"/>
        </w:rPr>
        <w:t xml:space="preserve">22-26  </w:t>
      </w:r>
      <w:r>
        <w:rPr>
          <w:rFonts w:ascii="Arial" w:cs="Arial" w:eastAsia="Arial" w:hAnsi="Arial"/>
          <w:b/>
          <w:bCs/>
          <w:color w:val="0A1628"/>
          <w:sz w:val="18"/>
          <w:szCs w:val="18"/>
        </w:rPr>
        <w:t xml:space="preserve">11 per cent provided against a 15 per cent minimum; deficient assessment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Evidential. The open-space percentage and the adequacy of the social infrastructure assessment are facts in the applicant’s own documents and must be verified and answered by the architect and planning consultant. The development-plan open-space standard should be confirmed. Owners: planning consultant and architect.</w:t>
      </w:r>
    </w:p>
    <w:p>
      <w:pPr>
        <w:spacing w:after="60" w:before="160"/>
      </w:pPr>
      <w:r>
        <w:rPr>
          <w:rFonts w:ascii="Arial" w:cs="Arial" w:eastAsia="Arial" w:hAnsi="Arial"/>
          <w:b/>
          <w:bCs/>
          <w:color w:val="0A1628"/>
          <w:sz w:val="19"/>
          <w:szCs w:val="19"/>
        </w:rPr>
        <w:t xml:space="preserve">Flood risk (points 27 to 30)</w:t>
      </w:r>
    </w:p>
    <w:p>
      <w:pPr>
        <w:spacing w:after="40" w:before="140"/>
      </w:pPr>
      <w:r>
        <w:rPr>
          <w:rFonts w:ascii="Arial" w:cs="Arial" w:eastAsia="Arial" w:hAnsi="Arial"/>
          <w:b/>
          <w:bCs/>
          <w:color w:val="B8942A"/>
          <w:sz w:val="18"/>
          <w:szCs w:val="18"/>
        </w:rPr>
        <w:t xml:space="preserve">27  </w:t>
      </w:r>
      <w:r>
        <w:rPr>
          <w:rFonts w:ascii="Arial" w:cs="Arial" w:eastAsia="Arial" w:hAnsi="Arial"/>
          <w:b/>
          <w:bCs/>
          <w:color w:val="0A1628"/>
          <w:sz w:val="18"/>
          <w:szCs w:val="18"/>
        </w:rPr>
        <w:t xml:space="preserve">Raised levels causing channelisation of the river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Technical. The flood consultant must show no net loss of floodplain storage or conveyance (compensatory storage) and no increase in flood risk elsewhere. Owner: flood consultant.</w:t>
      </w:r>
    </w:p>
    <w:p>
      <w:pPr>
        <w:spacing w:after="40" w:before="140"/>
      </w:pPr>
      <w:r>
        <w:rPr>
          <w:rFonts w:ascii="Arial" w:cs="Arial" w:eastAsia="Arial" w:hAnsi="Arial"/>
          <w:b/>
          <w:bCs/>
          <w:color w:val="B8942A"/>
          <w:sz w:val="18"/>
          <w:szCs w:val="18"/>
        </w:rPr>
        <w:t xml:space="preserve">28-29  </w:t>
      </w:r>
      <w:r>
        <w:rPr>
          <w:rFonts w:ascii="Arial" w:cs="Arial" w:eastAsia="Arial" w:hAnsi="Arial"/>
          <w:b/>
          <w:bCs/>
          <w:color w:val="0A1628"/>
          <w:sz w:val="18"/>
          <w:szCs w:val="18"/>
        </w:rPr>
        <w:t xml:space="preserve">Highly vulnerable development in Flood Zone A; sequential approach not applied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Concede what is correct: residential is highly vulnerable development, and the guidelines run avoid, then substitute, then justify. But “contrary to guidelines” overstates it: Flood Zone A residential is a rebuttable presumption, permissible if the sequence is worked through and the Justification Test is met with mitigation. The flood consultant must show the avoid-and-substitute reasoning was actually worked, not skipped. Owner: flood consultant.</w:t>
      </w:r>
    </w:p>
    <w:p>
      <w:pPr>
        <w:spacing w:after="40" w:before="140"/>
      </w:pPr>
      <w:r>
        <w:rPr>
          <w:rFonts w:ascii="Arial" w:cs="Arial" w:eastAsia="Arial" w:hAnsi="Arial"/>
          <w:b/>
          <w:bCs/>
          <w:color w:val="B8942A"/>
          <w:sz w:val="18"/>
          <w:szCs w:val="18"/>
        </w:rPr>
        <w:t xml:space="preserve">30  </w:t>
      </w:r>
      <w:r>
        <w:rPr>
          <w:rFonts w:ascii="Arial" w:cs="Arial" w:eastAsia="Arial" w:hAnsi="Arial"/>
          <w:b/>
          <w:bCs/>
          <w:color w:val="0A1628"/>
          <w:sz w:val="18"/>
          <w:szCs w:val="18"/>
        </w:rPr>
        <w:t xml:space="preserve">Justification Test fails “at the first step”   </w:t>
      </w:r>
      <w:r>
        <w:rPr>
          <w:rFonts w:ascii="Arial" w:cs="Arial" w:eastAsia="Arial" w:hAnsi="Arial"/>
          <w:b/>
          <w:bCs/>
          <w:color w:val="FFFFFF"/>
          <w:sz w:val="15"/>
          <w:szCs w:val="15"/>
          <w:shd w:fill="9B2226" w:val="clear"/>
        </w:rPr>
        <w:t xml:space="preserve"> STRONG </w:t>
      </w:r>
    </w:p>
    <w:p>
      <w:pPr>
        <w:spacing w:after="40" w:before="40" w:line="272" w:lineRule="auto"/>
      </w:pPr>
      <w:r>
        <w:rPr>
          <w:rFonts w:ascii="Georgia" w:cs="Georgia" w:eastAsia="Georgia" w:hAnsi="Georgia"/>
          <w:color w:val="1A1A1A"/>
          <w:sz w:val="20"/>
          <w:szCs w:val="20"/>
        </w:rPr>
        <w:t xml:space="preserve">The objector’s most technical line. The Justification Test criteria are cumulative and include a zoning-consistency limb. If the development extends onto unzoned or contravening land, that limb is not met. This cannot be cured by engineering; it stands or falls with the zoning analysis above. Owners: flood consultant and planning consultant.</w:t>
      </w:r>
    </w:p>
    <w:p>
      <w:pPr>
        <w:spacing w:after="60" w:before="160"/>
      </w:pPr>
      <w:r>
        <w:rPr>
          <w:rFonts w:ascii="Arial" w:cs="Arial" w:eastAsia="Arial" w:hAnsi="Arial"/>
          <w:b/>
          <w:bCs/>
          <w:color w:val="0A1628"/>
          <w:sz w:val="19"/>
          <w:szCs w:val="19"/>
        </w:rPr>
        <w:t xml:space="preserve">Misleading and contradictory data (points 31 to 37)</w:t>
      </w:r>
    </w:p>
    <w:p>
      <w:pPr>
        <w:spacing w:after="40" w:before="140"/>
      </w:pPr>
      <w:r>
        <w:rPr>
          <w:rFonts w:ascii="Arial" w:cs="Arial" w:eastAsia="Arial" w:hAnsi="Arial"/>
          <w:b/>
          <w:bCs/>
          <w:color w:val="B8942A"/>
          <w:sz w:val="18"/>
          <w:szCs w:val="18"/>
        </w:rPr>
        <w:t xml:space="preserve">31-37  </w:t>
      </w:r>
      <w:r>
        <w:rPr>
          <w:rFonts w:ascii="Arial" w:cs="Arial" w:eastAsia="Arial" w:hAnsi="Arial"/>
          <w:b/>
          <w:bCs/>
          <w:color w:val="0A1628"/>
          <w:sz w:val="18"/>
          <w:szCs w:val="18"/>
        </w:rPr>
        <w:t xml:space="preserve">Inconsistent site areas and floor areas; application “invalid”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Corrosive if accurate. Entirely factual, and only checkable against the applicant’s own documents. The architect must reconcile all area and floor-area figures across every drawing and report into one consistent schedule. High-priority housekeeping. Owners: architect and planning consultant.</w:t>
      </w:r>
    </w:p>
    <w:p>
      <w:pPr>
        <w:spacing w:after="60" w:before="160"/>
      </w:pPr>
      <w:r>
        <w:rPr>
          <w:rFonts w:ascii="Arial" w:cs="Arial" w:eastAsia="Arial" w:hAnsi="Arial"/>
          <w:b/>
          <w:bCs/>
          <w:color w:val="0A1628"/>
          <w:sz w:val="19"/>
          <w:szCs w:val="19"/>
        </w:rPr>
        <w:t xml:space="preserve">Social infrastructure (points 38 to 40)</w:t>
      </w:r>
    </w:p>
    <w:p>
      <w:pPr>
        <w:spacing w:after="40" w:before="140"/>
      </w:pPr>
      <w:r>
        <w:rPr>
          <w:rFonts w:ascii="Arial" w:cs="Arial" w:eastAsia="Arial" w:hAnsi="Arial"/>
          <w:b/>
          <w:bCs/>
          <w:color w:val="B8942A"/>
          <w:sz w:val="18"/>
          <w:szCs w:val="18"/>
        </w:rPr>
        <w:t xml:space="preserve">38-40  </w:t>
      </w:r>
      <w:r>
        <w:rPr>
          <w:rFonts w:ascii="Arial" w:cs="Arial" w:eastAsia="Arial" w:hAnsi="Arial"/>
          <w:b/>
          <w:bCs/>
          <w:color w:val="0A1628"/>
          <w:sz w:val="18"/>
          <w:szCs w:val="18"/>
        </w:rPr>
        <w:t xml:space="preserve">Assessment ignores the lost hotel, bar and restaurant use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A clever reframing of the lost hotel use as a social-infrastructure loss the assessment failed to address. Worth a substantive response, given the assessment was invited by the Council. Owner: planning consultant.</w:t>
      </w:r>
    </w:p>
    <w:p>
      <w:pPr>
        <w:spacing w:after="60" w:before="160"/>
      </w:pPr>
      <w:r>
        <w:rPr>
          <w:rFonts w:ascii="Arial" w:cs="Arial" w:eastAsia="Arial" w:hAnsi="Arial"/>
          <w:b/>
          <w:bCs/>
          <w:color w:val="0A1628"/>
          <w:sz w:val="19"/>
          <w:szCs w:val="19"/>
        </w:rPr>
        <w:t xml:space="preserve">Environmental impact assessment (points 41 to 49)</w:t>
      </w:r>
    </w:p>
    <w:p>
      <w:pPr>
        <w:spacing w:after="40" w:before="140"/>
      </w:pPr>
      <w:r>
        <w:rPr>
          <w:rFonts w:ascii="Arial" w:cs="Arial" w:eastAsia="Arial" w:hAnsi="Arial"/>
          <w:b/>
          <w:bCs/>
          <w:color w:val="B8942A"/>
          <w:sz w:val="18"/>
          <w:szCs w:val="18"/>
        </w:rPr>
        <w:t xml:space="preserve">43  </w:t>
      </w:r>
      <w:r>
        <w:rPr>
          <w:rFonts w:ascii="Arial" w:cs="Arial" w:eastAsia="Arial" w:hAnsi="Arial"/>
          <w:b/>
          <w:bCs/>
          <w:color w:val="0A1628"/>
          <w:sz w:val="18"/>
          <w:szCs w:val="18"/>
        </w:rPr>
        <w:t xml:space="preserve">“An NIS was submitted, therefore EIA is required”   </w:t>
      </w:r>
      <w:r>
        <w:rPr>
          <w:rFonts w:ascii="Arial" w:cs="Arial" w:eastAsia="Arial" w:hAnsi="Arial"/>
          <w:b/>
          <w:bCs/>
          <w:color w:val="FFFFFF"/>
          <w:sz w:val="15"/>
          <w:szCs w:val="15"/>
          <w:shd w:fill="1A5C2A" w:val="clear"/>
        </w:rPr>
        <w:t xml:space="preserve"> WEAK </w:t>
      </w:r>
    </w:p>
    <w:p>
      <w:pPr>
        <w:spacing w:after="40" w:before="40" w:line="272" w:lineRule="auto"/>
      </w:pPr>
      <w:r>
        <w:rPr>
          <w:rFonts w:ascii="Georgia" w:cs="Georgia" w:eastAsia="Georgia" w:hAnsi="Georgia"/>
          <w:color w:val="1A1A1A"/>
          <w:sz w:val="20"/>
          <w:szCs w:val="20"/>
        </w:rPr>
        <w:t xml:space="preserve">Legally wrong as stated, and the cleanest rebuttal in the file. Environmental Impact Assessment and Appropriate Assessment are separate legal regimes with separate triggers. Needing Appropriate Assessment does not automatically require Environmental Impact Assessment. Owners: already answered here; planning consultant to state.</w:t>
      </w:r>
    </w:p>
    <w:p>
      <w:pPr>
        <w:spacing w:after="40" w:before="140"/>
      </w:pPr>
      <w:r>
        <w:rPr>
          <w:rFonts w:ascii="Arial" w:cs="Arial" w:eastAsia="Arial" w:hAnsi="Arial"/>
          <w:b/>
          <w:bCs/>
          <w:color w:val="B8942A"/>
          <w:sz w:val="18"/>
          <w:szCs w:val="18"/>
        </w:rPr>
        <w:t xml:space="preserve">41-42, 49  </w:t>
      </w:r>
      <w:r>
        <w:rPr>
          <w:rFonts w:ascii="Arial" w:cs="Arial" w:eastAsia="Arial" w:hAnsi="Arial"/>
          <w:b/>
          <w:bCs/>
          <w:color w:val="0A1628"/>
          <w:sz w:val="18"/>
          <w:szCs w:val="18"/>
        </w:rPr>
        <w:t xml:space="preserve">Screening cannot be ruled out on size alone   </w:t>
      </w:r>
      <w:r>
        <w:rPr>
          <w:rFonts w:ascii="Arial" w:cs="Arial" w:eastAsia="Arial" w:hAnsi="Arial"/>
          <w:b/>
          <w:bCs/>
          <w:color w:val="FFFFFF"/>
          <w:sz w:val="15"/>
          <w:szCs w:val="15"/>
          <w:shd w:fill="0A1628" w:val="clear"/>
        </w:rPr>
        <w:t xml:space="preserve"> CONCEDE </w:t>
      </w:r>
    </w:p>
    <w:p>
      <w:pPr>
        <w:spacing w:after="40" w:before="40" w:line="272" w:lineRule="auto"/>
      </w:pPr>
      <w:r>
        <w:rPr>
          <w:rFonts w:ascii="Georgia" w:cs="Georgia" w:eastAsia="Georgia" w:hAnsi="Georgia"/>
          <w:color w:val="1A1A1A"/>
          <w:sz w:val="20"/>
          <w:szCs w:val="20"/>
        </w:rPr>
        <w:t xml:space="preserve">Correct, and should be conceded. Screening must assess nature, size and location, and the project is below the mandatory threshold, so this is a sub-threshold screening question. The defensible course is to ensure a rigorous, reasoned screening determination is on the file that addresses the European site, the conservation area, the protected structures and the flood zone, and concludes with reasons. Owner: planning consultant.</w:t>
      </w:r>
    </w:p>
    <w:p>
      <w:pPr>
        <w:spacing w:after="40" w:before="140"/>
      </w:pPr>
      <w:r>
        <w:rPr>
          <w:rFonts w:ascii="Arial" w:cs="Arial" w:eastAsia="Arial" w:hAnsi="Arial"/>
          <w:b/>
          <w:bCs/>
          <w:color w:val="B8942A"/>
          <w:sz w:val="18"/>
          <w:szCs w:val="18"/>
        </w:rPr>
        <w:t xml:space="preserve">44-48  </w:t>
      </w:r>
      <w:r>
        <w:rPr>
          <w:rFonts w:ascii="Arial" w:cs="Arial" w:eastAsia="Arial" w:hAnsi="Arial"/>
          <w:b/>
          <w:bCs/>
          <w:color w:val="0A1628"/>
          <w:sz w:val="18"/>
          <w:szCs w:val="18"/>
        </w:rPr>
        <w:t xml:space="preserve">Location sensitivity: conservation, flood, landscape, noise, traffic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These feed the location limb of screening and must be addressed head-on rather than dismissed. Several overlap the zoning, flood and traffic points. Owners: planning consultant, architect and conservation architect.</w:t>
      </w:r>
    </w:p>
    <w:p>
      <w:pPr>
        <w:spacing w:after="60" w:before="160"/>
      </w:pPr>
      <w:r>
        <w:rPr>
          <w:rFonts w:ascii="Arial" w:cs="Arial" w:eastAsia="Arial" w:hAnsi="Arial"/>
          <w:b/>
          <w:bCs/>
          <w:color w:val="0A1628"/>
          <w:sz w:val="19"/>
          <w:szCs w:val="19"/>
        </w:rPr>
        <w:t xml:space="preserve">Landscape and visual assessment (points 50 to 55)</w:t>
      </w:r>
    </w:p>
    <w:p>
      <w:pPr>
        <w:spacing w:after="40" w:before="140"/>
      </w:pPr>
      <w:r>
        <w:rPr>
          <w:rFonts w:ascii="Arial" w:cs="Arial" w:eastAsia="Arial" w:hAnsi="Arial"/>
          <w:b/>
          <w:bCs/>
          <w:color w:val="B8942A"/>
          <w:sz w:val="18"/>
          <w:szCs w:val="18"/>
        </w:rPr>
        <w:t xml:space="preserve">50-55  </w:t>
      </w:r>
      <w:r>
        <w:rPr>
          <w:rFonts w:ascii="Arial" w:cs="Arial" w:eastAsia="Arial" w:hAnsi="Arial"/>
          <w:b/>
          <w:bCs/>
          <w:color w:val="0A1628"/>
          <w:sz w:val="18"/>
          <w:szCs w:val="18"/>
        </w:rPr>
        <w:t xml:space="preserve">Viewpoints chosen to obscure impact; “non-existent trees” in the images   </w:t>
      </w:r>
      <w:r>
        <w:rPr>
          <w:rFonts w:ascii="Arial" w:cs="Arial" w:eastAsia="Arial" w:hAnsi="Arial"/>
          <w:b/>
          <w:bCs/>
          <w:color w:val="FFFFFF"/>
          <w:sz w:val="15"/>
          <w:szCs w:val="15"/>
          <w:shd w:fill="B8942A" w:val="clear"/>
        </w:rPr>
        <w:t xml:space="preserve"> MODERATE </w:t>
      </w:r>
    </w:p>
    <w:p>
      <w:pPr>
        <w:spacing w:after="40" w:before="40" w:line="272" w:lineRule="auto"/>
      </w:pPr>
      <w:r>
        <w:rPr>
          <w:rFonts w:ascii="Georgia" w:cs="Georgia" w:eastAsia="Georgia" w:hAnsi="Georgia"/>
          <w:color w:val="1A1A1A"/>
          <w:sz w:val="20"/>
          <w:szCs w:val="20"/>
        </w:rPr>
        <w:t xml:space="preserve">Evidential and pointed: the objector supplies his own site photographs and alleges the visualisations were manipulated. Do not be dismissive. The architect should be ready to justify the viewpoint selection against best practice and, if warranted, offer a corrected or additional visualisation from the objector’s viewpoint. Owner: architect.</w:t>
      </w:r>
    </w:p>
    <w:p>
      <w:pPr>
        <w:spacing w:after="60" w:before="160"/>
      </w:pPr>
      <w:r>
        <w:rPr>
          <w:rFonts w:ascii="Arial" w:cs="Arial" w:eastAsia="Arial" w:hAnsi="Arial"/>
          <w:b/>
          <w:bCs/>
          <w:color w:val="0A1628"/>
          <w:sz w:val="19"/>
          <w:szCs w:val="19"/>
        </w:rPr>
        <w:t xml:space="preserve">Prejudgment bias (points 56 to 61)</w:t>
      </w:r>
    </w:p>
    <w:p>
      <w:pPr>
        <w:spacing w:after="40" w:before="140"/>
      </w:pPr>
      <w:r>
        <w:rPr>
          <w:rFonts w:ascii="Arial" w:cs="Arial" w:eastAsia="Arial" w:hAnsi="Arial"/>
          <w:b/>
          <w:bCs/>
          <w:color w:val="B8942A"/>
          <w:sz w:val="18"/>
          <w:szCs w:val="18"/>
        </w:rPr>
        <w:t xml:space="preserve">56-61  </w:t>
      </w:r>
      <w:r>
        <w:rPr>
          <w:rFonts w:ascii="Arial" w:cs="Arial" w:eastAsia="Arial" w:hAnsi="Arial"/>
          <w:b/>
          <w:bCs/>
          <w:color w:val="0A1628"/>
          <w:sz w:val="18"/>
          <w:szCs w:val="18"/>
        </w:rPr>
        <w:t xml:space="preserve">Improper private engagement and a closed mind   </w:t>
      </w:r>
      <w:r>
        <w:rPr>
          <w:rFonts w:ascii="Arial" w:cs="Arial" w:eastAsia="Arial" w:hAnsi="Arial"/>
          <w:b/>
          <w:bCs/>
          <w:color w:val="FFFFFF"/>
          <w:sz w:val="15"/>
          <w:szCs w:val="15"/>
          <w:shd w:fill="9B2226" w:val="clear"/>
        </w:rPr>
        <w:t xml:space="preserve"> STRONG </w:t>
      </w:r>
    </w:p>
    <w:p>
      <w:pPr>
        <w:spacing w:after="40" w:before="40" w:line="272" w:lineRule="auto"/>
      </w:pPr>
      <w:r>
        <w:rPr>
          <w:rFonts w:ascii="Georgia" w:cs="Georgia" w:eastAsia="Georgia" w:hAnsi="Georgia"/>
          <w:color w:val="1A1A1A"/>
          <w:sz w:val="20"/>
          <w:szCs w:val="20"/>
        </w:rPr>
        <w:t xml:space="preserve">The most dangerous ground, addressed in full above. The law favours the applicant; the exposure is factual and documentary. Priority is the record of the November engagement, led by the solicitor.</w:t>
      </w:r>
    </w:p>
    <w:p>
      <w:pPr>
        <w:spacing w:after="60" w:before="160"/>
      </w:pPr>
      <w:r>
        <w:rPr>
          <w:rFonts w:ascii="Arial" w:cs="Arial" w:eastAsia="Arial" w:hAnsi="Arial"/>
          <w:b/>
          <w:bCs/>
          <w:color w:val="0A1628"/>
          <w:sz w:val="19"/>
          <w:szCs w:val="19"/>
        </w:rPr>
        <w:t xml:space="preserve">Conclusion (point 62)</w:t>
      </w:r>
    </w:p>
    <w:p>
      <w:pPr>
        <w:spacing w:after="40" w:before="140"/>
      </w:pPr>
      <w:r>
        <w:rPr>
          <w:rFonts w:ascii="Arial" w:cs="Arial" w:eastAsia="Arial" w:hAnsi="Arial"/>
          <w:b/>
          <w:bCs/>
          <w:color w:val="B8942A"/>
          <w:sz w:val="18"/>
          <w:szCs w:val="18"/>
        </w:rPr>
        <w:t xml:space="preserve">62  </w:t>
      </w:r>
      <w:r>
        <w:rPr>
          <w:rFonts w:ascii="Arial" w:cs="Arial" w:eastAsia="Arial" w:hAnsi="Arial"/>
          <w:b/>
          <w:bCs/>
          <w:color w:val="0A1628"/>
          <w:sz w:val="18"/>
          <w:szCs w:val="18"/>
        </w:rPr>
        <w:t xml:space="preserve">“Should be refused; if granted, refused on appeal”   </w:t>
      </w:r>
      <w:r>
        <w:rPr>
          <w:rFonts w:ascii="Arial" w:cs="Arial" w:eastAsia="Arial" w:hAnsi="Arial"/>
          <w:b/>
          <w:bCs/>
          <w:color w:val="FFFFFF"/>
          <w:sz w:val="15"/>
          <w:szCs w:val="15"/>
          <w:shd w:fill="0A1628" w:val="clear"/>
        </w:rPr>
        <w:t xml:space="preserve"> NOTE </w:t>
      </w:r>
    </w:p>
    <w:p>
      <w:pPr>
        <w:spacing w:after="40" w:before="40" w:line="272" w:lineRule="auto"/>
      </w:pPr>
      <w:r>
        <w:rPr>
          <w:rFonts w:ascii="Georgia" w:cs="Georgia" w:eastAsia="Georgia" w:hAnsi="Georgia"/>
          <w:color w:val="1A1A1A"/>
          <w:sz w:val="20"/>
          <w:szCs w:val="20"/>
        </w:rPr>
        <w:t xml:space="preserve">Not a ground, a statement of intent. It confirms the objector will appeal a grant. Plan accordingly, and keep the process clean for that reason.</w:t>
      </w:r>
    </w:p>
    <w:p>
      <w:pPr>
        <w:spacing w:after="100" w:before="280"/>
      </w:pPr>
      <w:r>
        <w:rPr>
          <w:rFonts w:ascii="Arial" w:cs="Arial" w:eastAsia="Arial" w:hAnsi="Arial"/>
          <w:b/>
          <w:bCs/>
          <w:color w:val="B8942A"/>
          <w:spacing w:val="80"/>
          <w:sz w:val="16"/>
          <w:szCs w:val="16"/>
        </w:rPr>
        <w:t xml:space="preserve">WHAT MUST BE CONFIRMED BEFORE ANY POINT IS USED</w:t>
      </w:r>
    </w:p>
    <w:p>
      <w:pPr>
        <w:pBdr>
          <w:bottom w:val="single" w:color="B8942A" w:sz="6"/>
        </w:pBdr>
        <w:spacing w:after="80" w:before="80"/>
      </w:pPr>
    </w:p>
    <w:p>
      <w:pPr>
        <w:spacing w:after="100" w:before="70" w:line="272" w:lineRule="auto"/>
      </w:pPr>
      <w:r>
        <w:rPr>
          <w:rFonts w:ascii="Georgia" w:cs="Georgia" w:eastAsia="Georgia" w:hAnsi="Georgia"/>
          <w:color w:val="1A1A1A"/>
          <w:sz w:val="20"/>
          <w:szCs w:val="20"/>
        </w:rPr>
        <w:t xml:space="preserve">This report is supporting analysis. The following must be confirmed by the accountable professionals against the primary documents before any point is relied on with the Council.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7100"/>
      </w:tblGrid>
      <w:tr>
        <w:trPr>
          <w:tblHeader/>
        </w:trPr>
        <w:tc>
          <w:tcPr>
            <w:tcW w:type="dxa" w:w="1500"/>
            <w:shd w:fill="0A1628" w:val="clear"/>
            <w:tcMar>
              <w:top w:type="dxa" w:w="60"/>
              <w:left w:type="dxa" w:w="120"/>
              <w:bottom w:type="dxa" w:w="60"/>
              <w:right w:type="dxa" w:w="120"/>
            </w:tcMar>
          </w:tcPr>
          <w:p>
            <w:pPr>
              <w:spacing w:after="20" w:before="20"/>
            </w:pPr>
            <w:r>
              <w:rPr>
                <w:rFonts w:ascii="Arial" w:cs="Arial" w:eastAsia="Arial" w:hAnsi="Arial"/>
                <w:b/>
                <w:bCs/>
                <w:color w:val="FFFFFF"/>
                <w:sz w:val="17"/>
                <w:szCs w:val="17"/>
              </w:rPr>
              <w:t xml:space="preserve">Owner</w:t>
            </w:r>
          </w:p>
        </w:tc>
        <w:tc>
          <w:tcPr>
            <w:tcW w:type="dxa" w:w="7100"/>
            <w:shd w:fill="0A1628" w:val="clear"/>
            <w:tcMar>
              <w:top w:type="dxa" w:w="60"/>
              <w:left w:type="dxa" w:w="120"/>
              <w:bottom w:type="dxa" w:w="60"/>
              <w:right w:type="dxa" w:w="120"/>
            </w:tcMar>
          </w:tcPr>
          <w:p>
            <w:pPr>
              <w:spacing w:after="20" w:before="20"/>
            </w:pPr>
            <w:r>
              <w:rPr>
                <w:rFonts w:ascii="Georgia" w:cs="Georgia" w:eastAsia="Georgia" w:hAnsi="Georgia"/>
                <w:b w:val="false"/>
                <w:bCs w:val="false"/>
                <w:color w:val="FFFFFF"/>
                <w:sz w:val="18"/>
                <w:szCs w:val="18"/>
              </w:rPr>
              <w:t xml:space="preserve">To confirm</w:t>
            </w:r>
          </w:p>
        </w:tc>
      </w:tr>
      <w:tr>
        <w:trPr>
          <w:tblHeader w:val="false"/>
        </w:trPr>
        <w:tc>
          <w:tcPr>
            <w:tcW w:type="dxa" w:w="1500"/>
            <w:shd w:fill="FFFFFF" w:val="clear"/>
            <w:tcMar>
              <w:top w:type="dxa" w:w="60"/>
              <w:left w:type="dxa" w:w="120"/>
              <w:bottom w:type="dxa" w:w="60"/>
              <w:right w:type="dxa" w:w="120"/>
            </w:tcMar>
          </w:tcPr>
          <w:p>
            <w:pPr>
              <w:spacing w:after="20" w:before="20"/>
            </w:pPr>
            <w:r>
              <w:rPr>
                <w:rFonts w:ascii="Arial" w:cs="Arial" w:eastAsia="Arial" w:hAnsi="Arial"/>
                <w:b/>
                <w:bCs/>
                <w:color w:val="0A1628"/>
                <w:sz w:val="17"/>
                <w:szCs w:val="17"/>
              </w:rPr>
              <w:t xml:space="preserve">Planning consultant</w:t>
            </w:r>
          </w:p>
        </w:tc>
        <w:tc>
          <w:tcPr>
            <w:tcW w:type="dxa" w:w="7100"/>
            <w:shd w:fill="FFFFFF" w:val="clear"/>
            <w:tcMar>
              <w:top w:type="dxa" w:w="60"/>
              <w:left w:type="dxa" w:w="120"/>
              <w:bottom w:type="dxa" w:w="60"/>
              <w:right w:type="dxa" w:w="120"/>
            </w:tcMar>
          </w:tcPr>
          <w:p>
            <w:pPr>
              <w:spacing w:after="20" w:before="20"/>
            </w:pPr>
            <w:r>
              <w:rPr>
                <w:rFonts w:ascii="Georgia" w:cs="Georgia" w:eastAsia="Georgia" w:hAnsi="Georgia"/>
                <w:b w:val="false"/>
                <w:bCs w:val="false"/>
                <w:color w:val="1A1A1A"/>
                <w:sz w:val="18"/>
                <w:szCs w:val="18"/>
              </w:rPr>
              <w:t xml:space="preserve">The High Amenity, Business and Rural Area zoning matrix rows and the 30 per cent Business residential cap in the adopted development plan; the open-space standard; the density denominator methodology; the regional-strategy residential proportion and how the plan applies it.</w:t>
            </w:r>
          </w:p>
        </w:tc>
      </w:tr>
      <w:tr>
        <w:trPr>
          <w:tblHeader w:val="false"/>
        </w:trPr>
        <w:tc>
          <w:tcPr>
            <w:tcW w:type="dxa" w:w="1500"/>
            <w:shd w:fill="F8F5F0" w:val="clear"/>
            <w:tcMar>
              <w:top w:type="dxa" w:w="60"/>
              <w:left w:type="dxa" w:w="120"/>
              <w:bottom w:type="dxa" w:w="60"/>
              <w:right w:type="dxa" w:w="120"/>
            </w:tcMar>
          </w:tcPr>
          <w:p>
            <w:pPr>
              <w:spacing w:after="20" w:before="20"/>
            </w:pPr>
            <w:r>
              <w:rPr>
                <w:rFonts w:ascii="Arial" w:cs="Arial" w:eastAsia="Arial" w:hAnsi="Arial"/>
                <w:b/>
                <w:bCs/>
                <w:color w:val="0A1628"/>
                <w:sz w:val="17"/>
                <w:szCs w:val="17"/>
              </w:rPr>
              <w:t xml:space="preserve">Flood consultant</w:t>
            </w:r>
          </w:p>
        </w:tc>
        <w:tc>
          <w:tcPr>
            <w:tcW w:type="dxa" w:w="7100"/>
            <w:shd w:fill="F8F5F0" w:val="clear"/>
            <w:tcMar>
              <w:top w:type="dxa" w:w="60"/>
              <w:left w:type="dxa" w:w="120"/>
              <w:bottom w:type="dxa" w:w="60"/>
              <w:right w:type="dxa" w:w="120"/>
            </w:tcMar>
          </w:tcPr>
          <w:p>
            <w:pPr>
              <w:spacing w:after="20" w:before="20"/>
            </w:pPr>
            <w:r>
              <w:rPr>
                <w:rFonts w:ascii="Georgia" w:cs="Georgia" w:eastAsia="Georgia" w:hAnsi="Georgia"/>
                <w:b w:val="false"/>
                <w:bCs w:val="false"/>
                <w:color w:val="1A1A1A"/>
                <w:sz w:val="18"/>
                <w:szCs w:val="18"/>
              </w:rPr>
              <w:t xml:space="preserve">That the flood risk assessment expressly worked the avoid-and-substitute sequence and meets all Justification Test criteria including the zoning limb; and that raised levels have compensatory storage.</w:t>
            </w:r>
          </w:p>
        </w:tc>
      </w:tr>
      <w:tr>
        <w:trPr>
          <w:tblHeader w:val="false"/>
        </w:trPr>
        <w:tc>
          <w:tcPr>
            <w:tcW w:type="dxa" w:w="1500"/>
            <w:shd w:fill="FFFFFF" w:val="clear"/>
            <w:tcMar>
              <w:top w:type="dxa" w:w="60"/>
              <w:left w:type="dxa" w:w="120"/>
              <w:bottom w:type="dxa" w:w="60"/>
              <w:right w:type="dxa" w:w="120"/>
            </w:tcMar>
          </w:tcPr>
          <w:p>
            <w:pPr>
              <w:spacing w:after="20" w:before="20"/>
            </w:pPr>
            <w:r>
              <w:rPr>
                <w:rFonts w:ascii="Arial" w:cs="Arial" w:eastAsia="Arial" w:hAnsi="Arial"/>
                <w:b/>
                <w:bCs/>
                <w:color w:val="0A1628"/>
                <w:sz w:val="17"/>
                <w:szCs w:val="17"/>
              </w:rPr>
              <w:t xml:space="preserve">Architect</w:t>
            </w:r>
          </w:p>
        </w:tc>
        <w:tc>
          <w:tcPr>
            <w:tcW w:type="dxa" w:w="7100"/>
            <w:shd w:fill="FFFFFF" w:val="clear"/>
            <w:tcMar>
              <w:top w:type="dxa" w:w="60"/>
              <w:left w:type="dxa" w:w="120"/>
              <w:bottom w:type="dxa" w:w="60"/>
              <w:right w:type="dxa" w:w="120"/>
            </w:tcMar>
          </w:tcPr>
          <w:p>
            <w:pPr>
              <w:spacing w:after="20" w:before="20"/>
            </w:pPr>
            <w:r>
              <w:rPr>
                <w:rFonts w:ascii="Georgia" w:cs="Georgia" w:eastAsia="Georgia" w:hAnsi="Georgia"/>
                <w:b w:val="false"/>
                <w:bCs w:val="false"/>
                <w:color w:val="1A1A1A"/>
                <w:sz w:val="18"/>
                <w:szCs w:val="18"/>
              </w:rPr>
              <w:t xml:space="preserve">Reconcile all area and floor-area figures across every drawing and report into one consistent schedule; justify the landscape and visual viewpoints, and offer corrected visualisations if warranted.</w:t>
            </w:r>
          </w:p>
        </w:tc>
      </w:tr>
      <w:tr>
        <w:trPr>
          <w:tblHeader w:val="false"/>
        </w:trPr>
        <w:tc>
          <w:tcPr>
            <w:tcW w:type="dxa" w:w="1500"/>
            <w:shd w:fill="F8F5F0" w:val="clear"/>
            <w:tcMar>
              <w:top w:type="dxa" w:w="60"/>
              <w:left w:type="dxa" w:w="120"/>
              <w:bottom w:type="dxa" w:w="60"/>
              <w:right w:type="dxa" w:w="120"/>
            </w:tcMar>
          </w:tcPr>
          <w:p>
            <w:pPr>
              <w:spacing w:after="20" w:before="20"/>
            </w:pPr>
            <w:r>
              <w:rPr>
                <w:rFonts w:ascii="Arial" w:cs="Arial" w:eastAsia="Arial" w:hAnsi="Arial"/>
                <w:b/>
                <w:bCs/>
                <w:color w:val="0A1628"/>
                <w:sz w:val="17"/>
                <w:szCs w:val="17"/>
              </w:rPr>
              <w:t xml:space="preserve">Solicitor</w:t>
            </w:r>
          </w:p>
        </w:tc>
        <w:tc>
          <w:tcPr>
            <w:tcW w:type="dxa" w:w="7100"/>
            <w:shd w:fill="F8F5F0" w:val="clear"/>
            <w:tcMar>
              <w:top w:type="dxa" w:w="60"/>
              <w:left w:type="dxa" w:w="120"/>
              <w:bottom w:type="dxa" w:w="60"/>
              <w:right w:type="dxa" w:w="120"/>
            </w:tcMar>
          </w:tcPr>
          <w:p>
            <w:pPr>
              <w:spacing w:after="20" w:before="20"/>
            </w:pPr>
            <w:r>
              <w:rPr>
                <w:rFonts w:ascii="Georgia" w:cs="Georgia" w:eastAsia="Georgia" w:hAnsi="Georgia"/>
                <w:b w:val="false"/>
                <w:bCs w:val="false"/>
                <w:color w:val="1A1A1A"/>
                <w:sz w:val="18"/>
                <w:szCs w:val="18"/>
              </w:rPr>
              <w:t xml:space="preserve">Advise on the prejudgment-bias exposure and the correct handling and record of the November Council engagement; confirm the current section 34(6) reserved-resolution threshold.</w:t>
            </w:r>
          </w:p>
        </w:tc>
      </w:tr>
    </w:tbl>
    <w:p>
      <w:pPr>
        <w:spacing w:after="100" w:before="280"/>
      </w:pPr>
      <w:r>
        <w:rPr>
          <w:rFonts w:ascii="Arial" w:cs="Arial" w:eastAsia="Arial" w:hAnsi="Arial"/>
          <w:b/>
          <w:bCs/>
          <w:color w:val="B8942A"/>
          <w:spacing w:val="80"/>
          <w:sz w:val="16"/>
          <w:szCs w:val="16"/>
        </w:rPr>
        <w:t xml:space="preserve">VERIFICATION RECORD</w:t>
      </w:r>
    </w:p>
    <w:p>
      <w:pPr>
        <w:pBdr>
          <w:bottom w:val="single" w:color="B8942A" w:sz="6"/>
        </w:pBdr>
        <w:spacing w:after="80" w:before="80"/>
      </w:pPr>
    </w:p>
    <w:p>
      <w:pPr>
        <w:spacing w:after="70" w:before="70" w:line="272" w:lineRule="auto"/>
      </w:pPr>
      <w:r>
        <w:rPr>
          <w:rFonts w:ascii="Georgia" w:cs="Georgia" w:eastAsia="Georgia" w:hAnsi="Georgia"/>
          <w:color w:val="1A1A1A"/>
          <w:sz w:val="20"/>
          <w:szCs w:val="20"/>
        </w:rPr>
        <w:t xml:space="preserve">The analysis was produced through four independent domain checks, run in parallel against primary and authoritative sources: environmental assessment and Appropriate Assessment; flood risk; zoning, structures and density; and prejudgment bias. Each was required to distinguish verified positions from those needing confirmation, and not to state any authority from memory.</w:t>
      </w:r>
    </w:p>
    <w:p>
      <w:pPr>
        <w:spacing w:after="70" w:before="70" w:line="272" w:lineRule="auto"/>
      </w:pPr>
      <w:r>
        <w:rPr>
          <w:rFonts w:ascii="Georgia" w:cs="Georgia" w:eastAsia="Georgia" w:hAnsi="Georgia"/>
          <w:b/>
          <w:bCs/>
          <w:i w:val="false"/>
          <w:iCs w:val="false"/>
          <w:color w:val="1A1A1A"/>
          <w:sz w:val="20"/>
          <w:szCs w:val="20"/>
        </w:rPr>
        <w:t xml:space="preserve">Disclosed limitation. </w:t>
      </w:r>
      <w:r>
        <w:rPr>
          <w:rFonts w:ascii="Georgia" w:cs="Georgia" w:eastAsia="Georgia" w:hAnsi="Georgia"/>
          <w:b w:val="false"/>
          <w:bCs w:val="false"/>
          <w:i w:val="false"/>
          <w:iCs w:val="false"/>
          <w:color w:val="1A1A1A"/>
          <w:sz w:val="20"/>
          <w:szCs w:val="20"/>
        </w:rPr>
        <w:t xml:space="preserve">Direct retrieval of the primary texts (the Irish Statute Book, the planning guideline documents and the Meath County Development Plan) was blocked by this environment’s network policy. The legal positions were therefore verified against authoritative passages from those same sources and practitioner commentary, with exact statutory wording, some section numbers and one case name flagged for confirmation from clean copies. The substance is consistently corroborated; the verbatim wording should be confirmed at the point of filing. Nothing in this report should be quoted to the Council as verbatim statutory or guideline text until so confirmed.</w:t>
      </w:r>
    </w:p>
    <w:p>
      <w:pPr>
        <w:spacing w:after="0" w:before="160"/>
      </w:pPr>
    </w:p>
    <w:p>
      <w:pPr>
        <w:pBdr>
          <w:bottom w:val="single" w:color="D0D0D0" w:sz="4"/>
        </w:pBdr>
        <w:spacing w:after="60" w:before="60"/>
      </w:pPr>
    </w:p>
    <w:p>
      <w:pPr>
        <w:spacing w:after="0" w:before="60"/>
      </w:pPr>
    </w:p>
    <w:p>
      <w:pPr>
        <w:spacing w:after="40"/>
      </w:pPr>
      <w:r>
        <w:rPr>
          <w:rFonts w:ascii="Arial" w:cs="Arial" w:eastAsia="Arial" w:hAnsi="Arial"/>
          <w:b/>
          <w:bCs/>
          <w:color w:val="0A1628"/>
          <w:sz w:val="19"/>
          <w:szCs w:val="19"/>
        </w:rPr>
        <w:t xml:space="preserve">Meridian Intelligence</w:t>
      </w:r>
    </w:p>
    <w:p>
      <w:pPr>
        <w:spacing w:after="40"/>
      </w:pPr>
      <w:r>
        <w:rPr>
          <w:rFonts w:ascii="Georgia" w:cs="Georgia" w:eastAsia="Georgia" w:hAnsi="Georgia"/>
          <w:color w:val="1A1A1A"/>
          <w:sz w:val="18"/>
          <w:szCs w:val="18"/>
        </w:rPr>
        <w:t xml:space="preserve">John Webb O’Rourke, Principal</w:t>
      </w:r>
    </w:p>
    <w:p>
      <w:pPr>
        <w:spacing w:after="40"/>
      </w:pPr>
      <w:r>
        <w:rPr>
          <w:rFonts w:ascii="Georgia" w:cs="Georgia" w:eastAsia="Georgia" w:hAnsi="Georgia"/>
          <w:i/>
          <w:iCs/>
          <w:color w:val="555555"/>
          <w:sz w:val="17"/>
          <w:szCs w:val="17"/>
        </w:rPr>
        <w:t xml:space="preserve">Status: supporting analysis, subject to professional confirmation. Not legal advice. Not for filing.</w:t>
      </w:r>
    </w:p>
    <w:p>
      <w:pPr>
        <w:spacing w:after="0"/>
      </w:pPr>
      <w:r>
        <w:rPr>
          <w:rFonts w:ascii="Georgia" w:cs="Georgia" w:eastAsia="Georgia" w:hAnsi="Georgia"/>
          <w:color w:val="888888"/>
          <w:sz w:val="17"/>
          <w:szCs w:val="17"/>
        </w:rPr>
        <w:t xml:space="preserve">July 2026  |  Private and Confidential  |  Not for onward circulation</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spacing w:before="80"/>
      <w:jc w:val="right"/>
    </w:pPr>
    <w:r>
      <w:rPr>
        <w:rFonts w:ascii="Arial" w:cs="Arial" w:eastAsia="Arial" w:hAnsi="Arial"/>
        <w:color w:val="888888"/>
        <w:sz w:val="15"/>
        <w:szCs w:val="15"/>
      </w:rPr>
      <w:t xml:space="preserve">Private and Confidential  |  Not for Filing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2A" w:sz="6"/>
      </w:pBdr>
      <w:spacing w:after="80"/>
    </w:pPr>
    <w:r>
      <w:rPr>
        <w:rFonts w:ascii="Arial" w:cs="Arial" w:eastAsia="Arial" w:hAnsi="Arial"/>
        <w:b/>
        <w:bCs/>
        <w:color w:val="0A1628"/>
        <w:spacing w:val="60"/>
        <w:sz w:val="16"/>
        <w:szCs w:val="16"/>
      </w:rPr>
      <w:t xml:space="preserve">MERIDIAN INTELLIGENCE</w:t>
    </w:r>
    <w:r>
      <w:rPr>
        <w:rFonts w:ascii="Arial" w:cs="Arial" w:eastAsia="Arial" w:hAnsi="Arial"/>
        <w:color w:val="888888"/>
        <w:sz w:val="16"/>
        <w:szCs w:val="16"/>
      </w:rPr>
      <w:t xml:space="preserve">   |   Old Mill, Julianstown  |  Scrutiny of Observation 25-60781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2026-07-22T22:01:36.940Z</dcterms:created>
  <dcterms:modified xsi:type="dcterms:W3CDTF">2026-07-22T22:01:36.956Z</dcterms:modified>
</cp:coreProperties>
</file>

<file path=docProps/custom.xml><?xml version="1.0" encoding="utf-8"?>
<Properties xmlns="http://schemas.openxmlformats.org/officeDocument/2006/custom-properties" xmlns:vt="http://schemas.openxmlformats.org/officeDocument/2006/docPropsVTypes"/>
</file>