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400"/>
              <w:left w:type="dxa" w:w="600"/>
              <w:bottom w:type="dxa" w:w="400"/>
              <w:right w:type="dxa" w:w="600"/>
            </w:tcMar>
          </w:tcPr>
          <w:p>
            <w:pPr>
              <w:spacing w:after="120"/>
            </w:pPr>
            <w:r>
              <w:rPr>
                <w:rFonts w:ascii="Arial" w:cs="Arial" w:eastAsia="Arial" w:hAnsi="Arial"/>
                <w:b/>
                <w:bCs/>
                <w:color w:val="B8942A"/>
                <w:spacing w:val="100"/>
                <w:sz w:val="26"/>
                <w:szCs w:val="26"/>
              </w:rPr>
              <w:t xml:space="preserve">MERIDIAN INTELLIGENCE</w:t>
            </w:r>
          </w:p>
          <w:p>
            <w:pPr>
              <w:spacing w:after="180"/>
            </w:pPr>
            <w:r>
              <w:rPr>
                <w:rFonts w:ascii="Arial" w:cs="Arial" w:eastAsia="Arial" w:hAnsi="Arial"/>
                <w:color w:val="FFFFFF"/>
                <w:sz w:val="22"/>
                <w:szCs w:val="22"/>
              </w:rPr>
              <w:t xml:space="preserve">Executive Intelligence Brief</w:t>
            </w:r>
          </w:p>
          <w:p>
            <w:pPr>
              <w:spacing w:after="80"/>
            </w:pPr>
            <w:r>
              <w:rPr>
                <w:rFonts w:ascii="Arial" w:cs="Arial" w:eastAsia="Arial" w:hAnsi="Arial"/>
                <w:b/>
                <w:bCs/>
                <w:color w:val="FFFFFF"/>
                <w:sz w:val="30"/>
                <w:szCs w:val="30"/>
              </w:rPr>
              <w:t xml:space="preserve">A Perimenopause Wellness Venture</w:t>
            </w:r>
          </w:p>
          <w:p>
            <w:pPr>
              <w:spacing w:after="200"/>
            </w:pPr>
            <w:r>
              <w:rPr>
                <w:rFonts w:ascii="Georgia" w:cs="Georgia" w:eastAsia="Georgia" w:hAnsi="Georgia"/>
                <w:color w:val="E8E8E8"/>
                <w:sz w:val="20"/>
                <w:szCs w:val="20"/>
              </w:rPr>
              <w:t xml:space="preserve">Nutrition, training and medically supervised care for women in perimenopause</w:t>
            </w:r>
          </w:p>
          <w:p>
            <w:pPr>
              <w:spacing w:after="40"/>
            </w:pPr>
            <w:r>
              <w:rPr>
                <w:rFonts w:ascii="Georgia" w:cs="Georgia" w:eastAsia="Georgia" w:hAnsi="Georgia"/>
                <w:color w:val="CCCCCC"/>
                <w:sz w:val="18"/>
                <w:szCs w:val="18"/>
              </w:rPr>
              <w:t xml:space="preserve">Concept for Johnny Shanahan  |  a Barber Republic platform vertical</w:t>
            </w:r>
          </w:p>
          <w:p>
            <w:pPr>
              <w:spacing w:after="40"/>
            </w:pPr>
            <w:r>
              <w:rPr>
                <w:rFonts w:ascii="Georgia" w:cs="Georgia" w:eastAsia="Georgia" w:hAnsi="Georgia"/>
                <w:color w:val="CCCCCC"/>
                <w:sz w:val="18"/>
                <w:szCs w:val="18"/>
              </w:rPr>
              <w:t xml:space="preserve">United Kingdom (primary), Ireland (secondary)</w:t>
            </w:r>
          </w:p>
          <w:p>
            <w:r>
              <w:rPr>
                <w:rFonts w:ascii="Georgia" w:cs="Georgia" w:eastAsia="Georgia" w:hAnsi="Georgia"/>
                <w:color w:val="AAAAAA"/>
                <w:sz w:val="18"/>
                <w:szCs w:val="18"/>
              </w:rPr>
              <w:t xml:space="preserve">Prepared for John Webb O’Rourke  |  July 2026</w:t>
            </w:r>
          </w:p>
          <w:p>
            <w:pPr>
              <w:spacing w:before="60"/>
            </w:pPr>
            <w:r>
              <w:rPr>
                <w:rFonts w:ascii="Arial" w:cs="Arial" w:eastAsia="Arial" w:hAnsi="Arial"/>
                <w:b/>
                <w:bCs/>
                <w:color w:val="B8942A"/>
                <w:sz w:val="15"/>
                <w:szCs w:val="15"/>
              </w:rPr>
              <w:t xml:space="preserve">PRIVATE AND CONFIDENTIAL  |  DECISION-SUPPORT</w:t>
            </w:r>
          </w:p>
        </w:tc>
      </w:tr>
    </w:tbl>
    <w:p>
      <w:pPr>
        <w:spacing w:after="0" w:before="280"/>
      </w:pPr>
    </w:p>
    <w:p>
      <w:pPr>
        <w:spacing w:after="100" w:before="280"/>
      </w:pPr>
      <w:r>
        <w:rPr>
          <w:rFonts w:ascii="Arial" w:cs="Arial" w:eastAsia="Arial" w:hAnsi="Arial"/>
          <w:b/>
          <w:bCs/>
          <w:color w:val="B8942A"/>
          <w:spacing w:val="80"/>
          <w:sz w:val="16"/>
          <w:szCs w:val="16"/>
        </w:rPr>
        <w:t xml:space="preserve">EXECUTIVE OVERVIEW</w:t>
      </w:r>
    </w:p>
    <w:p>
      <w:pPr>
        <w:pBdr>
          <w:bottom w:val="single" w:color="B8942A" w:sz="6"/>
        </w:pBdr>
        <w:spacing w:after="80" w:before="80"/>
      </w:pPr>
    </w:p>
    <w:p>
      <w:pPr>
        <w:spacing w:after="70" w:before="70" w:line="272" w:lineRule="auto"/>
      </w:pPr>
      <w:r>
        <w:rPr>
          <w:rFonts w:ascii="Georgia" w:cs="Georgia" w:eastAsia="Georgia" w:hAnsi="Georgia"/>
          <w:color w:val="1A1A1A"/>
          <w:sz w:val="20"/>
          <w:szCs w:val="20"/>
        </w:rPr>
        <w:t xml:space="preserve">The concept is a wellness and aesthetic business for women in perimenopause, built on three pillars: nutrition, training, and medically supervised care. It aims to help women navigate perimenopausal symptoms while sustaining mood and the desire for health and fitness. It is proposed for Johnny Shanahan of Barber Barber UK, with Barber Republic, his emerging platform, as the backing vehicle. The United Kingdom is the primary market, with Ireland assessed alongside.</w:t>
      </w:r>
    </w:p>
    <w:p>
      <w:pPr>
        <w:spacing w:after="70" w:before="70" w:line="272" w:lineRule="auto"/>
      </w:pPr>
      <w:r>
        <w:rPr>
          <w:rFonts w:ascii="Georgia" w:cs="Georgia" w:eastAsia="Georgia" w:hAnsi="Georgia"/>
          <w:b/>
          <w:bCs/>
          <w:i w:val="false"/>
          <w:iCs w:val="false"/>
          <w:color w:val="1A1A1A"/>
          <w:sz w:val="20"/>
          <w:szCs w:val="20"/>
        </w:rPr>
        <w:t xml:space="preserve">The opportunity is real and the white space is genuine. </w:t>
      </w:r>
      <w:r>
        <w:rPr>
          <w:rFonts w:ascii="Georgia" w:cs="Georgia" w:eastAsia="Georgia" w:hAnsi="Georgia"/>
          <w:b w:val="false"/>
          <w:bCs w:val="false"/>
          <w:i w:val="false"/>
          <w:iCs w:val="false"/>
          <w:color w:val="1A1A1A"/>
          <w:sz w:val="20"/>
          <w:szCs w:val="20"/>
        </w:rPr>
        <w:t xml:space="preserve">No existing brand bundles nutrition, training and a supervised medical pillar into a single perimenopause offer. Fitness-and-nutrition players (Owning Your Menopause) have no medical pillar; the menopause clinics (Newson Health, Stella, Menopause Care) have little fitness; and the peptide and longevity clinics are London-concentrated and not perimenopause-specific. The perimenopause window, women roughly 40 to 55, is larger, earlier and more commercially engaged than the broad menopause market most incumbents address.</w:t>
      </w:r>
    </w:p>
    <w:p>
      <w:pPr>
        <w:spacing w:after="70" w:before="70" w:line="272" w:lineRule="auto"/>
      </w:pPr>
      <w:r>
        <w:rPr>
          <w:rFonts w:ascii="Georgia" w:cs="Georgia" w:eastAsia="Georgia" w:hAnsi="Georgia"/>
          <w:b/>
          <w:bCs/>
          <w:i w:val="false"/>
          <w:iCs w:val="false"/>
          <w:color w:val="9B2226"/>
          <w:sz w:val="20"/>
          <w:szCs w:val="20"/>
        </w:rPr>
        <w:t xml:space="preserve">But the concept as literally worded, "medically supervised peptides," fronted by a non-clinician, is not lawful in either the UK or Ireland, and this reshapes the venture. </w:t>
      </w:r>
      <w:r>
        <w:rPr>
          <w:rFonts w:ascii="Georgia" w:cs="Georgia" w:eastAsia="Georgia" w:hAnsi="Georgia"/>
          <w:b w:val="false"/>
          <w:bCs w:val="false"/>
          <w:i w:val="false"/>
          <w:iCs w:val="false"/>
          <w:color w:val="1A1A1A"/>
          <w:sz w:val="20"/>
          <w:szCs w:val="20"/>
        </w:rPr>
        <w:t xml:space="preserve">Most wellness peptides (BPC-157, ipamorelin, CJC-1295) cannot lawfully be put into a human at all; prescription medicines cannot be advertised to the public, a rule actively enforced against exactly this kind of social-media promotion; and a non-clinician cannot prescribe or clinically supervise. The defensible business is therefore a perimenopause nutrition, training and education brand, fronted by a credible female clinical lead, with anything prescribed handled by a properly regulated medical partner. Johnny owns the brand, the audience and the platform; he sits entirely outside the clinical decision.</w:t>
      </w:r>
    </w:p>
    <w:p>
      <w:pPr>
        <w:spacing w:after="70" w:before="70" w:line="272" w:lineRule="auto"/>
      </w:pPr>
      <w:r>
        <w:rPr>
          <w:rFonts w:ascii="Georgia" w:cs="Georgia" w:eastAsia="Georgia" w:hAnsi="Georgia"/>
          <w:b/>
          <w:bCs/>
          <w:i w:val="false"/>
          <w:iCs w:val="false"/>
          <w:color w:val="1A1A1A"/>
          <w:sz w:val="20"/>
          <w:szCs w:val="20"/>
        </w:rPr>
        <w:t xml:space="preserve">The recommended shape: </w:t>
      </w:r>
      <w:r>
        <w:rPr>
          <w:rFonts w:ascii="Georgia" w:cs="Georgia" w:eastAsia="Georgia" w:hAnsi="Georgia"/>
          <w:b w:val="false"/>
          <w:bCs w:val="false"/>
          <w:i w:val="false"/>
          <w:iCs w:val="false"/>
          <w:color w:val="1A1A1A"/>
          <w:sz w:val="20"/>
          <w:szCs w:val="20"/>
        </w:rPr>
        <w:t xml:space="preserve">a stand-alone, female-facing brand incubated under the Barber Republic platform, entering through a joint venture with a registered pharmacy or menopause clinic that carries all prescribing risk. Illustrative economics suggest breakeven at roughly 155 paying members on a core programme around GBP 150 per month with cohort-based delivery. The make-or-break factors are clinical credibility and member retention, not customer acquisition.</w:t>
      </w:r>
    </w:p>
    <w:p>
      <w:pPr>
        <w:spacing w:after="100" w:before="280"/>
      </w:pPr>
      <w:r>
        <w:rPr>
          <w:rFonts w:ascii="Arial" w:cs="Arial" w:eastAsia="Arial" w:hAnsi="Arial"/>
          <w:b/>
          <w:bCs/>
          <w:color w:val="B8942A"/>
          <w:spacing w:val="80"/>
          <w:sz w:val="16"/>
          <w:szCs w:val="16"/>
        </w:rPr>
        <w:t xml:space="preserve">THE CONCEPT AND THE NECESSARY REFRAME</w:t>
      </w:r>
    </w:p>
    <w:p>
      <w:pPr>
        <w:pBdr>
          <w:bottom w:val="single" w:color="B8942A" w:sz="6"/>
        </w:pBdr>
        <w:spacing w:after="80" w:before="80"/>
      </w:pPr>
    </w:p>
    <w:p>
      <w:pPr>
        <w:spacing w:after="70" w:before="70" w:line="272" w:lineRule="auto"/>
      </w:pPr>
      <w:r>
        <w:rPr>
          <w:rFonts w:ascii="Georgia" w:cs="Georgia" w:eastAsia="Georgia" w:hAnsi="Georgia"/>
          <w:color w:val="1A1A1A"/>
          <w:sz w:val="20"/>
          <w:szCs w:val="20"/>
        </w:rPr>
        <w:t xml:space="preserve">As briefed, the venture combines three pillars for perimenopausal women: nutrition, training and the medically supervised use of peptides, positioned around navigating symptoms while maintaining mood and fitness motivation. Johnny Shanahan brings a genuine personal brand, real fitness credibility, content and podcast craft, and the Barber Republic platform as backing.</w:t>
      </w:r>
    </w:p>
    <w:p>
      <w:pPr>
        <w:pBdr>
          <w:left w:val="single" w:color="B8942A" w:sz="18"/>
        </w:pBdr>
        <w:shd w:fill="F0EBE0" w:val="clear"/>
        <w:spacing w:after="120" w:before="120" w:line="272" w:lineRule="auto"/>
        <w:ind w:left="240" w:right="240"/>
      </w:pPr>
      <w:r>
        <w:rPr>
          <w:rFonts w:ascii="Georgia" w:cs="Georgia" w:eastAsia="Georgia" w:hAnsi="Georgia"/>
          <w:i/>
          <w:iCs/>
          <w:color w:val="1A1A1A"/>
          <w:sz w:val="20"/>
          <w:szCs w:val="20"/>
        </w:rPr>
        <w:t xml:space="preserve">The central tension the analysis must solve: Johnny’s audience is male and barbering; the customer is a woman in perimenopause. The two barely overlap. The answer is not to put Johnny’s face on the brand. He is the engine (capital, platform, distribution, content craft), not the face. The brand must be led, visibly, by a credible female clinical lead, with Johnny as disclosed founder and backer.</w:t>
      </w:r>
    </w:p>
    <w:p>
      <w:pPr>
        <w:spacing w:after="100" w:before="280"/>
      </w:pPr>
      <w:r>
        <w:rPr>
          <w:rFonts w:ascii="Arial" w:cs="Arial" w:eastAsia="Arial" w:hAnsi="Arial"/>
          <w:b/>
          <w:bCs/>
          <w:color w:val="B8942A"/>
          <w:spacing w:val="80"/>
          <w:sz w:val="16"/>
          <w:szCs w:val="16"/>
        </w:rPr>
        <w:t xml:space="preserve">MARKET AND OPPORTUNITY</w:t>
      </w:r>
    </w:p>
    <w:p>
      <w:pPr>
        <w:pBdr>
          <w:bottom w:val="single" w:color="B8942A" w:sz="6"/>
        </w:pBdr>
        <w:spacing w:after="80" w:before="80"/>
      </w:pPr>
    </w:p>
    <w:p>
      <w:pPr>
        <w:spacing w:after="60" w:before="160"/>
      </w:pPr>
      <w:r>
        <w:rPr>
          <w:rFonts w:ascii="Arial" w:cs="Arial" w:eastAsia="Arial" w:hAnsi="Arial"/>
          <w:b/>
          <w:bCs/>
          <w:color w:val="0A1628"/>
          <w:sz w:val="19"/>
          <w:szCs w:val="19"/>
        </w:rPr>
        <w:t xml:space="preserve">The size of the prize</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The global menopause market is estimated at about USD 18.7bn in 2025, projected to about USD 24.4bn by 2030 (Grand View Research). A widely circulated "USD 600bn menopause economy" figure is a much broader, promotional definition and is not relied on here.</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The global femtech market is put at about USD 52.7bn in 2025, growing at roughly 11% a year, with menopause the fastest-growing segment. The UK is the largest European share.</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The UK femtech sector: 150-plus companies, combined turnover around GBP 700m, growing about 30% a year.</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Around 13 million women in the UK are currently perimenopausal or menopausal, roughly a third of the female population. In Ireland, Census 2022 shows the 40 to 44 age group is the single largest cohort in the country, with an estimated 500,000 to 600,000 women in the 40 to 54 band.</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Poor menopause support is estimated to cost the UK economy around GBP 10bn a year, the basis for a growing corporate and workplace budget line.</w:t>
      </w:r>
    </w:p>
    <w:p>
      <w:pPr>
        <w:spacing w:after="60" w:before="160"/>
      </w:pPr>
      <w:r>
        <w:rPr>
          <w:rFonts w:ascii="Arial" w:cs="Arial" w:eastAsia="Arial" w:hAnsi="Arial"/>
          <w:b/>
          <w:bCs/>
          <w:color w:val="0A1628"/>
          <w:sz w:val="19"/>
          <w:szCs w:val="19"/>
        </w:rPr>
        <w:t xml:space="preserve">The white space</w:t>
      </w:r>
    </w:p>
    <w:p>
      <w:pPr>
        <w:spacing w:after="70" w:before="70" w:line="272" w:lineRule="auto"/>
      </w:pPr>
      <w:r>
        <w:rPr>
          <w:rFonts w:ascii="Georgia" w:cs="Georgia" w:eastAsia="Georgia" w:hAnsi="Georgia"/>
          <w:color w:val="1A1A1A"/>
          <w:sz w:val="20"/>
          <w:szCs w:val="20"/>
        </w:rPr>
        <w:t xml:space="preserve">The market is fragmented by pillar, and no one owns the integrated middle:</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Fitness and nutrition for menopause: Owning Your Menopause owns this, but has no medical pillar.</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Medical menopause (HRT): Newson Health, Stella, Menopause Care own this, but offer little fitness or nutrition.</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Peptides and longevity: Mayfair and Harley Street clinics, but not perimenopause-specific and not lifestyle-integrated.</w:t>
      </w:r>
    </w:p>
    <w:p>
      <w:pPr>
        <w:spacing w:after="70" w:before="70" w:line="272" w:lineRule="auto"/>
      </w:pPr>
      <w:r>
        <w:rPr>
          <w:rFonts w:ascii="Georgia" w:cs="Georgia" w:eastAsia="Georgia" w:hAnsi="Georgia"/>
          <w:b/>
          <w:bCs/>
          <w:i w:val="false"/>
          <w:iCs w:val="false"/>
          <w:color w:val="1A1A1A"/>
          <w:sz w:val="20"/>
          <w:szCs w:val="20"/>
        </w:rPr>
        <w:t xml:space="preserve">Four gaps compound: </w:t>
      </w:r>
      <w:r>
        <w:rPr>
          <w:rFonts w:ascii="Georgia" w:cs="Georgia" w:eastAsia="Georgia" w:hAnsi="Georgia"/>
          <w:b w:val="false"/>
          <w:bCs w:val="false"/>
          <w:i w:val="false"/>
          <w:iCs w:val="false"/>
          <w:color w:val="1A1A1A"/>
          <w:sz w:val="20"/>
          <w:szCs w:val="20"/>
        </w:rPr>
        <w:t xml:space="preserve">no integrated three-pillar perimenopause brand exists; perimenopause-specific (not menopause-broad) positioning is under-served; a founder-led, aspirational lifestyle framing is missing from the clinical incumbents; and geographically the North West of England and Ireland are thin, with Ireland appearing to have no peptide or longevity clinic at all. The proven scale of the medically supervised, subscription, delivered-injectable model (over two million private GLP-1 weight-loss users in Britain) shows the willingness to pay already exists.</w:t>
      </w:r>
    </w:p>
    <w:p>
      <w:pPr>
        <w:spacing w:after="100" w:before="280"/>
      </w:pPr>
      <w:r>
        <w:rPr>
          <w:rFonts w:ascii="Arial" w:cs="Arial" w:eastAsia="Arial" w:hAnsi="Arial"/>
          <w:b/>
          <w:bCs/>
          <w:color w:val="B8942A"/>
          <w:spacing w:val="80"/>
          <w:sz w:val="16"/>
          <w:szCs w:val="16"/>
        </w:rPr>
        <w:t xml:space="preserve">THE COMPETITION (DETAILED)</w:t>
      </w:r>
    </w:p>
    <w:p>
      <w:pPr>
        <w:pBdr>
          <w:bottom w:val="single" w:color="B8942A" w:sz="6"/>
        </w:pBdr>
        <w:spacing w:after="80" w:before="80"/>
      </w:pPr>
    </w:p>
    <w:p>
      <w:pPr>
        <w:spacing w:after="60" w:before="160"/>
      </w:pPr>
      <w:r>
        <w:rPr>
          <w:rFonts w:ascii="Arial" w:cs="Arial" w:eastAsia="Arial" w:hAnsi="Arial"/>
          <w:b/>
          <w:bCs/>
          <w:color w:val="0A1628"/>
          <w:sz w:val="19"/>
          <w:szCs w:val="19"/>
        </w:rPr>
        <w:t xml:space="preserve">Menopause clinics and telehealth (UK)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400"/>
      </w:tblGrid>
      <w:tr>
        <w:trPr>
          <w:tblHeader/>
        </w:trPr>
        <w:tc>
          <w:tcPr>
            <w:tcW w:type="dxa" w:w="26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Player</w:t>
            </w:r>
          </w:p>
        </w:tc>
        <w:tc>
          <w:tcPr>
            <w:tcW w:type="dxa" w:w="36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What it is</w:t>
            </w:r>
          </w:p>
        </w:tc>
        <w:tc>
          <w:tcPr>
            <w:tcW w:type="dxa" w:w="24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Pricing (verified where shown)</w:t>
            </w:r>
          </w:p>
        </w:tc>
      </w:tr>
      <w:tr>
        <w:tc>
          <w:tcPr>
            <w:tcW w:type="dxa" w:w="26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Newson Health (Dr Louise Newson)</w:t>
            </w:r>
          </w:p>
        </w:tc>
        <w:tc>
          <w:tcPr>
            <w:tcW w:type="dxa" w:w="36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Largest UK private menopause clinic; in-person + virtual; doctor-led, HRT-focused</w:t>
            </w:r>
          </w:p>
        </w:tc>
        <w:tc>
          <w:tcPr>
            <w:tcW w:type="dxa" w:w="24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Doctor consult GBP 295; follow-up GBP 230; nurse/pharmacist GBP 165-195</w:t>
            </w:r>
          </w:p>
        </w:tc>
      </w:tr>
      <w:tr>
        <w:tc>
          <w:tcPr>
            <w:tcW w:type="dxa" w:w="26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Menopause Care (Dr Naomi Potter)</w:t>
            </w:r>
          </w:p>
        </w:tc>
        <w:tc>
          <w:tcPr>
            <w:tcW w:type="dxa" w:w="36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Video-only specialist clinic, clinician brand</w:t>
            </w:r>
          </w:p>
        </w:tc>
        <w:tc>
          <w:tcPr>
            <w:tcW w:type="dxa" w:w="24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Initial GBP 295; follow-up GBP 225; nurse GBP 99-160</w:t>
            </w:r>
          </w:p>
        </w:tc>
      </w:tr>
      <w:tr>
        <w:tc>
          <w:tcPr>
            <w:tcW w:type="dxa" w:w="26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Stella (Vira Health)</w:t>
            </w:r>
          </w:p>
        </w:tc>
        <w:tc>
          <w:tcPr>
            <w:tcW w:type="dxa" w:w="36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Menopause app plus HRT prescribing; affordable, data-driven</w:t>
            </w:r>
          </w:p>
        </w:tc>
        <w:tc>
          <w:tcPr>
            <w:tcW w:type="dxa" w:w="24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Initial appt GBP 85; meds GBP 11-70 / 90 days</w:t>
            </w:r>
          </w:p>
        </w:tc>
      </w:tr>
      <w:tr>
        <w:tc>
          <w:tcPr>
            <w:tcW w:type="dxa" w:w="26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Health &amp; Her</w:t>
            </w:r>
          </w:p>
        </w:tc>
        <w:tc>
          <w:tcPr>
            <w:tcW w:type="dxa" w:w="36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Free tracking app plus supplement range; mass-market</w:t>
            </w:r>
          </w:p>
        </w:tc>
        <w:tc>
          <w:tcPr>
            <w:tcW w:type="dxa" w:w="24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App free; revenue via supplements</w:t>
            </w:r>
          </w:p>
        </w:tc>
      </w:tr>
      <w:tr>
        <w:tc>
          <w:tcPr>
            <w:tcW w:type="dxa" w:w="26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Peppy Health</w:t>
            </w:r>
          </w:p>
        </w:tc>
        <w:tc>
          <w:tcPr>
            <w:tcW w:type="dxa" w:w="36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Menopause support sold via employers/insurers (B2B2C)</w:t>
            </w:r>
          </w:p>
        </w:tc>
        <w:tc>
          <w:tcPr>
            <w:tcW w:type="dxa" w:w="24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Per-user pricing not public</w:t>
            </w:r>
          </w:p>
        </w:tc>
      </w:tr>
      <w:tr>
        <w:tc>
          <w:tcPr>
            <w:tcW w:type="dxa" w:w="26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My Menopause Centre</w:t>
            </w:r>
          </w:p>
        </w:tc>
        <w:tc>
          <w:tcPr>
            <w:tcW w:type="dxa" w:w="36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Online clinic, UK and Ireland; doctor-led tiers</w:t>
            </w:r>
          </w:p>
        </w:tc>
        <w:tc>
          <w:tcPr>
            <w:tcW w:type="dxa" w:w="24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Tiered; exact figures not captured</w:t>
            </w:r>
          </w:p>
        </w:tc>
      </w:tr>
    </w:tbl>
    <w:p>
      <w:pPr>
        <w:spacing w:after="60" w:before="160"/>
      </w:pPr>
      <w:r>
        <w:rPr>
          <w:rFonts w:ascii="Arial" w:cs="Arial" w:eastAsia="Arial" w:hAnsi="Arial"/>
          <w:b/>
          <w:bCs/>
          <w:color w:val="0A1628"/>
          <w:sz w:val="19"/>
          <w:szCs w:val="19"/>
        </w:rPr>
        <w:t xml:space="preserve">Menopause clinics (Ireland)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200"/>
      </w:tblGrid>
      <w:tr>
        <w:trPr>
          <w:tblHeader/>
        </w:trPr>
        <w:tc>
          <w:tcPr>
            <w:tcW w:type="dxa" w:w="29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Player</w:t>
            </w:r>
          </w:p>
        </w:tc>
        <w:tc>
          <w:tcPr>
            <w:tcW w:type="dxa" w:w="35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What it is</w:t>
            </w:r>
          </w:p>
        </w:tc>
        <w:tc>
          <w:tcPr>
            <w:tcW w:type="dxa" w:w="22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Pricing</w:t>
            </w:r>
          </w:p>
        </w:tc>
      </w:tr>
      <w:tr>
        <w:tc>
          <w:tcPr>
            <w:tcW w:type="dxa" w:w="2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The Menopause Hub</w:t>
            </w:r>
          </w:p>
        </w:tc>
        <w:tc>
          <w:tcPr>
            <w:tcW w:type="dxa" w:w="35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Clinics in Mount Merrion, Santry and Cork</w:t>
            </w:r>
          </w:p>
        </w:tc>
        <w:tc>
          <w:tcPr>
            <w:tcW w:type="dxa" w:w="22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Not captured</w:t>
            </w:r>
          </w:p>
        </w:tc>
      </w:tr>
      <w:tr>
        <w:tc>
          <w:tcPr>
            <w:tcW w:type="dxa" w:w="29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Menopause Health (Dr Caoimhe Hartley)</w:t>
            </w:r>
          </w:p>
        </w:tc>
        <w:tc>
          <w:tcPr>
            <w:tcW w:type="dxa" w:w="35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Dublin, in-person and remote</w:t>
            </w:r>
          </w:p>
        </w:tc>
        <w:tc>
          <w:tcPr>
            <w:tcW w:type="dxa" w:w="22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Not captured</w:t>
            </w:r>
          </w:p>
        </w:tc>
      </w:tr>
      <w:tr>
        <w:tc>
          <w:tcPr>
            <w:tcW w:type="dxa" w:w="2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Centric Health (Grafton St)</w:t>
            </w:r>
          </w:p>
        </w:tc>
        <w:tc>
          <w:tcPr>
            <w:tcW w:type="dxa" w:w="35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GP-group menopause service</w:t>
            </w:r>
          </w:p>
        </w:tc>
        <w:tc>
          <w:tcPr>
            <w:tcW w:type="dxa" w:w="22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EUR 225</w:t>
            </w:r>
          </w:p>
        </w:tc>
      </w:tr>
      <w:tr>
        <w:tc>
          <w:tcPr>
            <w:tcW w:type="dxa" w:w="29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Westside Surgery (Dublin)</w:t>
            </w:r>
          </w:p>
        </w:tc>
        <w:tc>
          <w:tcPr>
            <w:tcW w:type="dxa" w:w="35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Private menopause consult</w:t>
            </w:r>
          </w:p>
        </w:tc>
        <w:tc>
          <w:tcPr>
            <w:tcW w:type="dxa" w:w="22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EUR 150 initial</w:t>
            </w:r>
          </w:p>
        </w:tc>
      </w:tr>
      <w:tr>
        <w:tc>
          <w:tcPr>
            <w:tcW w:type="dxa" w:w="2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DocOnCall.ie</w:t>
            </w:r>
          </w:p>
        </w:tc>
        <w:tc>
          <w:tcPr>
            <w:tcW w:type="dxa" w:w="35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Same-day GP video HRT consult</w:t>
            </w:r>
          </w:p>
        </w:tc>
        <w:tc>
          <w:tcPr>
            <w:tcW w:type="dxa" w:w="22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EUR 34.99</w:t>
            </w:r>
          </w:p>
        </w:tc>
      </w:tr>
    </w:tbl>
    <w:p>
      <w:pPr>
        <w:spacing w:after="70" w:before="60" w:line="272" w:lineRule="auto"/>
      </w:pPr>
      <w:r>
        <w:rPr>
          <w:rFonts w:ascii="Georgia" w:cs="Georgia" w:eastAsia="Georgia" w:hAnsi="Georgia"/>
          <w:color w:val="1A1A1A"/>
          <w:sz w:val="20"/>
          <w:szCs w:val="20"/>
        </w:rPr>
        <w:t xml:space="preserve">Ireland also operates a state free-HRT medication scheme, which lowers the drug-cost lever and pushes private differentiation toward service and experience, exactly where an integrated programme competes.</w:t>
      </w:r>
    </w:p>
    <w:p>
      <w:pPr>
        <w:spacing w:after="60" w:before="160"/>
      </w:pPr>
      <w:r>
        <w:rPr>
          <w:rFonts w:ascii="Arial" w:cs="Arial" w:eastAsia="Arial" w:hAnsi="Arial"/>
          <w:b/>
          <w:bCs/>
          <w:color w:val="0A1628"/>
          <w:sz w:val="19"/>
          <w:szCs w:val="19"/>
        </w:rPr>
        <w:t xml:space="preserve">Longevity, peptide and hormone-optimisation clinics (UK)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100"/>
        <w:gridCol w:w="5500"/>
      </w:tblGrid>
      <w:tr>
        <w:trPr>
          <w:tblHeader/>
        </w:trPr>
        <w:tc>
          <w:tcPr>
            <w:tcW w:type="dxa" w:w="31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Player</w:t>
            </w:r>
          </w:p>
        </w:tc>
        <w:tc>
          <w:tcPr>
            <w:tcW w:type="dxa" w:w="55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What it is</w:t>
            </w:r>
          </w:p>
        </w:tc>
      </w:tr>
      <w:tr>
        <w:tc>
          <w:tcPr>
            <w:tcW w:type="dxa" w:w="31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Menon Health (Mayfair)</w:t>
            </w:r>
          </w:p>
        </w:tc>
        <w:tc>
          <w:tcPr>
            <w:tcW w:type="dxa" w:w="55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Dr Mukil Menon; among first UK doctors to prescribe medical peptide therapy; fully prescription-based</w:t>
            </w:r>
          </w:p>
        </w:tc>
      </w:tr>
      <w:tr>
        <w:tc>
          <w:tcPr>
            <w:tcW w:type="dxa" w:w="31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Nuutro (Mayfair)</w:t>
            </w:r>
          </w:p>
        </w:tc>
        <w:tc>
          <w:tcPr>
            <w:tcW w:type="dxa" w:w="55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Consultation-led peptide protocols, EU-GMP/US-sourced, 3-month protocols</w:t>
            </w:r>
          </w:p>
        </w:tc>
      </w:tr>
      <w:tr>
        <w:tc>
          <w:tcPr>
            <w:tcW w:type="dxa" w:w="31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HUM2N (Chelsea)</w:t>
            </w:r>
          </w:p>
        </w:tc>
        <w:tc>
          <w:tcPr>
            <w:tcW w:type="dxa" w:w="55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Longevity clinic; 150+ biomarkers, hormone optimisation, peptides, membership</w:t>
            </w:r>
          </w:p>
        </w:tc>
      </w:tr>
      <w:tr>
        <w:tc>
          <w:tcPr>
            <w:tcW w:type="dxa" w:w="31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Dr Sophia Khalique (Harley St)</w:t>
            </w:r>
          </w:p>
        </w:tc>
        <w:tc>
          <w:tcPr>
            <w:tcW w:type="dxa" w:w="55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Doctor-led anti-ageing, peptide and regenerative clinic</w:t>
            </w:r>
          </w:p>
        </w:tc>
      </w:tr>
      <w:tr>
        <w:tc>
          <w:tcPr>
            <w:tcW w:type="dxa" w:w="31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Manchester Peptide Therapy Clinic</w:t>
            </w:r>
          </w:p>
        </w:tc>
        <w:tc>
          <w:tcPr>
            <w:tcW w:type="dxa" w:w="55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Peptide injections; local to the founder’s Manchester/Hale base</w:t>
            </w:r>
          </w:p>
        </w:tc>
      </w:tr>
    </w:tbl>
    <w:p>
      <w:pPr>
        <w:spacing w:after="70" w:before="60" w:line="272" w:lineRule="auto"/>
      </w:pPr>
      <w:r>
        <w:rPr>
          <w:rFonts w:ascii="Georgia" w:cs="Georgia" w:eastAsia="Georgia" w:hAnsi="Georgia"/>
          <w:color w:val="1A1A1A"/>
          <w:sz w:val="20"/>
          <w:szCs w:val="20"/>
        </w:rPr>
        <w:t xml:space="preserve">Longevity clinic cost ladders run roughly GBP 2,000 to GBP 15,000-plus, commonly GBP 2,000 to 4,500. No dedicated Irish peptide or longevity clinic surfaced, a likely white space. These clinics show the model, but they are London-centric, not perimenopause-specific and not lifestyle-integrated.</w:t>
      </w:r>
    </w:p>
    <w:p>
      <w:pPr>
        <w:spacing w:after="60" w:before="160"/>
      </w:pPr>
      <w:r>
        <w:rPr>
          <w:rFonts w:ascii="Arial" w:cs="Arial" w:eastAsia="Arial" w:hAnsi="Arial"/>
          <w:b/>
          <w:bCs/>
          <w:color w:val="0A1628"/>
          <w:sz w:val="19"/>
          <w:szCs w:val="19"/>
        </w:rPr>
        <w:t xml:space="preserve">Nutrition brands and the direct fitness analogue</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MPowder: premium wholefood menopause supplements (Peri-Boost, Meno-Boost); its peri-versus-meno split shows the segmentation demand is real. Health &amp; Her and Wild Nutrition also compete on supplements.</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Owning Your Menopause (Kate Rowe-Ham) is the closest analogue: an app blending strength, HIIT, yoga, Pilates, nutrition, sleep and specialist GP advice for women 40-plus. It is the model to beat, and its gap is precisely the integrated medical pillar.</w:t>
      </w:r>
    </w:p>
    <w:p>
      <w:pPr>
        <w:spacing w:after="60" w:before="160"/>
      </w:pPr>
      <w:r>
        <w:rPr>
          <w:rFonts w:ascii="Arial" w:cs="Arial" w:eastAsia="Arial" w:hAnsi="Arial"/>
          <w:b/>
          <w:bCs/>
          <w:color w:val="0A1628"/>
          <w:sz w:val="19"/>
          <w:szCs w:val="19"/>
        </w:rPr>
        <w:t xml:space="preserve">The GLP-1 precedent</w:t>
      </w:r>
    </w:p>
    <w:p>
      <w:pPr>
        <w:spacing w:after="70" w:before="70" w:line="272" w:lineRule="auto"/>
      </w:pPr>
      <w:r>
        <w:rPr>
          <w:rFonts w:ascii="Georgia" w:cs="Georgia" w:eastAsia="Georgia" w:hAnsi="Georgia"/>
          <w:color w:val="1A1A1A"/>
          <w:sz w:val="20"/>
          <w:szCs w:val="20"/>
        </w:rPr>
        <w:t xml:space="preserve">The medically supervised, subscription, delivered-injectable model already operates at national scale for weight loss: over two million people paying privately in Britain by mid-2025 versus around 290,000 on the NHS, and roughly GBP 210m a year of private spend. Players include Numan, Voy, Juniper, Manual and Second Nature, plus pharmacy channels. The infrastructure and consumer acceptance for supervised wellness injectables is proven; the compliant version of this venture can ride that behaviour rather than educate a cold market.</w:t>
      </w:r>
    </w:p>
    <w:p>
      <w:pPr>
        <w:spacing w:after="100" w:before="280"/>
      </w:pPr>
      <w:r>
        <w:rPr>
          <w:rFonts w:ascii="Arial" w:cs="Arial" w:eastAsia="Arial" w:hAnsi="Arial"/>
          <w:b/>
          <w:bCs/>
          <w:color w:val="B8942A"/>
          <w:spacing w:val="80"/>
          <w:sz w:val="16"/>
          <w:szCs w:val="16"/>
        </w:rPr>
        <w:t xml:space="preserve">THE REGULATORY REALITY (THE HINGE)</w:t>
      </w:r>
    </w:p>
    <w:p>
      <w:pPr>
        <w:pBdr>
          <w:bottom w:val="single" w:color="B8942A" w:sz="6"/>
        </w:pBdr>
        <w:spacing w:after="80" w:before="80"/>
      </w:pPr>
    </w:p>
    <w:p>
      <w:pPr>
        <w:spacing w:after="70" w:before="70" w:line="272" w:lineRule="auto"/>
      </w:pPr>
      <w:r>
        <w:rPr>
          <w:rFonts w:ascii="Georgia" w:cs="Georgia" w:eastAsia="Georgia" w:hAnsi="Georgia"/>
          <w:b/>
          <w:bCs/>
          <w:i w:val="false"/>
          <w:iCs w:val="false"/>
          <w:color w:val="9B2226"/>
          <w:sz w:val="20"/>
          <w:szCs w:val="20"/>
        </w:rPr>
        <w:t xml:space="preserve">This is the domain that determines whether the business is viable, and it is largely a "no" to the concept as literally worded, in both jurisdictions. </w:t>
      </w:r>
      <w:r>
        <w:rPr>
          <w:rFonts w:ascii="Georgia" w:cs="Georgia" w:eastAsia="Georgia" w:hAnsi="Georgia"/>
          <w:b w:val="false"/>
          <w:bCs w:val="false"/>
          <w:i w:val="false"/>
          <w:iCs w:val="false"/>
          <w:color w:val="1A1A1A"/>
          <w:sz w:val="20"/>
          <w:szCs w:val="20"/>
        </w:rPr>
        <w:t xml:space="preserve">The findings below are verified against the MHRA, ASA and CAP, GMC, GPhC and CQC in the UK, and the HPRA, Medical Council and PSI in Ireland.</w:t>
      </w:r>
    </w:p>
    <w:p>
      <w:pPr>
        <w:spacing w:after="60" w:before="160"/>
      </w:pPr>
      <w:r>
        <w:rPr>
          <w:rFonts w:ascii="Arial" w:cs="Arial" w:eastAsia="Arial" w:hAnsi="Arial"/>
          <w:b/>
          <w:bCs/>
          <w:color w:val="0A1628"/>
          <w:sz w:val="19"/>
          <w:szCs w:val="19"/>
        </w:rPr>
        <w:t xml:space="preserve">Three hard red lines (UK and Ireland alike)</w:t>
      </w:r>
    </w:p>
    <w:p>
      <w:pPr>
        <w:spacing w:after="60" w:before="60" w:line="272" w:lineRule="auto"/>
        <w:ind w:left="420" w:hanging="420"/>
      </w:pPr>
      <w:r>
        <w:rPr>
          <w:rFonts w:ascii="Arial" w:cs="Arial" w:eastAsia="Arial" w:hAnsi="Arial"/>
          <w:b/>
          <w:bCs/>
          <w:color w:val="B8942A"/>
          <w:sz w:val="20"/>
          <w:szCs w:val="20"/>
        </w:rPr>
        <w:t xml:space="preserve">1.  </w:t>
      </w:r>
      <w:r>
        <w:rPr>
          <w:rFonts w:ascii="Arial" w:cs="Arial" w:eastAsia="Arial" w:hAnsi="Arial"/>
          <w:b/>
          <w:bCs/>
          <w:color w:val="1A1A1A"/>
          <w:sz w:val="20"/>
          <w:szCs w:val="20"/>
        </w:rPr>
        <w:t xml:space="preserve">Most wellness peptides cannot lawfully be put into a human.  </w:t>
      </w:r>
      <w:r>
        <w:rPr>
          <w:rFonts w:ascii="Georgia" w:cs="Georgia" w:eastAsia="Georgia" w:hAnsi="Georgia"/>
          <w:color w:val="1A1A1A"/>
          <w:sz w:val="20"/>
          <w:szCs w:val="20"/>
        </w:rPr>
        <w:t xml:space="preserve">BPC-157, TB-500, ipamorelin, CJC-1295, sermorelin and melanotan are unlicensed and unlawful to supply for human use. The MHRA and HPRA actively seize them. The GLP-1 medicines (semaglutide, tirzepatide) are the exception: they are licensed prescription medicines, lawful only through a proper prescriber and pharmacy, and licensed for diabetes and weight management, not perimenopause.</w:t>
      </w:r>
    </w:p>
    <w:p>
      <w:pPr>
        <w:spacing w:after="60" w:before="60" w:line="272" w:lineRule="auto"/>
        <w:ind w:left="420" w:hanging="420"/>
      </w:pPr>
      <w:r>
        <w:rPr>
          <w:rFonts w:ascii="Arial" w:cs="Arial" w:eastAsia="Arial" w:hAnsi="Arial"/>
          <w:b/>
          <w:bCs/>
          <w:color w:val="B8942A"/>
          <w:sz w:val="20"/>
          <w:szCs w:val="20"/>
        </w:rPr>
        <w:t xml:space="preserve">2.  </w:t>
      </w:r>
      <w:r>
        <w:rPr>
          <w:rFonts w:ascii="Arial" w:cs="Arial" w:eastAsia="Arial" w:hAnsi="Arial"/>
          <w:b/>
          <w:bCs/>
          <w:color w:val="1A1A1A"/>
          <w:sz w:val="20"/>
          <w:szCs w:val="20"/>
        </w:rPr>
        <w:t xml:space="preserve">Prescription medicines cannot be advertised to the public.  </w:t>
      </w:r>
      <w:r>
        <w:rPr>
          <w:rFonts w:ascii="Georgia" w:cs="Georgia" w:eastAsia="Georgia" w:hAnsi="Georgia"/>
          <w:color w:val="1A1A1A"/>
          <w:sz w:val="20"/>
          <w:szCs w:val="20"/>
        </w:rPr>
        <w:t xml:space="preserve">A social-media-led "peptide" or prescription programme aimed at the public is prohibited (UK Human Medicines Regulations 2012; Ireland S.I. 541 of 2007), and there is a live enforcement drive against exactly this kind of GLP-1 and slimming-jab promotion, including via influencers. Marketing may sell the programme and education, never the drug.</w:t>
      </w:r>
    </w:p>
    <w:p>
      <w:pPr>
        <w:spacing w:after="60" w:before="60" w:line="272" w:lineRule="auto"/>
        <w:ind w:left="420" w:hanging="420"/>
      </w:pPr>
      <w:r>
        <w:rPr>
          <w:rFonts w:ascii="Arial" w:cs="Arial" w:eastAsia="Arial" w:hAnsi="Arial"/>
          <w:b/>
          <w:bCs/>
          <w:color w:val="B8942A"/>
          <w:sz w:val="20"/>
          <w:szCs w:val="20"/>
        </w:rPr>
        <w:t xml:space="preserve">3.  </w:t>
      </w:r>
      <w:r>
        <w:rPr>
          <w:rFonts w:ascii="Arial" w:cs="Arial" w:eastAsia="Arial" w:hAnsi="Arial"/>
          <w:b/>
          <w:bCs/>
          <w:color w:val="1A1A1A"/>
          <w:sz w:val="20"/>
          <w:szCs w:val="20"/>
        </w:rPr>
        <w:t xml:space="preserve">A non-clinician cannot prescribe or clinically supervise.  </w:t>
      </w:r>
      <w:r>
        <w:rPr>
          <w:rFonts w:ascii="Georgia" w:cs="Georgia" w:eastAsia="Georgia" w:hAnsi="Georgia"/>
          <w:color w:val="1A1A1A"/>
          <w:sz w:val="20"/>
          <w:szCs w:val="20"/>
        </w:rPr>
        <w:t xml:space="preserve">The prescribing decision and its accountability must sit with a registered prescriber after an individual clinical assessment, inside a registered pharmacy or clinic, with clinical governance. A non-clinician may own the business but cannot make or direct clinical decisions.</w:t>
      </w:r>
    </w:p>
    <w:p>
      <w:pPr>
        <w:spacing w:after="60" w:before="160"/>
      </w:pPr>
      <w:r>
        <w:rPr>
          <w:rFonts w:ascii="Arial" w:cs="Arial" w:eastAsia="Arial" w:hAnsi="Arial"/>
          <w:b/>
          <w:bCs/>
          <w:color w:val="0A1628"/>
          <w:sz w:val="19"/>
          <w:szCs w:val="19"/>
        </w:rPr>
        <w:t xml:space="preserve">The only lawful shape</w:t>
      </w:r>
    </w:p>
    <w:p>
      <w:pPr>
        <w:spacing w:after="70" w:before="70" w:line="272" w:lineRule="auto"/>
      </w:pPr>
      <w:r>
        <w:rPr>
          <w:rFonts w:ascii="Georgia" w:cs="Georgia" w:eastAsia="Georgia" w:hAnsi="Georgia"/>
          <w:color w:val="1A1A1A"/>
          <w:sz w:val="20"/>
          <w:szCs w:val="20"/>
        </w:rPr>
        <w:t xml:space="preserve">Licensed medicines only, prescribed by a registered independent prescriber after genuine individual assessment, dispensed by a registered pharmacy, with CQC registration in England (and equivalents), and marketing that never names or promotes a prescription medicine to the public. This is the GLP-1 online-pharmacy template, and it works precisely because the substances are licensed. It does not extend to unlicensed peptides at all.</w:t>
      </w:r>
    </w:p>
    <w:p>
      <w:pPr>
        <w:spacing w:after="70" w:before="70" w:line="272" w:lineRule="auto"/>
      </w:pPr>
      <w:r>
        <w:rPr>
          <w:rFonts w:ascii="Georgia" w:cs="Georgia" w:eastAsia="Georgia" w:hAnsi="Georgia"/>
          <w:b/>
          <w:bCs/>
          <w:i w:val="false"/>
          <w:iCs w:val="false"/>
          <w:color w:val="1A1A1A"/>
          <w:sz w:val="20"/>
          <w:szCs w:val="20"/>
        </w:rPr>
        <w:t xml:space="preserve">Ireland is not a softer back door. </w:t>
      </w:r>
      <w:r>
        <w:rPr>
          <w:rFonts w:ascii="Georgia" w:cs="Georgia" w:eastAsia="Georgia" w:hAnsi="Georgia"/>
          <w:b w:val="false"/>
          <w:bCs w:val="false"/>
          <w:i w:val="false"/>
          <w:iCs w:val="false"/>
          <w:color w:val="1A1A1A"/>
          <w:sz w:val="20"/>
          <w:szCs w:val="20"/>
        </w:rPr>
        <w:t xml:space="preserve">The medicines and advertising law is broadly equivalent to the UK and actively enforced by the HPRA. The one apparent difference, that Ireland has no clinic-premises licensing regime, is a gap in premises oversight only; it gives no cover on the medicines or advertising rules. Do not treat Ireland as a lighter-touch route.</w:t>
      </w:r>
    </w:p>
    <w:p>
      <w:pPr>
        <w:pBdr>
          <w:left w:val="single" w:color="9B2226" w:sz="18"/>
        </w:pBdr>
        <w:shd w:fill="F5E9E9" w:val="clear"/>
        <w:spacing w:after="120" w:before="120" w:line="272" w:lineRule="auto"/>
        <w:ind w:left="240" w:right="240"/>
      </w:pPr>
      <w:r>
        <w:rPr>
          <w:rFonts w:ascii="Georgia" w:cs="Georgia" w:eastAsia="Georgia" w:hAnsi="Georgia"/>
          <w:i/>
          <w:iCs/>
          <w:color w:val="1A1A1A"/>
          <w:sz w:val="20"/>
          <w:szCs w:val="20"/>
        </w:rPr>
        <w:t xml:space="preserve">Meridian’s conclusion: the venture is viable, but only if reframed. Drop "peptides" as a public proposition. Build a perimenopause nutrition, training and education brand, with any prescribing (realistically licensed HRT or, where clinically justified, licensed GLP-1s) handled entirely by a regulated medical partner behind a clinical consultation gate. This is a matter for the mandatory human gate: a healthcare-regulatory solicitor must advise, and the regulators should be pre-engaged, before anything launches.</w:t>
      </w:r>
    </w:p>
    <w:p>
      <w:pPr>
        <w:spacing w:after="100" w:before="280"/>
      </w:pPr>
      <w:r>
        <w:rPr>
          <w:rFonts w:ascii="Arial" w:cs="Arial" w:eastAsia="Arial" w:hAnsi="Arial"/>
          <w:b/>
          <w:bCs/>
          <w:color w:val="B8942A"/>
          <w:spacing w:val="80"/>
          <w:sz w:val="16"/>
          <w:szCs w:val="16"/>
        </w:rPr>
        <w:t xml:space="preserve">RECOMMENDED OPERATING MODEL</w:t>
      </w:r>
    </w:p>
    <w:p>
      <w:pPr>
        <w:pBdr>
          <w:bottom w:val="single" w:color="B8942A" w:sz="6"/>
        </w:pBdr>
        <w:spacing w:after="80" w:before="80"/>
      </w:pPr>
    </w:p>
    <w:p>
      <w:pPr>
        <w:spacing w:after="70" w:before="70" w:line="272" w:lineRule="auto"/>
      </w:pPr>
      <w:r>
        <w:rPr>
          <w:rFonts w:ascii="Georgia" w:cs="Georgia" w:eastAsia="Georgia" w:hAnsi="Georgia"/>
          <w:color w:val="1A1A1A"/>
          <w:sz w:val="20"/>
          <w:szCs w:val="20"/>
        </w:rPr>
        <w:t xml:space="preserve">The non-negotiable principle: medical and prescribing risk sits with a properly regulated partner, never with the brand or the founder. Three models were assessed.</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Model A (lightest): content, community and coaching, referring members to a regulated prescriber. Fast and cheap, but the medical pillar is at arm’s length. Best used as a pre-launch pilot to prove demand.</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Model B (recommended entry): a joint venture with a registered pharmacy or menopause clinic that owns all prescribing, governance and drug supply. The brand owns marketing, community, nutrition, training and the customer relationship, and takes a programme fee or referral share on the medical side. The risk sits where it belongs; credibility is borrowed from an established regulated name; capital-light.</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Model C (heaviest): a fully owned, medically supervised clinic. Full margin and control, but heavy capital, real clinical liability, and the wrong place for a non-clinical founder to start. A later option once demand and economics are proven.</w:t>
      </w:r>
    </w:p>
    <w:p>
      <w:pPr>
        <w:spacing w:after="70" w:before="70" w:line="272" w:lineRule="auto"/>
      </w:pPr>
      <w:r>
        <w:rPr>
          <w:rFonts w:ascii="Georgia" w:cs="Georgia" w:eastAsia="Georgia" w:hAnsi="Georgia"/>
          <w:b/>
          <w:bCs/>
          <w:i w:val="false"/>
          <w:iCs w:val="false"/>
          <w:color w:val="1A1A1A"/>
          <w:sz w:val="20"/>
          <w:szCs w:val="20"/>
        </w:rPr>
        <w:t xml:space="preserve">Recommendation: enter via Model B, </w:t>
      </w:r>
      <w:r>
        <w:rPr>
          <w:rFonts w:ascii="Georgia" w:cs="Georgia" w:eastAsia="Georgia" w:hAnsi="Georgia"/>
          <w:b w:val="false"/>
          <w:bCs w:val="false"/>
          <w:i w:val="false"/>
          <w:iCs w:val="false"/>
          <w:color w:val="1A1A1A"/>
          <w:sz w:val="20"/>
          <w:szCs w:val="20"/>
        </w:rPr>
        <w:t xml:space="preserve">with Model A as an optional pre-launch pilot. It makes the medical pillar genuinely part of the offer while keeping the risk and registration with the regulated partner, and it plays to the founder’s strengths (audience, brand, programme-building) and away from his weaknesses (clinical).</w:t>
      </w:r>
    </w:p>
    <w:p>
      <w:pPr>
        <w:spacing w:after="60" w:before="160"/>
      </w:pPr>
      <w:r>
        <w:rPr>
          <w:rFonts w:ascii="Arial" w:cs="Arial" w:eastAsia="Arial" w:hAnsi="Arial"/>
          <w:b/>
          <w:bCs/>
          <w:color w:val="0A1628"/>
          <w:sz w:val="19"/>
          <w:szCs w:val="19"/>
        </w:rPr>
        <w:t xml:space="preserve">The team</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A female clinical / menopause lead as the face of the brand (a GP with a menopause interest, ideally BMS-accredited, or a menopause-trained nurse prescriber). This is the single most important hire.</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A registered prescriber or pharmacy partner (via the JV) carrying prescribing and governance.</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A registered dietitian or nutritionist (pillar one); strength-biased, women’s-health-aware trainers (pillar two).</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The brand and content engine (Johnny and a small team: podcast, video, social, community) and a community/member-success manager, since retention is where subscription businesses live or die.</w:t>
      </w:r>
    </w:p>
    <w:p>
      <w:pPr>
        <w:spacing w:after="100" w:before="280"/>
      </w:pPr>
      <w:r>
        <w:rPr>
          <w:rFonts w:ascii="Arial" w:cs="Arial" w:eastAsia="Arial" w:hAnsi="Arial"/>
          <w:b/>
          <w:bCs/>
          <w:color w:val="B8942A"/>
          <w:spacing w:val="80"/>
          <w:sz w:val="16"/>
          <w:szCs w:val="16"/>
        </w:rPr>
        <w:t xml:space="preserve">ILLUSTRATIVE ECONOMICS</w:t>
      </w:r>
    </w:p>
    <w:p>
      <w:pPr>
        <w:pBdr>
          <w:bottom w:val="single" w:color="B8942A" w:sz="6"/>
        </w:pBdr>
        <w:spacing w:after="80" w:before="80"/>
      </w:pPr>
    </w:p>
    <w:p>
      <w:pPr>
        <w:spacing w:after="100" w:before="70" w:line="272" w:lineRule="auto"/>
      </w:pPr>
      <w:r>
        <w:rPr>
          <w:rFonts w:ascii="Georgia" w:cs="Georgia" w:eastAsia="Georgia" w:hAnsi="Georgia"/>
          <w:color w:val="1A1A1A"/>
          <w:sz w:val="20"/>
          <w:szCs w:val="20"/>
        </w:rPr>
        <w:t xml:space="preserve">Verified price anchors: private menopause consults run GBP 195 to 295 (initial); GLP-1 weight-loss subscriptions run roughly GBP 100 to 330 per month. The programme figures below are illustrative estimates to show the shape, not quotes.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3600"/>
      </w:tblGrid>
      <w:tr>
        <w:trPr>
          <w:tblHeader/>
        </w:trPr>
        <w:tc>
          <w:tcPr>
            <w:tcW w:type="dxa" w:w="29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Tier</w:t>
            </w:r>
          </w:p>
        </w:tc>
        <w:tc>
          <w:tcPr>
            <w:tcW w:type="dxa" w:w="21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Price / month</w:t>
            </w:r>
          </w:p>
        </w:tc>
        <w:tc>
          <w:tcPr>
            <w:tcW w:type="dxa" w:w="36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Includes</w:t>
            </w:r>
          </w:p>
        </w:tc>
      </w:tr>
      <w:tr>
        <w:tc>
          <w:tcPr>
            <w:tcW w:type="dxa" w:w="2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1 — Foundation (no medical)</w:t>
            </w:r>
          </w:p>
        </w:tc>
        <w:tc>
          <w:tcPr>
            <w:tcW w:type="dxa" w:w="21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GBP 49-79</w:t>
            </w:r>
          </w:p>
        </w:tc>
        <w:tc>
          <w:tcPr>
            <w:tcW w:type="dxa" w:w="36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Education library, community, structured strength + nutrition programme, monthly live Q&amp;A with clinical lead</w:t>
            </w:r>
          </w:p>
        </w:tc>
      </w:tr>
      <w:tr>
        <w:tc>
          <w:tcPr>
            <w:tcW w:type="dxa" w:w="29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2 — Programme (flagship)</w:t>
            </w:r>
          </w:p>
        </w:tc>
        <w:tc>
          <w:tcPr>
            <w:tcW w:type="dxa" w:w="21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GBP 129-179</w:t>
            </w:r>
          </w:p>
        </w:tc>
        <w:tc>
          <w:tcPr>
            <w:tcW w:type="dxa" w:w="36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Assessment, personalised nutrition and training plan, check-ins, community, clinical review where appropriate</w:t>
            </w:r>
          </w:p>
        </w:tc>
      </w:tr>
      <w:tr>
        <w:tc>
          <w:tcPr>
            <w:tcW w:type="dxa" w:w="2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3 — Programme + supervised medical</w:t>
            </w:r>
          </w:p>
        </w:tc>
        <w:tc>
          <w:tcPr>
            <w:tcW w:type="dxa" w:w="21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GBP 129-179 + partner fees</w:t>
            </w:r>
          </w:p>
        </w:tc>
        <w:tc>
          <w:tcPr>
            <w:tcW w:type="dxa" w:w="36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As Tier 2, plus medical element billed separately by the regulated partner (consult and any prescription at their rates)</w:t>
            </w:r>
          </w:p>
        </w:tc>
      </w:tr>
    </w:tbl>
    <w:p>
      <w:pPr>
        <w:spacing w:after="0" w:before="120"/>
      </w:pP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Gross margin on the core tier is around 60 to 70% at cohort scale (roughly GBP 150 revenue against GBP 45 to 60 cost to serve). Cohort delivery is what makes this work; one-to-one delivery collapses the margin.</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Breakeven is around 155 paying members, against a fixed monthly cost of roughly GBP 12,000 to 18,000 at entry and about GBP 97 gross contribution per member.</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Customer acquisition: the founder’s content skill is a genuine edge, but his warm audience is male, so reaching women 40 to 55 needs paid social and partnerships. Blended acquisition cost is estimated at GBP 40 to 120 per member; member lifetime value of roughly GBP 580 to 875 supports that comfortably. The business lives or dies on retention, not acquisition.</w:t>
      </w:r>
    </w:p>
    <w:p>
      <w:pPr>
        <w:spacing w:after="100" w:before="280"/>
      </w:pPr>
      <w:r>
        <w:rPr>
          <w:rFonts w:ascii="Arial" w:cs="Arial" w:eastAsia="Arial" w:hAnsi="Arial"/>
          <w:b/>
          <w:bCs/>
          <w:color w:val="B8942A"/>
          <w:spacing w:val="80"/>
          <w:sz w:val="16"/>
          <w:szCs w:val="16"/>
        </w:rPr>
        <w:t xml:space="preserve">MARKETING PLAN</w:t>
      </w:r>
    </w:p>
    <w:p>
      <w:pPr>
        <w:pBdr>
          <w:bottom w:val="single" w:color="B8942A" w:sz="6"/>
        </w:pBdr>
        <w:spacing w:after="80" w:before="80"/>
      </w:pPr>
    </w:p>
    <w:p>
      <w:pPr>
        <w:spacing w:after="70" w:before="70" w:line="272" w:lineRule="auto"/>
      </w:pPr>
      <w:r>
        <w:rPr>
          <w:rFonts w:ascii="Georgia" w:cs="Georgia" w:eastAsia="Georgia" w:hAnsi="Georgia"/>
          <w:b/>
          <w:bCs/>
          <w:i w:val="false"/>
          <w:iCs w:val="false"/>
          <w:color w:val="9B2226"/>
          <w:sz w:val="20"/>
          <w:szCs w:val="20"/>
        </w:rPr>
        <w:t xml:space="preserve">The compliance rule that governs everything: </w:t>
      </w:r>
      <w:r>
        <w:rPr>
          <w:rFonts w:ascii="Georgia" w:cs="Georgia" w:eastAsia="Georgia" w:hAnsi="Georgia"/>
          <w:b w:val="false"/>
          <w:bCs w:val="false"/>
          <w:i w:val="false"/>
          <w:iCs w:val="false"/>
          <w:color w:val="1A1A1A"/>
          <w:sz w:val="20"/>
          <w:szCs w:val="20"/>
        </w:rPr>
        <w:t xml:space="preserve">prescription medicines cannot be advertised to the public. Market the programme, the education, the outcomes and the community, never the drug. No "peptide jabs," no medication before-and-afters, no naming prescription products. Sell transformation and knowledge; let the regulated partner handle anything drug-specific behind a clinical gate.</w:t>
      </w:r>
    </w:p>
    <w:p>
      <w:pPr>
        <w:spacing w:after="60" w:before="160"/>
      </w:pPr>
      <w:r>
        <w:rPr>
          <w:rFonts w:ascii="Arial" w:cs="Arial" w:eastAsia="Arial" w:hAnsi="Arial"/>
          <w:b/>
          <w:bCs/>
          <w:color w:val="0A1628"/>
          <w:sz w:val="19"/>
          <w:szCs w:val="19"/>
        </w:rPr>
        <w:t xml:space="preserve">Re-pointing the founder’s assets</w:t>
      </w:r>
    </w:p>
    <w:p>
      <w:pPr>
        <w:spacing w:after="70" w:before="70" w:line="272" w:lineRule="auto"/>
      </w:pPr>
      <w:r>
        <w:rPr>
          <w:rFonts w:ascii="Georgia" w:cs="Georgia" w:eastAsia="Georgia" w:hAnsi="Georgia"/>
          <w:color w:val="1A1A1A"/>
          <w:sz w:val="20"/>
          <w:szCs w:val="20"/>
        </w:rPr>
        <w:t xml:space="preserve">Keep the craft, change the face and the channel. Build a new brand handle and podcast strand fronted by the female clinical lead, with Johnny as a recurring founder voice ("why a barber built a women’s health company" is itself a compelling origin story). Use his existing reach sparingly, for launch amplification and a legitimate secondary "for the women in your life" funnel.</w:t>
      </w:r>
    </w:p>
    <w:p>
      <w:pPr>
        <w:spacing w:after="60" w:before="160"/>
      </w:pPr>
      <w:r>
        <w:rPr>
          <w:rFonts w:ascii="Arial" w:cs="Arial" w:eastAsia="Arial" w:hAnsi="Arial"/>
          <w:b/>
          <w:bCs/>
          <w:color w:val="0A1628"/>
          <w:sz w:val="19"/>
          <w:szCs w:val="19"/>
        </w:rPr>
        <w:t xml:space="preserve">Content pillars and channels</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Pillars: educate (what perimenopause actually is), myth-bust (HRT and diet-culture myths), real stories (members and the clinical lead), the science (sober, clinician-fronted), and practical training and nutrition.</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Channels: Instagram and TikTok for education and reach; the podcast as the anchor asset where the founder’s production skill compounds; email and a private community as the owned retention engine; and SEO for evergreen high-intent menopause search.</w:t>
      </w:r>
    </w:p>
    <w:p>
      <w:pPr>
        <w:spacing w:after="60" w:before="160"/>
      </w:pPr>
      <w:r>
        <w:rPr>
          <w:rFonts w:ascii="Arial" w:cs="Arial" w:eastAsia="Arial" w:hAnsi="Arial"/>
          <w:b/>
          <w:bCs/>
          <w:color w:val="0A1628"/>
          <w:sz w:val="19"/>
          <w:szCs w:val="19"/>
        </w:rPr>
        <w:t xml:space="preserve">Partnerships and launch</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Partnerships: GPs and menopause clinics (and the JV partner as anchor), gyms and studios for co-branded strength programmes, and workplaces, a real and growing corporate menopause budget that is high-margin and credibility-rich, worth a dedicated B2B offer.</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Launch sequence: pre-launch waitlist and lead magnet; a community warm-up with live Q&amp;As and podcast library; a "founding 100" cohort at a founder price to generate testimonials and retention proof; then scale with paid social, the corporate offer, and expansion to Ireland once the UK cohort mechanics are proven.</w:t>
      </w:r>
    </w:p>
    <w:p>
      <w:pPr>
        <w:spacing w:after="100" w:before="280"/>
      </w:pPr>
      <w:r>
        <w:rPr>
          <w:rFonts w:ascii="Arial" w:cs="Arial" w:eastAsia="Arial" w:hAnsi="Arial"/>
          <w:b/>
          <w:bCs/>
          <w:color w:val="B8942A"/>
          <w:spacing w:val="80"/>
          <w:sz w:val="16"/>
          <w:szCs w:val="16"/>
        </w:rPr>
        <w:t xml:space="preserve">BRAND ARCHITECTURE AND NAME</w:t>
      </w:r>
    </w:p>
    <w:p>
      <w:pPr>
        <w:pBdr>
          <w:bottom w:val="single" w:color="B8942A" w:sz="6"/>
        </w:pBdr>
        <w:spacing w:after="80" w:before="80"/>
      </w:pPr>
    </w:p>
    <w:p>
      <w:pPr>
        <w:spacing w:after="70" w:before="70" w:line="272" w:lineRule="auto"/>
      </w:pPr>
      <w:r>
        <w:rPr>
          <w:rFonts w:ascii="Georgia" w:cs="Georgia" w:eastAsia="Georgia" w:hAnsi="Georgia"/>
          <w:b/>
          <w:bCs/>
          <w:i w:val="false"/>
          <w:iCs w:val="false"/>
          <w:color w:val="1A1A1A"/>
          <w:sz w:val="20"/>
          <w:szCs w:val="20"/>
        </w:rPr>
        <w:t xml:space="preserve">Architecture: </w:t>
      </w:r>
      <w:r>
        <w:rPr>
          <w:rFonts w:ascii="Georgia" w:cs="Georgia" w:eastAsia="Georgia" w:hAnsi="Georgia"/>
          <w:b w:val="false"/>
          <w:bCs w:val="false"/>
          <w:i w:val="false"/>
          <w:iCs w:val="false"/>
          <w:color w:val="1A1A1A"/>
          <w:sz w:val="20"/>
          <w:szCs w:val="20"/>
        </w:rPr>
        <w:t xml:space="preserve">Barber Republic sits as the parent platform and backer; the perimenopause venture is a stand-alone, female-facing brand underneath it. A "Barber" name cannot front a women’s perimenopause offer, so the customer-facing brand stands on its own, carries the female clinical lead as its face, and draws capital, infrastructure and reach from the platform behind it.</w:t>
      </w:r>
    </w:p>
    <w:p>
      <w:pPr>
        <w:spacing w:after="60" w:before="160"/>
      </w:pPr>
      <w:r>
        <w:rPr>
          <w:rFonts w:ascii="Arial" w:cs="Arial" w:eastAsia="Arial" w:hAnsi="Arial"/>
          <w:b/>
          <w:bCs/>
          <w:color w:val="0A1628"/>
          <w:sz w:val="19"/>
          <w:szCs w:val="19"/>
        </w:rPr>
        <w:t xml:space="preserve">Candidate names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6900"/>
      </w:tblGrid>
      <w:tr>
        <w:trPr>
          <w:tblHeader/>
        </w:trPr>
        <w:tc>
          <w:tcPr>
            <w:tcW w:type="dxa" w:w="17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Name</w:t>
            </w:r>
          </w:p>
        </w:tc>
        <w:tc>
          <w:tcPr>
            <w:tcW w:type="dxa" w:w="6900"/>
            <w:shd w:fill="0A1628" w:val="clear"/>
            <w:tcMar>
              <w:top w:type="dxa" w:w="50"/>
              <w:left w:type="dxa" w:w="100"/>
              <w:bottom w:type="dxa" w:w="50"/>
              <w:right w:type="dxa" w:w="100"/>
            </w:tcMar>
          </w:tcPr>
          <w:p>
            <w:pPr>
              <w:spacing w:after="20" w:before="20"/>
            </w:pPr>
            <w:r>
              <w:rPr>
                <w:rFonts w:ascii="Arial" w:cs="Arial" w:eastAsia="Arial" w:hAnsi="Arial"/>
                <w:b/>
                <w:bCs/>
                <w:color w:val="FFFFFF"/>
                <w:sz w:val="15"/>
                <w:szCs w:val="15"/>
              </w:rPr>
              <w:t xml:space="preserve">Tone and rationale</w:t>
            </w:r>
          </w:p>
        </w:tc>
      </w:tr>
      <w:tr>
        <w:tc>
          <w:tcPr>
            <w:tcW w:type="dxa" w:w="17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Season</w:t>
            </w:r>
          </w:p>
        </w:tc>
        <w:tc>
          <w:tcPr>
            <w:tcW w:type="dxa" w:w="6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Perimenopause as a life season, not a decline. Calm, premium, non-medical, highly ownable. (Lead recommendation.)</w:t>
            </w:r>
          </w:p>
        </w:tc>
      </w:tr>
      <w:tr>
        <w:tc>
          <w:tcPr>
            <w:tcW w:type="dxa" w:w="17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Vera Health</w:t>
            </w:r>
          </w:p>
        </w:tc>
        <w:tc>
          <w:tcPr>
            <w:tcW w:type="dxa" w:w="69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"Vera" means true. Female-coded, warm but credible; signals honesty and clinical integrity. (Clinical-credible alternative.)</w:t>
            </w:r>
          </w:p>
        </w:tc>
      </w:tr>
      <w:tr>
        <w:tc>
          <w:tcPr>
            <w:tcW w:type="dxa" w:w="17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Meno &amp; Co.</w:t>
            </w:r>
          </w:p>
        </w:tc>
        <w:tc>
          <w:tcPr>
            <w:tcW w:type="dxa" w:w="6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Warm, modern, boutique; names the category without clinical coldness.</w:t>
            </w:r>
          </w:p>
        </w:tc>
      </w:tr>
      <w:tr>
        <w:tc>
          <w:tcPr>
            <w:tcW w:type="dxa" w:w="17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Second Spring</w:t>
            </w:r>
          </w:p>
        </w:tc>
        <w:tc>
          <w:tcPr>
            <w:tcW w:type="dxa" w:w="69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The culturally resonant framing of menopause as a second spring; hopeful and premium.</w:t>
            </w:r>
          </w:p>
        </w:tc>
      </w:tr>
      <w:tr>
        <w:tc>
          <w:tcPr>
            <w:tcW w:type="dxa" w:w="17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The Bridge</w:t>
            </w:r>
          </w:p>
        </w:tc>
        <w:tc>
          <w:tcPr>
            <w:tcW w:type="dxa" w:w="6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The perimenopause bridge years; a metaphor of navigation and support.</w:t>
            </w:r>
          </w:p>
        </w:tc>
      </w:tr>
      <w:tr>
        <w:tc>
          <w:tcPr>
            <w:tcW w:type="dxa" w:w="17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Ember</w:t>
            </w:r>
          </w:p>
        </w:tc>
        <w:tc>
          <w:tcPr>
            <w:tcW w:type="dxa" w:w="69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Heat and energy reclaimed, a knowing nod to symptoms reframed as vitality.</w:t>
            </w:r>
          </w:p>
        </w:tc>
      </w:tr>
      <w:tr>
        <w:tc>
          <w:tcPr>
            <w:tcW w:type="dxa" w:w="17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Peri</w:t>
            </w:r>
          </w:p>
        </w:tc>
        <w:tc>
          <w:tcPr>
            <w:tcW w:type="dxa" w:w="6900"/>
            <w:shd w:fill="FFFFFF"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Confident ownership of "perimenopause"; short and modern, but literal, needs a strong tagline.</w:t>
            </w:r>
          </w:p>
        </w:tc>
      </w:tr>
      <w:tr>
        <w:tc>
          <w:tcPr>
            <w:tcW w:type="dxa" w:w="17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Maren</w:t>
            </w:r>
          </w:p>
        </w:tc>
        <w:tc>
          <w:tcPr>
            <w:tcW w:type="dxa" w:w="6900"/>
            <w:shd w:fill="F8F5F0" w:val="clear"/>
            <w:tcMar>
              <w:top w:type="dxa" w:w="50"/>
              <w:left w:type="dxa" w:w="100"/>
              <w:bottom w:type="dxa" w:w="50"/>
              <w:right w:type="dxa" w:w="100"/>
            </w:tcMar>
          </w:tcPr>
          <w:p>
            <w:pPr>
              <w:spacing w:after="20" w:before="20" w:line="250" w:lineRule="auto"/>
            </w:pPr>
            <w:r>
              <w:rPr>
                <w:rFonts w:ascii="Georgia" w:cs="Georgia" w:eastAsia="Georgia" w:hAnsi="Georgia"/>
                <w:color w:val="1A1A1A"/>
                <w:sz w:val="16"/>
                <w:szCs w:val="16"/>
              </w:rPr>
              <w:t xml:space="preserve">Invented, feminine, premium, unclaimed; a blank, credible canvas.</w:t>
            </w:r>
          </w:p>
        </w:tc>
      </w:tr>
    </w:tbl>
    <w:p>
      <w:pPr>
        <w:spacing w:after="70" w:before="70" w:line="272" w:lineRule="auto"/>
      </w:pPr>
      <w:r>
        <w:rPr>
          <w:rFonts w:ascii="Georgia" w:cs="Georgia" w:eastAsia="Georgia" w:hAnsi="Georgia"/>
          <w:b/>
          <w:bCs/>
          <w:i w:val="false"/>
          <w:iCs w:val="false"/>
          <w:color w:val="1A1A1A"/>
          <w:sz w:val="20"/>
          <w:szCs w:val="20"/>
        </w:rPr>
        <w:t xml:space="preserve">Recommended: Season, </w:t>
      </w:r>
      <w:r>
        <w:rPr>
          <w:rFonts w:ascii="Georgia" w:cs="Georgia" w:eastAsia="Georgia" w:hAnsi="Georgia"/>
          <w:b w:val="false"/>
          <w:bCs w:val="false"/>
          <w:i w:val="false"/>
          <w:iCs w:val="false"/>
          <w:color w:val="1A1A1A"/>
          <w:sz w:val="20"/>
          <w:szCs w:val="20"/>
        </w:rPr>
        <w:t xml:space="preserve">as the lead, with Vera Health as the more overtly clinical alternative. Both stand alone, carry warmth and credibility, avoid medical over-claim, and leave room for the clinical lead as the face and Johnny as disclosed backer.</w:t>
      </w:r>
    </w:p>
    <w:p>
      <w:pPr>
        <w:spacing w:after="100" w:before="280"/>
      </w:pPr>
      <w:r>
        <w:rPr>
          <w:rFonts w:ascii="Arial" w:cs="Arial" w:eastAsia="Arial" w:hAnsi="Arial"/>
          <w:b/>
          <w:bCs/>
          <w:color w:val="B8942A"/>
          <w:spacing w:val="80"/>
          <w:sz w:val="16"/>
          <w:szCs w:val="16"/>
        </w:rPr>
        <w:t xml:space="preserve">RISKS AND SUCCESS FACTORS</w:t>
      </w:r>
    </w:p>
    <w:p>
      <w:pPr>
        <w:pBdr>
          <w:bottom w:val="single" w:color="B8942A" w:sz="6"/>
        </w:pBdr>
        <w:spacing w:after="80" w:before="80"/>
      </w:pPr>
    </w:p>
    <w:p>
      <w:pPr>
        <w:spacing w:after="40" w:before="120"/>
      </w:pPr>
      <w:r>
        <w:rPr>
          <w:rFonts w:ascii="Arial" w:cs="Arial" w:eastAsia="Arial" w:hAnsi="Arial"/>
          <w:b/>
          <w:bCs/>
          <w:color w:val="1A1A1A"/>
          <w:sz w:val="17"/>
          <w:szCs w:val="17"/>
        </w:rPr>
        <w:t xml:space="preserve">Key risks</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Audience mismatch (the highest strategic risk): the founder’s warm audience is male; the customer is female. Mitigate with a stand-alone brand and female clinical lead, founder as backer only.</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"Peptide" reputational and regulatory risk: done loosely, it reads as cowboy aesthetics and invites regulator and press trouble. Mitigate by letting the regulated partner own all prescribing and marketing the programme, not the drug.</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Founder dependence, clinical-credibility gap, retention risk, and health-data (special-category, GDPR) risk, each addressed by building brand equity in the clinical lead and member outcomes, cohort delivery, and professionally governed data and consent.</w:t>
      </w:r>
    </w:p>
    <w:p>
      <w:pPr>
        <w:spacing w:after="40" w:before="120"/>
      </w:pPr>
      <w:r>
        <w:rPr>
          <w:rFonts w:ascii="Arial" w:cs="Arial" w:eastAsia="Arial" w:hAnsi="Arial"/>
          <w:b/>
          <w:bCs/>
          <w:color w:val="1A1A1A"/>
          <w:sz w:val="17"/>
          <w:szCs w:val="17"/>
        </w:rPr>
        <w:t xml:space="preserve">Success factors</w:t>
      </w:r>
    </w:p>
    <w:p>
      <w:pPr>
        <w:spacing w:after="36" w:before="36" w:line="268" w:lineRule="auto"/>
        <w:ind w:left="360" w:hanging="200"/>
      </w:pPr>
      <w:r>
        <w:rPr>
          <w:rFonts w:ascii="Georgia" w:cs="Georgia" w:eastAsia="Georgia" w:hAnsi="Georgia"/>
          <w:b/>
          <w:bCs/>
          <w:color w:val="B8942A"/>
          <w:sz w:val="20"/>
          <w:szCs w:val="20"/>
        </w:rPr>
        <w:t xml:space="preserve">•  </w:t>
      </w:r>
      <w:r>
        <w:rPr>
          <w:rFonts w:ascii="Georgia" w:cs="Georgia" w:eastAsia="Georgia" w:hAnsi="Georgia"/>
          <w:color w:val="1A1A1A"/>
          <w:sz w:val="20"/>
          <w:szCs w:val="20"/>
        </w:rPr>
        <w:t xml:space="preserve">A credible, warm, visible female clinical lead; a regulated partner carrying medical risk; cohort-based delivery to protect margin; retention over acquisition as the core metric; the founder’s content craft applied to a new female-first brand; and a genuine corporate channel.</w:t>
      </w:r>
    </w:p>
    <w:p>
      <w:pPr>
        <w:spacing w:after="100" w:before="280"/>
      </w:pPr>
      <w:r>
        <w:rPr>
          <w:rFonts w:ascii="Arial" w:cs="Arial" w:eastAsia="Arial" w:hAnsi="Arial"/>
          <w:b/>
          <w:bCs/>
          <w:color w:val="B8942A"/>
          <w:spacing w:val="80"/>
          <w:sz w:val="16"/>
          <w:szCs w:val="16"/>
        </w:rPr>
        <w:t xml:space="preserve">OVERALL ASSESSMENT</w:t>
      </w:r>
    </w:p>
    <w:p>
      <w:pPr>
        <w:pBdr>
          <w:bottom w:val="single" w:color="B8942A" w:sz="6"/>
        </w:pBdr>
        <w:spacing w:after="80" w:before="80"/>
      </w:pPr>
    </w:p>
    <w:p>
      <w:pPr>
        <w:spacing w:after="70" w:before="70" w:line="272" w:lineRule="auto"/>
      </w:pPr>
      <w:r>
        <w:rPr>
          <w:rFonts w:ascii="Georgia" w:cs="Georgia" w:eastAsia="Georgia" w:hAnsi="Georgia"/>
          <w:color w:val="1A1A1A"/>
          <w:sz w:val="20"/>
          <w:szCs w:val="20"/>
        </w:rPr>
        <w:t xml:space="preserve">The opportunity is genuine: a large, under-served, commercially engaged perimenopause cohort, a market fragmented by pillar with no one owning the integrated middle, proven willingness to pay for supervised wellness programmes, and a founder with real content craft and a backing platform. The concept as literally worded is not lawful, but the reframed version, a nutrition, training and education brand fronted by a female clinical lead with a regulated medical partner behind it, is both defensible and differentiated.</w:t>
      </w:r>
    </w:p>
    <w:p>
      <w:pPr>
        <w:spacing w:after="70" w:before="70" w:line="272" w:lineRule="auto"/>
      </w:pPr>
      <w:r>
        <w:rPr>
          <w:rFonts w:ascii="Georgia" w:cs="Georgia" w:eastAsia="Georgia" w:hAnsi="Georgia"/>
          <w:color w:val="1A1A1A"/>
          <w:sz w:val="20"/>
          <w:szCs w:val="20"/>
        </w:rPr>
        <w:t xml:space="preserve">The verdict is a qualified yes. Proceed to a deeper feasibility step, provided three things hold: a credible female clinical lead can be secured, a regulated pharmacy or clinic partner can be signed for the medical pillar, and Johnny accepts the role of backer and engine rather than face. None of this requires significant capital to test. A Model A pilot off the Barber Republic platform would validate demand before the JV is signed. As with every high-stakes venture, no commitment proceeds without Shane McCarthy’s alignment, and the regulatory position must be confirmed by a healthcare-regulatory solicitor before launch.</w:t>
      </w:r>
    </w:p>
    <w:p>
      <w:pPr>
        <w:spacing w:after="100" w:before="280"/>
      </w:pPr>
      <w:r>
        <w:rPr>
          <w:rFonts w:ascii="Arial" w:cs="Arial" w:eastAsia="Arial" w:hAnsi="Arial"/>
          <w:b/>
          <w:bCs/>
          <w:color w:val="B8942A"/>
          <w:spacing w:val="80"/>
          <w:sz w:val="16"/>
          <w:szCs w:val="16"/>
        </w:rPr>
        <w:t xml:space="preserve">QUESTIONS TO ANSWER (TO HONE THE ANALYSIS)</w:t>
      </w:r>
    </w:p>
    <w:p>
      <w:pPr>
        <w:pBdr>
          <w:bottom w:val="single" w:color="B8942A" w:sz="6"/>
        </w:pBdr>
        <w:spacing w:after="80" w:before="80"/>
      </w:pPr>
    </w:p>
    <w:p>
      <w:pPr>
        <w:spacing w:after="100" w:before="70" w:line="272" w:lineRule="auto"/>
      </w:pPr>
      <w:r>
        <w:rPr>
          <w:rFonts w:ascii="Georgia" w:cs="Georgia" w:eastAsia="Georgia" w:hAnsi="Georgia"/>
          <w:color w:val="1A1A1A"/>
          <w:sz w:val="20"/>
          <w:szCs w:val="20"/>
        </w:rPr>
        <w:t xml:space="preserve">Gathered at the end, as requested, so we can sharpen anything arising after you have read the report.</w:t>
      </w:r>
    </w:p>
    <w:p>
      <w:pPr>
        <w:spacing w:after="60" w:before="60" w:line="272" w:lineRule="auto"/>
        <w:ind w:left="420" w:hanging="420"/>
      </w:pPr>
      <w:r>
        <w:rPr>
          <w:rFonts w:ascii="Arial" w:cs="Arial" w:eastAsia="Arial" w:hAnsi="Arial"/>
          <w:b/>
          <w:bCs/>
          <w:color w:val="B8942A"/>
          <w:sz w:val="20"/>
          <w:szCs w:val="20"/>
        </w:rPr>
        <w:t xml:space="preserve">1.  </w:t>
      </w:r>
      <w:r>
        <w:rPr>
          <w:rFonts w:ascii="Arial" w:cs="Arial" w:eastAsia="Arial" w:hAnsi="Arial"/>
          <w:b/>
          <w:bCs/>
          <w:color w:val="1A1A1A"/>
          <w:sz w:val="20"/>
          <w:szCs w:val="20"/>
        </w:rPr>
        <w:t xml:space="preserve">The founder’s role and appetite.  </w:t>
      </w:r>
      <w:r>
        <w:rPr>
          <w:rFonts w:ascii="Georgia" w:cs="Georgia" w:eastAsia="Georgia" w:hAnsi="Georgia"/>
          <w:color w:val="1A1A1A"/>
          <w:sz w:val="20"/>
          <w:szCs w:val="20"/>
        </w:rPr>
        <w:t xml:space="preserve">Is Johnny content to be the backer and engine rather than the face, and to fund or platform this through Barber Republic? What capital and time is he prepared to commit?</w:t>
      </w:r>
    </w:p>
    <w:p>
      <w:pPr>
        <w:spacing w:after="60" w:before="60" w:line="272" w:lineRule="auto"/>
        <w:ind w:left="420" w:hanging="420"/>
      </w:pPr>
      <w:r>
        <w:rPr>
          <w:rFonts w:ascii="Arial" w:cs="Arial" w:eastAsia="Arial" w:hAnsi="Arial"/>
          <w:b/>
          <w:bCs/>
          <w:color w:val="B8942A"/>
          <w:sz w:val="20"/>
          <w:szCs w:val="20"/>
        </w:rPr>
        <w:t xml:space="preserve">2.  </w:t>
      </w:r>
      <w:r>
        <w:rPr>
          <w:rFonts w:ascii="Arial" w:cs="Arial" w:eastAsia="Arial" w:hAnsi="Arial"/>
          <w:b/>
          <w:bCs/>
          <w:color w:val="1A1A1A"/>
          <w:sz w:val="20"/>
          <w:szCs w:val="20"/>
        </w:rPr>
        <w:t xml:space="preserve">The clinical lead.  </w:t>
      </w:r>
      <w:r>
        <w:rPr>
          <w:rFonts w:ascii="Georgia" w:cs="Georgia" w:eastAsia="Georgia" w:hAnsi="Georgia"/>
          <w:color w:val="1A1A1A"/>
          <w:sz w:val="20"/>
          <w:szCs w:val="20"/>
        </w:rPr>
        <w:t xml:space="preserve">Do you or Johnny have a credible female menopause clinician in mind (GP with menopause interest, BMS-accredited, or menopause-trained nurse prescriber)? This is the single most important hire and the face of the brand.</w:t>
      </w:r>
    </w:p>
    <w:p>
      <w:pPr>
        <w:spacing w:after="60" w:before="60" w:line="272" w:lineRule="auto"/>
        <w:ind w:left="420" w:hanging="420"/>
      </w:pPr>
      <w:r>
        <w:rPr>
          <w:rFonts w:ascii="Arial" w:cs="Arial" w:eastAsia="Arial" w:hAnsi="Arial"/>
          <w:b/>
          <w:bCs/>
          <w:color w:val="B8942A"/>
          <w:sz w:val="20"/>
          <w:szCs w:val="20"/>
        </w:rPr>
        <w:t xml:space="preserve">3.  </w:t>
      </w:r>
      <w:r>
        <w:rPr>
          <w:rFonts w:ascii="Arial" w:cs="Arial" w:eastAsia="Arial" w:hAnsi="Arial"/>
          <w:b/>
          <w:bCs/>
          <w:color w:val="1A1A1A"/>
          <w:sz w:val="20"/>
          <w:szCs w:val="20"/>
        </w:rPr>
        <w:t xml:space="preserve">The regulated partner.  </w:t>
      </w:r>
      <w:r>
        <w:rPr>
          <w:rFonts w:ascii="Georgia" w:cs="Georgia" w:eastAsia="Georgia" w:hAnsi="Georgia"/>
          <w:color w:val="1A1A1A"/>
          <w:sz w:val="20"/>
          <w:szCs w:val="20"/>
        </w:rPr>
        <w:t xml:space="preserve">Is there a preferred registered pharmacy or menopause clinic to approach for the Model B joint venture, in the North West or nationally?</w:t>
      </w:r>
    </w:p>
    <w:p>
      <w:pPr>
        <w:spacing w:after="60" w:before="60" w:line="272" w:lineRule="auto"/>
        <w:ind w:left="420" w:hanging="420"/>
      </w:pPr>
      <w:r>
        <w:rPr>
          <w:rFonts w:ascii="Arial" w:cs="Arial" w:eastAsia="Arial" w:hAnsi="Arial"/>
          <w:b/>
          <w:bCs/>
          <w:color w:val="B8942A"/>
          <w:sz w:val="20"/>
          <w:szCs w:val="20"/>
        </w:rPr>
        <w:t xml:space="preserve">4.  </w:t>
      </w:r>
      <w:r>
        <w:rPr>
          <w:rFonts w:ascii="Arial" w:cs="Arial" w:eastAsia="Arial" w:hAnsi="Arial"/>
          <w:b/>
          <w:bCs/>
          <w:color w:val="1A1A1A"/>
          <w:sz w:val="20"/>
          <w:szCs w:val="20"/>
        </w:rPr>
        <w:t xml:space="preserve">Market priority.  </w:t>
      </w:r>
      <w:r>
        <w:rPr>
          <w:rFonts w:ascii="Georgia" w:cs="Georgia" w:eastAsia="Georgia" w:hAnsi="Georgia"/>
          <w:color w:val="1A1A1A"/>
          <w:sz w:val="20"/>
          <w:szCs w:val="20"/>
        </w:rPr>
        <w:t xml:space="preserve">UK first (Manchester and Cheshire base) with Ireland to follow, or a parallel launch? The report assumes UK first.</w:t>
      </w:r>
    </w:p>
    <w:p>
      <w:pPr>
        <w:spacing w:after="60" w:before="60" w:line="272" w:lineRule="auto"/>
        <w:ind w:left="420" w:hanging="420"/>
      </w:pPr>
      <w:r>
        <w:rPr>
          <w:rFonts w:ascii="Arial" w:cs="Arial" w:eastAsia="Arial" w:hAnsi="Arial"/>
          <w:b/>
          <w:bCs/>
          <w:color w:val="B8942A"/>
          <w:sz w:val="20"/>
          <w:szCs w:val="20"/>
        </w:rPr>
        <w:t xml:space="preserve">5.  </w:t>
      </w:r>
      <w:r>
        <w:rPr>
          <w:rFonts w:ascii="Arial" w:cs="Arial" w:eastAsia="Arial" w:hAnsi="Arial"/>
          <w:b/>
          <w:bCs/>
          <w:color w:val="1A1A1A"/>
          <w:sz w:val="20"/>
          <w:szCs w:val="20"/>
        </w:rPr>
        <w:t xml:space="preserve">The medical scope.  </w:t>
      </w:r>
      <w:r>
        <w:rPr>
          <w:rFonts w:ascii="Georgia" w:cs="Georgia" w:eastAsia="Georgia" w:hAnsi="Georgia"/>
          <w:color w:val="1A1A1A"/>
          <w:sz w:val="20"/>
          <w:szCs w:val="20"/>
        </w:rPr>
        <w:t xml:space="preserve">Is the medical pillar intended to be HRT-led (the mainstream, well-supported route), GLP-1 where clinically justified, or was "peptides" the actual intent? The answer changes the partner profile and the compliance work.</w:t>
      </w:r>
    </w:p>
    <w:p>
      <w:pPr>
        <w:spacing w:after="60" w:before="60" w:line="272" w:lineRule="auto"/>
        <w:ind w:left="420" w:hanging="420"/>
      </w:pPr>
      <w:r>
        <w:rPr>
          <w:rFonts w:ascii="Arial" w:cs="Arial" w:eastAsia="Arial" w:hAnsi="Arial"/>
          <w:b/>
          <w:bCs/>
          <w:color w:val="B8942A"/>
          <w:sz w:val="20"/>
          <w:szCs w:val="20"/>
        </w:rPr>
        <w:t xml:space="preserve">6.  </w:t>
      </w:r>
      <w:r>
        <w:rPr>
          <w:rFonts w:ascii="Arial" w:cs="Arial" w:eastAsia="Arial" w:hAnsi="Arial"/>
          <w:b/>
          <w:bCs/>
          <w:color w:val="1A1A1A"/>
          <w:sz w:val="20"/>
          <w:szCs w:val="20"/>
        </w:rPr>
        <w:t xml:space="preserve">Ambition and scale.  </w:t>
      </w:r>
      <w:r>
        <w:rPr>
          <w:rFonts w:ascii="Georgia" w:cs="Georgia" w:eastAsia="Georgia" w:hAnsi="Georgia"/>
          <w:color w:val="1A1A1A"/>
          <w:sz w:val="20"/>
          <w:szCs w:val="20"/>
        </w:rPr>
        <w:t xml:space="preserve">Is this a lifestyle brand and programme business, or a build-to-clinic (Model C) ambition over time? That shapes capital and structure from the start.</w:t>
      </w:r>
    </w:p>
    <w:p>
      <w:pPr>
        <w:spacing w:after="60" w:before="60" w:line="272" w:lineRule="auto"/>
        <w:ind w:left="420" w:hanging="420"/>
      </w:pPr>
      <w:r>
        <w:rPr>
          <w:rFonts w:ascii="Arial" w:cs="Arial" w:eastAsia="Arial" w:hAnsi="Arial"/>
          <w:b/>
          <w:bCs/>
          <w:color w:val="B8942A"/>
          <w:sz w:val="20"/>
          <w:szCs w:val="20"/>
        </w:rPr>
        <w:t xml:space="preserve">7.  </w:t>
      </w:r>
      <w:r>
        <w:rPr>
          <w:rFonts w:ascii="Arial" w:cs="Arial" w:eastAsia="Arial" w:hAnsi="Arial"/>
          <w:b/>
          <w:bCs/>
          <w:color w:val="1A1A1A"/>
          <w:sz w:val="20"/>
          <w:szCs w:val="20"/>
        </w:rPr>
        <w:t xml:space="preserve">The name.  </w:t>
      </w:r>
      <w:r>
        <w:rPr>
          <w:rFonts w:ascii="Georgia" w:cs="Georgia" w:eastAsia="Georgia" w:hAnsi="Georgia"/>
          <w:color w:val="1A1A1A"/>
          <w:sz w:val="20"/>
          <w:szCs w:val="20"/>
        </w:rPr>
        <w:t xml:space="preserve">Does Season (lead) or Vera Health land for you, or should we develop other directions? Any name will need trademark and domain checks.</w:t>
      </w:r>
    </w:p>
    <w:p>
      <w:pPr>
        <w:spacing w:after="60" w:before="60" w:line="272" w:lineRule="auto"/>
        <w:ind w:left="420" w:hanging="420"/>
      </w:pPr>
      <w:r>
        <w:rPr>
          <w:rFonts w:ascii="Arial" w:cs="Arial" w:eastAsia="Arial" w:hAnsi="Arial"/>
          <w:b/>
          <w:bCs/>
          <w:color w:val="B8942A"/>
          <w:sz w:val="20"/>
          <w:szCs w:val="20"/>
        </w:rPr>
        <w:t xml:space="preserve">8.  </w:t>
      </w:r>
      <w:r>
        <w:rPr>
          <w:rFonts w:ascii="Arial" w:cs="Arial" w:eastAsia="Arial" w:hAnsi="Arial"/>
          <w:b/>
          <w:bCs/>
          <w:color w:val="1A1A1A"/>
          <w:sz w:val="20"/>
          <w:szCs w:val="20"/>
        </w:rPr>
        <w:t xml:space="preserve">The corporate channel.  </w:t>
      </w:r>
      <w:r>
        <w:rPr>
          <w:rFonts w:ascii="Georgia" w:cs="Georgia" w:eastAsia="Georgia" w:hAnsi="Georgia"/>
          <w:color w:val="1A1A1A"/>
          <w:sz w:val="20"/>
          <w:szCs w:val="20"/>
        </w:rPr>
        <w:t xml:space="preserve">Is a workplace and corporate menopause offer of interest as a high-margin B2B line from the outset, or a later phase?</w:t>
      </w:r>
    </w:p>
    <w:p>
      <w:pPr>
        <w:spacing w:after="0" w:before="160"/>
      </w:pPr>
    </w:p>
    <w:p>
      <w:pPr>
        <w:pBdr>
          <w:bottom w:val="single" w:color="D0D0D0" w:sz="4"/>
        </w:pBdr>
        <w:spacing w:after="60" w:before="60"/>
      </w:pPr>
    </w:p>
    <w:p>
      <w:pPr>
        <w:spacing w:after="0" w:before="60"/>
      </w:pPr>
    </w:p>
    <w:p>
      <w:pPr>
        <w:spacing w:after="40"/>
      </w:pPr>
      <w:r>
        <w:rPr>
          <w:rFonts w:ascii="Arial" w:cs="Arial" w:eastAsia="Arial" w:hAnsi="Arial"/>
          <w:b/>
          <w:bCs/>
          <w:color w:val="0A1628"/>
          <w:sz w:val="19"/>
          <w:szCs w:val="19"/>
        </w:rPr>
        <w:t xml:space="preserve">Meridian Intelligence</w:t>
      </w:r>
    </w:p>
    <w:p>
      <w:pPr>
        <w:spacing w:after="40"/>
      </w:pPr>
      <w:r>
        <w:rPr>
          <w:rFonts w:ascii="Georgia" w:cs="Georgia" w:eastAsia="Georgia" w:hAnsi="Georgia"/>
          <w:color w:val="1A1A1A"/>
          <w:sz w:val="18"/>
          <w:szCs w:val="18"/>
        </w:rPr>
        <w:t xml:space="preserve">John Webb O’Rourke, Principal</w:t>
      </w:r>
    </w:p>
    <w:p>
      <w:pPr>
        <w:spacing w:after="40"/>
      </w:pPr>
      <w:r>
        <w:rPr>
          <w:rFonts w:ascii="Georgia" w:cs="Georgia" w:eastAsia="Georgia" w:hAnsi="Georgia"/>
          <w:i/>
          <w:iCs/>
          <w:color w:val="555555"/>
          <w:sz w:val="16"/>
          <w:szCs w:val="16"/>
        </w:rPr>
        <w:t xml:space="preserve">Status: decision-support. Not legal or medical advice. Regulatory position to be confirmed by a healthcare-regulatory solicitor before launch.</w:t>
      </w:r>
    </w:p>
    <w:p>
      <w:r>
        <w:rPr>
          <w:rFonts w:ascii="Georgia" w:cs="Georgia" w:eastAsia="Georgia" w:hAnsi="Georgia"/>
          <w:color w:val="888888"/>
          <w:sz w:val="16"/>
          <w:szCs w:val="16"/>
        </w:rPr>
        <w:t xml:space="preserve">July 2026  |  Private and Confidential</w:t>
      </w:r>
    </w:p>
    <w:p>
      <w:pPr>
        <w:pBdr>
          <w:top w:val="single" w:color="D0D0D0" w:sz="4"/>
        </w:pBdr>
        <w:spacing w:after="40" w:before="100"/>
      </w:pPr>
      <w:r>
        <w:rPr>
          <w:rFonts w:ascii="Georgia" w:cs="Georgia" w:eastAsia="Georgia" w:hAnsi="Georgia"/>
          <w:color w:val="888888"/>
          <w:sz w:val="14"/>
          <w:szCs w:val="14"/>
        </w:rPr>
        <w:t xml:space="preserve">Verification: four independent domain reviews (market and competition; UK regulatory; Ireland regulatory; model, economics and marketing) against MHRA, ASA/CAP, GMC, GPhC, CQC, HPRA, PSI, Grand View Research, and named operators. Price anchors and market figures verified where shown; unit economics, acquisition cost and breakeven are illustrative estimates. Some primary regulator texts could not be fetched directly and should be confirmed from source before any external use.</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spacing w:before="80"/>
      <w:jc w:val="right"/>
    </w:pPr>
    <w:r>
      <w:rPr>
        <w:rFonts w:ascii="Arial" w:cs="Arial" w:eastAsia="Arial" w:hAnsi="Arial"/>
        <w:color w:val="888888"/>
        <w:sz w:val="15"/>
        <w:szCs w:val="15"/>
      </w:rPr>
      <w:t xml:space="preserve">Private and Confidential  |  Decision-support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2A" w:sz="6"/>
      </w:pBdr>
      <w:spacing w:after="80"/>
    </w:pPr>
    <w:r>
      <w:rPr>
        <w:rFonts w:ascii="Arial" w:cs="Arial" w:eastAsia="Arial" w:hAnsi="Arial"/>
        <w:b/>
        <w:bCs/>
        <w:color w:val="0A1628"/>
        <w:spacing w:val="60"/>
        <w:sz w:val="16"/>
        <w:szCs w:val="16"/>
      </w:rPr>
      <w:t xml:space="preserve">MERIDIAN INTELLIGENCE</w:t>
    </w:r>
    <w:r>
      <w:rPr>
        <w:rFonts w:ascii="Arial" w:cs="Arial" w:eastAsia="Arial" w:hAnsi="Arial"/>
        <w:color w:val="888888"/>
        <w:sz w:val="16"/>
        <w:szCs w:val="16"/>
      </w:rPr>
      <w:t xml:space="preserve">   |   Perimenopause Wellness Venture  |  Concept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2026-07-24T13:53:52.155Z</dcterms:created>
  <dcterms:modified xsi:type="dcterms:W3CDTF">2026-07-24T13:53:52.174Z</dcterms:modified>
</cp:coreProperties>
</file>

<file path=docProps/custom.xml><?xml version="1.0" encoding="utf-8"?>
<Properties xmlns="http://schemas.openxmlformats.org/officeDocument/2006/custom-properties" xmlns:vt="http://schemas.openxmlformats.org/officeDocument/2006/docPropsVTypes"/>
</file>