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0"/>
          <w:szCs w:val="40"/>
        </w:rPr>
        <w:t xml:space="preserve">CUAN HANDOFF</w:t>
      </w:r>
    </w:p>
    <w:p>
      <w:pPr>
        <w:spacing w:after="120"/>
      </w:pPr>
      <w:r>
        <w:rPr>
          <w:rFonts w:ascii="Calibri" w:cs="Calibri" w:eastAsia="Calibri" w:hAnsi="Calibri"/>
          <w:sz w:val="26"/>
          <w:szCs w:val="26"/>
        </w:rPr>
        <w:t xml:space="preserve">Noesis group: structure, IP, Asterial raise and risk. John and Shane McCarthy call, 21 October 2026</w:t>
      </w:r>
    </w:p>
    <w:p>
      <w:pPr>
        <w:spacing w:after="100"/>
      </w:pPr>
      <w:r>
        <w:rPr>
          <w:rFonts w:ascii="Calibri" w:cs="Calibri" w:eastAsia="Calibri" w:hAnsi="Calibri"/>
          <w:b/>
          <w:bCs/>
        </w:rPr>
        <w:t xml:space="preserve">Prepared for:</w:t>
      </w:r>
      <w:r>
        <w:rPr>
          <w:rFonts w:ascii="Calibri" w:cs="Calibri" w:eastAsia="Calibri" w:hAnsi="Calibri"/>
        </w:rPr>
        <w:t xml:space="preserve"> John Webb O'Rourke, to paste into Cuan. </w:t>
      </w:r>
      <w:r>
        <w:rPr>
          <w:rFonts w:ascii="Calibri" w:cs="Calibri" w:eastAsia="Calibri" w:hAnsi="Calibri"/>
          <w:b/>
          <w:bCs/>
        </w:rPr>
        <w:t xml:space="preserve">Prepared by:</w:t>
      </w:r>
      <w:r>
        <w:rPr>
          <w:rFonts w:ascii="Calibri" w:cs="Calibri" w:eastAsia="Calibri" w:hAnsi="Calibri"/>
        </w:rPr>
        <w:t xml:space="preserve"> Meridian session on the home branch. </w:t>
      </w:r>
      <w:r>
        <w:rPr>
          <w:rFonts w:ascii="Calibri" w:cs="Calibri" w:eastAsia="Calibri" w:hAnsi="Calibri"/>
          <w:b/>
          <w:bCs/>
        </w:rPr>
        <w:t xml:space="preserve">Status:</w:t>
      </w:r>
      <w:r>
        <w:rPr>
          <w:rFonts w:ascii="Calibri" w:cs="Calibri" w:eastAsia="Calibri" w:hAnsi="Calibri"/>
        </w:rPr>
        <w:t xml:space="preserve"> IN REVIEW. Private and confidential.</w:t>
      </w:r>
    </w:p>
    <w:p>
      <w:pPr>
        <w:pStyle w:val="Heading1"/>
        <w:spacing w:after="100" w:before="260"/>
      </w:pPr>
      <w:r>
        <w:rPr>
          <w:rFonts w:ascii="Calibri" w:cs="Calibri" w:eastAsia="Calibri" w:hAnsi="Calibri"/>
        </w:rPr>
        <w:t xml:space="preserve">1. Instructions to Cuan and ground rules</w:t>
      </w:r>
    </w:p>
    <w:p>
      <w:pPr>
        <w:pStyle w:val="ListParagraph"/>
        <w:numPr>
          <w:ilvl w:val="0"/>
          <w:numId w:val="2"/>
        </w:numPr>
        <w:spacing w:after="60"/>
      </w:pPr>
      <w:r>
        <w:rPr>
          <w:rFonts w:ascii="Calibri" w:cs="Calibri" w:eastAsia="Calibri" w:hAnsi="Calibri"/>
        </w:rPr>
        <w:t xml:space="preserve">Treat this as a record of a working conversation, not a set of decisions. The IP position, where it will be held and how it will be used is </w:t>
      </w:r>
      <w:r>
        <w:rPr>
          <w:rFonts w:ascii="Calibri" w:cs="Calibri" w:eastAsia="Calibri" w:hAnsi="Calibri"/>
          <w:b/>
          <w:bCs/>
        </w:rPr>
        <w:t xml:space="preserve">unresolved and under active consideration</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No commercial or technical commitment without Shane McCarthy's alignment. Flag and ask when unsure about sign-off.</w:t>
      </w:r>
    </w:p>
    <w:p>
      <w:pPr>
        <w:pStyle w:val="ListParagraph"/>
        <w:numPr>
          <w:ilvl w:val="0"/>
          <w:numId w:val="2"/>
        </w:numPr>
        <w:spacing w:after="60"/>
      </w:pPr>
      <w:r>
        <w:rPr>
          <w:rFonts w:ascii="Calibri" w:cs="Calibri" w:eastAsia="Calibri" w:hAnsi="Calibri"/>
        </w:rPr>
        <w:t xml:space="preserve">Evidence tags: REPORTED means said by John or Shane and not independently checked. UNVERIFIED means Meridian's own knowledge or a secondary source. Every statutory reference below is UNVERIFIED because the Irish statute sites could not be opened from the environment. A solicitor must confirm each one before it is relied on.</w:t>
      </w:r>
    </w:p>
    <w:p>
      <w:pPr>
        <w:pStyle w:val="ListParagraph"/>
        <w:numPr>
          <w:ilvl w:val="0"/>
          <w:numId w:val="2"/>
        </w:numPr>
        <w:spacing w:after="60"/>
      </w:pPr>
      <w:r>
        <w:rPr>
          <w:rFonts w:ascii="Calibri" w:cs="Calibri" w:eastAsia="Calibri" w:hAnsi="Calibri"/>
        </w:rPr>
        <w:t xml:space="preserve">Source of the call content: John dictated it, partly cut off, covering about 95% of the call. John's view: the earlier part of the call was repeated as the conversation continued and expanded, so nothing of note is missing. Transcription errors in the dictation: "Oasis" or "Noasis" means Noesis, "San Silvio" means Sancelvio, "Tearshock" means Tairseach, "Kuhn" means Cuan, "Carol" means Pat Carroll, the accountant in Limerick.</w:t>
      </w:r>
    </w:p>
    <w:p>
      <w:pPr>
        <w:pStyle w:val="ListParagraph"/>
        <w:numPr>
          <w:ilvl w:val="0"/>
          <w:numId w:val="2"/>
        </w:numPr>
        <w:spacing w:after="60"/>
      </w:pPr>
      <w:r>
        <w:rPr>
          <w:rFonts w:ascii="Calibri" w:cs="Calibri" w:eastAsia="Calibri" w:hAnsi="Calibri"/>
        </w:rPr>
        <w:t xml:space="preserve">No em dashes in output. Sensitivity gate: third-party IP (Shane's Childen estate), Vatican and other highly sensitive material needs John's clearance before committing to a repository. Noesis material is cleared.</w:t>
      </w:r>
    </w:p>
    <w:p>
      <w:pPr>
        <w:pStyle w:val="Heading1"/>
        <w:spacing w:after="100" w:before="260"/>
      </w:pPr>
      <w:r>
        <w:rPr>
          <w:rFonts w:ascii="Calibri" w:cs="Calibri" w:eastAsia="Calibri" w:hAnsi="Calibri"/>
        </w:rPr>
        <w:t xml:space="preserve">2. Who and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Name</w:t>
            </w:r>
          </w:p>
        </w:tc>
        <w:tc>
          <w:tcPr>
            <w:tcW w:type="dxa" w:w="70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Role (as reported)</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John Webb O'Rourke</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Company Secretary of Noesis, Asterial and Sancelvio (John's own statement). About 1% shareholder in Noesis. Leads the corporate and governance work for Shane. Also chairs AHL and chairs United Hardware's Audit and Risk Committee.</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Shane McCarthy</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Founder and controller. Reported sole director and shareholder of Asterial. Expects at least about 76% of each company, personally or through Noesis (open).</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Pat Carroll</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Accountant, Limerick. His office handles the group's company secretarial work and accounts. Not an IP lawyer. Suggested an IPO of Noesis. Meeting Shane on Friday 23 October (John's 21 October note had described it as John's meeting; John has since confirmed it is Shane's).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Noesis</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Holding company for the group of AI-native companies.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Asterial</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Vehicle for ODIN. Raising €20m for 20% (€100m post-money, €80m pre-money). Shown as "Dormant" on Pat's schedule although it is the active ODIN vehicle (discrepancy).</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Zubelsala</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Intended IP company.</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Sancelvio</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Reported as an endometriosis initiative that will have its own organism. Pat's schedule says child safety. Purpose to be confirmed.</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Tairseach</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Will have its own organism. A "Tairseach Property Ltd" is listed as "to be created". EIIS has been raised for it (unsourced, see section 9).</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Others on Pat's schedule</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Equitas, Grassroots (deliberately outside Noesis), Manly Velocity, VRH Social Media, Valhalla Studio, "LLM" (to be created, purpose undefined).</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Jürgen</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Meridian's legal and governance reviewer, as used by John.</w:t>
            </w:r>
          </w:p>
        </w:tc>
      </w:tr>
    </w:tbl>
    <w:p>
      <w:pPr>
        <w:pStyle w:val="Heading1"/>
        <w:spacing w:after="100" w:before="260"/>
      </w:pPr>
      <w:r>
        <w:rPr>
          <w:rFonts w:ascii="Calibri" w:cs="Calibri" w:eastAsia="Calibri" w:hAnsi="Calibri"/>
        </w:rPr>
        <w:t xml:space="preserve">3. Shareholdings</w:t>
      </w:r>
    </w:p>
    <w:p>
      <w:pPr>
        <w:pStyle w:val="ListParagraph"/>
        <w:numPr>
          <w:ilvl w:val="0"/>
          <w:numId w:val="2"/>
        </w:numPr>
        <w:spacing w:after="60"/>
      </w:pPr>
      <w:r>
        <w:rPr>
          <w:rFonts w:ascii="Calibri" w:cs="Calibri" w:eastAsia="Calibri" w:hAnsi="Calibri"/>
        </w:rPr>
        <w:t xml:space="preserve">Shane expects at least about 76% of each company, in his personal name. John holds about 1% of Noesis.</w:t>
      </w:r>
    </w:p>
    <w:p>
      <w:pPr>
        <w:pStyle w:val="ListParagraph"/>
        <w:numPr>
          <w:ilvl w:val="0"/>
          <w:numId w:val="2"/>
        </w:numPr>
        <w:spacing w:after="60"/>
      </w:pPr>
      <w:r>
        <w:rPr>
          <w:rFonts w:ascii="Calibri" w:cs="Calibri" w:eastAsia="Calibri" w:hAnsi="Calibri"/>
          <w:b/>
          <w:bCs/>
        </w:rPr>
        <w:t xml:space="preserve">Conflict identified:</w:t>
      </w:r>
      <w:r>
        <w:rPr>
          <w:rFonts w:ascii="Calibri" w:cs="Calibri" w:eastAsia="Calibri" w:hAnsi="Calibri"/>
        </w:rPr>
        <w:t xml:space="preserve"> John's 1% of Noesis reaches the other companies only if Noesis owns them. If Shane holds 76% of each directly and Noesis holds the other 24% at most, John's look-through is about 0.24%, not 1%.</w:t>
      </w:r>
    </w:p>
    <w:p>
      <w:pPr>
        <w:pStyle w:val="ListParagraph"/>
        <w:numPr>
          <w:ilvl w:val="0"/>
          <w:numId w:val="2"/>
        </w:numPr>
        <w:spacing w:after="60"/>
      </w:pPr>
      <w:r>
        <w:rPr>
          <w:rFonts w:ascii="Calibri" w:cs="Calibri" w:eastAsia="Calibri" w:hAnsi="Calibri"/>
          <w:b/>
          <w:bCs/>
        </w:rPr>
        <w:t xml:space="preserve">Working position (to confirm with Shane):</w:t>
      </w:r>
      <w:r>
        <w:rPr>
          <w:rFonts w:ascii="Calibri" w:cs="Calibri" w:eastAsia="Calibri" w:hAnsi="Calibri"/>
        </w:rPr>
        <w:t xml:space="preserve"> Noesis holds 100% of each operating company, and Shane holds at least 76% of Noesis. That keeps John's 1% real, concentrates succession and tax at one level, supports a single shareholders' agreement and Class A and B structure at Noesis, and keeps control above 75% at Asterial after the first round.</w:t>
      </w:r>
    </w:p>
    <w:p>
      <w:pPr>
        <w:pStyle w:val="ListParagraph"/>
        <w:numPr>
          <w:ilvl w:val="0"/>
          <w:numId w:val="2"/>
        </w:numPr>
        <w:spacing w:after="60"/>
      </w:pPr>
      <w:r>
        <w:rPr>
          <w:rFonts w:ascii="Calibri" w:cs="Calibri" w:eastAsia="Calibri" w:hAnsi="Calibri"/>
        </w:rPr>
        <w:t xml:space="preserve">76% is just above the 75% special resolution threshold (s.32, UNVERIFIED), so Shane alone could amend any constitution. Minority protection must come from class consent, the shareholders' agreement and statutory remedies.</w:t>
      </w:r>
    </w:p>
    <w:p>
      <w:pPr>
        <w:pStyle w:val="ListParagraph"/>
        <w:numPr>
          <w:ilvl w:val="0"/>
          <w:numId w:val="2"/>
        </w:numPr>
        <w:spacing w:after="60"/>
      </w:pPr>
      <w:r>
        <w:rPr>
          <w:rFonts w:ascii="Calibri" w:cs="Calibri" w:eastAsia="Calibri" w:hAnsi="Calibri"/>
        </w:rPr>
        <w:t xml:space="preserve">Moving Asterial's shares under Noesis is a transfer with capital gains tax and stamp duty questions for Shane (UNVERIFIED). Pat Carroll to check. It should happen before the €20m round.</w:t>
      </w:r>
    </w:p>
    <w:p>
      <w:pPr>
        <w:pStyle w:val="Heading1"/>
        <w:spacing w:after="100" w:before="260"/>
      </w:pPr>
      <w:r>
        <w:rPr>
          <w:rFonts w:ascii="Calibri" w:cs="Calibri" w:eastAsia="Calibri" w:hAnsi="Calibri"/>
        </w:rPr>
        <w:t xml:space="preserve">4. The Asterial raise</w:t>
      </w:r>
    </w:p>
    <w:p>
      <w:pPr>
        <w:pStyle w:val="ListParagraph"/>
        <w:numPr>
          <w:ilvl w:val="0"/>
          <w:numId w:val="2"/>
        </w:numPr>
        <w:spacing w:after="60"/>
      </w:pPr>
      <w:r>
        <w:rPr>
          <w:rFonts w:ascii="Calibri" w:cs="Calibri" w:eastAsia="Calibri" w:hAnsi="Calibri"/>
        </w:rPr>
        <w:t xml:space="preserve">Agreed terms (confirmed by John on 31 August): €20m for 20%, so €100m post-money and €80m pre-money. The earlier €19m for 24% figure is superseded. A "$200m/20% Saudi" offer on John's orchestration map is unverified and must not anchor the term sheet.</w:t>
      </w:r>
    </w:p>
    <w:p>
      <w:pPr>
        <w:pStyle w:val="ListParagraph"/>
        <w:numPr>
          <w:ilvl w:val="0"/>
          <w:numId w:val="2"/>
        </w:numPr>
        <w:spacing w:after="60"/>
      </w:pPr>
      <w:r>
        <w:rPr>
          <w:rFonts w:ascii="Calibri" w:cs="Calibri" w:eastAsia="Calibri" w:hAnsi="Calibri"/>
        </w:rPr>
        <w:t xml:space="preserve">Shane is considering up to three rounds into Asterial. Illustrative dilution, assuming Shane holds 76% of Noesis and rounds of 20%, then 10%, then 10% of the enlarged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60"/>
        <w:gridCol w:w="250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After</w:t>
            </w:r>
          </w:p>
        </w:tc>
        <w:tc>
          <w:tcPr>
            <w:tcW w:type="dxa" w:w="22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New investors</w:t>
            </w:r>
          </w:p>
        </w:tc>
        <w:tc>
          <w:tcPr>
            <w:tcW w:type="dxa" w:w="28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Existing holder (Noesis)</w:t>
            </w:r>
          </w:p>
        </w:tc>
        <w:tc>
          <w:tcPr>
            <w:tcW w:type="dxa" w:w="25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Shane look-through</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Round 1</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20%</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80%</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60.8%</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Round 2</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28%</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72%</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54.7%</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Round 3</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35.2%</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64.8%</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49.2%</w:t>
            </w:r>
          </w:p>
        </w:tc>
      </w:tr>
    </w:tbl>
    <w:p>
      <w:pPr>
        <w:spacing w:after="100"/>
      </w:pPr>
    </w:p>
    <w:p>
      <w:pPr>
        <w:pStyle w:val="ListParagraph"/>
        <w:numPr>
          <w:ilvl w:val="0"/>
          <w:numId w:val="2"/>
        </w:numPr>
        <w:spacing w:after="60"/>
      </w:pPr>
      <w:r>
        <w:rPr>
          <w:rFonts w:ascii="Calibri" w:cs="Calibri" w:eastAsia="Calibri" w:hAnsi="Calibri"/>
        </w:rPr>
        <w:t xml:space="preserve">Noesis keeps the 75% threshold at Asterial only until round 2. If Shane held 76% of Asterial personally, round 1 alone would take him to 60.8%.</w:t>
      </w:r>
    </w:p>
    <w:p>
      <w:pPr>
        <w:pStyle w:val="ListParagraph"/>
        <w:numPr>
          <w:ilvl w:val="0"/>
          <w:numId w:val="2"/>
        </w:numPr>
        <w:spacing w:after="60"/>
      </w:pPr>
      <w:r>
        <w:rPr>
          <w:rFonts w:ascii="Calibri" w:cs="Calibri" w:eastAsia="Calibri" w:hAnsi="Calibri"/>
        </w:rPr>
        <w:t xml:space="preserve">Not yet modelled: employee option pool, the €2.2m founder allocation (secondary sale versus remuneration is roughly a €400,000 tax difference) and who sells it.</w:t>
      </w:r>
    </w:p>
    <w:p>
      <w:pPr>
        <w:pStyle w:val="ListParagraph"/>
        <w:numPr>
          <w:ilvl w:val="0"/>
          <w:numId w:val="2"/>
        </w:numPr>
        <w:spacing w:after="60"/>
      </w:pPr>
      <w:r>
        <w:rPr>
          <w:rFonts w:ascii="Calibri" w:cs="Calibri" w:eastAsia="Calibri" w:hAnsi="Calibri"/>
        </w:rPr>
        <w:t xml:space="preserve">Estimated transaction costs: €420,000 to €1.07m without a corporate finance adviser (central about €650,000). A draft schedule including a possible origination fee of about 2% and a possible arrangement fee of up to 2% is on file. Central deployable amount about €16.45m after the €2.2m founder allocation. All UNVERIFIED market ranges.</w:t>
      </w:r>
    </w:p>
    <w:p>
      <w:pPr>
        <w:pStyle w:val="ListParagraph"/>
        <w:numPr>
          <w:ilvl w:val="0"/>
          <w:numId w:val="2"/>
        </w:numPr>
        <w:spacing w:after="60"/>
      </w:pPr>
      <w:r>
        <w:rPr>
          <w:rFonts w:ascii="Calibri" w:cs="Calibri" w:eastAsia="Calibri" w:hAnsi="Calibri"/>
        </w:rPr>
        <w:t xml:space="preserve">A named intermediary originated the deal and is to be rewarded. The term sheet is awaited. The counterparty is not yet verified (see risk map).</w:t>
      </w:r>
    </w:p>
    <w:p>
      <w:pPr>
        <w:pStyle w:val="ListParagraph"/>
        <w:numPr>
          <w:ilvl w:val="0"/>
          <w:numId w:val="2"/>
        </w:numPr>
        <w:spacing w:after="60"/>
      </w:pPr>
      <w:r>
        <w:rPr>
          <w:rFonts w:ascii="Calibri" w:cs="Calibri" w:eastAsia="Calibri" w:hAnsi="Calibri"/>
        </w:rPr>
        <w:t xml:space="preserve">Round 1 terms govern rounds 2 and 3: pre-emption, anti-dilution and consent over later issues. The no-dilution promise to minority holders cannot survive an outside raise.</w:t>
      </w:r>
    </w:p>
    <w:p>
      <w:pPr>
        <w:pStyle w:val="Heading1"/>
        <w:spacing w:after="100" w:before="260"/>
      </w:pPr>
      <w:r>
        <w:rPr>
          <w:rFonts w:ascii="Calibri" w:cs="Calibri" w:eastAsia="Calibri" w:hAnsi="Calibri"/>
        </w:rPr>
        <w:t xml:space="preserve">5. The IP position (unresolved)</w:t>
      </w:r>
    </w:p>
    <w:p>
      <w:pPr>
        <w:pStyle w:val="Heading2"/>
        <w:spacing w:after="80" w:before="160"/>
      </w:pPr>
      <w:r>
        <w:rPr>
          <w:rFonts w:ascii="Calibri" w:cs="Calibri" w:eastAsia="Calibri" w:hAnsi="Calibri"/>
        </w:rPr>
        <w:t xml:space="preserve">What is known and not known</w:t>
      </w:r>
    </w:p>
    <w:p>
      <w:pPr>
        <w:pStyle w:val="ListParagraph"/>
        <w:numPr>
          <w:ilvl w:val="0"/>
          <w:numId w:val="2"/>
        </w:numPr>
        <w:spacing w:after="60"/>
      </w:pPr>
      <w:r>
        <w:rPr>
          <w:rFonts w:ascii="Calibri" w:cs="Calibri" w:eastAsia="Calibri" w:hAnsi="Calibri"/>
        </w:rPr>
        <w:t xml:space="preserve">Shane says Asterial owns ODIN. The earlier working premise, from John's briefings, was that Shane owns the ODIN IP personally. </w:t>
      </w:r>
      <w:r>
        <w:rPr>
          <w:rFonts w:ascii="Calibri" w:cs="Calibri" w:eastAsia="Calibri" w:hAnsi="Calibri"/>
          <w:b/>
          <w:bCs/>
        </w:rPr>
        <w:t xml:space="preserve">Unresolved. Confirm in writing who owns it today, and whether any assignment exists.</w:t>
      </w:r>
      <w:r>
        <w:rPr>
          <w:rFonts w:ascii="Calibri" w:cs="Calibri" w:eastAsia="Calibri" w:hAnsi="Calibri"/>
        </w:rPr>
        <w:t xml:space="preserve"> The €100m valuation presumes Asterial owns the IP or holds an exclusive licence.</w:t>
      </w:r>
    </w:p>
    <w:p>
      <w:pPr>
        <w:pStyle w:val="ListParagraph"/>
        <w:numPr>
          <w:ilvl w:val="0"/>
          <w:numId w:val="2"/>
        </w:numPr>
        <w:spacing w:after="60"/>
      </w:pPr>
      <w:r>
        <w:rPr>
          <w:rFonts w:ascii="Calibri" w:cs="Calibri" w:eastAsia="Calibri" w:hAnsi="Calibri"/>
        </w:rPr>
        <w:t xml:space="preserve">About 15,000 pieces of IP reported. Shane's question: where does it end, and is there a logical cut-off after a "third run"?</w:t>
      </w:r>
    </w:p>
    <w:p>
      <w:pPr>
        <w:pStyle w:val="ListParagraph"/>
        <w:numPr>
          <w:ilvl w:val="0"/>
          <w:numId w:val="2"/>
        </w:numPr>
        <w:spacing w:after="60"/>
      </w:pPr>
      <w:r>
        <w:rPr>
          <w:rFonts w:ascii="Calibri" w:cs="Calibri" w:eastAsia="Calibri" w:hAnsi="Calibri"/>
        </w:rPr>
        <w:t xml:space="preserve">Shane's view: the moat is the compounding of intelligence, the configurations and the wiring, not a count of items. He has spent about three months on the IP question, has asked Pat Carroll about ten times, concluded Pat does not know, and cited a podcast interview (the All In podcast, Chamath Palihapitiya) in which IP was said to have little value now. </w:t>
      </w:r>
      <w:r>
        <w:rPr>
          <w:rFonts w:ascii="Calibri" w:cs="Calibri" w:eastAsia="Calibri" w:hAnsi="Calibri"/>
          <w:b/>
          <w:bCs/>
        </w:rPr>
        <w:t xml:space="preserve">Meridian has not seen that interview and could not verify it.</w:t>
      </w:r>
    </w:p>
    <w:p>
      <w:pPr>
        <w:pStyle w:val="Heading2"/>
        <w:spacing w:after="80" w:before="160"/>
      </w:pPr>
      <w:r>
        <w:rPr>
          <w:rFonts w:ascii="Calibri" w:cs="Calibri" w:eastAsia="Calibri" w:hAnsi="Calibri"/>
        </w:rPr>
        <w:t xml:space="preserve">Meridian working answer</w:t>
      </w:r>
    </w:p>
    <w:p>
      <w:pPr>
        <w:pStyle w:val="ListParagraph"/>
        <w:numPr>
          <w:ilvl w:val="0"/>
          <w:numId w:val="2"/>
        </w:numPr>
        <w:spacing w:after="60"/>
      </w:pPr>
      <w:r>
        <w:rPr>
          <w:rFonts w:ascii="Calibri" w:cs="Calibri" w:eastAsia="Calibri" w:hAnsi="Calibri"/>
        </w:rPr>
        <w:t xml:space="preserve">Draw the line by function, not count. Test: could this piece be sold or run without ODIN? If no, it belongs in Asterial. If yes and it is a separate product, it can be licensed or sit in an IP company. If independent (Tairseach), it stays outside behind a defined boundary.</w:t>
      </w:r>
    </w:p>
    <w:p>
      <w:pPr>
        <w:pStyle w:val="ListParagraph"/>
        <w:numPr>
          <w:ilvl w:val="0"/>
          <w:numId w:val="2"/>
        </w:numPr>
        <w:spacing w:after="60"/>
      </w:pPr>
      <w:r>
        <w:rPr>
          <w:rFonts w:ascii="Calibri" w:cs="Calibri" w:eastAsia="Calibri" w:hAnsi="Calibri"/>
        </w:rPr>
        <w:t xml:space="preserve">Fix a dated baseline schedule, plus a standing rule for IP created afterwards: engine improvements go to Asterial; field outputs go to the operating company under a field licence with grant-back; shared items (marks, domains, common tooling) go to an IP company only if needed.</w:t>
      </w:r>
    </w:p>
    <w:p>
      <w:pPr>
        <w:pStyle w:val="ListParagraph"/>
        <w:numPr>
          <w:ilvl w:val="0"/>
          <w:numId w:val="2"/>
        </w:numPr>
        <w:spacing w:after="60"/>
      </w:pPr>
      <w:r>
        <w:rPr>
          <w:rFonts w:ascii="Calibri" w:cs="Calibri" w:eastAsia="Calibri" w:hAnsi="Calibri"/>
        </w:rPr>
        <w:t xml:space="preserve">Create a new company only for new outside capital, liability separation, a different regulated activity, a separate sale or listing, or a different ownership group. Otherwise it stays inside Asterial.</w:t>
      </w:r>
    </w:p>
    <w:p>
      <w:pPr>
        <w:pStyle w:val="ListParagraph"/>
        <w:numPr>
          <w:ilvl w:val="0"/>
          <w:numId w:val="2"/>
        </w:numPr>
        <w:spacing w:after="60"/>
      </w:pPr>
      <w:r>
        <w:rPr>
          <w:rFonts w:ascii="Calibri" w:cs="Calibri" w:eastAsia="Calibri" w:hAnsi="Calibri"/>
        </w:rPr>
        <w:t xml:space="preserve">Investors will test a tiered register (not 15,000 items one by one), chain of title (Shane, contractors, employees, AI-assisted output, open-source and third-party components), and one place for the core.</w:t>
      </w:r>
    </w:p>
    <w:p>
      <w:pPr>
        <w:pStyle w:val="ListParagraph"/>
        <w:numPr>
          <w:ilvl w:val="0"/>
          <w:numId w:val="2"/>
        </w:numPr>
        <w:spacing w:after="60"/>
      </w:pPr>
      <w:r>
        <w:rPr>
          <w:rFonts w:ascii="Calibri" w:cs="Calibri" w:eastAsia="Calibri" w:hAnsi="Calibri"/>
        </w:rPr>
        <w:t xml:space="preserve">The moat is mostly know-how, which is protectable as a trade secret only with reasonable steps (EU Trade Secrets Directive 2016/943, UNVERIFIED). It needs a trade secret register, and it partly lives in Shane, so there is key-person risk.</w:t>
      </w:r>
    </w:p>
    <w:p>
      <w:pPr>
        <w:pStyle w:val="ListParagraph"/>
        <w:numPr>
          <w:ilvl w:val="0"/>
          <w:numId w:val="2"/>
        </w:numPr>
        <w:spacing w:after="60"/>
      </w:pPr>
      <w:r>
        <w:rPr>
          <w:rFonts w:ascii="Calibri" w:cs="Calibri" w:eastAsia="Calibri" w:hAnsi="Calibri"/>
        </w:rPr>
        <w:t xml:space="preserve">Frontier questions are unsettled for everyone: who owns AI-assisted or self-mutating output, what platform terms say, how compounding is treated. The basics are settled and are what diligence tests. Instruct an IP solicitor with a narrow brief and ask for a short written opinion.</w:t>
      </w:r>
    </w:p>
    <w:p>
      <w:pPr>
        <w:pStyle w:val="Heading2"/>
        <w:spacing w:after="80" w:before="160"/>
      </w:pPr>
      <w:r>
        <w:rPr>
          <w:rFonts w:ascii="Calibri" w:cs="Calibri" w:eastAsia="Calibri" w:hAnsi="Calibri"/>
        </w:rPr>
        <w:t xml:space="preserve">Five questions for the IP solicitor (not yet named; Pat has flagged a candidate, not yet assessed)</w:t>
      </w:r>
    </w:p>
    <w:p>
      <w:pPr>
        <w:pStyle w:val="ListParagraph"/>
        <w:numPr>
          <w:ilvl w:val="0"/>
          <w:numId w:val="2"/>
        </w:numPr>
        <w:spacing w:after="60"/>
      </w:pPr>
      <w:r>
        <w:rPr>
          <w:rFonts w:ascii="Calibri" w:cs="Calibri" w:eastAsia="Calibri" w:hAnsi="Calibri"/>
        </w:rPr>
        <w:t xml:space="preserve">1. Who owns ODIN today, and is the chain of title clean, including AI-assisted output and contributors?</w:t>
      </w:r>
    </w:p>
    <w:p>
      <w:pPr>
        <w:pStyle w:val="ListParagraph"/>
        <w:numPr>
          <w:ilvl w:val="0"/>
          <w:numId w:val="2"/>
        </w:numPr>
        <w:spacing w:after="60"/>
      </w:pPr>
      <w:r>
        <w:rPr>
          <w:rFonts w:ascii="Calibri" w:cs="Calibri" w:eastAsia="Calibri" w:hAnsi="Calibri"/>
        </w:rPr>
        <w:t xml:space="preserve">2. Assignment or exclusive licence into Asterial: consequences for the investor, for tax, and on Shane's death or incapacity?</w:t>
      </w:r>
    </w:p>
    <w:p>
      <w:pPr>
        <w:pStyle w:val="ListParagraph"/>
        <w:numPr>
          <w:ilvl w:val="0"/>
          <w:numId w:val="2"/>
        </w:numPr>
        <w:spacing w:after="60"/>
      </w:pPr>
      <w:r>
        <w:rPr>
          <w:rFonts w:ascii="Calibri" w:cs="Calibri" w:eastAsia="Calibri" w:hAnsi="Calibri"/>
        </w:rPr>
        <w:t xml:space="preserve">3. How should the compounding configuration be protected as trade secrets, and what counts as reasonable steps?</w:t>
      </w:r>
    </w:p>
    <w:p>
      <w:pPr>
        <w:pStyle w:val="ListParagraph"/>
        <w:numPr>
          <w:ilvl w:val="0"/>
          <w:numId w:val="2"/>
        </w:numPr>
        <w:spacing w:after="60"/>
      </w:pPr>
      <w:r>
        <w:rPr>
          <w:rFonts w:ascii="Calibri" w:cs="Calibri" w:eastAsia="Calibri" w:hAnsi="Calibri"/>
        </w:rPr>
        <w:t xml:space="preserve">4. What do the current terms of the AI platforms relied on say about ownership of outputs and use of data?</w:t>
      </w:r>
    </w:p>
    <w:p>
      <w:pPr>
        <w:pStyle w:val="ListParagraph"/>
        <w:numPr>
          <w:ilvl w:val="0"/>
          <w:numId w:val="2"/>
        </w:numPr>
        <w:spacing w:after="60"/>
      </w:pPr>
      <w:r>
        <w:rPr>
          <w:rFonts w:ascii="Calibri" w:cs="Calibri" w:eastAsia="Calibri" w:hAnsi="Calibri"/>
        </w:rPr>
        <w:t xml:space="preserve">5. How should the future-IP, exclusivity and non-compete clauses in the Asterial term sheet be limited, given Shane's other companies?</w:t>
      </w:r>
    </w:p>
    <w:p>
      <w:pPr>
        <w:pStyle w:val="Heading1"/>
        <w:spacing w:after="100" w:before="260"/>
      </w:pPr>
      <w:r>
        <w:rPr>
          <w:rFonts w:ascii="Calibri" w:cs="Calibri" w:eastAsia="Calibri" w:hAnsi="Calibri"/>
        </w:rPr>
        <w:t xml:space="preserve">6. Constitution and architecture</w:t>
      </w:r>
    </w:p>
    <w:p>
      <w:pPr>
        <w:pStyle w:val="ListParagraph"/>
        <w:numPr>
          <w:ilvl w:val="0"/>
          <w:numId w:val="2"/>
        </w:numPr>
        <w:spacing w:after="60"/>
      </w:pPr>
      <w:r>
        <w:rPr>
          <w:rFonts w:ascii="Calibri" w:cs="Calibri" w:eastAsia="Calibri" w:hAnsi="Calibri"/>
          <w:b/>
          <w:bCs/>
        </w:rPr>
        <w:t xml:space="preserve">Two-tier structure (John's proposal, reviewed 20 October):</w:t>
      </w:r>
      <w:r>
        <w:rPr>
          <w:rFonts w:ascii="Calibri" w:cs="Calibri" w:eastAsia="Calibri" w:hAnsi="Calibri"/>
        </w:rPr>
        <w:t xml:space="preserve"> one Noesis constitution, one standard subsidiary constitution with a short company-specific schedule, and a full bespoke build only for Asterial (and any company taking outside money). Control of wholly owned companies is exercised from Noesis through a group governance agreement and board policy, not through nine sets of articles. Four layers: constitution, shareholder and investment agreements, IP and intercompany agreements, board-approved operating policies.</w:t>
      </w:r>
    </w:p>
    <w:p>
      <w:pPr>
        <w:pStyle w:val="ListParagraph"/>
        <w:numPr>
          <w:ilvl w:val="0"/>
          <w:numId w:val="2"/>
        </w:numPr>
        <w:spacing w:after="60"/>
      </w:pPr>
      <w:r>
        <w:rPr>
          <w:rFonts w:ascii="Calibri" w:cs="Calibri" w:eastAsia="Calibri" w:hAnsi="Calibri"/>
        </w:rPr>
        <w:t xml:space="preserve">Constitutional limits do not bind outsiders (Companies Act 2014 ss.38 to 40, UNVERIFIED), so bank mandates, signing authority and contract approvals must enforce the same boundaries.</w:t>
      </w:r>
    </w:p>
    <w:p>
      <w:pPr>
        <w:pStyle w:val="ListParagraph"/>
        <w:numPr>
          <w:ilvl w:val="0"/>
          <w:numId w:val="2"/>
        </w:numPr>
        <w:spacing w:after="60"/>
      </w:pPr>
      <w:r>
        <w:rPr>
          <w:rFonts w:ascii="Calibri" w:cs="Calibri" w:eastAsia="Calibri" w:hAnsi="Calibri"/>
          <w:b/>
          <w:bCs/>
        </w:rPr>
        <w:t xml:space="preserve">Flexibility without friction (Shane's principle, accepted):</w:t>
      </w:r>
      <w:r>
        <w:rPr>
          <w:rFonts w:ascii="Calibri" w:cs="Calibri" w:eastAsia="Calibri" w:hAnsi="Calibri"/>
        </w:rPr>
        <w:t xml:space="preserve"> layer by how often it changes. Constitution: stable and public, no IP lists or valuation logic. Reserved matter on core IP. Replaceable IP and licence agreements with review and regulatory-change clauses. Board policy with scheduled and trigger-based review.</w:t>
      </w:r>
    </w:p>
    <w:p>
      <w:pPr>
        <w:pStyle w:val="ListParagraph"/>
        <w:numPr>
          <w:ilvl w:val="0"/>
          <w:numId w:val="2"/>
        </w:numPr>
        <w:spacing w:after="60"/>
      </w:pPr>
      <w:r>
        <w:rPr>
          <w:rFonts w:ascii="Calibri" w:cs="Calibri" w:eastAsia="Calibri" w:hAnsi="Calibri"/>
        </w:rPr>
        <w:t xml:space="preserve">Speed mechanisms: a decision-rights matrix, pre-authorised delegated authority within limits, time-boxed consent with deemed consent for non-core items, urgent power with ratification, and written resolutions as the default route.</w:t>
      </w:r>
    </w:p>
    <w:p>
      <w:pPr>
        <w:pStyle w:val="ListParagraph"/>
        <w:numPr>
          <w:ilvl w:val="0"/>
          <w:numId w:val="2"/>
        </w:numPr>
        <w:spacing w:after="60"/>
      </w:pPr>
      <w:r>
        <w:rPr>
          <w:rFonts w:ascii="Calibri" w:cs="Calibri" w:eastAsia="Calibri" w:hAnsi="Calibri"/>
        </w:rPr>
        <w:t xml:space="preserve">Limits: investors want certainty on core ownership at closing, so flexibility lives in field definitions, new-IP treatment and policies. Class rights cannot be bypassed (s.88 per the pasted findings, UNVERIFIED by Meridian). Economic rights should be entrenched. After round 1 every change needs the investor, so agree the adaptation mechanism in the term sheet.</w:t>
      </w:r>
    </w:p>
    <w:p>
      <w:pPr>
        <w:pStyle w:val="ListParagraph"/>
        <w:numPr>
          <w:ilvl w:val="0"/>
          <w:numId w:val="2"/>
        </w:numPr>
        <w:spacing w:after="60"/>
      </w:pPr>
      <w:r>
        <w:rPr>
          <w:rFonts w:ascii="Calibri" w:cs="Calibri" w:eastAsia="Calibri" w:hAnsi="Calibri"/>
        </w:rPr>
        <w:t xml:space="preserve">Bespoke is justified by the core-IP reserved matter, the human-authority-over-AI control and the adaptation architecture. The rest can be standard. The investor's counsel will rewrite much of it anyway.</w:t>
      </w:r>
    </w:p>
    <w:p>
      <w:pPr>
        <w:pStyle w:val="ListParagraph"/>
        <w:numPr>
          <w:ilvl w:val="0"/>
          <w:numId w:val="2"/>
        </w:numPr>
        <w:spacing w:after="60"/>
      </w:pPr>
      <w:r>
        <w:rPr>
          <w:rFonts w:ascii="Calibri" w:cs="Calibri" w:eastAsia="Calibri" w:hAnsi="Calibri"/>
        </w:rPr>
        <w:t xml:space="preserve">The Asterial constitution should protect the company's rights under its IP arrangement with Shane, not ownership of ODIN. A clause protecting ODIN is empty unless Asterial owns it or holds an exclusive licence.</w:t>
      </w:r>
    </w:p>
    <w:p>
      <w:pPr>
        <w:pStyle w:val="Heading1"/>
        <w:spacing w:after="100" w:before="260"/>
      </w:pPr>
      <w:r>
        <w:rPr>
          <w:rFonts w:ascii="Calibri" w:cs="Calibri" w:eastAsia="Calibri" w:hAnsi="Calibri"/>
        </w:rPr>
        <w:t xml:space="preserve">7. IP flows between group companies</w:t>
      </w:r>
    </w:p>
    <w:p>
      <w:pPr>
        <w:pStyle w:val="ListParagraph"/>
        <w:numPr>
          <w:ilvl w:val="0"/>
          <w:numId w:val="2"/>
        </w:numPr>
        <w:spacing w:after="60"/>
      </w:pPr>
      <w:r>
        <w:rPr>
          <w:rFonts w:ascii="Calibri" w:cs="Calibri" w:eastAsia="Calibri" w:hAnsi="Calibri"/>
          <w:b/>
          <w:bCs/>
        </w:rPr>
        <w:t xml:space="preserve">Can Noesis decide where IP is licensed?</w:t>
      </w:r>
      <w:r>
        <w:rPr>
          <w:rFonts w:ascii="Calibri" w:cs="Calibri" w:eastAsia="Calibri" w:hAnsi="Calibri"/>
        </w:rPr>
        <w:t xml:space="preserve"> Yes, through reserved matters in each company's constitution, a group governance agreement and board appointments. Directors still owe duties to their own company (s.228, UNVERIFIED). An outside investor in Asterial limits what Noesis can direct. Intra-group licences should be at arm's length (transfer pricing, UNVERIFIED).</w:t>
      </w:r>
    </w:p>
    <w:p>
      <w:pPr>
        <w:pStyle w:val="ListParagraph"/>
        <w:numPr>
          <w:ilvl w:val="0"/>
          <w:numId w:val="2"/>
        </w:numPr>
        <w:spacing w:after="60"/>
      </w:pPr>
      <w:r>
        <w:rPr>
          <w:rFonts w:ascii="Calibri" w:cs="Calibri" w:eastAsia="Calibri" w:hAnsi="Calibri"/>
          <w:b/>
          <w:bCs/>
        </w:rPr>
        <w:t xml:space="preserve">Can a company refuse?</w:t>
      </w:r>
      <w:r>
        <w:rPr>
          <w:rFonts w:ascii="Calibri" w:cs="Calibri" w:eastAsia="Calibri" w:hAnsi="Calibri"/>
        </w:rPr>
        <w:t xml:space="preserve"> Not if bound by a licence. Use a framework licence-on-request with listed grounds for refusal (third-party rights, investor consent, regulatory limits). A distressed company cannot be made to give away value creditors rely on.</w:t>
      </w:r>
    </w:p>
    <w:p>
      <w:pPr>
        <w:pStyle w:val="ListParagraph"/>
        <w:numPr>
          <w:ilvl w:val="0"/>
          <w:numId w:val="2"/>
        </w:numPr>
        <w:spacing w:after="60"/>
      </w:pPr>
      <w:r>
        <w:rPr>
          <w:rFonts w:ascii="Calibri" w:cs="Calibri" w:eastAsia="Calibri" w:hAnsi="Calibri"/>
          <w:b/>
          <w:bCs/>
        </w:rPr>
        <w:t xml:space="preserve">Companies IP cannot go into:</w:t>
      </w:r>
      <w:r>
        <w:rPr>
          <w:rFonts w:ascii="Calibri" w:cs="Calibri" w:eastAsia="Calibri" w:hAnsi="Calibri"/>
        </w:rPr>
        <w:t xml:space="preserve"> by constitutional restriction, investor exclusivity, third-party terms (open-source, data licences, AI platform terms) and regulation (health data, export controls).</w:t>
      </w:r>
    </w:p>
    <w:p>
      <w:pPr>
        <w:pStyle w:val="ListParagraph"/>
        <w:numPr>
          <w:ilvl w:val="0"/>
          <w:numId w:val="2"/>
        </w:numPr>
        <w:spacing w:after="60"/>
      </w:pPr>
      <w:r>
        <w:rPr>
          <w:rFonts w:ascii="Calibri" w:cs="Calibri" w:eastAsia="Calibri" w:hAnsi="Calibri"/>
          <w:b/>
          <w:bCs/>
        </w:rPr>
        <w:t xml:space="preserve">Tiered access to ODIN:</w:t>
      </w:r>
      <w:r>
        <w:rPr>
          <w:rFonts w:ascii="Calibri" w:cs="Calibri" w:eastAsia="Calibri" w:hAnsi="Calibri"/>
        </w:rPr>
        <w:t xml:space="preserve"> use as a service; field-specific model; restricted source access under strict confidentiality or escrow; core (wiring, configuration, compounding method) never licensed and held in Asterial. Any licence of the core needs investor consent.</w:t>
      </w:r>
    </w:p>
    <w:p>
      <w:pPr>
        <w:pStyle w:val="ListParagraph"/>
        <w:numPr>
          <w:ilvl w:val="0"/>
          <w:numId w:val="2"/>
        </w:numPr>
        <w:spacing w:after="60"/>
      </w:pPr>
      <w:r>
        <w:rPr>
          <w:rFonts w:ascii="Calibri" w:cs="Calibri" w:eastAsia="Calibri" w:hAnsi="Calibri"/>
          <w:b/>
          <w:bCs/>
        </w:rPr>
        <w:t xml:space="preserve">Spawning and mutating:</w:t>
      </w:r>
      <w:r>
        <w:rPr>
          <w:rFonts w:ascii="Calibri" w:cs="Calibri" w:eastAsia="Calibri" w:hAnsi="Calibri"/>
        </w:rPr>
        <w:t xml:space="preserve"> modifying licensed IP is an adaptation needing the owner's permission. EU protection generally needs human creative input (UNVERIFIED), so autonomously mutated output may be weakly protected: rely on trade secrets and contract and define "derivative" and "improvement" in every licence. US requires human authorship and a human inventor (REPORTED). Middle East laws vary and need local counsel.</w:t>
      </w:r>
    </w:p>
    <w:p>
      <w:pPr>
        <w:pStyle w:val="ListParagraph"/>
        <w:numPr>
          <w:ilvl w:val="0"/>
          <w:numId w:val="2"/>
        </w:numPr>
        <w:spacing w:after="60"/>
      </w:pPr>
      <w:r>
        <w:rPr>
          <w:rFonts w:ascii="Calibri" w:cs="Calibri" w:eastAsia="Calibri" w:hAnsi="Calibri"/>
          <w:b/>
          <w:bCs/>
        </w:rPr>
        <w:t xml:space="preserve">Guard against over-commitment</w:t>
      </w:r>
      <w:r>
        <w:rPr>
          <w:rFonts w:ascii="Calibri" w:cs="Calibri" w:eastAsia="Calibri" w:hAnsi="Calibri"/>
        </w:rPr>
        <w:t xml:space="preserve"> (for example to an outside party): no company gives an IP commitment, option or exclusivity without Noesis approval, kept in a licence register. Licences default to non-exclusive, field-limited, time-limited and revocable. No open-ended improvement obligations. Each company has a defined field.</w:t>
      </w:r>
    </w:p>
    <w:p>
      <w:pPr>
        <w:pStyle w:val="Heading1"/>
        <w:spacing w:after="100" w:before="260"/>
      </w:pPr>
      <w:r>
        <w:rPr>
          <w:rFonts w:ascii="Calibri" w:cs="Calibri" w:eastAsia="Calibri" w:hAnsi="Calibri"/>
        </w:rPr>
        <w:t xml:space="preserve">8. Organisms</w:t>
      </w:r>
    </w:p>
    <w:p>
      <w:pPr>
        <w:pStyle w:val="ListParagraph"/>
        <w:numPr>
          <w:ilvl w:val="0"/>
          <w:numId w:val="2"/>
        </w:numPr>
        <w:spacing w:after="60"/>
      </w:pPr>
      <w:r>
        <w:rPr>
          <w:rFonts w:ascii="Calibri" w:cs="Calibri" w:eastAsia="Calibri" w:hAnsi="Calibri"/>
        </w:rPr>
        <w:t xml:space="preserve">Shane: Sancelvio and Tairseach will each have their own organism. Agents run on each brain, which is how each keeps data sovereignty.</w:t>
      </w:r>
    </w:p>
    <w:p>
      <w:pPr>
        <w:pStyle w:val="ListParagraph"/>
        <w:numPr>
          <w:ilvl w:val="0"/>
          <w:numId w:val="2"/>
        </w:numPr>
        <w:spacing w:after="60"/>
      </w:pPr>
      <w:r>
        <w:rPr>
          <w:rFonts w:ascii="Calibri" w:cs="Calibri" w:eastAsia="Calibri" w:hAnsi="Calibri"/>
        </w:rPr>
        <w:t xml:space="preserve">One engine with many instances (own data, memory, policies) is the cleanest option for IP and for an Asterial investor. A fork (a true second copy of the engine) is a derivative of the core: fix ownership and licence terms at the fork date, expect an Asterial investor to treat it as leakage, and note that two engines drift apart and compound less.</w:t>
      </w:r>
    </w:p>
    <w:p>
      <w:pPr>
        <w:pStyle w:val="ListParagraph"/>
        <w:numPr>
          <w:ilvl w:val="0"/>
          <w:numId w:val="2"/>
        </w:numPr>
        <w:spacing w:after="60"/>
      </w:pPr>
      <w:r>
        <w:rPr>
          <w:rFonts w:ascii="Calibri" w:cs="Calibri" w:eastAsia="Calibri" w:hAnsi="Calibri"/>
        </w:rPr>
        <w:t xml:space="preserve">Open question for Shane: are the other organisms independent builds, or derived from ODIN under a licence with a fork date? If each company is to have its own organism, the thing worth investing in is the family, which sits at Noesis.</w:t>
      </w:r>
    </w:p>
    <w:p>
      <w:pPr>
        <w:pStyle w:val="ListParagraph"/>
        <w:numPr>
          <w:ilvl w:val="0"/>
          <w:numId w:val="2"/>
        </w:numPr>
        <w:spacing w:after="60"/>
      </w:pPr>
      <w:r>
        <w:rPr>
          <w:rFonts w:ascii="Calibri" w:cs="Calibri" w:eastAsia="Calibri" w:hAnsi="Calibri"/>
        </w:rPr>
        <w:t xml:space="preserve">The Asterial investor at €100m assumes it is buying the organism. Other organisms built from ODIN's lineage must be disclosed and the future-capture and non-compete clauses limited, or there is a misrepresentation risk.</w:t>
      </w:r>
    </w:p>
    <w:p>
      <w:pPr>
        <w:pStyle w:val="ListParagraph"/>
        <w:numPr>
          <w:ilvl w:val="0"/>
          <w:numId w:val="2"/>
        </w:numPr>
        <w:spacing w:after="60"/>
      </w:pPr>
      <w:r>
        <w:rPr>
          <w:rFonts w:ascii="Calibri" w:cs="Calibri" w:eastAsia="Calibri" w:hAnsi="Calibri"/>
        </w:rPr>
        <w:t xml:space="preserve">Decision before the term sheet: </w:t>
      </w:r>
      <w:r>
        <w:rPr>
          <w:rFonts w:ascii="Calibri" w:cs="Calibri" w:eastAsia="Calibri" w:hAnsi="Calibri"/>
          <w:b/>
          <w:bCs/>
        </w:rPr>
        <w:t xml:space="preserve">does the €20m buy the engine (Asterial) or the organism (Noesis)?</w:t>
      </w:r>
    </w:p>
    <w:p>
      <w:pPr>
        <w:pStyle w:val="ListParagraph"/>
        <w:numPr>
          <w:ilvl w:val="0"/>
          <w:numId w:val="2"/>
        </w:numPr>
        <w:spacing w:after="60"/>
      </w:pPr>
      <w:r>
        <w:rPr>
          <w:rFonts w:ascii="Calibri" w:cs="Calibri" w:eastAsia="Calibri" w:hAnsi="Calibri"/>
        </w:rPr>
        <w:t xml:space="preserve">Health data (GDPR Article 9) and possible medical-device rules for software (Regulation 2017/745) are reasons to keep medical work in its own company (UNVERIFIED, for a regulatory solicitor).</w:t>
      </w:r>
    </w:p>
    <w:p>
      <w:pPr>
        <w:pStyle w:val="Heading1"/>
        <w:spacing w:after="100" w:before="260"/>
      </w:pPr>
      <w:r>
        <w:rPr>
          <w:rFonts w:ascii="Calibri" w:cs="Calibri" w:eastAsia="Calibri" w:hAnsi="Calibri"/>
        </w:rPr>
        <w:t xml:space="preserve">9. Personal work, key person and EIIS</w:t>
      </w:r>
    </w:p>
    <w:p>
      <w:pPr>
        <w:pStyle w:val="Heading2"/>
        <w:spacing w:after="80" w:before="160"/>
      </w:pPr>
      <w:r>
        <w:rPr>
          <w:rFonts w:ascii="Calibri" w:cs="Calibri" w:eastAsia="Calibri" w:hAnsi="Calibri"/>
        </w:rPr>
        <w:t xml:space="preserve">Shane's spare hours and systems</w:t>
      </w:r>
    </w:p>
    <w:p>
      <w:pPr>
        <w:pStyle w:val="ListParagraph"/>
        <w:numPr>
          <w:ilvl w:val="0"/>
          <w:numId w:val="2"/>
        </w:numPr>
        <w:spacing w:after="60"/>
      </w:pPr>
      <w:r>
        <w:rPr>
          <w:rFonts w:ascii="Calibri" w:cs="Calibri" w:eastAsia="Calibri" w:hAnsi="Calibri"/>
        </w:rPr>
        <w:t xml:space="preserve">Shane works about 14 hours a day for Asterial. What he builds in his own time using group systems may belong to the group. A separate personal Mac with no company accounts or data is a good baseline and good evidence, but it is not enough.</w:t>
      </w:r>
    </w:p>
    <w:p>
      <w:pPr>
        <w:pStyle w:val="ListParagraph"/>
        <w:numPr>
          <w:ilvl w:val="0"/>
          <w:numId w:val="2"/>
        </w:numPr>
        <w:spacing w:after="60"/>
      </w:pPr>
      <w:r>
        <w:rPr>
          <w:rFonts w:ascii="Calibri" w:cs="Calibri" w:eastAsia="Calibri" w:hAnsi="Calibri"/>
        </w:rPr>
        <w:t xml:space="preserve">A director's duty can reach a corporate opportunity even if built on a personal device (s.228, UNVERIFIED). So: a written founders' IP and conflicts policy, a schedule of personal projects agreed with the group, a lineage record (who built what, for which company, on which account), one account per entity with logged access to the shared engine, and arm's-length licence-in of anything that crosses over.</w:t>
      </w:r>
    </w:p>
    <w:p>
      <w:pPr>
        <w:pStyle w:val="ListParagraph"/>
        <w:numPr>
          <w:ilvl w:val="0"/>
          <w:numId w:val="2"/>
        </w:numPr>
        <w:spacing w:after="60"/>
      </w:pPr>
      <w:r>
        <w:rPr>
          <w:rFonts w:ascii="Calibri" w:cs="Calibri" w:eastAsia="Calibri" w:hAnsi="Calibri"/>
        </w:rPr>
        <w:t xml:space="preserve">Check the terms of personal versus commercial AI accounts. The same hygiene applies to John (Meridian, Cuan and board roles on separate accounts; no UHL or AHL confidential material in any Meridian system).</w:t>
      </w:r>
    </w:p>
    <w:p>
      <w:pPr>
        <w:pStyle w:val="Heading2"/>
        <w:spacing w:after="80" w:before="160"/>
      </w:pPr>
      <w:r>
        <w:rPr>
          <w:rFonts w:ascii="Calibri" w:cs="Calibri" w:eastAsia="Calibri" w:hAnsi="Calibri"/>
        </w:rPr>
        <w:t xml:space="preserve">Key person</w:t>
      </w:r>
    </w:p>
    <w:p>
      <w:pPr>
        <w:pStyle w:val="ListParagraph"/>
        <w:numPr>
          <w:ilvl w:val="0"/>
          <w:numId w:val="2"/>
        </w:numPr>
        <w:spacing w:after="60"/>
      </w:pPr>
      <w:r>
        <w:rPr>
          <w:rFonts w:ascii="Calibri" w:cs="Calibri" w:eastAsia="Calibri" w:hAnsi="Calibri"/>
        </w:rPr>
        <w:t xml:space="preserve">Shane is reported as Asterial's sole director. If he were unavailable nobody could sign. Add a second director or alternate (if the constitution allows), enduring power of attorney (Assisted Decision-Making (Capacity) Act 2015, UNVERIFIED), a continuity plan with a deputy for defined decisions, succession options in the shareholders' agreement, and key-person insurance. Investors will test this.</w:t>
      </w:r>
    </w:p>
    <w:p>
      <w:pPr>
        <w:pStyle w:val="Heading2"/>
        <w:spacing w:after="80" w:before="160"/>
      </w:pPr>
      <w:r>
        <w:rPr>
          <w:rFonts w:ascii="Calibri" w:cs="Calibri" w:eastAsia="Calibri" w:hAnsi="Calibri"/>
        </w:rPr>
        <w:t xml:space="preserve">EIIS and Tairseach</w:t>
      </w:r>
    </w:p>
    <w:p>
      <w:pPr>
        <w:pStyle w:val="ListParagraph"/>
        <w:numPr>
          <w:ilvl w:val="0"/>
          <w:numId w:val="2"/>
        </w:numPr>
        <w:spacing w:after="60"/>
      </w:pPr>
      <w:r>
        <w:rPr>
          <w:rFonts w:ascii="Calibri" w:cs="Calibri" w:eastAsia="Calibri" w:hAnsi="Calibri"/>
        </w:rPr>
        <w:t xml:space="preserve">The Employment and Investment Incentive Scheme was raised for Tairseach. It appears nowhere else in the knowledge base. Money may need to be invested by year end, and no company exists yet.</w:t>
      </w:r>
    </w:p>
    <w:p>
      <w:pPr>
        <w:pStyle w:val="ListParagraph"/>
        <w:numPr>
          <w:ilvl w:val="0"/>
          <w:numId w:val="2"/>
        </w:numPr>
        <w:spacing w:after="60"/>
      </w:pPr>
      <w:r>
        <w:rPr>
          <w:rFonts w:ascii="Calibri" w:cs="Calibri" w:eastAsia="Calibri" w:hAnsi="Calibri"/>
        </w:rPr>
        <w:t xml:space="preserve">UNVERIFIED points to check first: property development and dealing in land may be excluded activities, which could rule Tairseach out; an issuing company may not be eligible if controlled by another company, which conflicts with holding it under Noesis; an ODIN licence from a connected company must be tested; Revenue approval timing may not fit before year end.</w:t>
      </w:r>
    </w:p>
    <w:p>
      <w:pPr>
        <w:pStyle w:val="ListParagraph"/>
        <w:numPr>
          <w:ilvl w:val="0"/>
          <w:numId w:val="2"/>
        </w:numPr>
        <w:spacing w:after="60"/>
      </w:pPr>
      <w:r>
        <w:rPr>
          <w:rFonts w:ascii="Calibri" w:cs="Calibri" w:eastAsia="Calibri" w:hAnsi="Calibri"/>
        </w:rPr>
        <w:t xml:space="preserve">Pat Carroll and a tax adviser to confirm eligibility before anything is created. Decide early whether to proceed with EIIS, put Tairseach under Noesis, take other funding, or drop the EIIS angle.</w:t>
      </w:r>
    </w:p>
    <w:p>
      <w:pPr>
        <w:pStyle w:val="Heading1"/>
        <w:spacing w:after="100" w:before="260"/>
      </w:pPr>
      <w:r>
        <w:rPr>
          <w:rFonts w:ascii="Calibri" w:cs="Calibri" w:eastAsia="Calibri" w:hAnsi="Calibri"/>
        </w:rPr>
        <w:t xml:space="preserve">10. The IPO question (Carroll's suggestion)</w:t>
      </w:r>
    </w:p>
    <w:p>
      <w:pPr>
        <w:pStyle w:val="ListParagraph"/>
        <w:numPr>
          <w:ilvl w:val="0"/>
          <w:numId w:val="2"/>
        </w:numPr>
        <w:spacing w:after="60"/>
      </w:pPr>
      <w:r>
        <w:rPr>
          <w:rFonts w:ascii="Calibri" w:cs="Calibri" w:eastAsia="Calibri" w:hAnsi="Calibri"/>
        </w:rPr>
        <w:t xml:space="preserve">Pat Carroll suggested Noesis could be IPO'd. Shane is questioning whether Noesis is the right vehicle versus another company or a carved-out technology. Nothing is decided and nothing is drafted.</w:t>
      </w:r>
    </w:p>
    <w:p>
      <w:pPr>
        <w:pStyle w:val="ListParagraph"/>
        <w:numPr>
          <w:ilvl w:val="0"/>
          <w:numId w:val="2"/>
        </w:numPr>
        <w:spacing w:after="60"/>
      </w:pPr>
      <w:r>
        <w:rPr>
          <w:rFonts w:ascii="Calibri" w:cs="Calibri" w:eastAsia="Calibri" w:hAnsi="Calibri"/>
          <w:b/>
          <w:bCs/>
        </w:rPr>
        <w:t xml:space="preserve">Verified from a secondary source (search result quoting the statute):</w:t>
      </w:r>
      <w:r>
        <w:rPr>
          <w:rFonts w:ascii="Calibri" w:cs="Calibri" w:eastAsia="Calibri" w:hAnsi="Calibri"/>
        </w:rPr>
        <w:t xml:space="preserve"> the authorised minimum share capital of a PLC is €25,000 (s.1000). Euronext Dublin requires securities to be freely negotiable and a free float of 25% (or lower if agreed, not below 5% and €5m) (Baker McKenzie summary).</w:t>
      </w:r>
    </w:p>
    <w:p>
      <w:pPr>
        <w:pStyle w:val="ListParagraph"/>
        <w:numPr>
          <w:ilvl w:val="0"/>
          <w:numId w:val="2"/>
        </w:numPr>
        <w:spacing w:after="60"/>
      </w:pPr>
      <w:r>
        <w:rPr>
          <w:rFonts w:ascii="Calibri" w:cs="Calibri" w:eastAsia="Calibri" w:hAnsi="Calibri"/>
          <w:b/>
          <w:bCs/>
        </w:rPr>
        <w:t xml:space="preserve">Per the findings John pasted (author's "verified" tags, not independently confirmed by Meridian):</w:t>
      </w:r>
      <w:r>
        <w:rPr>
          <w:rFonts w:ascii="Calibri" w:cs="Calibri" w:eastAsia="Calibri" w:hAnsi="Calibri"/>
        </w:rPr>
        <w:t xml:space="preserve"> re-registration as a PLC is Part 20 (from s.1284), not Part 17; s.1291 requires a balance sheet within seven months and an unqualified auditor's report; s.1112 sets PLC secretary tests; s.1294 applies PLC allotment rules once the resolution passes; s.88 on class rights; s.238 on non-cash asset acquisitions from directors. Reported only: one quarter paid up and a two-director minimum.</w:t>
      </w:r>
    </w:p>
    <w:p>
      <w:pPr>
        <w:pStyle w:val="ListParagraph"/>
        <w:numPr>
          <w:ilvl w:val="0"/>
          <w:numId w:val="2"/>
        </w:numPr>
        <w:spacing w:after="60"/>
      </w:pPr>
      <w:r>
        <w:rPr>
          <w:rFonts w:ascii="Calibri" w:cs="Calibri" w:eastAsia="Calibri" w:hAnsi="Calibri"/>
        </w:rPr>
        <w:t xml:space="preserve">There is no standard clause that pre-builds a PLC into a private constitution. What belongs now: variation mechanics for Class A and B and a conversion of classes on a qualifying listing. A hard no-dilution rule is incompatible with any float. Drag-along and IPO cooperation usually sit in the shareholders' agreement. A drag-along is a sale device, not a float device.</w:t>
      </w:r>
    </w:p>
    <w:p>
      <w:pPr>
        <w:pStyle w:val="ListParagraph"/>
        <w:numPr>
          <w:ilvl w:val="0"/>
          <w:numId w:val="2"/>
        </w:numPr>
        <w:spacing w:after="60"/>
      </w:pPr>
      <w:r>
        <w:rPr>
          <w:rFonts w:ascii="Calibri" w:cs="Calibri" w:eastAsia="Calibri" w:hAnsi="Calibri"/>
        </w:rPr>
        <w:t xml:space="preserve">Listed shares must be freely transferable, so transfer restrictions, pre-emption and no-dilution provisions must cease on a qualifying listing. A 25% free float implies Shane at 75% or below on a main-market listing, so 76% direct holdings cannot survive a float without selling down.</w:t>
      </w:r>
    </w:p>
    <w:p>
      <w:pPr>
        <w:pStyle w:val="ListParagraph"/>
        <w:numPr>
          <w:ilvl w:val="0"/>
          <w:numId w:val="2"/>
        </w:numPr>
        <w:spacing w:after="60"/>
      </w:pPr>
      <w:r>
        <w:rPr>
          <w:rFonts w:ascii="Calibri" w:cs="Calibri" w:eastAsia="Calibri" w:hAnsi="Calibri"/>
        </w:rPr>
        <w:t xml:space="preserve">Vehicle (flags only): Noesis carries the whole group, including dormant companies and the founder-control design that public markets discount; a subsidiary creates related-party dealings; a carved-out NewCo takes the IP in a single transfer. The Asterial investor makes the term sheet the nearest constraint: add an exit and reorganisation clause (share-for-share swap, consent, lock-up).</w:t>
      </w:r>
    </w:p>
    <w:p>
      <w:pPr>
        <w:pStyle w:val="ListParagraph"/>
        <w:numPr>
          <w:ilvl w:val="0"/>
          <w:numId w:val="2"/>
        </w:numPr>
        <w:spacing w:after="60"/>
      </w:pPr>
      <w:r>
        <w:rPr>
          <w:rFonts w:ascii="Calibri" w:cs="Calibri" w:eastAsia="Calibri" w:hAnsi="Calibri"/>
          <w:b/>
          <w:bCs/>
        </w:rPr>
        <w:t xml:space="preserve">Corrections to the pasted version to make before it goes to Shane:</w:t>
      </w:r>
      <w:r>
        <w:rPr>
          <w:rFonts w:ascii="Calibri" w:cs="Calibri" w:eastAsia="Calibri" w:hAnsi="Calibri"/>
        </w:rPr>
        <w:t xml:space="preserve"> (1) recusal does not work if Shane is sole director, so use an independent director or members' approval under s.238 with an independent valuation; (2) the EIIS line is unsourced; (3) the reference to a Childen sale needs John's confirmation that it belongs in a document going to Shane's AI system and Pat Carroll; (4) state the working premise on IP ownership as John's and confirm it against the CRO record; (5) check John's eligibility as PLC secretary under s.1112; (6) label provenance accurately (it revises a Meridian note, not a new Jürgen finding); (7) add the exit and reorganisation clause for the Asterial term sheet.</w:t>
      </w:r>
    </w:p>
    <w:p>
      <w:pPr>
        <w:pStyle w:val="Heading1"/>
        <w:spacing w:after="100" w:before="260"/>
      </w:pPr>
      <w:r>
        <w:rPr>
          <w:rFonts w:ascii="Calibri" w:cs="Calibri" w:eastAsia="Calibri" w:hAnsi="Calibri"/>
        </w:rPr>
        <w:t xml:space="preserve">11. Priorities and risk map</w:t>
      </w:r>
    </w:p>
    <w:p>
      <w:pPr>
        <w:spacing w:after="100"/>
      </w:pPr>
      <w:r>
        <w:rPr>
          <w:rFonts w:ascii="Calibri" w:cs="Calibri" w:eastAsia="Calibri" w:hAnsi="Calibri"/>
        </w:rPr>
        <w:t xml:space="preserve">John and Shane are using the slower moment to start these items before things speed up again. Ranked by damage and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300"/>
        <w:gridCol w:w="3900"/>
        <w:gridCol w:w="1600"/>
      </w:tblGrid>
      <w:tr>
        <w:trPr>
          <w:tblHeader/>
        </w:trPr>
        <w:tc>
          <w:tcPr>
            <w:tcW w:type="dxa" w:w="5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33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Risk or task</w:t>
            </w:r>
          </w:p>
        </w:tc>
        <w:tc>
          <w:tcPr>
            <w:tcW w:type="dxa" w:w="39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Mitigation</w:t>
            </w:r>
          </w:p>
        </w:tc>
        <w:tc>
          <w:tcPr>
            <w:tcW w:type="dxa" w:w="16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Owner</w:t>
            </w:r>
          </w:p>
        </w:tc>
      </w:tr>
      <w:tr>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Who owns ODIN today, in writing</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Five-question brief to IP solicitor; short written opinion; interim exclusive licence with assignment option</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Shane, IP solicitor</w:t>
            </w:r>
          </w:p>
        </w:tc>
      </w:tr>
      <w:tr>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2</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Outreach to about 40 investors next week</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Hold until structure and term sheet are settled. Settle what is offered and by which company; solicitor sign-off on who may be approached (private companies cannot offer shares to the public, prospectus exemptions, UNVERIFIED); protect the existing counterparty's exclusivity and the intermediary's origination fee; no price terms; warm introductions under NDA</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John, corporate solicitor</w:t>
            </w:r>
          </w:p>
        </w:tc>
      </w:tr>
      <w:tr>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3</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Counterparty identity unverified (a "BNP Capital" near-miss name)</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Four points: entity number, regulator registration, named individual with verifiable role, instructing law firm. Broken-deal costs start when advisers are instructed</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John</w:t>
            </w:r>
          </w:p>
        </w:tc>
      </w:tr>
      <w:tr>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4</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Engine or organism; Asterial's field; future-IP, exclusivity and non-compete limits; exit clause</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Decide before the term sheet; disclose other organisms</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Shane, solicitors</w:t>
            </w:r>
          </w:p>
        </w:tc>
      </w:tr>
      <w:tr>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5</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Shareholdings and tax on moving shares</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Noesis holds the shares; three-round cap table model; Pat checks tax and duty</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Pat Carroll</w:t>
            </w:r>
          </w:p>
        </w:tc>
      </w:tr>
      <w:tr>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6</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Costs</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Hard cap on investor legal costs (€100,000 to €125,000 is a fair ask); origination fee in writing; who bears broken-deal costs; check any arrangement fee</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John, Shane</w:t>
            </w:r>
          </w:p>
        </w:tc>
      </w:tr>
      <w:tr>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7</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Key person (sole director)</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Second director or alternate; enduring power of attorney; continuity plan; insurance</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Shane</w:t>
            </w:r>
          </w:p>
        </w:tc>
      </w:tr>
      <w:tr>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8</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EIIS for Tairseach</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Eligibility first; property exclusion and group control</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Pat, tax adviser</w:t>
            </w:r>
          </w:p>
        </w:tc>
      </w:tr>
      <w:tr>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9</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Records and filings</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CRO discrepancies (Asterial "Dormant"; Noesis secretary shown as Pat); statutory registers to diligence standard; D&amp;O insurance; John's PLC secretary eligibility</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John, Pat</w:t>
            </w:r>
          </w:p>
        </w:tc>
      </w:tr>
      <w:tr>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10</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John's own position</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Document participation; separate solicitor, not paid by Asterial or Noesis; declare 1% and secretary role; do not draft the Class B terms that fix his own economics</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John</w:t>
            </w:r>
          </w:p>
        </w:tc>
      </w:tr>
      <w:tr>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11</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AI platform and data terms</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Review current terms for outputs and data; keep health data in its own company</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Shane, solicitor</w:t>
            </w:r>
          </w:p>
        </w:tc>
      </w:tr>
    </w:tbl>
    <w:p>
      <w:pPr>
        <w:spacing w:after="100"/>
      </w:pPr>
    </w:p>
    <w:p>
      <w:pPr>
        <w:pStyle w:val="ListParagraph"/>
        <w:numPr>
          <w:ilvl w:val="0"/>
          <w:numId w:val="2"/>
        </w:numPr>
        <w:spacing w:after="60"/>
      </w:pPr>
      <w:r>
        <w:rPr>
          <w:rFonts w:ascii="Calibri" w:cs="Calibri" w:eastAsia="Calibri" w:hAnsi="Calibri"/>
        </w:rPr>
        <w:t xml:space="preserve">Earlier Meridian findings that still stand: the 16 August prior-decision recall that ODIN ownership was unrecorded; John's own advice to others to paper the instrument before money moves; ODIN IP position as the only remaining window for any participation question; an investor's counsel will clean an undocumented participation off the table.</w:t>
      </w:r>
    </w:p>
    <w:p>
      <w:pPr>
        <w:pStyle w:val="Heading1"/>
        <w:spacing w:after="100" w:before="260"/>
      </w:pPr>
      <w:r>
        <w:rPr>
          <w:rFonts w:ascii="Calibri" w:cs="Calibri" w:eastAsia="Calibri" w:hAnsi="Calibri"/>
        </w:rPr>
        <w:t xml:space="preserve">12. What each meeting should settle</w:t>
      </w:r>
    </w:p>
    <w:p>
      <w:pPr>
        <w:pStyle w:val="ListParagraph"/>
        <w:numPr>
          <w:ilvl w:val="0"/>
          <w:numId w:val="2"/>
        </w:numPr>
        <w:spacing w:after="60"/>
      </w:pPr>
      <w:r>
        <w:rPr>
          <w:rFonts w:ascii="Calibri" w:cs="Calibri" w:eastAsia="Calibri" w:hAnsi="Calibri"/>
          <w:b/>
          <w:bCs/>
        </w:rPr>
        <w:t xml:space="preserve">Friday, Shane with Pat Carroll (accountant):</w:t>
      </w:r>
      <w:r>
        <w:rPr>
          <w:rFonts w:ascii="Calibri" w:cs="Calibri" w:eastAsia="Calibri" w:hAnsi="Calibri"/>
        </w:rPr>
        <w:t xml:space="preserve"> share structure, order of steps, valuation and tax on moving shares or IP, CRO records, what Shane told Pat on 17 October (John has not seen it), EIIS eligibility. Not IP drafting, which belongs to the IP solicitor.</w:t>
      </w:r>
    </w:p>
    <w:p>
      <w:pPr>
        <w:pStyle w:val="ListParagraph"/>
        <w:numPr>
          <w:ilvl w:val="0"/>
          <w:numId w:val="2"/>
        </w:numPr>
        <w:spacing w:after="60"/>
      </w:pPr>
      <w:r>
        <w:rPr>
          <w:rFonts w:ascii="Calibri" w:cs="Calibri" w:eastAsia="Calibri" w:hAnsi="Calibri"/>
          <w:b/>
          <w:bCs/>
        </w:rPr>
        <w:t xml:space="preserve">Immediate action after Friday:</w:t>
      </w:r>
      <w:r>
        <w:rPr>
          <w:rFonts w:ascii="Calibri" w:cs="Calibri" w:eastAsia="Calibri" w:hAnsi="Calibri"/>
        </w:rPr>
        <w:t xml:space="preserve"> the IP position needs action straight away, and the IP solicitor consultation must take place. Name the solicitor, send the five-question brief and ask for a short written opinion.</w:t>
      </w:r>
    </w:p>
    <w:p>
      <w:pPr>
        <w:pStyle w:val="ListParagraph"/>
        <w:numPr>
          <w:ilvl w:val="0"/>
          <w:numId w:val="2"/>
        </w:numPr>
        <w:spacing w:after="60"/>
      </w:pPr>
      <w:r>
        <w:rPr>
          <w:rFonts w:ascii="Calibri" w:cs="Calibri" w:eastAsia="Calibri" w:hAnsi="Calibri"/>
          <w:b/>
          <w:bCs/>
        </w:rPr>
        <w:t xml:space="preserve">Call with Shane (21 October):</w:t>
      </w:r>
      <w:r>
        <w:rPr>
          <w:rFonts w:ascii="Calibri" w:cs="Calibri" w:eastAsia="Calibri" w:hAnsi="Calibri"/>
        </w:rPr>
        <w:t xml:space="preserve"> covered in this document. John to take the Noesis review and seven questions to Shane (logged 19 October).</w:t>
      </w:r>
    </w:p>
    <w:p>
      <w:pPr>
        <w:pStyle w:val="ListParagraph"/>
        <w:numPr>
          <w:ilvl w:val="0"/>
          <w:numId w:val="2"/>
        </w:numPr>
        <w:spacing w:after="60"/>
      </w:pPr>
      <w:r>
        <w:rPr>
          <w:rFonts w:ascii="Calibri" w:cs="Calibri" w:eastAsia="Calibri" w:hAnsi="Calibri"/>
          <w:b/>
          <w:bCs/>
        </w:rPr>
        <w:t xml:space="preserve">IP solicitor:</w:t>
      </w:r>
      <w:r>
        <w:rPr>
          <w:rFonts w:ascii="Calibri" w:cs="Calibri" w:eastAsia="Calibri" w:hAnsi="Calibri"/>
        </w:rPr>
        <w:t xml:space="preserve"> ownership, assignment versus exclusive licence, trade secrets, platform terms, future-IP clauses.</w:t>
      </w:r>
    </w:p>
    <w:p>
      <w:pPr>
        <w:pStyle w:val="Heading1"/>
        <w:spacing w:after="100" w:before="260"/>
      </w:pPr>
      <w:r>
        <w:rPr>
          <w:rFonts w:ascii="Calibri" w:cs="Calibri" w:eastAsia="Calibri" w:hAnsi="Calibri"/>
        </w:rPr>
        <w:t xml:space="preserve">13. Open items</w:t>
      </w:r>
    </w:p>
    <w:p>
      <w:pPr>
        <w:pStyle w:val="ListParagraph"/>
        <w:numPr>
          <w:ilvl w:val="0"/>
          <w:numId w:val="2"/>
        </w:numPr>
        <w:spacing w:after="60"/>
      </w:pPr>
      <w:r>
        <w:rPr>
          <w:rFonts w:ascii="Calibri" w:cs="Calibri" w:eastAsia="Calibri" w:hAnsi="Calibri"/>
        </w:rPr>
        <w:t xml:space="preserve">Who owns ODIN today. Whether Asterial holds the IP or Shane personally.</w:t>
      </w:r>
    </w:p>
    <w:p>
      <w:pPr>
        <w:pStyle w:val="ListParagraph"/>
        <w:numPr>
          <w:ilvl w:val="0"/>
          <w:numId w:val="2"/>
        </w:numPr>
        <w:spacing w:after="60"/>
      </w:pPr>
      <w:r>
        <w:rPr>
          <w:rFonts w:ascii="Calibri" w:cs="Calibri" w:eastAsia="Calibri" w:hAnsi="Calibri"/>
        </w:rPr>
        <w:t xml:space="preserve">Sancelvio's purpose: endometriosis, child safety, or both.</w:t>
      </w:r>
    </w:p>
    <w:p>
      <w:pPr>
        <w:pStyle w:val="ListParagraph"/>
        <w:numPr>
          <w:ilvl w:val="0"/>
          <w:numId w:val="2"/>
        </w:numPr>
        <w:spacing w:after="60"/>
      </w:pPr>
      <w:r>
        <w:rPr>
          <w:rFonts w:ascii="Calibri" w:cs="Calibri" w:eastAsia="Calibri" w:hAnsi="Calibri"/>
        </w:rPr>
        <w:t xml:space="preserve">Whether Noesis holds 100% of each company and Shane at least 76% of Noesis, or Shane holds at least 76% of each directly.</w:t>
      </w:r>
    </w:p>
    <w:p>
      <w:pPr>
        <w:pStyle w:val="ListParagraph"/>
        <w:numPr>
          <w:ilvl w:val="0"/>
          <w:numId w:val="2"/>
        </w:numPr>
        <w:spacing w:after="60"/>
      </w:pPr>
      <w:r>
        <w:rPr>
          <w:rFonts w:ascii="Calibri" w:cs="Calibri" w:eastAsia="Calibri" w:hAnsi="Calibri"/>
        </w:rPr>
        <w:t xml:space="preserve">Cap table assumptions: option pool, round sizes, the €2.2m secondary and who sells it.</w:t>
      </w:r>
    </w:p>
    <w:p>
      <w:pPr>
        <w:pStyle w:val="ListParagraph"/>
        <w:numPr>
          <w:ilvl w:val="0"/>
          <w:numId w:val="2"/>
        </w:numPr>
        <w:spacing w:after="60"/>
      </w:pPr>
      <w:r>
        <w:rPr>
          <w:rFonts w:ascii="Calibri" w:cs="Calibri" w:eastAsia="Calibri" w:hAnsi="Calibri"/>
        </w:rPr>
        <w:t xml:space="preserve">IP solicitor to be named. Pat Carroll's candidate not yet assessed.</w:t>
      </w:r>
    </w:p>
    <w:p>
      <w:pPr>
        <w:pStyle w:val="ListParagraph"/>
        <w:numPr>
          <w:ilvl w:val="0"/>
          <w:numId w:val="2"/>
        </w:numPr>
        <w:spacing w:after="60"/>
      </w:pPr>
      <w:r>
        <w:rPr>
          <w:rFonts w:ascii="Calibri" w:cs="Calibri" w:eastAsia="Calibri" w:hAnsi="Calibri"/>
        </w:rPr>
        <w:t xml:space="preserve">Percentages and voting mechanics behind Class A and Class B are a design principle, not drafting instructions.</w:t>
      </w:r>
    </w:p>
    <w:p>
      <w:pPr>
        <w:pStyle w:val="ListParagraph"/>
        <w:numPr>
          <w:ilvl w:val="0"/>
          <w:numId w:val="2"/>
        </w:numPr>
        <w:spacing w:after="60"/>
      </w:pPr>
      <w:r>
        <w:rPr>
          <w:rFonts w:ascii="Calibri" w:cs="Calibri" w:eastAsia="Calibri" w:hAnsi="Calibri"/>
        </w:rPr>
        <w:t xml:space="preserve">Purpose of "LLM" and "Tairseach Property Ltd" (both "to be created").</w:t>
      </w:r>
    </w:p>
    <w:p>
      <w:pPr>
        <w:pStyle w:val="ListParagraph"/>
        <w:numPr>
          <w:ilvl w:val="0"/>
          <w:numId w:val="2"/>
        </w:numPr>
        <w:spacing w:after="60"/>
      </w:pPr>
      <w:r>
        <w:rPr>
          <w:rFonts w:ascii="Calibri" w:cs="Calibri" w:eastAsia="Calibri" w:hAnsi="Calibri"/>
        </w:rPr>
        <w:t xml:space="preserve">Who drafts, who reviews, who executes each constitution (proposed: John first pass, Shane signs off economics and control, an engaged IP and corporate solicitor formally drafts).</w:t>
      </w:r>
    </w:p>
    <w:p>
      <w:pPr>
        <w:pStyle w:val="ListParagraph"/>
        <w:numPr>
          <w:ilvl w:val="0"/>
          <w:numId w:val="2"/>
        </w:numPr>
        <w:spacing w:after="60"/>
      </w:pPr>
      <w:r>
        <w:rPr>
          <w:rFonts w:ascii="Calibri" w:cs="Calibri" w:eastAsia="Calibri" w:hAnsi="Calibri"/>
        </w:rPr>
        <w:t xml:space="preserve">Whether the Asterial constitution timing fits the live raise; the investor will re-paper it at completion.</w:t>
      </w:r>
    </w:p>
    <w:p>
      <w:pPr>
        <w:pStyle w:val="Heading1"/>
        <w:spacing w:after="100" w:before="260"/>
      </w:pPr>
      <w:r>
        <w:rPr>
          <w:rFonts w:ascii="Calibri" w:cs="Calibri" w:eastAsia="Calibri" w:hAnsi="Calibri"/>
        </w:rPr>
        <w:t xml:space="preserve">14. Files on the home branch (claude/youllneverwalkalone-7ryal1)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45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it holds</w:t>
            </w:r>
          </w:p>
        </w:tc>
      </w:tr>
      <w:tr>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ventures/odin/Noesis_Asterial_Constitution_Design_Brief_Review_2026-10-19.md</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Summary of Shane's design brief, five concerns, seven questions for Shane</w:t>
            </w:r>
          </w:p>
        </w:tc>
      </w:tr>
      <w:tr>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ventures/odin/Meridian_Domain_Response_Noesis_Two_Tier_Constitution_2026-10-20.md</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Review of the two-tier structure</w:t>
            </w:r>
          </w:p>
        </w:tc>
      </w:tr>
      <w:tr>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ventures/odin/Meridian_Domain_Response_Noesis_IPO_Optionality_2026-10-21.md</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Review of the IPO question, corrected for Pat Carroll</w:t>
            </w:r>
          </w:p>
        </w:tc>
      </w:tr>
      <w:tr>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ventures/odin/Noesis_IPO_Optionality_and_IP_Position_Jurgen_Findings_2026-10-21.md</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Pasted revised findings with the Meridian check</w:t>
            </w:r>
          </w:p>
        </w:tc>
      </w:tr>
      <w:tr>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ventures/odin/Noesis_Architecture_Working_Position_2026-10-21.md</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Working position after the call</w:t>
            </w:r>
          </w:p>
        </w:tc>
      </w:tr>
      <w:tr>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cuan/Noesis_Shane_Call_IP_and_Structure_Summary_2026-10-21.md</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Shorter version of this handoff</w:t>
            </w:r>
          </w:p>
        </w:tc>
      </w:tr>
      <w:tr>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ventures/odin/ (earlier)</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Domain responses, full-route addendum, cost estimate, fee briefing, sources and uses, cost schedule, constitution review checklist (31 August)</w:t>
            </w:r>
          </w:p>
        </w:tc>
      </w:tr>
    </w:tbl>
    <w:p>
      <w:pPr>
        <w:spacing w:after="100"/>
      </w:pPr>
    </w:p>
    <w:p>
      <w:pPr>
        <w:spacing w:after="100"/>
      </w:pPr>
      <w:r>
        <w:rPr>
          <w:rFonts w:ascii="Calibri" w:cs="Calibri" w:eastAsia="Calibri" w:hAnsi="Calibri"/>
        </w:rPr>
        <w:t xml:space="preserve">The Cuan session that logged Noesis material (board.md, childen.md, dossier updates) appears to work on branch claude/trusting-volta-8gtmab. Those files are not on the home branch, and Meridian's files are not on that branch. Childen files need John's clearance before consolidation.</w:t>
      </w:r>
    </w:p>
    <w:p>
      <w:pPr>
        <w:pStyle w:val="Heading1"/>
        <w:spacing w:after="100" w:before="260"/>
      </w:pPr>
      <w:r>
        <w:rPr>
          <w:rFonts w:ascii="Calibri" w:cs="Calibri" w:eastAsia="Calibri" w:hAnsi="Calibri"/>
        </w:rPr>
        <w:t xml:space="preserve">15. Other live threads (not part of this call)</w:t>
      </w:r>
    </w:p>
    <w:p>
      <w:pPr>
        <w:pStyle w:val="ListParagraph"/>
        <w:numPr>
          <w:ilvl w:val="0"/>
          <w:numId w:val="2"/>
        </w:numPr>
        <w:spacing w:after="60"/>
      </w:pPr>
      <w:r>
        <w:rPr>
          <w:rFonts w:ascii="Calibri" w:cs="Calibri" w:eastAsia="Calibri" w:hAnsi="Calibri"/>
        </w:rPr>
        <w:t xml:space="preserve">LinkedIn: Post 15 (retail decisions) to go up on 20 October and Post 8 (routing, sources line corrected) on 21 October. Post 14 confirmed posted 7 October. Posts 6, 9 and 11 status unconfirmed. Post 13 withdrawn.</w:t>
      </w:r>
    </w:p>
    <w:p>
      <w:pPr>
        <w:pStyle w:val="ListParagraph"/>
        <w:numPr>
          <w:ilvl w:val="0"/>
          <w:numId w:val="2"/>
        </w:numPr>
        <w:spacing w:after="60"/>
      </w:pPr>
      <w:r>
        <w:rPr>
          <w:rFonts w:ascii="Calibri" w:cs="Calibri" w:eastAsia="Calibri" w:hAnsi="Calibri"/>
        </w:rPr>
        <w:t xml:space="preserve">Captured 20 October: a Business Post fit-out rent article (Property Plus, 11 October, p.11) and a TWM Cavan medical site advertisement. The masthead, date and page for the advertisement, and why John captured it, are still owed.</w:t>
      </w:r>
    </w:p>
    <w:p>
      <w:pPr>
        <w:pStyle w:val="ListParagraph"/>
        <w:numPr>
          <w:ilvl w:val="0"/>
          <w:numId w:val="2"/>
        </w:numPr>
        <w:spacing w:after="60"/>
      </w:pPr>
      <w:r>
        <w:rPr>
          <w:rFonts w:ascii="Calibri" w:cs="Calibri" w:eastAsia="Calibri" w:hAnsi="Calibri"/>
        </w:rPr>
        <w:t xml:space="preserve">Cuan orchestration map (artifact): stale website card, ODIN pre-money error, unverified $200m offer, and a UHL ARC-chair independence check are noted but nothing was changed.</w:t>
      </w:r>
    </w:p>
    <w:p>
      <w:pPr>
        <w:pStyle w:val="ListParagraph"/>
        <w:numPr>
          <w:ilvl w:val="0"/>
          <w:numId w:val="2"/>
        </w:numPr>
        <w:spacing w:after="60"/>
      </w:pPr>
      <w:r>
        <w:rPr>
          <w:rFonts w:ascii="Calibri" w:cs="Calibri" w:eastAsia="Calibri" w:hAnsi="Calibri"/>
        </w:rPr>
        <w:t xml:space="preserve">UHL audit retender pack went back to John in chat on 14 October and is not filed.</w:t>
      </w:r>
    </w:p>
    <w:sectPr>
      <w:footerReference w:type="default" r:id="rId7"/>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Cuan handoff, Noesis, 21 October 2026. Private and confidential. 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80" w:before="160"/>
      <w:outlineLvl w:val="1"/>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2026-10-21T17:07:19.769Z</dcterms:created>
  <dcterms:modified xsi:type="dcterms:W3CDTF">2026-10-21T17:07:19.770Z</dcterms:modified>
</cp:coreProperties>
</file>

<file path=docProps/custom.xml><?xml version="1.0" encoding="utf-8"?>
<Properties xmlns="http://schemas.openxmlformats.org/officeDocument/2006/custom-properties" xmlns:vt="http://schemas.openxmlformats.org/officeDocument/2006/docPropsVTypes"/>
</file>