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320"/>
              <w:left w:type="dxa" w:w="560"/>
              <w:bottom w:type="dxa" w:w="320"/>
              <w:right w:type="dxa" w:w="560"/>
            </w:tcMar>
          </w:tcPr>
          <w:p>
            <w:pPr>
              <w:spacing w:after="90"/>
            </w:pPr>
            <w:r>
              <w:rPr>
                <w:rFonts w:ascii="Arial" w:cs="Arial" w:eastAsia="Arial" w:hAnsi="Arial"/>
                <w:b/>
                <w:bCs/>
                <w:color w:val="B8942A"/>
                <w:spacing w:val="90"/>
                <w:sz w:val="24"/>
                <w:szCs w:val="24"/>
              </w:rPr>
              <w:t xml:space="preserve">MERIDIAN INTELLIGENCE</w:t>
            </w:r>
          </w:p>
          <w:p>
            <w:pPr>
              <w:spacing w:after="60"/>
            </w:pPr>
            <w:r>
              <w:rPr>
                <w:rFonts w:ascii="Arial" w:cs="Arial" w:eastAsia="Arial" w:hAnsi="Arial"/>
                <w:b/>
                <w:bCs/>
                <w:color w:val="FFFFFF"/>
                <w:sz w:val="28"/>
                <w:szCs w:val="28"/>
              </w:rPr>
              <w:t xml:space="preserve">Old Mill, Julianstown  —  Action Hit List</w:t>
            </w:r>
          </w:p>
          <w:p>
            <w:pPr>
              <w:spacing w:after="0"/>
            </w:pPr>
            <w:r>
              <w:rPr>
                <w:rFonts w:ascii="Georgia" w:cs="Georgia" w:eastAsia="Georgia" w:hAnsi="Georgia"/>
                <w:color w:val="CCCCCC"/>
                <w:sz w:val="18"/>
                <w:szCs w:val="18"/>
              </w:rPr>
              <w:t xml:space="preserve">Response to the Logue observation  |  Ref. 25-60781  |  by owner, for the design-team call</w:t>
            </w:r>
          </w:p>
        </w:tc>
      </w:tr>
    </w:tbl>
    <w:p>
      <w:pPr>
        <w:spacing w:after="90" w:before="160"/>
      </w:pPr>
      <w:r>
        <w:rPr>
          <w:rFonts w:ascii="Arial" w:cs="Arial" w:eastAsia="Arial" w:hAnsi="Arial"/>
          <w:b/>
          <w:bCs/>
          <w:color w:val="0A1628"/>
          <w:sz w:val="18"/>
          <w:szCs w:val="18"/>
        </w:rPr>
        <w:t xml:space="preserve">Three priorities: </w:t>
      </w:r>
      <w:r>
        <w:rPr>
          <w:rFonts w:ascii="Georgia" w:cs="Georgia" w:eastAsia="Georgia" w:hAnsi="Georgia"/>
          <w:b/>
          <w:bCs/>
          <w:color w:val="9B2226"/>
          <w:sz w:val="18"/>
          <w:szCs w:val="18"/>
        </w:rPr>
        <w:t xml:space="preserve">(1) the prejudgment-bias record, </w:t>
      </w:r>
      <w:r>
        <w:rPr>
          <w:rFonts w:ascii="Georgia" w:cs="Georgia" w:eastAsia="Georgia" w:hAnsi="Georgia"/>
          <w:color w:val="1A1A1A"/>
          <w:sz w:val="18"/>
          <w:szCs w:val="18"/>
        </w:rPr>
        <w:t xml:space="preserve">led by the solicitor;  (2) the zoning spine, which also decides the flood Justification Test;  (3) reconciling the inconsistent figures. Everything below is grouped by who owns it.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50"/>
        <w:gridCol w:w="7350"/>
      </w:tblGrid>
      <w:tr>
        <w:tc>
          <w:tcPr>
            <w:gridSpan w:val="2"/>
            <w:shd w:fill="0A1628" w:val="clear"/>
            <w:tcMar>
              <w:top w:type="dxa" w:w="70"/>
              <w:left w:type="dxa" w:w="120"/>
              <w:bottom w:type="dxa" w:w="70"/>
              <w:right w:type="dxa" w:w="120"/>
            </w:tcMar>
          </w:tcPr>
          <w:p>
            <w:pPr>
              <w:spacing w:after="0" w:before="0"/>
            </w:pPr>
            <w:r>
              <w:rPr>
                <w:rFonts w:ascii="Arial" w:cs="Arial" w:eastAsia="Arial" w:hAnsi="Arial"/>
                <w:b/>
                <w:bCs/>
                <w:color w:val="FFFFFF"/>
                <w:spacing w:val="40"/>
                <w:sz w:val="18"/>
                <w:szCs w:val="18"/>
              </w:rPr>
              <w:t xml:space="preserve">SOLICITOR  —  lead on process risk</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56-61</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Prejudgment bias is the most dangerous ground. Characterise the 12 Nov 2025 Council phone engagement as lawful Further Information clarification, and get anything material from it onto the planning file (file note or confirming letter). Reframe any “agreement” as the Council indicating how it would assess, not binding itself to grant.</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 12</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Confirm the current section 34(6) reserved-resolution voting threshold for a grant that materially contravenes the plan.</w:t>
            </w:r>
          </w:p>
        </w:tc>
      </w:tr>
      <w:tr>
        <w:tc>
          <w:tcPr>
            <w:gridSpan w:val="2"/>
            <w:shd w:fill="0A1628" w:val="clear"/>
            <w:tcMar>
              <w:top w:type="dxa" w:w="70"/>
              <w:left w:type="dxa" w:w="120"/>
              <w:bottom w:type="dxa" w:w="70"/>
              <w:right w:type="dxa" w:w="120"/>
            </w:tcMar>
          </w:tcPr>
          <w:p>
            <w:pPr>
              <w:spacing w:after="0" w:before="0"/>
            </w:pPr>
            <w:r>
              <w:rPr>
                <w:rFonts w:ascii="Arial" w:cs="Arial" w:eastAsia="Arial" w:hAnsi="Arial"/>
                <w:b/>
                <w:bCs/>
                <w:color w:val="FFFFFF"/>
                <w:spacing w:val="40"/>
                <w:sz w:val="18"/>
                <w:szCs w:val="18"/>
              </w:rPr>
              <w:t xml:space="preserve">PLANNING CONSULTANT (Ward)  —  the zoning spine</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 13</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Confirm the High Amenity land-use matrix: are road and car parking “not permitted” or “open for consideration”? Crux of the material-contravention claim.</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14-15</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Confirm the Business 30 per cent residential cap wording, that High Amenity cannot count toward the Business residential component, and the Rural Area matrix row and settlement-boundary status.</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16-21</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Carry the density argument as planning judgement: concede the net-density method, contest the inputs (which land forms the denominator). This point cannot be won by assertion.</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 12</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Build the section 34(6) posture: material contravention is a procedural gateway, not automatic refusal. This is the strongest structural rebuttal.</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41-49</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Ensure a reasoned EIA screening determination is on the file addressing nature and location (European site, conservation area, protected structures, flood zone). State plainly that an NIS does not trigger EIA: separate regimes.</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1-8, 38-40</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Short answers: dereliction, viability and CPO are not material planning considerations. Give the social-infrastructure point (lost hotel use) a substantive reply.</w:t>
            </w:r>
          </w:p>
        </w:tc>
      </w:tr>
      <w:tr>
        <w:tc>
          <w:tcPr>
            <w:gridSpan w:val="2"/>
            <w:shd w:fill="0A1628" w:val="clear"/>
            <w:tcMar>
              <w:top w:type="dxa" w:w="70"/>
              <w:left w:type="dxa" w:w="120"/>
              <w:bottom w:type="dxa" w:w="70"/>
              <w:right w:type="dxa" w:w="120"/>
            </w:tcMar>
          </w:tcPr>
          <w:p>
            <w:pPr>
              <w:spacing w:after="0" w:before="0"/>
            </w:pPr>
            <w:r>
              <w:rPr>
                <w:rFonts w:ascii="Arial" w:cs="Arial" w:eastAsia="Arial" w:hAnsi="Arial"/>
                <w:b/>
                <w:bCs/>
                <w:color w:val="FFFFFF"/>
                <w:spacing w:val="40"/>
                <w:sz w:val="18"/>
                <w:szCs w:val="18"/>
              </w:rPr>
              <w:t xml:space="preserve">ARCHITECT (Oppermann)  —  documents and visuals</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31-37</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Reconcile every site-area and floor-area figure across all drawings and reports into ONE consistent schedule. Corrosive if the numbers conflict. High priority.</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50-55</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Justify the landscape and visual viewpoints against best practice; offer a corrected or additional visualisation from the objector’s viewpoint. He has site photographs; do not be dismissive.</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22-26</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Verify the open-space percentage and the adequacy of the social infrastructure assessment against the plan standard.</w:t>
            </w:r>
          </w:p>
        </w:tc>
      </w:tr>
      <w:tr>
        <w:tc>
          <w:tcPr>
            <w:gridSpan w:val="2"/>
            <w:shd w:fill="0A1628" w:val="clear"/>
            <w:tcMar>
              <w:top w:type="dxa" w:w="70"/>
              <w:left w:type="dxa" w:w="120"/>
              <w:bottom w:type="dxa" w:w="70"/>
              <w:right w:type="dxa" w:w="120"/>
            </w:tcMar>
          </w:tcPr>
          <w:p>
            <w:pPr>
              <w:spacing w:after="0" w:before="0"/>
            </w:pPr>
            <w:r>
              <w:rPr>
                <w:rFonts w:ascii="Arial" w:cs="Arial" w:eastAsia="Arial" w:hAnsi="Arial"/>
                <w:b/>
                <w:bCs/>
                <w:color w:val="FFFFFF"/>
                <w:spacing w:val="40"/>
                <w:sz w:val="18"/>
                <w:szCs w:val="18"/>
              </w:rPr>
              <w:t xml:space="preserve">FLOOD CONSULTANT (JBA)</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Pts 28-29</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Show the sequential approach was actually worked: avoidance and substitution considered before the Justification Test. Concede residential is highly vulnerable and Zone A is inappropriate in principle, then show the test is met.</w:t>
            </w:r>
          </w:p>
        </w:tc>
      </w:tr>
      <w:tr>
        <w:tc>
          <w:tcPr>
            <w:tcW w:type="dxa" w:w="16"/>
            <w:shd w:fill="F8F5F0"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 30</w:t>
            </w:r>
          </w:p>
        </w:tc>
        <w:tc>
          <w:tcPr>
            <w:tcW w:type="dxa" w:w="17"/>
            <w:shd w:fill="F8F5F0"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The Justification Test criteria are cumulative and include a zoning limb. This is answerable only if the development is consistent with the plan zoning. Cannot be cured by engineering; align with the planning consultant.</w:t>
            </w:r>
          </w:p>
        </w:tc>
      </w:tr>
      <w:tr>
        <w:tc>
          <w:tcPr>
            <w:tcW w:type="dxa" w:w="16"/>
            <w:shd w:fill="FFFFFF" w:val="clear"/>
            <w:tcMar>
              <w:top w:type="dxa" w:w="60"/>
              <w:left w:type="dxa" w:w="110"/>
              <w:bottom w:type="dxa" w:w="60"/>
              <w:right w:type="dxa" w:w="110"/>
            </w:tcMar>
          </w:tcPr>
          <w:p>
            <w:pPr>
              <w:spacing w:after="10" w:before="10" w:line="240" w:lineRule="auto"/>
              <w:jc w:val="left"/>
            </w:pPr>
            <w:r>
              <w:rPr>
                <w:rFonts w:ascii="Arial" w:cs="Arial" w:eastAsia="Arial" w:hAnsi="Arial"/>
                <w:b/>
                <w:bCs/>
                <w:color w:val="B8942A"/>
                <w:sz w:val="16"/>
                <w:szCs w:val="16"/>
              </w:rPr>
              <w:t xml:space="preserve">Pt 27</w:t>
            </w:r>
          </w:p>
        </w:tc>
        <w:tc>
          <w:tcPr>
            <w:tcW w:type="dxa" w:w="17"/>
            <w:shd w:fill="FFFFFF" w:val="clear"/>
            <w:tcMar>
              <w:top w:type="dxa" w:w="60"/>
              <w:left w:type="dxa" w:w="110"/>
              <w:bottom w:type="dxa" w:w="60"/>
              <w:right w:type="dxa" w:w="110"/>
            </w:tcMar>
          </w:tcPr>
          <w:p>
            <w:pPr>
              <w:spacing w:after="10" w:before="10" w:line="240" w:lineRule="auto"/>
              <w:jc w:val="left"/>
            </w:pPr>
            <w:r>
              <w:rPr>
                <w:rFonts w:ascii="Georgia" w:cs="Georgia" w:eastAsia="Georgia" w:hAnsi="Georgia"/>
                <w:b w:val="false"/>
                <w:bCs w:val="false"/>
                <w:color w:val="1A1A1A"/>
                <w:sz w:val="17"/>
                <w:szCs w:val="17"/>
              </w:rPr>
              <w:t xml:space="preserve">Demonstrate compensatory storage: raised levels must not reduce floodplain conveyance or increase flood risk elsewhere.</w:t>
            </w:r>
          </w:p>
        </w:tc>
      </w:tr>
    </w:tbl>
    <w:p>
      <w:pPr>
        <w:spacing w:after="0" w:before="140"/>
      </w:pPr>
      <w:r>
        <w:rPr>
          <w:rFonts w:ascii="Georgia" w:cs="Georgia" w:eastAsia="Georgia" w:hAnsi="Georgia"/>
          <w:i/>
          <w:iCs/>
          <w:color w:val="555555"/>
          <w:sz w:val="16"/>
          <w:szCs w:val="16"/>
        </w:rPr>
        <w:t xml:space="preserve">Full reasoning and the 62-point assessment are in the accompanying scrutiny report. Nothing here is to be quoted to the Council as verbatim statute or guideline text until confirmed from primary copies.</w:t>
      </w:r>
    </w:p>
    <w:sectPr>
      <w:footerReference w:type="default" r:id="rId7"/>
      <w:pgSz w:w="12240" w:h="15840" w:orient="portrait"/>
      <w:pgMar w:top="78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spacing w:before="60"/>
      <w:jc w:val="right"/>
    </w:pPr>
    <w:r>
      <w:rPr>
        <w:rFonts w:ascii="Arial" w:cs="Arial" w:eastAsia="Arial" w:hAnsi="Arial"/>
        <w:color w:val="888888"/>
        <w:sz w:val="14"/>
        <w:szCs w:val="14"/>
      </w:rPr>
      <w:t xml:space="preserve">Private and Confidential  |  Not for Filing  |  Supporting analysis, subject to professional confirmation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2026-07-22T22:02:57.291Z</dcterms:created>
  <dcterms:modified xsi:type="dcterms:W3CDTF">2026-07-22T22:02:57.292Z</dcterms:modified>
</cp:coreProperties>
</file>

<file path=docProps/custom.xml><?xml version="1.0" encoding="utf-8"?>
<Properties xmlns="http://schemas.openxmlformats.org/officeDocument/2006/custom-properties" xmlns:vt="http://schemas.openxmlformats.org/officeDocument/2006/docPropsVTypes"/>
</file>