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A2CA" w14:textId="77777777" w:rsidR="00415301" w:rsidRDefault="00000000">
      <w:pPr>
        <w:pStyle w:val="Title"/>
      </w:pPr>
      <w:r>
        <w:t>The Yield</w:t>
      </w:r>
    </w:p>
    <w:p w14:paraId="3C031ADD" w14:textId="77777777" w:rsidR="00415301" w:rsidRDefault="00000000">
      <w:pPr>
        <w:pStyle w:val="Subtitle"/>
      </w:pPr>
      <w:r>
        <w:t>Testing Guide — Commercial Behaviour, Not Just Correctness · 17 August 2026</w:t>
      </w:r>
    </w:p>
    <w:p w14:paraId="5E2A774F" w14:textId="77777777" w:rsidR="00415301" w:rsidRDefault="00000000">
      <w:pPr>
        <w:spacing w:after="120"/>
      </w:pPr>
      <w:r>
        <w:t xml:space="preserve">This guide tests something different from the 92 automated unit tests already covering the calculation engine. Those prove the maths is right. This guide asks a harder question: does the tool make the right commercial reality obvious? A calculator can be arithmetically perfect and still bury the one number that </w:t>
      </w:r>
      <w:proofErr w:type="gramStart"/>
      <w:r>
        <w:t>actually matters</w:t>
      </w:r>
      <w:proofErr w:type="gramEnd"/>
      <w:r>
        <w:t xml:space="preserve">. These ten tests — plus three new ones </w:t>
      </w:r>
      <w:proofErr w:type="gramStart"/>
      <w:r>
        <w:t>added below,</w:t>
      </w:r>
      <w:proofErr w:type="gramEnd"/>
      <w:r>
        <w:t xml:space="preserve"> probing features that didn't exist when this guide was first drafted — are designed to surface that.</w:t>
      </w:r>
    </w:p>
    <w:tbl>
      <w:tblPr>
        <w:tblW w:w="9350" w:type="dxa"/>
        <w:tblBorders>
          <w:top w:val="single" w:sz="4" w:space="0" w:color="D8DACF"/>
          <w:left w:val="single" w:sz="4" w:space="0" w:color="D8DACF"/>
          <w:bottom w:val="single" w:sz="4" w:space="0" w:color="D8DACF"/>
          <w:right w:val="single" w:sz="4" w:space="0" w:color="D8DAC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15301" w14:paraId="0CC171E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6F6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E30088A" w14:textId="77777777" w:rsidR="00415301" w:rsidRDefault="00000000">
            <w:pPr>
              <w:spacing w:after="40"/>
            </w:pPr>
            <w:r>
              <w:rPr>
                <w:b/>
                <w:bCs/>
                <w:color w:val="2F6F52"/>
                <w:sz w:val="18"/>
                <w:szCs w:val="18"/>
              </w:rPr>
              <w:t>Start here</w:t>
            </w:r>
          </w:p>
          <w:p w14:paraId="33C44CC2" w14:textId="77777777" w:rsidR="00415301" w:rsidRDefault="00000000">
            <w:r>
              <w:rPr>
                <w:sz w:val="19"/>
                <w:szCs w:val="19"/>
              </w:rPr>
              <w:t xml:space="preserve">Run Test 2 (tiny unit saving, huge volume) and Test 6 (consolidation vs. cherry-picking) first. They demonstrate the two most commercially interesting behaviours the tool has. Then run Test 11 (Verified vs Indicative), since it tests the newest and most visible feature — the annual-saving hero card — and it's the fastest way to build trust that a big green number on screen </w:t>
            </w:r>
            <w:proofErr w:type="gramStart"/>
            <w:r>
              <w:rPr>
                <w:sz w:val="19"/>
                <w:szCs w:val="19"/>
              </w:rPr>
              <w:t>actually means</w:t>
            </w:r>
            <w:proofErr w:type="gramEnd"/>
            <w:r>
              <w:rPr>
                <w:sz w:val="19"/>
                <w:szCs w:val="19"/>
              </w:rPr>
              <w:t xml:space="preserve"> what it claims.</w:t>
            </w:r>
          </w:p>
        </w:tc>
      </w:tr>
    </w:tbl>
    <w:p w14:paraId="743BE3C3" w14:textId="77777777" w:rsidR="00415301" w:rsidRDefault="00000000">
      <w:pPr>
        <w:pStyle w:val="Heading1"/>
      </w:pPr>
      <w:r>
        <w:t>The Test Market</w:t>
      </w:r>
    </w:p>
    <w:p w14:paraId="389DB42A" w14:textId="77777777" w:rsidR="00415301" w:rsidRDefault="00000000">
      <w:pPr>
        <w:spacing w:after="120"/>
      </w:pPr>
      <w:r>
        <w:t>Five fictitious suppliers, kept deliberately unreal so no result is ever mistaken for a live commercial claim about an actual company:</w:t>
      </w:r>
    </w:p>
    <w:tbl>
      <w:tblPr>
        <w:tblW w:w="9350" w:type="dxa"/>
        <w:tblBorders>
          <w:top w:val="single" w:sz="4" w:space="0" w:color="D8DACF"/>
          <w:left w:val="single" w:sz="4" w:space="0" w:color="D8DACF"/>
          <w:bottom w:val="single" w:sz="4" w:space="0" w:color="D8DACF"/>
          <w:right w:val="single" w:sz="4" w:space="0" w:color="D8DACF"/>
          <w:insideH w:val="single" w:sz="2" w:space="0" w:color="D8DACF"/>
          <w:insideV w:val="single" w:sz="2" w:space="0" w:color="D8DAC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415301" w14:paraId="51CD52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F6F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580B5" w14:textId="77777777" w:rsidR="00415301" w:rsidRDefault="00000000">
            <w:r>
              <w:rPr>
                <w:b/>
                <w:bCs/>
                <w:color w:val="1B2420"/>
                <w:sz w:val="17"/>
                <w:szCs w:val="17"/>
              </w:rPr>
              <w:t>Supplier</w:t>
            </w:r>
          </w:p>
        </w:tc>
        <w:tc>
          <w:tcPr>
            <w:tcW w:w="4675" w:type="dxa"/>
            <w:shd w:val="clear" w:color="auto" w:fill="F6F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7643C" w14:textId="77777777" w:rsidR="00415301" w:rsidRDefault="00000000">
            <w:r>
              <w:rPr>
                <w:b/>
                <w:bCs/>
                <w:color w:val="1B2420"/>
                <w:sz w:val="17"/>
                <w:szCs w:val="17"/>
              </w:rPr>
              <w:t>Role</w:t>
            </w:r>
          </w:p>
        </w:tc>
      </w:tr>
      <w:tr w:rsidR="00415301" w14:paraId="7C81618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C5A74" w14:textId="77777777" w:rsidR="00415301" w:rsidRDefault="00000000">
            <w:r>
              <w:rPr>
                <w:sz w:val="17"/>
                <w:szCs w:val="17"/>
              </w:rPr>
              <w:t>Velora Foodservice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6F1A7" w14:textId="77777777" w:rsidR="00415301" w:rsidRDefault="00000000">
            <w:r>
              <w:rPr>
                <w:sz w:val="17"/>
                <w:szCs w:val="17"/>
              </w:rPr>
              <w:t>Current supplier / baseline</w:t>
            </w:r>
          </w:p>
        </w:tc>
      </w:tr>
      <w:tr w:rsidR="00415301" w14:paraId="2CBB8E7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6FA98" w14:textId="77777777" w:rsidR="00415301" w:rsidRDefault="00000000">
            <w:r>
              <w:rPr>
                <w:sz w:val="17"/>
                <w:szCs w:val="17"/>
              </w:rPr>
              <w:t>Marroway Provisions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85396" w14:textId="77777777" w:rsidR="00415301" w:rsidRDefault="00000000">
            <w:r>
              <w:rPr>
                <w:sz w:val="17"/>
                <w:szCs w:val="17"/>
              </w:rPr>
              <w:t>Competitor</w:t>
            </w:r>
          </w:p>
        </w:tc>
      </w:tr>
      <w:tr w:rsidR="00415301" w14:paraId="76D0C3B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43CB9" w14:textId="77777777" w:rsidR="00415301" w:rsidRDefault="00000000">
            <w:r>
              <w:rPr>
                <w:sz w:val="17"/>
                <w:szCs w:val="17"/>
              </w:rPr>
              <w:t>Kestrel Pantry Supply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A5D78" w14:textId="77777777" w:rsidR="00415301" w:rsidRDefault="00000000">
            <w:r>
              <w:rPr>
                <w:sz w:val="17"/>
                <w:szCs w:val="17"/>
              </w:rPr>
              <w:t>Competitor</w:t>
            </w:r>
          </w:p>
        </w:tc>
      </w:tr>
      <w:tr w:rsidR="00415301" w14:paraId="57F810B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25998" w14:textId="77777777" w:rsidR="00415301" w:rsidRDefault="00000000">
            <w:r>
              <w:rPr>
                <w:sz w:val="17"/>
                <w:szCs w:val="17"/>
              </w:rPr>
              <w:t>Brindle Grove Wholesale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3E294" w14:textId="77777777" w:rsidR="00415301" w:rsidRDefault="00000000">
            <w:r>
              <w:rPr>
                <w:sz w:val="17"/>
                <w:szCs w:val="17"/>
              </w:rPr>
              <w:t>Competitor</w:t>
            </w:r>
          </w:p>
        </w:tc>
      </w:tr>
      <w:tr w:rsidR="00415301" w14:paraId="78F57E0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74614" w14:textId="77777777" w:rsidR="00415301" w:rsidRDefault="00000000">
            <w:r>
              <w:rPr>
                <w:sz w:val="17"/>
                <w:szCs w:val="17"/>
              </w:rPr>
              <w:t>Tandem Vale Foods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84D2C" w14:textId="77777777" w:rsidR="00415301" w:rsidRDefault="00000000">
            <w:r>
              <w:rPr>
                <w:sz w:val="17"/>
                <w:szCs w:val="17"/>
              </w:rPr>
              <w:t>Competitor</w:t>
            </w:r>
          </w:p>
        </w:tc>
      </w:tr>
    </w:tbl>
    <w:p w14:paraId="7CEFD137" w14:textId="77777777" w:rsidR="00415301" w:rsidRDefault="00000000">
      <w:pPr>
        <w:pStyle w:val="Heading1"/>
      </w:pPr>
      <w:r>
        <w:t>How to Use This Guide</w:t>
      </w:r>
    </w:p>
    <w:p w14:paraId="173A17B4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Change one main variable at a time wherever possible.</w:t>
      </w:r>
    </w:p>
    <w:p w14:paraId="2AAC1D73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Use the same underlying demand when you want a clean supplier-price comparison.</w:t>
      </w:r>
    </w:p>
    <w:p w14:paraId="27F27C14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Record both unit saving and annual dollar saving — they tell different stories, and the gap between them is usually the point of the test.</w:t>
      </w:r>
    </w:p>
    <w:p w14:paraId="1C8EC0B1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Switch the Current Supplier deliberately when you want to test the effect of the starting position.</w:t>
      </w:r>
    </w:p>
    <w:p w14:paraId="2B830D56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Treat the five suppliers as synthetic test cases only; the objective is to learn how the tool behaves, not to draw a real conclusion about any real market.</w:t>
      </w:r>
    </w:p>
    <w:p w14:paraId="5DA35736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Where a test description references a </w:t>
      </w:r>
      <w:proofErr w:type="gramStart"/>
      <w:r>
        <w:t>feature</w:t>
      </w:r>
      <w:proofErr w:type="gramEnd"/>
      <w:r>
        <w:t xml:space="preserve"> the tool doesn't automate yet (Supplier Strategy, for instance), that's deliberate — see the companion Parked Ideas document for what's built versus </w:t>
      </w:r>
      <w:r>
        <w:lastRenderedPageBreak/>
        <w:t>what's a future branch. Testing the manual workaround is exactly how you'd find out whether the automated version is worth building.</w:t>
      </w:r>
    </w:p>
    <w:p w14:paraId="5E558A95" w14:textId="77777777" w:rsidR="00415301" w:rsidRDefault="00000000">
      <w:pPr>
        <w:pBdr>
          <w:bottom w:val="single" w:sz="4" w:space="6" w:color="D8DACF"/>
        </w:pBdr>
        <w:spacing w:before="280" w:after="80"/>
      </w:pPr>
      <w:r>
        <w:rPr>
          <w:b/>
          <w:bCs/>
          <w:color w:val="1B2420"/>
          <w:sz w:val="24"/>
          <w:szCs w:val="24"/>
        </w:rPr>
        <w:t>Test 1 — Pure Like-for-Like Benchmark</w:t>
      </w:r>
    </w:p>
    <w:p w14:paraId="12B25969" w14:textId="77777777" w:rsidR="00415301" w:rsidRDefault="00000000">
      <w:pPr>
        <w:spacing w:after="120"/>
      </w:pPr>
      <w:r>
        <w:rPr>
          <w:i/>
          <w:iCs/>
          <w:color w:val="4B564F"/>
        </w:rPr>
        <w:t>Prove the basic comparison engine with the cleanest possible ceteris paribus test.</w:t>
      </w:r>
    </w:p>
    <w:p w14:paraId="5F1CDE78" w14:textId="77777777" w:rsidR="00415301" w:rsidRDefault="00000000">
      <w:pPr>
        <w:pStyle w:val="Heading2"/>
        <w:spacing w:before="220" w:after="90"/>
      </w:pPr>
      <w:r>
        <w:t>Setup</w:t>
      </w:r>
    </w:p>
    <w:p w14:paraId="718F8CD0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Choose one group, such as Squid Fillets.</w:t>
      </w:r>
    </w:p>
    <w:p w14:paraId="2B1A04FE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Keep Velora as Current Supplier.</w:t>
      </w:r>
    </w:p>
    <w:p w14:paraId="203E60D0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Enter one 3-month quantity.</w:t>
      </w:r>
    </w:p>
    <w:p w14:paraId="1414CB8E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Compare all five suppliers without changing demand.</w:t>
      </w:r>
    </w:p>
    <w:p w14:paraId="7CD1BEB4" w14:textId="77777777" w:rsidR="00415301" w:rsidRDefault="00000000">
      <w:pPr>
        <w:pStyle w:val="Heading2"/>
        <w:spacing w:before="220" w:after="90"/>
      </w:pPr>
      <w:r>
        <w:t>Watch for</w:t>
      </w:r>
    </w:p>
    <w:p w14:paraId="158E0178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Cheapest equalised supplier.</w:t>
      </w:r>
    </w:p>
    <w:p w14:paraId="03DB18A9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Annual saving relative to Velora.</w:t>
      </w:r>
    </w:p>
    <w:p w14:paraId="074DCA7D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Whether ranking changes once packs are normalised.</w:t>
      </w:r>
    </w:p>
    <w:p w14:paraId="4E5DCEA3" w14:textId="77777777" w:rsidR="00415301" w:rsidRDefault="00000000">
      <w:pPr>
        <w:spacing w:before="100" w:after="60"/>
      </w:pPr>
      <w:r>
        <w:rPr>
          <w:b/>
          <w:bCs/>
          <w:color w:val="1B2420"/>
          <w:sz w:val="19"/>
          <w:szCs w:val="19"/>
        </w:rPr>
        <w:t xml:space="preserve">Question:  </w:t>
      </w:r>
      <w:r>
        <w:rPr>
          <w:i/>
          <w:iCs/>
          <w:color w:val="4B564F"/>
          <w:sz w:val="19"/>
          <w:szCs w:val="19"/>
        </w:rPr>
        <w:t xml:space="preserve">For </w:t>
      </w:r>
      <w:proofErr w:type="gramStart"/>
      <w:r>
        <w:rPr>
          <w:i/>
          <w:iCs/>
          <w:color w:val="4B564F"/>
          <w:sz w:val="19"/>
          <w:szCs w:val="19"/>
        </w:rPr>
        <w:t>exactly the same</w:t>
      </w:r>
      <w:proofErr w:type="gramEnd"/>
      <w:r>
        <w:rPr>
          <w:i/>
          <w:iCs/>
          <w:color w:val="4B564F"/>
          <w:sz w:val="19"/>
          <w:szCs w:val="19"/>
        </w:rPr>
        <w:t xml:space="preserve"> underlying demand, which supplier is economically best?</w:t>
      </w:r>
    </w:p>
    <w:p w14:paraId="7FCD2A03" w14:textId="77777777" w:rsidR="00415301" w:rsidRDefault="00000000">
      <w:pPr>
        <w:pBdr>
          <w:bottom w:val="single" w:sz="4" w:space="6" w:color="D8DACF"/>
        </w:pBdr>
        <w:spacing w:before="280" w:after="80"/>
      </w:pPr>
      <w:r>
        <w:rPr>
          <w:b/>
          <w:bCs/>
          <w:color w:val="1B2420"/>
          <w:sz w:val="24"/>
          <w:szCs w:val="24"/>
        </w:rPr>
        <w:t>Test 2 — Tiny Price Difference + Huge Volume</w:t>
      </w:r>
      <w:r>
        <w:rPr>
          <w:b/>
          <w:bCs/>
          <w:color w:val="B9772C"/>
          <w:sz w:val="18"/>
          <w:szCs w:val="18"/>
        </w:rPr>
        <w:t xml:space="preserve">   ★ START HERE</w:t>
      </w:r>
    </w:p>
    <w:p w14:paraId="7CD1BD62" w14:textId="77777777" w:rsidR="00415301" w:rsidRDefault="00000000">
      <w:pPr>
        <w:spacing w:after="120"/>
      </w:pPr>
      <w:r>
        <w:rPr>
          <w:i/>
          <w:iCs/>
          <w:color w:val="4B564F"/>
        </w:rPr>
        <w:t>Show how a small unit-cost advantage can become the biggest commercial opportunity in the catalogue.</w:t>
      </w:r>
    </w:p>
    <w:p w14:paraId="155B4207" w14:textId="77777777" w:rsidR="00415301" w:rsidRDefault="00000000">
      <w:pPr>
        <w:pStyle w:val="Heading2"/>
        <w:spacing w:before="220" w:after="90"/>
      </w:pPr>
      <w:r>
        <w:t>Setup</w:t>
      </w:r>
    </w:p>
    <w:p w14:paraId="6900CFE5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Use a high-volume group such as Canola Oil.</w:t>
      </w:r>
    </w:p>
    <w:p w14:paraId="5F347DB9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Start at 20 packs over 3 months.</w:t>
      </w:r>
    </w:p>
    <w:p w14:paraId="7BC813DF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Repeat at 100, 250 and 500 packs.</w:t>
      </w:r>
    </w:p>
    <w:p w14:paraId="45AF40E8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Do not change supplier prices between runs.</w:t>
      </w:r>
    </w:p>
    <w:tbl>
      <w:tblPr>
        <w:tblW w:w="9350" w:type="dxa"/>
        <w:tblBorders>
          <w:top w:val="single" w:sz="4" w:space="0" w:color="D8DACF"/>
          <w:left w:val="single" w:sz="4" w:space="0" w:color="D8DACF"/>
          <w:bottom w:val="single" w:sz="4" w:space="0" w:color="D8DACF"/>
          <w:right w:val="single" w:sz="4" w:space="0" w:color="D8DAC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15301" w14:paraId="084D6FF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6F6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F59D786" w14:textId="77777777" w:rsidR="00415301" w:rsidRDefault="00000000">
            <w:pPr>
              <w:spacing w:after="40"/>
            </w:pPr>
            <w:r>
              <w:rPr>
                <w:b/>
                <w:bCs/>
                <w:color w:val="2F6F52"/>
                <w:sz w:val="18"/>
                <w:szCs w:val="18"/>
              </w:rPr>
              <w:t>Example</w:t>
            </w:r>
          </w:p>
          <w:p w14:paraId="64AE2850" w14:textId="77777777" w:rsidR="00415301" w:rsidRDefault="00000000">
            <w:r>
              <w:rPr>
                <w:sz w:val="19"/>
                <w:szCs w:val="19"/>
              </w:rPr>
              <w:t>A $0.10/L advantage looks trivial. At 40,000 L/year it becomes a $4,000 annual opportunity.</w:t>
            </w:r>
          </w:p>
        </w:tc>
      </w:tr>
    </w:tbl>
    <w:p w14:paraId="1DCDF81B" w14:textId="77777777" w:rsidR="00415301" w:rsidRDefault="00000000">
      <w:pPr>
        <w:pStyle w:val="Heading2"/>
        <w:spacing w:before="220" w:after="90"/>
      </w:pPr>
      <w:r>
        <w:t>Watch for</w:t>
      </w:r>
    </w:p>
    <w:p w14:paraId="01B3EA52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Annual saving should scale almost linearly with volume.</w:t>
      </w:r>
    </w:p>
    <w:p w14:paraId="6E30FC57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A supplier that looks only slightly cheaper per litre may become strategically important.</w:t>
      </w:r>
    </w:p>
    <w:p w14:paraId="684D8A6B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The ranking of items by percentage saving may differ sharply from ranking by dollar saving.</w:t>
      </w:r>
    </w:p>
    <w:p w14:paraId="01C42289" w14:textId="77777777" w:rsidR="00415301" w:rsidRDefault="00000000">
      <w:pPr>
        <w:spacing w:before="100" w:after="60"/>
      </w:pPr>
      <w:r>
        <w:rPr>
          <w:b/>
          <w:bCs/>
          <w:color w:val="1B2420"/>
          <w:sz w:val="19"/>
          <w:szCs w:val="19"/>
        </w:rPr>
        <w:t xml:space="preserve">Question:  </w:t>
      </w:r>
      <w:r>
        <w:rPr>
          <w:i/>
          <w:iCs/>
          <w:color w:val="4B564F"/>
          <w:sz w:val="19"/>
          <w:szCs w:val="19"/>
        </w:rPr>
        <w:t>How much does purchasing volume amplify a small unit-cost advantage?</w:t>
      </w:r>
    </w:p>
    <w:p w14:paraId="5C6D9851" w14:textId="77777777" w:rsidR="00415301" w:rsidRDefault="00000000">
      <w:pPr>
        <w:pBdr>
          <w:bottom w:val="single" w:sz="4" w:space="6" w:color="D8DACF"/>
        </w:pBdr>
        <w:spacing w:before="280" w:after="80"/>
      </w:pPr>
      <w:r>
        <w:rPr>
          <w:b/>
          <w:bCs/>
          <w:color w:val="1B2420"/>
          <w:sz w:val="24"/>
          <w:szCs w:val="24"/>
        </w:rPr>
        <w:t>Test 3 — Huge Percentage Saving + Tiny Volume</w:t>
      </w:r>
    </w:p>
    <w:p w14:paraId="73793E41" w14:textId="77777777" w:rsidR="00415301" w:rsidRDefault="00000000">
      <w:pPr>
        <w:spacing w:after="120"/>
      </w:pPr>
      <w:r>
        <w:rPr>
          <w:i/>
          <w:iCs/>
          <w:color w:val="4B564F"/>
        </w:rPr>
        <w:t>Show why a dramatic percentage difference can still be commercially immaterial.</w:t>
      </w:r>
    </w:p>
    <w:p w14:paraId="0D564ADD" w14:textId="77777777" w:rsidR="00415301" w:rsidRDefault="00000000">
      <w:pPr>
        <w:pStyle w:val="Heading2"/>
        <w:spacing w:before="220" w:after="90"/>
      </w:pPr>
      <w:r>
        <w:lastRenderedPageBreak/>
        <w:t>Setup</w:t>
      </w:r>
    </w:p>
    <w:p w14:paraId="4282AE84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Choose a low-volume item such as Mayonnaise.</w:t>
      </w:r>
    </w:p>
    <w:p w14:paraId="2A6DDA91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Enter only 2 packs over 3 months.</w:t>
      </w:r>
    </w:p>
    <w:p w14:paraId="5366B3A2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Pick a competitor with a noticeably cheaper unit price.</w:t>
      </w:r>
    </w:p>
    <w:p w14:paraId="26062838" w14:textId="77777777" w:rsidR="00415301" w:rsidRDefault="00000000">
      <w:pPr>
        <w:pStyle w:val="Heading2"/>
        <w:spacing w:before="220" w:after="90"/>
      </w:pPr>
      <w:r>
        <w:t>Watch for</w:t>
      </w:r>
    </w:p>
    <w:p w14:paraId="5541A211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A strong percentage saving paired with a small annual dollar result.</w:t>
      </w:r>
    </w:p>
    <w:p w14:paraId="51F34915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Whether the tool still makes the true financial consequence obvious rather than letting the impressive percentage distract from it.</w:t>
      </w:r>
    </w:p>
    <w:p w14:paraId="7D477B79" w14:textId="77777777" w:rsidR="00415301" w:rsidRDefault="00000000">
      <w:pPr>
        <w:spacing w:before="100" w:after="60"/>
      </w:pPr>
      <w:r>
        <w:rPr>
          <w:b/>
          <w:bCs/>
          <w:color w:val="1B2420"/>
          <w:sz w:val="19"/>
          <w:szCs w:val="19"/>
        </w:rPr>
        <w:t xml:space="preserve">Question:  </w:t>
      </w:r>
      <w:r>
        <w:rPr>
          <w:i/>
          <w:iCs/>
          <w:color w:val="4B564F"/>
          <w:sz w:val="19"/>
          <w:szCs w:val="19"/>
        </w:rPr>
        <w:t xml:space="preserve">Does this apparently excellent deal </w:t>
      </w:r>
      <w:proofErr w:type="gramStart"/>
      <w:r>
        <w:rPr>
          <w:i/>
          <w:iCs/>
          <w:color w:val="4B564F"/>
          <w:sz w:val="19"/>
          <w:szCs w:val="19"/>
        </w:rPr>
        <w:t>actually matter</w:t>
      </w:r>
      <w:proofErr w:type="gramEnd"/>
      <w:r>
        <w:rPr>
          <w:i/>
          <w:iCs/>
          <w:color w:val="4B564F"/>
          <w:sz w:val="19"/>
          <w:szCs w:val="19"/>
        </w:rPr>
        <w:t xml:space="preserve"> to the business?</w:t>
      </w:r>
    </w:p>
    <w:p w14:paraId="3A58D0C9" w14:textId="77777777" w:rsidR="00415301" w:rsidRDefault="00000000">
      <w:pPr>
        <w:pBdr>
          <w:bottom w:val="single" w:sz="4" w:space="6" w:color="D8DACF"/>
        </w:pBdr>
        <w:spacing w:before="280" w:after="80"/>
      </w:pPr>
      <w:r>
        <w:rPr>
          <w:b/>
          <w:bCs/>
          <w:color w:val="1B2420"/>
          <w:sz w:val="24"/>
          <w:szCs w:val="24"/>
        </w:rPr>
        <w:t>Test 4 — Change the Current Supplier</w:t>
      </w:r>
    </w:p>
    <w:p w14:paraId="7C4E845C" w14:textId="77777777" w:rsidR="00415301" w:rsidRDefault="00000000">
      <w:pPr>
        <w:spacing w:after="120"/>
      </w:pPr>
      <w:r>
        <w:rPr>
          <w:i/>
          <w:iCs/>
          <w:color w:val="4B564F"/>
        </w:rPr>
        <w:t>Measure how much procurement opportunity depends on the venue's starting position.</w:t>
      </w:r>
    </w:p>
    <w:p w14:paraId="6B38B95A" w14:textId="77777777" w:rsidR="00415301" w:rsidRDefault="00000000">
      <w:pPr>
        <w:pStyle w:val="Heading2"/>
        <w:spacing w:before="220" w:after="90"/>
      </w:pPr>
      <w:r>
        <w:t>Setup</w:t>
      </w:r>
    </w:p>
    <w:p w14:paraId="7A2B9C51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Choose one group with all five suppliers.</w:t>
      </w:r>
    </w:p>
    <w:p w14:paraId="7618BB8B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Run it with Velora as Current Supplier.</w:t>
      </w:r>
    </w:p>
    <w:p w14:paraId="2DDFC7E5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Then change the current supplier to Marroway, Kestrel and Brindle Grove one at a time.</w:t>
      </w:r>
    </w:p>
    <w:p w14:paraId="7D047487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Keep demand fixed.</w:t>
      </w:r>
    </w:p>
    <w:p w14:paraId="2EF7652A" w14:textId="77777777" w:rsidR="00415301" w:rsidRDefault="00000000">
      <w:pPr>
        <w:pStyle w:val="Heading2"/>
        <w:spacing w:before="220" w:after="90"/>
      </w:pPr>
      <w:r>
        <w:t>Watch for</w:t>
      </w:r>
    </w:p>
    <w:p w14:paraId="63F0DB7D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The opportunity should shrink or grow depending on the baseline.</w:t>
      </w:r>
    </w:p>
    <w:p w14:paraId="2A214572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If the cheapest supplier becomes Current Supplier, the saving should collapse toward zero — and the hero card should say so plainly rather than showing a stale positive number.</w:t>
      </w:r>
    </w:p>
    <w:p w14:paraId="5971E3A1" w14:textId="77777777" w:rsidR="00415301" w:rsidRDefault="00000000">
      <w:pPr>
        <w:spacing w:before="100" w:after="60"/>
      </w:pPr>
      <w:r>
        <w:rPr>
          <w:b/>
          <w:bCs/>
          <w:color w:val="1B2420"/>
          <w:sz w:val="19"/>
          <w:szCs w:val="19"/>
        </w:rPr>
        <w:t xml:space="preserve">Question:  </w:t>
      </w:r>
      <w:r>
        <w:rPr>
          <w:i/>
          <w:iCs/>
          <w:color w:val="4B564F"/>
          <w:sz w:val="19"/>
          <w:szCs w:val="19"/>
        </w:rPr>
        <w:t>How much value exists purely because of where we currently buy from?</w:t>
      </w:r>
    </w:p>
    <w:p w14:paraId="013680B1" w14:textId="77777777" w:rsidR="00415301" w:rsidRDefault="00000000">
      <w:pPr>
        <w:pBdr>
          <w:bottom w:val="single" w:sz="4" w:space="6" w:color="D8DACF"/>
        </w:pBdr>
        <w:spacing w:before="280" w:after="80"/>
      </w:pPr>
      <w:r>
        <w:rPr>
          <w:b/>
          <w:bCs/>
          <w:color w:val="1B2420"/>
          <w:sz w:val="24"/>
          <w:szCs w:val="24"/>
        </w:rPr>
        <w:t>Test 5 — The High-Spend Basket</w:t>
      </w:r>
    </w:p>
    <w:p w14:paraId="22F3BAAE" w14:textId="77777777" w:rsidR="00415301" w:rsidRDefault="00000000">
      <w:pPr>
        <w:spacing w:after="120"/>
      </w:pPr>
      <w:r>
        <w:rPr>
          <w:i/>
          <w:iCs/>
          <w:color w:val="4B564F"/>
        </w:rPr>
        <w:t>Find out whether most of the total opportunity concentrates in only a few products.</w:t>
      </w:r>
    </w:p>
    <w:p w14:paraId="7B4D5769" w14:textId="77777777" w:rsidR="00415301" w:rsidRDefault="00000000">
      <w:pPr>
        <w:pStyle w:val="Heading2"/>
        <w:spacing w:before="220" w:after="90"/>
      </w:pPr>
      <w:r>
        <w:t>Setup</w:t>
      </w:r>
    </w:p>
    <w:p w14:paraId="611F574F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Give Canola Oil, Bacon and Squid deliberately high quantities.</w:t>
      </w:r>
    </w:p>
    <w:p w14:paraId="0A65532F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Give the remaining seven items modest quantities.</w:t>
      </w:r>
    </w:p>
    <w:p w14:paraId="6C34F19C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Review the total Verified and Indicative opportunity figures on the Compare summary strip.</w:t>
      </w:r>
    </w:p>
    <w:p w14:paraId="4625EF13" w14:textId="77777777" w:rsidR="00415301" w:rsidRDefault="00000000">
      <w:pPr>
        <w:pStyle w:val="Heading2"/>
        <w:spacing w:before="220" w:after="90"/>
      </w:pPr>
      <w:r>
        <w:t>Watch for</w:t>
      </w:r>
    </w:p>
    <w:p w14:paraId="38517A0E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Whether 2–3 products dominate the total dollar opportunity.</w:t>
      </w:r>
    </w:p>
    <w:p w14:paraId="28C42FDF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Which items deserve procurement attention first.</w:t>
      </w:r>
    </w:p>
    <w:p w14:paraId="096D4E1D" w14:textId="77777777" w:rsidR="00415301" w:rsidRDefault="00000000">
      <w:pPr>
        <w:spacing w:before="100" w:after="60"/>
      </w:pPr>
      <w:r>
        <w:rPr>
          <w:b/>
          <w:bCs/>
          <w:color w:val="1B2420"/>
          <w:sz w:val="19"/>
          <w:szCs w:val="19"/>
        </w:rPr>
        <w:t xml:space="preserve">Question:  </w:t>
      </w:r>
      <w:r>
        <w:rPr>
          <w:i/>
          <w:iCs/>
          <w:color w:val="4B564F"/>
          <w:sz w:val="19"/>
          <w:szCs w:val="19"/>
        </w:rPr>
        <w:t>Are most of our savings coming from a small number of high-exposure products?</w:t>
      </w:r>
    </w:p>
    <w:p w14:paraId="415A68AE" w14:textId="77777777" w:rsidR="00415301" w:rsidRDefault="00000000">
      <w:pPr>
        <w:pBdr>
          <w:bottom w:val="single" w:sz="4" w:space="6" w:color="D8DACF"/>
        </w:pBdr>
        <w:spacing w:before="280" w:after="80"/>
      </w:pPr>
      <w:r>
        <w:rPr>
          <w:b/>
          <w:bCs/>
          <w:color w:val="1B2420"/>
          <w:sz w:val="24"/>
          <w:szCs w:val="24"/>
        </w:rPr>
        <w:lastRenderedPageBreak/>
        <w:t>Test 6 — Supplier Consolidation vs. Cherry-Picking</w:t>
      </w:r>
      <w:r>
        <w:rPr>
          <w:b/>
          <w:bCs/>
          <w:color w:val="B9772C"/>
          <w:sz w:val="18"/>
          <w:szCs w:val="18"/>
        </w:rPr>
        <w:t xml:space="preserve">   ★ START HERE</w:t>
      </w:r>
    </w:p>
    <w:p w14:paraId="446EB340" w14:textId="77777777" w:rsidR="00415301" w:rsidRDefault="00000000">
      <w:pPr>
        <w:spacing w:after="120"/>
      </w:pPr>
      <w:r>
        <w:rPr>
          <w:i/>
          <w:iCs/>
          <w:color w:val="4B564F"/>
        </w:rPr>
        <w:t>Compare theoretical maximum savings with the practical simplicity of buying more from one supplier.</w:t>
      </w:r>
    </w:p>
    <w:p w14:paraId="65DF887F" w14:textId="77777777" w:rsidR="00415301" w:rsidRDefault="00000000">
      <w:pPr>
        <w:pStyle w:val="Heading2"/>
        <w:spacing w:before="220" w:after="90"/>
      </w:pPr>
      <w:r>
        <w:t>Setup</w:t>
      </w:r>
    </w:p>
    <w:p w14:paraId="4B845FB4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Give all 10 groups realistic quantities.</w:t>
      </w:r>
    </w:p>
    <w:p w14:paraId="305867FD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First identify the cheapest supplier for each item independently — this is the theoretical item-by-item maximum.</w:t>
      </w:r>
    </w:p>
    <w:p w14:paraId="4A9A2874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Then, one supplier at a time, set that supplier as Current across every group it competes in, and total the resulting cost.</w:t>
      </w:r>
    </w:p>
    <w:p w14:paraId="170ED84A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Compare the two totals by hand using the Results Log below — this comparison isn't automated yet (it's the parked Supplier Strategy branch), so doing it manually is also the test of whether that automation would be worth building.</w:t>
      </w:r>
    </w:p>
    <w:tbl>
      <w:tblPr>
        <w:tblW w:w="9350" w:type="dxa"/>
        <w:tblBorders>
          <w:top w:val="single" w:sz="4" w:space="0" w:color="D8DACF"/>
          <w:left w:val="single" w:sz="4" w:space="0" w:color="D8DACF"/>
          <w:bottom w:val="single" w:sz="4" w:space="0" w:color="D8DACF"/>
          <w:right w:val="single" w:sz="4" w:space="0" w:color="D8DAC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15301" w14:paraId="1C3D0E7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6F6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F8C42CF" w14:textId="77777777" w:rsidR="00415301" w:rsidRDefault="00000000">
            <w:pPr>
              <w:spacing w:after="40"/>
            </w:pPr>
            <w:r>
              <w:rPr>
                <w:b/>
                <w:bCs/>
                <w:color w:val="2F6F52"/>
                <w:sz w:val="18"/>
                <w:szCs w:val="18"/>
              </w:rPr>
              <w:t>Example</w:t>
            </w:r>
          </w:p>
          <w:p w14:paraId="32EBD452" w14:textId="77777777" w:rsidR="00415301" w:rsidRDefault="00000000">
            <w:r>
              <w:rPr>
                <w:sz w:val="19"/>
                <w:szCs w:val="19"/>
              </w:rPr>
              <w:t>If item-by-item sourcing saves $8,500/year but concentrating with one supplier saves $6,900/year, the “cost” of consolidation is about $1,600/year — before rebates, freight, admin or service are even considered.</w:t>
            </w:r>
          </w:p>
        </w:tc>
      </w:tr>
    </w:tbl>
    <w:p w14:paraId="6D60489C" w14:textId="77777777" w:rsidR="00415301" w:rsidRDefault="00000000">
      <w:pPr>
        <w:pStyle w:val="Heading2"/>
        <w:spacing w:before="220" w:after="90"/>
      </w:pPr>
      <w:r>
        <w:t>Watch for</w:t>
      </w:r>
    </w:p>
    <w:p w14:paraId="21CE8C06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The best supplier may differ by category.</w:t>
      </w:r>
    </w:p>
    <w:p w14:paraId="0BDE85B2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A single-supplier strategy may capture most — but not all — of the theoretical saving.</w:t>
      </w:r>
    </w:p>
    <w:p w14:paraId="72BBA406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The gap between the two approaches is the economic price of consolidation convenience.</w:t>
      </w:r>
    </w:p>
    <w:p w14:paraId="23907A62" w14:textId="77777777" w:rsidR="00415301" w:rsidRDefault="00000000">
      <w:pPr>
        <w:spacing w:before="100" w:after="60"/>
      </w:pPr>
      <w:r>
        <w:rPr>
          <w:b/>
          <w:bCs/>
          <w:color w:val="1B2420"/>
          <w:sz w:val="19"/>
          <w:szCs w:val="19"/>
        </w:rPr>
        <w:t xml:space="preserve">Question:  </w:t>
      </w:r>
      <w:r>
        <w:rPr>
          <w:i/>
          <w:iCs/>
          <w:color w:val="4B564F"/>
          <w:sz w:val="19"/>
          <w:szCs w:val="19"/>
        </w:rPr>
        <w:t>Is the extra saving from cherry-picking worth the operational complexity of managing more suppliers?</w:t>
      </w:r>
    </w:p>
    <w:p w14:paraId="78B3D358" w14:textId="77777777" w:rsidR="00415301" w:rsidRDefault="00000000">
      <w:pPr>
        <w:pBdr>
          <w:bottom w:val="single" w:sz="4" w:space="6" w:color="D8DACF"/>
        </w:pBdr>
        <w:spacing w:before="280" w:after="80"/>
      </w:pPr>
      <w:r>
        <w:rPr>
          <w:b/>
          <w:bCs/>
          <w:color w:val="1B2420"/>
          <w:sz w:val="24"/>
          <w:szCs w:val="24"/>
        </w:rPr>
        <w:t>Test 7 — Volume Sensitivity / Materiality</w:t>
      </w:r>
    </w:p>
    <w:p w14:paraId="25BFDDB1" w14:textId="77777777" w:rsidR="00415301" w:rsidRDefault="00000000">
      <w:pPr>
        <w:spacing w:after="120"/>
      </w:pPr>
      <w:r>
        <w:rPr>
          <w:i/>
          <w:iCs/>
          <w:color w:val="4B564F"/>
        </w:rPr>
        <w:t>Find the volume at which a small price advantage becomes worth acting on.</w:t>
      </w:r>
    </w:p>
    <w:p w14:paraId="4CA8998E" w14:textId="77777777" w:rsidR="00415301" w:rsidRDefault="00000000">
      <w:pPr>
        <w:pStyle w:val="Heading2"/>
        <w:spacing w:before="220" w:after="90"/>
      </w:pPr>
      <w:r>
        <w:t>Setup</w:t>
      </w:r>
    </w:p>
    <w:p w14:paraId="7B17B6A5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Choose an item where the price gap is modest.</w:t>
      </w:r>
    </w:p>
    <w:p w14:paraId="57C6E4E1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Run 10, 25, 50, 100 and 250 packs over the same period.</w:t>
      </w:r>
    </w:p>
    <w:p w14:paraId="04477F35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Record annual saving at each level.</w:t>
      </w:r>
    </w:p>
    <w:p w14:paraId="45E7C435" w14:textId="77777777" w:rsidR="00415301" w:rsidRDefault="00000000">
      <w:pPr>
        <w:pStyle w:val="Heading2"/>
        <w:spacing w:before="220" w:after="90"/>
      </w:pPr>
      <w:r>
        <w:t>Watch for</w:t>
      </w:r>
    </w:p>
    <w:p w14:paraId="675F08AF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The point where the saving becomes commercially meaningful.</w:t>
      </w:r>
    </w:p>
    <w:p w14:paraId="43DCFCD6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A possible future “materiality threshold” for procurement review.</w:t>
      </w:r>
    </w:p>
    <w:p w14:paraId="0FDC80BA" w14:textId="77777777" w:rsidR="00415301" w:rsidRDefault="00000000">
      <w:pPr>
        <w:spacing w:before="100" w:after="60"/>
      </w:pPr>
      <w:r>
        <w:rPr>
          <w:b/>
          <w:bCs/>
          <w:color w:val="1B2420"/>
          <w:sz w:val="19"/>
          <w:szCs w:val="19"/>
        </w:rPr>
        <w:t xml:space="preserve">Question:  </w:t>
      </w:r>
      <w:r>
        <w:rPr>
          <w:i/>
          <w:iCs/>
          <w:color w:val="4B564F"/>
          <w:sz w:val="19"/>
          <w:szCs w:val="19"/>
        </w:rPr>
        <w:t>At what purchasing volume does this price advantage become worth caring about?</w:t>
      </w:r>
    </w:p>
    <w:p w14:paraId="19431107" w14:textId="77777777" w:rsidR="00415301" w:rsidRDefault="00000000">
      <w:pPr>
        <w:pBdr>
          <w:bottom w:val="single" w:sz="4" w:space="6" w:color="D8DACF"/>
        </w:pBdr>
        <w:spacing w:before="280" w:after="80"/>
      </w:pPr>
      <w:r>
        <w:rPr>
          <w:b/>
          <w:bCs/>
          <w:color w:val="1B2420"/>
          <w:sz w:val="24"/>
          <w:szCs w:val="24"/>
        </w:rPr>
        <w:t>Test 8 — Deliberately Inefficient Baseline</w:t>
      </w:r>
    </w:p>
    <w:p w14:paraId="3CF0E886" w14:textId="77777777" w:rsidR="00415301" w:rsidRDefault="00000000">
      <w:pPr>
        <w:spacing w:after="120"/>
      </w:pPr>
      <w:r>
        <w:rPr>
          <w:i/>
          <w:iCs/>
          <w:color w:val="4B564F"/>
        </w:rPr>
        <w:t>Stress-test whether the tool clearly exposes a poor purchasing position.</w:t>
      </w:r>
    </w:p>
    <w:p w14:paraId="01153241" w14:textId="77777777" w:rsidR="00415301" w:rsidRDefault="00000000">
      <w:pPr>
        <w:pStyle w:val="Heading2"/>
        <w:spacing w:before="220" w:after="90"/>
      </w:pPr>
      <w:r>
        <w:lastRenderedPageBreak/>
        <w:t>Setup</w:t>
      </w:r>
    </w:p>
    <w:p w14:paraId="2535855D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Find the most expensive supplier for one group.</w:t>
      </w:r>
    </w:p>
    <w:p w14:paraId="1149F889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Set that supplier as Current Supplier.</w:t>
      </w:r>
    </w:p>
    <w:p w14:paraId="5DD06424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Use a large, realistic quantity.</w:t>
      </w:r>
    </w:p>
    <w:p w14:paraId="1E9E9C66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Then switch Current Supplier to the cheapest supplier.</w:t>
      </w:r>
    </w:p>
    <w:p w14:paraId="45E2B2A5" w14:textId="77777777" w:rsidR="00415301" w:rsidRDefault="00000000">
      <w:pPr>
        <w:pStyle w:val="Heading2"/>
        <w:spacing w:before="220" w:after="90"/>
      </w:pPr>
      <w:r>
        <w:t>Watch for</w:t>
      </w:r>
    </w:p>
    <w:p w14:paraId="24EC499F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A large opportunity in the first run.</w:t>
      </w:r>
    </w:p>
    <w:p w14:paraId="17D11EE6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Near-zero opportunity in the second run.</w:t>
      </w:r>
    </w:p>
    <w:p w14:paraId="4C9B11A1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A clear, intuitive change in the hero result — not just a change in the underlying table.</w:t>
      </w:r>
    </w:p>
    <w:p w14:paraId="7400308A" w14:textId="77777777" w:rsidR="00415301" w:rsidRDefault="00000000">
      <w:pPr>
        <w:spacing w:before="100" w:after="60"/>
      </w:pPr>
      <w:r>
        <w:rPr>
          <w:b/>
          <w:bCs/>
          <w:color w:val="1B2420"/>
          <w:sz w:val="19"/>
          <w:szCs w:val="19"/>
        </w:rPr>
        <w:t xml:space="preserve">Question:  </w:t>
      </w:r>
      <w:r>
        <w:rPr>
          <w:i/>
          <w:iCs/>
          <w:color w:val="4B564F"/>
          <w:sz w:val="19"/>
          <w:szCs w:val="19"/>
        </w:rPr>
        <w:t>Does the tool clearly distinguish an inefficient purchasing position from an efficient one?</w:t>
      </w:r>
    </w:p>
    <w:p w14:paraId="46532348" w14:textId="77777777" w:rsidR="00415301" w:rsidRDefault="00000000">
      <w:pPr>
        <w:pBdr>
          <w:bottom w:val="single" w:sz="4" w:space="6" w:color="D8DACF"/>
        </w:pBdr>
        <w:spacing w:before="280" w:after="80"/>
      </w:pPr>
      <w:r>
        <w:rPr>
          <w:b/>
          <w:bCs/>
          <w:color w:val="1B2420"/>
          <w:sz w:val="24"/>
          <w:szCs w:val="24"/>
        </w:rPr>
        <w:t>Test 9 — No Supplier Wins Everything</w:t>
      </w:r>
    </w:p>
    <w:p w14:paraId="7E7D5273" w14:textId="77777777" w:rsidR="00415301" w:rsidRDefault="00000000">
      <w:pPr>
        <w:spacing w:after="120"/>
      </w:pPr>
      <w:r>
        <w:rPr>
          <w:i/>
          <w:iCs/>
          <w:color w:val="4B564F"/>
        </w:rPr>
        <w:t>Explore whether supplier competitiveness changes by category.</w:t>
      </w:r>
    </w:p>
    <w:p w14:paraId="28D1090E" w14:textId="77777777" w:rsidR="00415301" w:rsidRDefault="00000000">
      <w:pPr>
        <w:pStyle w:val="Heading2"/>
        <w:spacing w:before="220" w:after="90"/>
      </w:pPr>
      <w:r>
        <w:t>Setup</w:t>
      </w:r>
    </w:p>
    <w:p w14:paraId="76551A8D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Look across all 10 groups.</w:t>
      </w:r>
    </w:p>
    <w:p w14:paraId="39E88377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Note which supplier is cheapest for seafood, meat and pantry products.</w:t>
      </w:r>
    </w:p>
    <w:p w14:paraId="280849F8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Use meaningful quantities for each.</w:t>
      </w:r>
    </w:p>
    <w:p w14:paraId="610A6B7C" w14:textId="77777777" w:rsidR="00415301" w:rsidRDefault="00000000">
      <w:pPr>
        <w:pStyle w:val="Heading2"/>
        <w:spacing w:before="220" w:after="90"/>
      </w:pPr>
      <w:r>
        <w:t>Watch for</w:t>
      </w:r>
    </w:p>
    <w:p w14:paraId="67CA5D52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Different suppliers winning different groups.</w:t>
      </w:r>
    </w:p>
    <w:p w14:paraId="596AF47F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Whether one supplier is consistently strong in a particular category.</w:t>
      </w:r>
    </w:p>
    <w:p w14:paraId="77328094" w14:textId="77777777" w:rsidR="00415301" w:rsidRDefault="00000000">
      <w:pPr>
        <w:spacing w:before="100" w:after="60"/>
      </w:pPr>
      <w:r>
        <w:rPr>
          <w:b/>
          <w:bCs/>
          <w:color w:val="1B2420"/>
          <w:sz w:val="19"/>
          <w:szCs w:val="19"/>
        </w:rPr>
        <w:t xml:space="preserve">Question:  </w:t>
      </w:r>
      <w:r>
        <w:rPr>
          <w:i/>
          <w:iCs/>
          <w:color w:val="4B564F"/>
          <w:sz w:val="19"/>
          <w:szCs w:val="19"/>
        </w:rPr>
        <w:t>Is there really a universally cheapest supplier, or does competitiveness vary by product family?</w:t>
      </w:r>
    </w:p>
    <w:p w14:paraId="677BA2CD" w14:textId="77777777" w:rsidR="00415301" w:rsidRDefault="00000000">
      <w:pPr>
        <w:pBdr>
          <w:bottom w:val="single" w:sz="4" w:space="6" w:color="D8DACF"/>
        </w:pBdr>
        <w:spacing w:before="280" w:after="80"/>
      </w:pPr>
      <w:r>
        <w:rPr>
          <w:b/>
          <w:bCs/>
          <w:color w:val="1B2420"/>
          <w:sz w:val="24"/>
          <w:szCs w:val="24"/>
        </w:rPr>
        <w:t>Test 10 — The 80/20 Procurement Test</w:t>
      </w:r>
    </w:p>
    <w:p w14:paraId="0D218830" w14:textId="77777777" w:rsidR="00415301" w:rsidRDefault="00000000">
      <w:pPr>
        <w:spacing w:after="120"/>
      </w:pPr>
      <w:r>
        <w:rPr>
          <w:i/>
          <w:iCs/>
          <w:color w:val="4B564F"/>
        </w:rPr>
        <w:t>See whether a small portion of the catalogue creates most of the annual opportunity.</w:t>
      </w:r>
    </w:p>
    <w:p w14:paraId="5A725AA0" w14:textId="77777777" w:rsidR="00415301" w:rsidRDefault="00000000">
      <w:pPr>
        <w:pStyle w:val="Heading2"/>
        <w:spacing w:before="220" w:after="90"/>
      </w:pPr>
      <w:r>
        <w:t>Setup</w:t>
      </w:r>
    </w:p>
    <w:p w14:paraId="700B8703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Enter realistic quantities for all 10 items.</w:t>
      </w:r>
    </w:p>
    <w:p w14:paraId="05476498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Record annual saving for every group.</w:t>
      </w:r>
    </w:p>
    <w:p w14:paraId="1EEAE147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Rank the groups by annual dollar saving.</w:t>
      </w:r>
    </w:p>
    <w:p w14:paraId="33D13444" w14:textId="77777777" w:rsidR="00415301" w:rsidRDefault="00000000">
      <w:pPr>
        <w:pStyle w:val="Heading2"/>
        <w:spacing w:before="220" w:after="90"/>
      </w:pPr>
      <w:r>
        <w:t>Watch for</w:t>
      </w:r>
    </w:p>
    <w:p w14:paraId="7BCED583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Whether 2–3 items account for most of the total.</w:t>
      </w:r>
    </w:p>
    <w:p w14:paraId="48E2075D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Where negotiation or switching effort should be concentrated.</w:t>
      </w:r>
    </w:p>
    <w:p w14:paraId="22414F88" w14:textId="77777777" w:rsidR="00415301" w:rsidRDefault="00000000">
      <w:pPr>
        <w:spacing w:before="100" w:after="60"/>
      </w:pPr>
      <w:r>
        <w:rPr>
          <w:b/>
          <w:bCs/>
          <w:color w:val="1B2420"/>
          <w:sz w:val="19"/>
          <w:szCs w:val="19"/>
        </w:rPr>
        <w:t xml:space="preserve">Question:  </w:t>
      </w:r>
      <w:r>
        <w:rPr>
          <w:i/>
          <w:iCs/>
          <w:color w:val="4B564F"/>
          <w:sz w:val="19"/>
          <w:szCs w:val="19"/>
        </w:rPr>
        <w:t xml:space="preserve">Which small set of products creates </w:t>
      </w:r>
      <w:proofErr w:type="gramStart"/>
      <w:r>
        <w:rPr>
          <w:i/>
          <w:iCs/>
          <w:color w:val="4B564F"/>
          <w:sz w:val="19"/>
          <w:szCs w:val="19"/>
        </w:rPr>
        <w:t>the majority of</w:t>
      </w:r>
      <w:proofErr w:type="gramEnd"/>
      <w:r>
        <w:rPr>
          <w:i/>
          <w:iCs/>
          <w:color w:val="4B564F"/>
          <w:sz w:val="19"/>
          <w:szCs w:val="19"/>
        </w:rPr>
        <w:t xml:space="preserve"> the total saving opportunity?</w:t>
      </w:r>
    </w:p>
    <w:p w14:paraId="3E94D897" w14:textId="77777777" w:rsidR="00415301" w:rsidRDefault="00000000">
      <w:pPr>
        <w:pStyle w:val="Heading1"/>
        <w:pBdr>
          <w:bottom w:val="single" w:sz="6" w:space="6" w:color="B9772C"/>
        </w:pBdr>
        <w:spacing w:before="360" w:after="100"/>
      </w:pPr>
      <w:r>
        <w:lastRenderedPageBreak/>
        <w:t>New Since the Original Guide</w:t>
      </w:r>
    </w:p>
    <w:p w14:paraId="6F45FDEE" w14:textId="77777777" w:rsidR="00415301" w:rsidRDefault="00000000">
      <w:pPr>
        <w:spacing w:after="200"/>
      </w:pPr>
      <w:r>
        <w:t>The three tests below didn't exist in the first draft because the features they test hadn't been built yet. They matter for the same reason Tests 1–10 matter: a feature is only as trustworthy as the evidence that it behaves the way it claims to.</w:t>
      </w:r>
    </w:p>
    <w:p w14:paraId="6B2B94EF" w14:textId="77777777" w:rsidR="00415301" w:rsidRDefault="00000000">
      <w:pPr>
        <w:pBdr>
          <w:bottom w:val="single" w:sz="4" w:space="6" w:color="D8DACF"/>
        </w:pBdr>
        <w:spacing w:before="280" w:after="80"/>
      </w:pPr>
      <w:r>
        <w:rPr>
          <w:b/>
          <w:bCs/>
          <w:color w:val="1B2420"/>
          <w:sz w:val="24"/>
          <w:szCs w:val="24"/>
        </w:rPr>
        <w:t>Test 11 — Verified vs. Indicative Confidence</w:t>
      </w:r>
      <w:r>
        <w:rPr>
          <w:b/>
          <w:bCs/>
          <w:color w:val="B9772C"/>
          <w:sz w:val="18"/>
          <w:szCs w:val="18"/>
        </w:rPr>
        <w:t xml:space="preserve">   ★ START HERE</w:t>
      </w:r>
    </w:p>
    <w:p w14:paraId="01FD903C" w14:textId="77777777" w:rsidR="00415301" w:rsidRDefault="00000000">
      <w:pPr>
        <w:spacing w:after="120"/>
      </w:pPr>
      <w:r>
        <w:rPr>
          <w:i/>
          <w:iCs/>
          <w:color w:val="4B564F"/>
        </w:rPr>
        <w:t xml:space="preserve">Confirm the hero card's trust tag </w:t>
      </w:r>
      <w:proofErr w:type="gramStart"/>
      <w:r>
        <w:rPr>
          <w:i/>
          <w:iCs/>
          <w:color w:val="4B564F"/>
        </w:rPr>
        <w:t>actually tracks</w:t>
      </w:r>
      <w:proofErr w:type="gramEnd"/>
      <w:r>
        <w:rPr>
          <w:i/>
          <w:iCs/>
          <w:color w:val="4B564F"/>
        </w:rPr>
        <w:t xml:space="preserve"> pack verification, not just the presence of a number.</w:t>
      </w:r>
    </w:p>
    <w:p w14:paraId="77930790" w14:textId="77777777" w:rsidR="00415301" w:rsidRDefault="00000000">
      <w:pPr>
        <w:pStyle w:val="Heading2"/>
        <w:spacing w:before="220" w:after="90"/>
      </w:pPr>
      <w:r>
        <w:t>Setup</w:t>
      </w:r>
    </w:p>
    <w:p w14:paraId="5E96213D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Pick a group with two suppliers.</w:t>
      </w:r>
    </w:p>
    <w:p w14:paraId="408610BB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Verify the pack on one supplier's row (Save &amp; Verify in the pack editor</w:t>
      </w:r>
      <w:proofErr w:type="gramStart"/>
      <w:r>
        <w:t>), but</w:t>
      </w:r>
      <w:proofErr w:type="gramEnd"/>
      <w:r>
        <w:t xml:space="preserve"> leave the other at Predicted status.</w:t>
      </w:r>
    </w:p>
    <w:p w14:paraId="723C9B2A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Set the verified one as Current Supplier and check the hero card.</w:t>
      </w:r>
    </w:p>
    <w:p w14:paraId="1A19942B" w14:textId="77777777" w:rsidR="00415301" w:rsidRDefault="00000000">
      <w:pPr>
        <w:pStyle w:val="Heading2"/>
        <w:spacing w:before="220" w:after="90"/>
      </w:pPr>
      <w:r>
        <w:t>Watch for</w:t>
      </w:r>
    </w:p>
    <w:p w14:paraId="6255FD7A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The hero should read Indicative, not Verified — one unconfirmed pack is enough to downgrade the whole figure.</w:t>
      </w:r>
    </w:p>
    <w:p w14:paraId="17EA1294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The reason line underneath should name which supplier's pack still needs confirming.</w:t>
      </w:r>
    </w:p>
    <w:p w14:paraId="09D788C4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Now verify the second pack too, and confirm the badge flips to Verified with no other number changing — confidence and calculation are independent.</w:t>
      </w:r>
    </w:p>
    <w:p w14:paraId="2CA6883E" w14:textId="77777777" w:rsidR="00415301" w:rsidRDefault="00000000">
      <w:pPr>
        <w:spacing w:before="100" w:after="60"/>
      </w:pPr>
      <w:r>
        <w:rPr>
          <w:b/>
          <w:bCs/>
          <w:color w:val="1B2420"/>
          <w:sz w:val="19"/>
          <w:szCs w:val="19"/>
        </w:rPr>
        <w:t xml:space="preserve">Question:  </w:t>
      </w:r>
      <w:r>
        <w:rPr>
          <w:i/>
          <w:iCs/>
          <w:color w:val="4B564F"/>
          <w:sz w:val="19"/>
          <w:szCs w:val="19"/>
        </w:rPr>
        <w:t xml:space="preserve">Does the confidence badge </w:t>
      </w:r>
      <w:proofErr w:type="gramStart"/>
      <w:r>
        <w:rPr>
          <w:i/>
          <w:iCs/>
          <w:color w:val="4B564F"/>
          <w:sz w:val="19"/>
          <w:szCs w:val="19"/>
        </w:rPr>
        <w:t>actually reflect</w:t>
      </w:r>
      <w:proofErr w:type="gramEnd"/>
      <w:r>
        <w:rPr>
          <w:i/>
          <w:iCs/>
          <w:color w:val="4B564F"/>
          <w:sz w:val="19"/>
          <w:szCs w:val="19"/>
        </w:rPr>
        <w:t xml:space="preserve"> the weakest link, or does it just show up whenever a number exists?</w:t>
      </w:r>
    </w:p>
    <w:p w14:paraId="0BC57F7A" w14:textId="77777777" w:rsidR="00415301" w:rsidRDefault="00000000">
      <w:pPr>
        <w:pBdr>
          <w:bottom w:val="single" w:sz="4" w:space="6" w:color="D8DACF"/>
        </w:pBdr>
        <w:spacing w:before="280" w:after="80"/>
      </w:pPr>
      <w:r>
        <w:rPr>
          <w:b/>
          <w:bCs/>
          <w:color w:val="1B2420"/>
          <w:sz w:val="24"/>
          <w:szCs w:val="24"/>
        </w:rPr>
        <w:t>Test 12 — Direct Entry vs. Period-Derived Volume Agreement</w:t>
      </w:r>
    </w:p>
    <w:p w14:paraId="32B833B4" w14:textId="77777777" w:rsidR="00415301" w:rsidRDefault="00000000">
      <w:pPr>
        <w:spacing w:after="120"/>
      </w:pPr>
      <w:r>
        <w:rPr>
          <w:i/>
          <w:iCs/>
          <w:color w:val="4B564F"/>
        </w:rPr>
        <w:t xml:space="preserve">Prove the two ways of entering annual usage always agree, and that the safeguard against misreading a quantity </w:t>
      </w:r>
      <w:proofErr w:type="gramStart"/>
      <w:r>
        <w:rPr>
          <w:i/>
          <w:iCs/>
          <w:color w:val="4B564F"/>
        </w:rPr>
        <w:t>actually holds</w:t>
      </w:r>
      <w:proofErr w:type="gramEnd"/>
      <w:r>
        <w:rPr>
          <w:i/>
          <w:iCs/>
          <w:color w:val="4B564F"/>
        </w:rPr>
        <w:t>.</w:t>
      </w:r>
    </w:p>
    <w:p w14:paraId="5FA445B3" w14:textId="77777777" w:rsidR="00415301" w:rsidRDefault="00000000">
      <w:pPr>
        <w:pStyle w:val="Heading2"/>
        <w:spacing w:before="220" w:after="90"/>
      </w:pPr>
      <w:r>
        <w:t>Setup</w:t>
      </w:r>
    </w:p>
    <w:p w14:paraId="3C12BE8B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On one group, note the current supplier's pack size (e.g. 5kg per carton).</w:t>
      </w:r>
    </w:p>
    <w:p w14:paraId="36249E28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Enter a period quantity of, say, 100 with “packs/cartons purchased” selected, over 3 months — note the resulting annual saving.</w:t>
      </w:r>
    </w:p>
    <w:p w14:paraId="35D43F32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Clear it, then enter the equivalent raw canonical total (100 × 5kg = 500kg) with “Total kg purchased” selected, also over 3 months.</w:t>
      </w:r>
    </w:p>
    <w:p w14:paraId="2A8932C3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Both should produce the identical annual saving.</w:t>
      </w:r>
    </w:p>
    <w:p w14:paraId="6C6D3542" w14:textId="77777777" w:rsidR="00415301" w:rsidRDefault="00000000">
      <w:pPr>
        <w:pStyle w:val="Heading2"/>
        <w:spacing w:before="220" w:after="90"/>
      </w:pPr>
      <w:r>
        <w:t>Watch for</w:t>
      </w:r>
    </w:p>
    <w:p w14:paraId="34A11DB0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The two entry modes agree exactly once the units are converted consistently.</w:t>
      </w:r>
    </w:p>
    <w:p w14:paraId="23FCB464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Deliberately select the wrong mode once (e.g. mark a pack-count as “already canonical”) and confirm the annual figure changes — proving the safeguard isn't cosmetic, the mode genuinely changes the maths.</w:t>
      </w:r>
    </w:p>
    <w:p w14:paraId="30A136CC" w14:textId="77777777" w:rsidR="00415301" w:rsidRDefault="00000000">
      <w:pPr>
        <w:spacing w:before="100" w:after="60"/>
      </w:pPr>
      <w:r>
        <w:rPr>
          <w:b/>
          <w:bCs/>
          <w:color w:val="1B2420"/>
          <w:sz w:val="19"/>
          <w:szCs w:val="19"/>
        </w:rPr>
        <w:t xml:space="preserve">Question:  </w:t>
      </w:r>
      <w:r>
        <w:rPr>
          <w:i/>
          <w:iCs/>
          <w:color w:val="4B564F"/>
          <w:sz w:val="19"/>
          <w:szCs w:val="19"/>
        </w:rPr>
        <w:t>Does the tool ever quietly misinterpret what a quantity represents, or does it require the choice to be made explicitly every time?</w:t>
      </w:r>
    </w:p>
    <w:p w14:paraId="33BFFB1D" w14:textId="77777777" w:rsidR="00415301" w:rsidRDefault="00000000">
      <w:pPr>
        <w:pBdr>
          <w:bottom w:val="single" w:sz="4" w:space="6" w:color="D8DACF"/>
        </w:pBdr>
        <w:spacing w:before="280" w:after="80"/>
      </w:pPr>
      <w:r>
        <w:rPr>
          <w:b/>
          <w:bCs/>
          <w:color w:val="1B2420"/>
          <w:sz w:val="24"/>
          <w:szCs w:val="24"/>
        </w:rPr>
        <w:t>Test 13 — Current Supplier Conflict Detection</w:t>
      </w:r>
    </w:p>
    <w:p w14:paraId="67115A8E" w14:textId="77777777" w:rsidR="00415301" w:rsidRDefault="00000000">
      <w:pPr>
        <w:spacing w:after="120"/>
      </w:pPr>
      <w:r>
        <w:rPr>
          <w:i/>
          <w:iCs/>
          <w:color w:val="4B564F"/>
        </w:rPr>
        <w:t>Confirm an ambiguous import is surfaced for a decision rather than silently resolved by processing order.</w:t>
      </w:r>
    </w:p>
    <w:p w14:paraId="1FCBDD51" w14:textId="77777777" w:rsidR="00415301" w:rsidRDefault="00000000">
      <w:pPr>
        <w:pStyle w:val="Heading2"/>
        <w:spacing w:before="220" w:after="90"/>
      </w:pPr>
      <w:r>
        <w:t>Setup</w:t>
      </w:r>
    </w:p>
    <w:p w14:paraId="6AF63D32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Build a CSV with two rows in the same comparison group, both flagged Yes in the Current Supplier column.</w:t>
      </w:r>
    </w:p>
    <w:p w14:paraId="0396A007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Import it.</w:t>
      </w:r>
    </w:p>
    <w:p w14:paraId="4485DF92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Check the Review screen.</w:t>
      </w:r>
    </w:p>
    <w:p w14:paraId="5EDEB243" w14:textId="77777777" w:rsidR="00415301" w:rsidRDefault="00000000">
      <w:pPr>
        <w:pStyle w:val="Heading2"/>
        <w:spacing w:before="220" w:after="90"/>
      </w:pPr>
      <w:r>
        <w:t>Watch for</w:t>
      </w:r>
    </w:p>
    <w:p w14:paraId="2069A675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A new “Current Supplier Conflicts” item naming both candidates — not a silent pick of whichever row happened to come first or last in the file.</w:t>
      </w:r>
    </w:p>
    <w:p w14:paraId="1023A27C" w14:textId="77777777" w:rsidR="00415301" w:rsidRDefault="00000000">
      <w:pPr>
        <w:pStyle w:val="ListParagraph"/>
        <w:numPr>
          <w:ilvl w:val="0"/>
          <w:numId w:val="1"/>
        </w:numPr>
        <w:spacing w:after="60"/>
      </w:pPr>
      <w:r>
        <w:t>Resolving it manually from Compare should clear the conflict immediately.</w:t>
      </w:r>
    </w:p>
    <w:p w14:paraId="421D2991" w14:textId="77777777" w:rsidR="00415301" w:rsidRDefault="00000000">
      <w:pPr>
        <w:spacing w:before="100" w:after="60"/>
      </w:pPr>
      <w:r>
        <w:rPr>
          <w:b/>
          <w:bCs/>
          <w:color w:val="1B2420"/>
          <w:sz w:val="19"/>
          <w:szCs w:val="19"/>
        </w:rPr>
        <w:t xml:space="preserve">Question:  </w:t>
      </w:r>
      <w:r>
        <w:rPr>
          <w:i/>
          <w:iCs/>
          <w:color w:val="4B564F"/>
          <w:sz w:val="19"/>
          <w:szCs w:val="19"/>
        </w:rPr>
        <w:t>When two rows in one import both claim to be the baseline, does the tool guess, or does it ask?</w:t>
      </w:r>
    </w:p>
    <w:p w14:paraId="73D07431" w14:textId="77777777" w:rsidR="00415301" w:rsidRDefault="00000000">
      <w:pPr>
        <w:pStyle w:val="Heading1"/>
      </w:pPr>
      <w:r>
        <w:t>Results Log</w:t>
      </w:r>
    </w:p>
    <w:p w14:paraId="1F0677CF" w14:textId="77777777" w:rsidR="00415301" w:rsidRDefault="00000000">
      <w:pPr>
        <w:spacing w:after="120"/>
      </w:pPr>
      <w:r>
        <w:t>Record the interesting result rather than every click. The goal is to notice patterns in commercial impact, not to produce an exhaustive audit trail.</w:t>
      </w:r>
    </w:p>
    <w:tbl>
      <w:tblPr>
        <w:tblW w:w="9350" w:type="dxa"/>
        <w:tblBorders>
          <w:top w:val="single" w:sz="4" w:space="0" w:color="D8DACF"/>
          <w:left w:val="single" w:sz="4" w:space="0" w:color="D8DACF"/>
          <w:bottom w:val="single" w:sz="4" w:space="0" w:color="D8DACF"/>
          <w:right w:val="single" w:sz="4" w:space="0" w:color="D8DACF"/>
          <w:insideH w:val="single" w:sz="2" w:space="0" w:color="D8DACF"/>
          <w:insideV w:val="single" w:sz="2" w:space="0" w:color="D8DAC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1579"/>
        <w:gridCol w:w="1483"/>
        <w:gridCol w:w="1629"/>
        <w:gridCol w:w="1102"/>
        <w:gridCol w:w="1188"/>
        <w:gridCol w:w="1674"/>
      </w:tblGrid>
      <w:tr w:rsidR="00415301" w14:paraId="1BD601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F6F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F0B5A" w14:textId="77777777" w:rsidR="00415301" w:rsidRDefault="00000000">
            <w:r>
              <w:rPr>
                <w:b/>
                <w:bCs/>
                <w:color w:val="1B2420"/>
                <w:sz w:val="17"/>
                <w:szCs w:val="17"/>
              </w:rPr>
              <w:t>Test</w:t>
            </w:r>
          </w:p>
        </w:tc>
        <w:tc>
          <w:tcPr>
            <w:tcW w:w="1600" w:type="dxa"/>
            <w:shd w:val="clear" w:color="auto" w:fill="F6F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35CA7" w14:textId="77777777" w:rsidR="00415301" w:rsidRDefault="00000000">
            <w:r>
              <w:rPr>
                <w:b/>
                <w:bCs/>
                <w:color w:val="1B2420"/>
                <w:sz w:val="17"/>
                <w:szCs w:val="17"/>
              </w:rPr>
              <w:t>Product / Group</w:t>
            </w:r>
          </w:p>
        </w:tc>
        <w:tc>
          <w:tcPr>
            <w:tcW w:w="1500" w:type="dxa"/>
            <w:shd w:val="clear" w:color="auto" w:fill="F6F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64E27" w14:textId="77777777" w:rsidR="00415301" w:rsidRDefault="00000000">
            <w:r>
              <w:rPr>
                <w:b/>
                <w:bCs/>
                <w:color w:val="1B2420"/>
                <w:sz w:val="17"/>
                <w:szCs w:val="17"/>
              </w:rPr>
              <w:t>Current Supplier</w:t>
            </w:r>
          </w:p>
        </w:tc>
        <w:tc>
          <w:tcPr>
            <w:tcW w:w="1650" w:type="dxa"/>
            <w:shd w:val="clear" w:color="auto" w:fill="F6F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1260E" w14:textId="77777777" w:rsidR="00415301" w:rsidRDefault="00000000">
            <w:r>
              <w:rPr>
                <w:b/>
                <w:bCs/>
                <w:color w:val="1B2420"/>
                <w:sz w:val="17"/>
                <w:szCs w:val="17"/>
              </w:rPr>
              <w:t>Quantity Setup</w:t>
            </w:r>
          </w:p>
        </w:tc>
        <w:tc>
          <w:tcPr>
            <w:tcW w:w="1000" w:type="dxa"/>
            <w:shd w:val="clear" w:color="auto" w:fill="F6F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DB28B" w14:textId="77777777" w:rsidR="00415301" w:rsidRDefault="00000000">
            <w:r>
              <w:rPr>
                <w:b/>
                <w:bCs/>
                <w:color w:val="1B2420"/>
                <w:sz w:val="17"/>
                <w:szCs w:val="17"/>
              </w:rPr>
              <w:t>Confidence</w:t>
            </w:r>
          </w:p>
        </w:tc>
        <w:tc>
          <w:tcPr>
            <w:tcW w:w="1200" w:type="dxa"/>
            <w:shd w:val="clear" w:color="auto" w:fill="F6F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72E9B" w14:textId="77777777" w:rsidR="00415301" w:rsidRDefault="00000000">
            <w:r>
              <w:rPr>
                <w:b/>
                <w:bCs/>
                <w:color w:val="1B2420"/>
                <w:sz w:val="17"/>
                <w:szCs w:val="17"/>
              </w:rPr>
              <w:t>Annual Saving</w:t>
            </w:r>
          </w:p>
        </w:tc>
        <w:tc>
          <w:tcPr>
            <w:tcW w:w="1700" w:type="dxa"/>
            <w:shd w:val="clear" w:color="auto" w:fill="F6F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394F3" w14:textId="77777777" w:rsidR="00415301" w:rsidRDefault="00000000">
            <w:r>
              <w:rPr>
                <w:b/>
                <w:bCs/>
                <w:color w:val="1B2420"/>
                <w:sz w:val="17"/>
                <w:szCs w:val="17"/>
              </w:rPr>
              <w:t>What did it reveal?</w:t>
            </w:r>
          </w:p>
        </w:tc>
      </w:tr>
      <w:tr w:rsidR="00415301" w14:paraId="50FA6F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CA456" w14:textId="77777777" w:rsidR="00415301" w:rsidRDefault="00415301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96E61" w14:textId="77777777" w:rsidR="00415301" w:rsidRDefault="00415301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C51E3" w14:textId="77777777" w:rsidR="00415301" w:rsidRDefault="00415301"/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E3259" w14:textId="77777777" w:rsidR="00415301" w:rsidRDefault="00415301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E8C14" w14:textId="77777777" w:rsidR="00415301" w:rsidRDefault="00415301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0859A" w14:textId="77777777" w:rsidR="00415301" w:rsidRDefault="00415301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23079" w14:textId="77777777" w:rsidR="00415301" w:rsidRDefault="00415301"/>
        </w:tc>
      </w:tr>
      <w:tr w:rsidR="00415301" w14:paraId="65D3C6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03C93" w14:textId="77777777" w:rsidR="00415301" w:rsidRDefault="00415301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0A6CC" w14:textId="77777777" w:rsidR="00415301" w:rsidRDefault="00415301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BC052" w14:textId="77777777" w:rsidR="00415301" w:rsidRDefault="00415301"/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DC5F5" w14:textId="77777777" w:rsidR="00415301" w:rsidRDefault="00415301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01C5F" w14:textId="77777777" w:rsidR="00415301" w:rsidRDefault="00415301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D5695" w14:textId="77777777" w:rsidR="00415301" w:rsidRDefault="00415301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F6572" w14:textId="77777777" w:rsidR="00415301" w:rsidRDefault="00415301"/>
        </w:tc>
      </w:tr>
      <w:tr w:rsidR="00415301" w14:paraId="13D6E6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06E1C" w14:textId="77777777" w:rsidR="00415301" w:rsidRDefault="00415301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CD5CD" w14:textId="77777777" w:rsidR="00415301" w:rsidRDefault="00415301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30B10" w14:textId="77777777" w:rsidR="00415301" w:rsidRDefault="00415301"/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C4CBD" w14:textId="77777777" w:rsidR="00415301" w:rsidRDefault="00415301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8C608" w14:textId="77777777" w:rsidR="00415301" w:rsidRDefault="00415301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1CC70" w14:textId="77777777" w:rsidR="00415301" w:rsidRDefault="00415301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CD2FC" w14:textId="77777777" w:rsidR="00415301" w:rsidRDefault="00415301"/>
        </w:tc>
      </w:tr>
      <w:tr w:rsidR="00415301" w14:paraId="057E0C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51431" w14:textId="77777777" w:rsidR="00415301" w:rsidRDefault="00415301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459EA" w14:textId="77777777" w:rsidR="00415301" w:rsidRDefault="00415301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A561A" w14:textId="77777777" w:rsidR="00415301" w:rsidRDefault="00415301"/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5F318" w14:textId="77777777" w:rsidR="00415301" w:rsidRDefault="00415301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BBCC8" w14:textId="77777777" w:rsidR="00415301" w:rsidRDefault="00415301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60F10" w14:textId="77777777" w:rsidR="00415301" w:rsidRDefault="00415301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C9A73" w14:textId="77777777" w:rsidR="00415301" w:rsidRDefault="00415301"/>
        </w:tc>
      </w:tr>
      <w:tr w:rsidR="00415301" w14:paraId="12FB8E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3824F" w14:textId="77777777" w:rsidR="00415301" w:rsidRDefault="00415301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AFF5E" w14:textId="77777777" w:rsidR="00415301" w:rsidRDefault="00415301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39DDA" w14:textId="77777777" w:rsidR="00415301" w:rsidRDefault="00415301"/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B92D4" w14:textId="77777777" w:rsidR="00415301" w:rsidRDefault="00415301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CB8AA" w14:textId="77777777" w:rsidR="00415301" w:rsidRDefault="00415301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53018" w14:textId="77777777" w:rsidR="00415301" w:rsidRDefault="00415301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2D67E" w14:textId="77777777" w:rsidR="00415301" w:rsidRDefault="00415301"/>
        </w:tc>
      </w:tr>
    </w:tbl>
    <w:p w14:paraId="579469C1" w14:textId="77777777" w:rsidR="00415301" w:rsidRDefault="00415301">
      <w:pPr>
        <w:spacing w:after="120"/>
      </w:pPr>
    </w:p>
    <w:tbl>
      <w:tblPr>
        <w:tblW w:w="9350" w:type="dxa"/>
        <w:tblBorders>
          <w:top w:val="single" w:sz="4" w:space="0" w:color="D8DACF"/>
          <w:left w:val="single" w:sz="4" w:space="0" w:color="D8DACF"/>
          <w:bottom w:val="single" w:sz="4" w:space="0" w:color="D8DACF"/>
          <w:right w:val="single" w:sz="4" w:space="0" w:color="D8DAC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15301" w14:paraId="3A5AA39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6F6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3A9EFBF" w14:textId="77777777" w:rsidR="00415301" w:rsidRDefault="00000000">
            <w:pPr>
              <w:spacing w:after="40"/>
            </w:pPr>
            <w:r>
              <w:rPr>
                <w:b/>
                <w:bCs/>
                <w:color w:val="2F6F52"/>
                <w:sz w:val="18"/>
                <w:szCs w:val="18"/>
              </w:rPr>
              <w:t>Working principle</w:t>
            </w:r>
          </w:p>
          <w:p w14:paraId="595F5C09" w14:textId="77777777" w:rsidR="00415301" w:rsidRDefault="00000000">
            <w:r>
              <w:rPr>
                <w:sz w:val="19"/>
                <w:szCs w:val="19"/>
              </w:rPr>
              <w:t>Price efficiency × purchasing exposure = commercial impact.</w:t>
            </w:r>
          </w:p>
        </w:tc>
      </w:tr>
    </w:tbl>
    <w:p w14:paraId="42433F16" w14:textId="77777777" w:rsidR="00415301" w:rsidRDefault="00415301">
      <w:pPr>
        <w:spacing w:after="120"/>
      </w:pPr>
    </w:p>
    <w:tbl>
      <w:tblPr>
        <w:tblW w:w="9350" w:type="dxa"/>
        <w:tblBorders>
          <w:top w:val="single" w:sz="4" w:space="0" w:color="D8DACF"/>
          <w:left w:val="single" w:sz="4" w:space="0" w:color="D8DACF"/>
          <w:bottom w:val="single" w:sz="4" w:space="0" w:color="D8DACF"/>
          <w:right w:val="single" w:sz="4" w:space="0" w:color="D8DAC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15301" w14:paraId="5986F2B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6F6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8D7F74D" w14:textId="77777777" w:rsidR="00415301" w:rsidRDefault="00000000">
            <w:pPr>
              <w:spacing w:after="40"/>
            </w:pPr>
            <w:r>
              <w:rPr>
                <w:b/>
                <w:bCs/>
                <w:color w:val="2F6F52"/>
                <w:sz w:val="18"/>
                <w:szCs w:val="18"/>
              </w:rPr>
              <w:lastRenderedPageBreak/>
              <w:t>Five numbers to keep watching</w:t>
            </w:r>
          </w:p>
          <w:p w14:paraId="00370351" w14:textId="77777777" w:rsidR="00415301" w:rsidRDefault="00000000">
            <w:r>
              <w:rPr>
                <w:sz w:val="19"/>
                <w:szCs w:val="19"/>
              </w:rPr>
              <w:t>Unit saving — cheaper per kg/L/each.  •  Percentage saving — price efficiency.  •  Annual volume — purchasing exposure.  •  Annual dollar saving — the real financial consequence.  •  Confidence tag — whether that dollar figure is Verified or still Indicative.</w:t>
            </w:r>
          </w:p>
        </w:tc>
      </w:tr>
    </w:tbl>
    <w:p w14:paraId="29198051" w14:textId="77777777" w:rsidR="00415301" w:rsidRDefault="00000000">
      <w:pPr>
        <w:spacing w:before="280"/>
      </w:pPr>
      <w:r>
        <w:t>Prototype testing • Five synthetic suppliers • Ten original tests, three added • The Yield</w:t>
      </w:r>
    </w:p>
    <w:sectPr w:rsidR="0041530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E5E19"/>
    <w:multiLevelType w:val="hybridMultilevel"/>
    <w:tmpl w:val="2D208918"/>
    <w:lvl w:ilvl="0" w:tplc="C5F8609E">
      <w:start w:val="1"/>
      <w:numFmt w:val="bullet"/>
      <w:lvlText w:val="●"/>
      <w:lvlJc w:val="left"/>
      <w:pPr>
        <w:ind w:left="720" w:hanging="360"/>
      </w:pPr>
    </w:lvl>
    <w:lvl w:ilvl="1" w:tplc="289087AA">
      <w:start w:val="1"/>
      <w:numFmt w:val="bullet"/>
      <w:lvlText w:val="○"/>
      <w:lvlJc w:val="left"/>
      <w:pPr>
        <w:ind w:left="1440" w:hanging="360"/>
      </w:pPr>
    </w:lvl>
    <w:lvl w:ilvl="2" w:tplc="0C86D800">
      <w:start w:val="1"/>
      <w:numFmt w:val="bullet"/>
      <w:lvlText w:val="■"/>
      <w:lvlJc w:val="left"/>
      <w:pPr>
        <w:ind w:left="2160" w:hanging="360"/>
      </w:pPr>
    </w:lvl>
    <w:lvl w:ilvl="3" w:tplc="2522CC14">
      <w:start w:val="1"/>
      <w:numFmt w:val="bullet"/>
      <w:lvlText w:val="●"/>
      <w:lvlJc w:val="left"/>
      <w:pPr>
        <w:ind w:left="2880" w:hanging="360"/>
      </w:pPr>
    </w:lvl>
    <w:lvl w:ilvl="4" w:tplc="D2FEDC32">
      <w:start w:val="1"/>
      <w:numFmt w:val="bullet"/>
      <w:lvlText w:val="○"/>
      <w:lvlJc w:val="left"/>
      <w:pPr>
        <w:ind w:left="3600" w:hanging="360"/>
      </w:pPr>
    </w:lvl>
    <w:lvl w:ilvl="5" w:tplc="055E5AEC">
      <w:start w:val="1"/>
      <w:numFmt w:val="bullet"/>
      <w:lvlText w:val="■"/>
      <w:lvlJc w:val="left"/>
      <w:pPr>
        <w:ind w:left="4320" w:hanging="360"/>
      </w:pPr>
    </w:lvl>
    <w:lvl w:ilvl="6" w:tplc="922C1C40">
      <w:start w:val="1"/>
      <w:numFmt w:val="bullet"/>
      <w:lvlText w:val="●"/>
      <w:lvlJc w:val="left"/>
      <w:pPr>
        <w:ind w:left="5040" w:hanging="360"/>
      </w:pPr>
    </w:lvl>
    <w:lvl w:ilvl="7" w:tplc="4D4835EA">
      <w:start w:val="1"/>
      <w:numFmt w:val="bullet"/>
      <w:lvlText w:val="●"/>
      <w:lvlJc w:val="left"/>
      <w:pPr>
        <w:ind w:left="5760" w:hanging="360"/>
      </w:pPr>
    </w:lvl>
    <w:lvl w:ilvl="8" w:tplc="A54E46F0">
      <w:start w:val="1"/>
      <w:numFmt w:val="bullet"/>
      <w:lvlText w:val="●"/>
      <w:lvlJc w:val="left"/>
      <w:pPr>
        <w:ind w:left="6480" w:hanging="360"/>
      </w:pPr>
    </w:lvl>
  </w:abstractNum>
  <w:num w:numId="1" w16cid:durableId="14084606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01"/>
    <w:rsid w:val="00415301"/>
    <w:rsid w:val="006A1F28"/>
    <w:rsid w:val="00CF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AB8CE"/>
  <w15:docId w15:val="{865C3BB0-6B08-4065-9A37-E34D3F81D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2A322D"/>
        <w:sz w:val="21"/>
        <w:szCs w:val="21"/>
        <w:lang w:val="en-AU" w:eastAsia="en-AU" w:bidi="ar-SA"/>
      </w:rPr>
    </w:rPrDefault>
    <w:pPrDefault>
      <w:pPr>
        <w:spacing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6" w:color="2F6F52"/>
      </w:pBdr>
      <w:spacing w:before="320" w:after="140"/>
      <w:outlineLvl w:val="0"/>
    </w:pPr>
    <w:rPr>
      <w:b/>
      <w:bCs/>
      <w:color w:val="1B2420"/>
      <w:sz w:val="27"/>
      <w:szCs w:val="27"/>
    </w:rPr>
  </w:style>
  <w:style w:type="paragraph" w:styleId="Heading2">
    <w:name w:val="heading 2"/>
    <w:uiPriority w:val="9"/>
    <w:unhideWhenUsed/>
    <w:qFormat/>
    <w:pPr>
      <w:spacing w:before="160" w:after="70"/>
      <w:outlineLvl w:val="1"/>
    </w:pPr>
    <w:rPr>
      <w:b/>
      <w:bCs/>
      <w:color w:val="2F6F52"/>
      <w:sz w:val="20"/>
      <w:szCs w:val="2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1B2420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360"/>
    </w:pPr>
    <w:rPr>
      <w:color w:val="4B564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1788</Words>
  <Characters>10192</Characters>
  <Application>Microsoft Office Word</Application>
  <DocSecurity>0</DocSecurity>
  <Lines>84</Lines>
  <Paragraphs>23</Paragraphs>
  <ScaleCrop>false</ScaleCrop>
  <Company/>
  <LinksUpToDate>false</LinksUpToDate>
  <CharactersWithSpaces>11957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 matthews</cp:lastModifiedBy>
  <cp:revision>2</cp:revision>
  <dcterms:created xsi:type="dcterms:W3CDTF">2026-08-16T18:42:00Z</dcterms:created>
  <dcterms:modified xsi:type="dcterms:W3CDTF">2026-08-16T18:42:00Z</dcterms:modified>
</cp:coreProperties>
</file>