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2FEA" w14:textId="77777777" w:rsidR="004F0243" w:rsidRDefault="00000000">
      <w:pPr>
        <w:pStyle w:val="Title"/>
      </w:pPr>
      <w:r>
        <w:t>The Yield</w:t>
      </w:r>
    </w:p>
    <w:p w14:paraId="46AC0F01" w14:textId="77777777" w:rsidR="004F0243" w:rsidRDefault="00000000">
      <w:pPr>
        <w:pStyle w:val="Subtitle"/>
      </w:pPr>
      <w:r>
        <w:t>Parked Ideas &amp; Future Branches — Revised 17 August 2026</w:t>
      </w:r>
    </w:p>
    <w:p w14:paraId="51C881E3" w14:textId="77777777" w:rsidR="004F0243" w:rsidRDefault="00000000">
      <w:pPr>
        <w:spacing w:after="120"/>
      </w:pPr>
      <w:r>
        <w:t>A holding document for ideas deliberately outside the current build — and a status correction on the previous draft, written partway through the same day's build session. Several items filed as “parked” below have since shipped. That's not a failure of the original plan; it's the plan working — the fastest-moving items were the ones already closest to done. This revision moves them where they now belong and leaves everything else exactly as reasoned.</w:t>
      </w:r>
    </w:p>
    <w:tbl>
      <w:tblPr>
        <w:tblW w:w="9350" w:type="dxa"/>
        <w:tblBorders>
          <w:top w:val="single" w:sz="4" w:space="0" w:color="D8DACF"/>
          <w:left w:val="single" w:sz="4" w:space="0" w:color="D8DACF"/>
          <w:bottom w:val="single" w:sz="4" w:space="0" w:color="D8DACF"/>
          <w:right w:val="single" w:sz="4" w:space="0" w:color="D8DACF"/>
        </w:tblBorders>
        <w:tblCellMar>
          <w:left w:w="10" w:type="dxa"/>
          <w:right w:w="10" w:type="dxa"/>
        </w:tblCellMar>
        <w:tblLook w:val="0000" w:firstRow="0" w:lastRow="0" w:firstColumn="0" w:lastColumn="0" w:noHBand="0" w:noVBand="0"/>
      </w:tblPr>
      <w:tblGrid>
        <w:gridCol w:w="9350"/>
      </w:tblGrid>
      <w:tr w:rsidR="004F0243" w14:paraId="7361835B" w14:textId="77777777">
        <w:tblPrEx>
          <w:tblCellMar>
            <w:top w:w="0" w:type="dxa"/>
            <w:bottom w:w="0" w:type="dxa"/>
          </w:tblCellMar>
        </w:tblPrEx>
        <w:tc>
          <w:tcPr>
            <w:tcW w:w="9350" w:type="dxa"/>
            <w:shd w:val="clear" w:color="auto" w:fill="F6F6F1"/>
            <w:tcMar>
              <w:top w:w="140" w:type="dxa"/>
              <w:left w:w="180" w:type="dxa"/>
              <w:bottom w:w="140" w:type="dxa"/>
              <w:right w:w="180" w:type="dxa"/>
            </w:tcMar>
          </w:tcPr>
          <w:p w14:paraId="142BCA38" w14:textId="77777777" w:rsidR="004F0243" w:rsidRDefault="00000000">
            <w:pPr>
              <w:spacing w:after="40"/>
            </w:pPr>
            <w:r>
              <w:rPr>
                <w:b/>
                <w:bCs/>
                <w:color w:val="2F6F52"/>
                <w:sz w:val="18"/>
                <w:szCs w:val="18"/>
              </w:rPr>
              <w:t>Protected core</w:t>
            </w:r>
          </w:p>
          <w:p w14:paraId="6EF97745" w14:textId="77777777" w:rsidR="004F0243" w:rsidRDefault="00000000">
            <w:r>
              <w:rPr>
                <w:sz w:val="19"/>
                <w:szCs w:val="19"/>
              </w:rPr>
              <w:t>Import supplier data → interpret packs → compare like-for-like cost → show annual saving. Every idea below must earn its place by making this workflow more useful, more accurate, or easier to repeat — never by replacing it or competing with it for screen space.</w:t>
            </w:r>
          </w:p>
        </w:tc>
      </w:tr>
    </w:tbl>
    <w:p w14:paraId="7EF92C78" w14:textId="77777777" w:rsidR="004F0243" w:rsidRDefault="00000000">
      <w:pPr>
        <w:pStyle w:val="Heading1"/>
      </w:pPr>
      <w:r>
        <w:t>1. Roadmap at a Glance</w:t>
      </w:r>
    </w:p>
    <w:p w14:paraId="382C05E2" w14:textId="77777777" w:rsidR="004F0243" w:rsidRDefault="00000000">
      <w:pPr>
        <w:spacing w:after="120"/>
      </w:pPr>
      <w:r>
        <w:t>The prototype is already complete enough to use for its core purpose. The branches below are parked so real venue use — not speculation — determines which ones deserve a build.</w:t>
      </w:r>
    </w:p>
    <w:tbl>
      <w:tblPr>
        <w:tblW w:w="9350" w:type="dxa"/>
        <w:tblBorders>
          <w:top w:val="single" w:sz="4" w:space="0" w:color="D8DACF"/>
          <w:left w:val="single" w:sz="4" w:space="0" w:color="D8DACF"/>
          <w:bottom w:val="single" w:sz="4" w:space="0" w:color="D8DACF"/>
          <w:right w:val="single" w:sz="4" w:space="0" w:color="D8DACF"/>
          <w:insideH w:val="single" w:sz="2" w:space="0" w:color="D8DACF"/>
          <w:insideV w:val="single" w:sz="2" w:space="0" w:color="D8DACF"/>
        </w:tblBorders>
        <w:tblCellMar>
          <w:left w:w="10" w:type="dxa"/>
          <w:right w:w="10" w:type="dxa"/>
        </w:tblCellMar>
        <w:tblLook w:val="0000" w:firstRow="0" w:lastRow="0" w:firstColumn="0" w:lastColumn="0" w:noHBand="0" w:noVBand="0"/>
      </w:tblPr>
      <w:tblGrid>
        <w:gridCol w:w="2300"/>
        <w:gridCol w:w="4550"/>
        <w:gridCol w:w="2500"/>
      </w:tblGrid>
      <w:tr w:rsidR="004F0243" w14:paraId="0DD729D2" w14:textId="77777777">
        <w:tblPrEx>
          <w:tblCellMar>
            <w:top w:w="0" w:type="dxa"/>
            <w:bottom w:w="0" w:type="dxa"/>
          </w:tblCellMar>
        </w:tblPrEx>
        <w:trPr>
          <w:tblHeader/>
        </w:trPr>
        <w:tc>
          <w:tcPr>
            <w:tcW w:w="2300" w:type="dxa"/>
            <w:shd w:val="clear" w:color="auto" w:fill="F6F6F1"/>
            <w:tcMar>
              <w:top w:w="90" w:type="dxa"/>
              <w:left w:w="110" w:type="dxa"/>
              <w:bottom w:w="90" w:type="dxa"/>
              <w:right w:w="110" w:type="dxa"/>
            </w:tcMar>
          </w:tcPr>
          <w:p w14:paraId="0BEA868C" w14:textId="77777777" w:rsidR="004F0243" w:rsidRDefault="00000000">
            <w:r>
              <w:rPr>
                <w:b/>
                <w:bCs/>
                <w:color w:val="1B2420"/>
                <w:sz w:val="18"/>
                <w:szCs w:val="18"/>
              </w:rPr>
              <w:t>Branch</w:t>
            </w:r>
          </w:p>
        </w:tc>
        <w:tc>
          <w:tcPr>
            <w:tcW w:w="4550" w:type="dxa"/>
            <w:shd w:val="clear" w:color="auto" w:fill="F6F6F1"/>
            <w:tcMar>
              <w:top w:w="90" w:type="dxa"/>
              <w:left w:w="110" w:type="dxa"/>
              <w:bottom w:w="90" w:type="dxa"/>
              <w:right w:w="110" w:type="dxa"/>
            </w:tcMar>
          </w:tcPr>
          <w:p w14:paraId="3F385B5D" w14:textId="77777777" w:rsidR="004F0243" w:rsidRDefault="00000000">
            <w:r>
              <w:rPr>
                <w:b/>
                <w:bCs/>
                <w:color w:val="1B2420"/>
                <w:sz w:val="18"/>
                <w:szCs w:val="18"/>
              </w:rPr>
              <w:t>Core idea</w:t>
            </w:r>
          </w:p>
        </w:tc>
        <w:tc>
          <w:tcPr>
            <w:tcW w:w="2500" w:type="dxa"/>
            <w:shd w:val="clear" w:color="auto" w:fill="F6F6F1"/>
            <w:tcMar>
              <w:top w:w="90" w:type="dxa"/>
              <w:left w:w="110" w:type="dxa"/>
              <w:bottom w:w="90" w:type="dxa"/>
              <w:right w:w="110" w:type="dxa"/>
            </w:tcMar>
          </w:tcPr>
          <w:p w14:paraId="7015C298" w14:textId="77777777" w:rsidR="004F0243" w:rsidRDefault="00000000">
            <w:r>
              <w:rPr>
                <w:b/>
                <w:bCs/>
                <w:color w:val="1B2420"/>
                <w:sz w:val="18"/>
                <w:szCs w:val="18"/>
              </w:rPr>
              <w:t>Position</w:t>
            </w:r>
          </w:p>
        </w:tc>
      </w:tr>
      <w:tr w:rsidR="004F0243" w14:paraId="63FA2AA2" w14:textId="77777777">
        <w:tblPrEx>
          <w:tblCellMar>
            <w:top w:w="0" w:type="dxa"/>
            <w:bottom w:w="0" w:type="dxa"/>
          </w:tblCellMar>
        </w:tblPrEx>
        <w:tc>
          <w:tcPr>
            <w:tcW w:w="2300" w:type="dxa"/>
            <w:tcMar>
              <w:top w:w="90" w:type="dxa"/>
              <w:left w:w="110" w:type="dxa"/>
              <w:bottom w:w="90" w:type="dxa"/>
              <w:right w:w="110" w:type="dxa"/>
            </w:tcMar>
          </w:tcPr>
          <w:p w14:paraId="126C26A6" w14:textId="77777777" w:rsidR="004F0243" w:rsidRDefault="00000000">
            <w:r>
              <w:rPr>
                <w:sz w:val="18"/>
                <w:szCs w:val="18"/>
              </w:rPr>
              <w:t>Item Intelligence (narrowed)</w:t>
            </w:r>
          </w:p>
        </w:tc>
        <w:tc>
          <w:tcPr>
            <w:tcW w:w="4550" w:type="dxa"/>
            <w:tcMar>
              <w:top w:w="90" w:type="dxa"/>
              <w:left w:w="110" w:type="dxa"/>
              <w:bottom w:w="90" w:type="dxa"/>
              <w:right w:w="110" w:type="dxa"/>
            </w:tcMar>
          </w:tcPr>
          <w:p w14:paraId="5A135B1C" w14:textId="77777777" w:rsidR="004F0243" w:rsidRDefault="00000000">
            <w:r>
              <w:rPr>
                <w:sz w:val="18"/>
                <w:szCs w:val="18"/>
              </w:rPr>
              <w:t>Fuzzy-match a changed SKU/description to a known item; share knowledge across projects</w:t>
            </w:r>
          </w:p>
        </w:tc>
        <w:tc>
          <w:tcPr>
            <w:tcW w:w="2500" w:type="dxa"/>
            <w:tcMar>
              <w:top w:w="90" w:type="dxa"/>
              <w:left w:w="110" w:type="dxa"/>
              <w:bottom w:w="90" w:type="dxa"/>
              <w:right w:w="110" w:type="dxa"/>
            </w:tcMar>
          </w:tcPr>
          <w:p w14:paraId="339B32D7" w14:textId="77777777" w:rsidR="004F0243" w:rsidRDefault="00000000">
            <w:r>
              <w:rPr>
                <w:sz w:val="18"/>
                <w:szCs w:val="18"/>
              </w:rPr>
              <w:t>Near — the exact-match half already shipped</w:t>
            </w:r>
          </w:p>
        </w:tc>
      </w:tr>
      <w:tr w:rsidR="004F0243" w14:paraId="19DB4708" w14:textId="77777777">
        <w:tblPrEx>
          <w:tblCellMar>
            <w:top w:w="0" w:type="dxa"/>
            <w:bottom w:w="0" w:type="dxa"/>
          </w:tblCellMar>
        </w:tblPrEx>
        <w:tc>
          <w:tcPr>
            <w:tcW w:w="2300" w:type="dxa"/>
            <w:tcMar>
              <w:top w:w="90" w:type="dxa"/>
              <w:left w:w="110" w:type="dxa"/>
              <w:bottom w:w="90" w:type="dxa"/>
              <w:right w:w="110" w:type="dxa"/>
            </w:tcMar>
          </w:tcPr>
          <w:p w14:paraId="0F428277" w14:textId="77777777" w:rsidR="004F0243" w:rsidRDefault="00000000">
            <w:r>
              <w:rPr>
                <w:sz w:val="18"/>
                <w:szCs w:val="18"/>
              </w:rPr>
              <w:t>Import Automation (narrowed)</w:t>
            </w:r>
          </w:p>
        </w:tc>
        <w:tc>
          <w:tcPr>
            <w:tcW w:w="4550" w:type="dxa"/>
            <w:tcMar>
              <w:top w:w="90" w:type="dxa"/>
              <w:left w:w="110" w:type="dxa"/>
              <w:bottom w:w="90" w:type="dxa"/>
              <w:right w:w="110" w:type="dxa"/>
            </w:tcMar>
          </w:tcPr>
          <w:p w14:paraId="0593BB24" w14:textId="77777777" w:rsidR="004F0243" w:rsidRDefault="00000000">
            <w:r>
              <w:rPr>
                <w:sz w:val="18"/>
                <w:szCs w:val="18"/>
              </w:rPr>
              <w:t>Import Qty as period usage directly; declare the reporting period once per import</w:t>
            </w:r>
          </w:p>
        </w:tc>
        <w:tc>
          <w:tcPr>
            <w:tcW w:w="2500" w:type="dxa"/>
            <w:tcMar>
              <w:top w:w="90" w:type="dxa"/>
              <w:left w:w="110" w:type="dxa"/>
              <w:bottom w:w="90" w:type="dxa"/>
              <w:right w:w="110" w:type="dxa"/>
            </w:tcMar>
          </w:tcPr>
          <w:p w14:paraId="0F7F187E" w14:textId="77777777" w:rsidR="004F0243" w:rsidRDefault="00000000">
            <w:r>
              <w:rPr>
                <w:sz w:val="18"/>
                <w:szCs w:val="18"/>
              </w:rPr>
              <w:t>Near — the mapping-safety half already shipped</w:t>
            </w:r>
          </w:p>
        </w:tc>
      </w:tr>
      <w:tr w:rsidR="004F0243" w14:paraId="1A4D4C53" w14:textId="77777777">
        <w:tblPrEx>
          <w:tblCellMar>
            <w:top w:w="0" w:type="dxa"/>
            <w:bottom w:w="0" w:type="dxa"/>
          </w:tblCellMar>
        </w:tblPrEx>
        <w:tc>
          <w:tcPr>
            <w:tcW w:w="2300" w:type="dxa"/>
            <w:tcMar>
              <w:top w:w="90" w:type="dxa"/>
              <w:left w:w="110" w:type="dxa"/>
              <w:bottom w:w="90" w:type="dxa"/>
              <w:right w:w="110" w:type="dxa"/>
            </w:tcMar>
          </w:tcPr>
          <w:p w14:paraId="0C40CCA9" w14:textId="77777777" w:rsidR="004F0243" w:rsidRDefault="00000000">
            <w:r>
              <w:rPr>
                <w:sz w:val="18"/>
                <w:szCs w:val="18"/>
              </w:rPr>
              <w:t>Savings &amp; Cost-Pressure Insights</w:t>
            </w:r>
          </w:p>
        </w:tc>
        <w:tc>
          <w:tcPr>
            <w:tcW w:w="4550" w:type="dxa"/>
            <w:tcMar>
              <w:top w:w="90" w:type="dxa"/>
              <w:left w:w="110" w:type="dxa"/>
              <w:bottom w:w="90" w:type="dxa"/>
              <w:right w:w="110" w:type="dxa"/>
            </w:tcMar>
          </w:tcPr>
          <w:p w14:paraId="2CF81F33" w14:textId="77777777" w:rsidR="004F0243" w:rsidRDefault="00000000">
            <w:r>
              <w:rPr>
                <w:sz w:val="18"/>
                <w:szCs w:val="18"/>
              </w:rPr>
              <w:t>Explain where savings and increases are concentrated</w:t>
            </w:r>
          </w:p>
        </w:tc>
        <w:tc>
          <w:tcPr>
            <w:tcW w:w="2500" w:type="dxa"/>
            <w:tcMar>
              <w:top w:w="90" w:type="dxa"/>
              <w:left w:w="110" w:type="dxa"/>
              <w:bottom w:w="90" w:type="dxa"/>
              <w:right w:w="110" w:type="dxa"/>
            </w:tcMar>
          </w:tcPr>
          <w:p w14:paraId="45D1BD05" w14:textId="77777777" w:rsidR="004F0243" w:rsidRDefault="00000000">
            <w:r>
              <w:rPr>
                <w:sz w:val="18"/>
                <w:szCs w:val="18"/>
              </w:rPr>
              <w:t>After real data accumulates</w:t>
            </w:r>
          </w:p>
        </w:tc>
      </w:tr>
      <w:tr w:rsidR="004F0243" w14:paraId="6F45D874" w14:textId="77777777">
        <w:tblPrEx>
          <w:tblCellMar>
            <w:top w:w="0" w:type="dxa"/>
            <w:bottom w:w="0" w:type="dxa"/>
          </w:tblCellMar>
        </w:tblPrEx>
        <w:tc>
          <w:tcPr>
            <w:tcW w:w="2300" w:type="dxa"/>
            <w:tcMar>
              <w:top w:w="90" w:type="dxa"/>
              <w:left w:w="110" w:type="dxa"/>
              <w:bottom w:w="90" w:type="dxa"/>
              <w:right w:w="110" w:type="dxa"/>
            </w:tcMar>
          </w:tcPr>
          <w:p w14:paraId="2275C806" w14:textId="77777777" w:rsidR="004F0243" w:rsidRDefault="00000000">
            <w:r>
              <w:rPr>
                <w:sz w:val="18"/>
                <w:szCs w:val="18"/>
              </w:rPr>
              <w:t>Price Watch</w:t>
            </w:r>
          </w:p>
        </w:tc>
        <w:tc>
          <w:tcPr>
            <w:tcW w:w="4550" w:type="dxa"/>
            <w:tcMar>
              <w:top w:w="90" w:type="dxa"/>
              <w:left w:w="110" w:type="dxa"/>
              <w:bottom w:w="90" w:type="dxa"/>
              <w:right w:w="110" w:type="dxa"/>
            </w:tcMar>
          </w:tcPr>
          <w:p w14:paraId="1B8746AE" w14:textId="77777777" w:rsidR="004F0243" w:rsidRDefault="00000000">
            <w:r>
              <w:rPr>
                <w:sz w:val="18"/>
                <w:szCs w:val="18"/>
              </w:rPr>
              <w:t>Track price changes and alert on material movements</w:t>
            </w:r>
          </w:p>
        </w:tc>
        <w:tc>
          <w:tcPr>
            <w:tcW w:w="2500" w:type="dxa"/>
            <w:tcMar>
              <w:top w:w="90" w:type="dxa"/>
              <w:left w:w="110" w:type="dxa"/>
              <w:bottom w:w="90" w:type="dxa"/>
              <w:right w:w="110" w:type="dxa"/>
            </w:tcMar>
          </w:tcPr>
          <w:p w14:paraId="2FAF330A" w14:textId="77777777" w:rsidR="004F0243" w:rsidRDefault="00000000">
            <w:r>
              <w:rPr>
                <w:sz w:val="18"/>
                <w:szCs w:val="18"/>
              </w:rPr>
              <w:t>After historical snapshots exist</w:t>
            </w:r>
          </w:p>
        </w:tc>
      </w:tr>
      <w:tr w:rsidR="004F0243" w14:paraId="625DA5E4" w14:textId="77777777">
        <w:tblPrEx>
          <w:tblCellMar>
            <w:top w:w="0" w:type="dxa"/>
            <w:bottom w:w="0" w:type="dxa"/>
          </w:tblCellMar>
        </w:tblPrEx>
        <w:tc>
          <w:tcPr>
            <w:tcW w:w="2300" w:type="dxa"/>
            <w:tcMar>
              <w:top w:w="90" w:type="dxa"/>
              <w:left w:w="110" w:type="dxa"/>
              <w:bottom w:w="90" w:type="dxa"/>
              <w:right w:w="110" w:type="dxa"/>
            </w:tcMar>
          </w:tcPr>
          <w:p w14:paraId="658DC177" w14:textId="77777777" w:rsidR="004F0243" w:rsidRDefault="00000000">
            <w:r>
              <w:rPr>
                <w:sz w:val="18"/>
                <w:szCs w:val="18"/>
              </w:rPr>
              <w:t>Supplier Strategy</w:t>
            </w:r>
          </w:p>
        </w:tc>
        <w:tc>
          <w:tcPr>
            <w:tcW w:w="4550" w:type="dxa"/>
            <w:tcMar>
              <w:top w:w="90" w:type="dxa"/>
              <w:left w:w="110" w:type="dxa"/>
              <w:bottom w:w="90" w:type="dxa"/>
              <w:right w:w="110" w:type="dxa"/>
            </w:tcMar>
          </w:tcPr>
          <w:p w14:paraId="0A43DEA8" w14:textId="77777777" w:rsidR="004F0243" w:rsidRDefault="00000000">
            <w:r>
              <w:rPr>
                <w:sz w:val="18"/>
                <w:szCs w:val="18"/>
              </w:rPr>
              <w:t>Compare cherry-picking vs. consolidation across suppliers</w:t>
            </w:r>
          </w:p>
        </w:tc>
        <w:tc>
          <w:tcPr>
            <w:tcW w:w="2500" w:type="dxa"/>
            <w:tcMar>
              <w:top w:w="90" w:type="dxa"/>
              <w:left w:w="110" w:type="dxa"/>
              <w:bottom w:w="90" w:type="dxa"/>
              <w:right w:w="110" w:type="dxa"/>
            </w:tcMar>
          </w:tcPr>
          <w:p w14:paraId="68C18023" w14:textId="77777777" w:rsidR="004F0243" w:rsidRDefault="00000000">
            <w:r>
              <w:rPr>
                <w:sz w:val="18"/>
                <w:szCs w:val="18"/>
              </w:rPr>
              <w:t>Analytical branch — Testing Guide Test 6 is the manual version</w:t>
            </w:r>
          </w:p>
        </w:tc>
      </w:tr>
      <w:tr w:rsidR="004F0243" w14:paraId="5BB4BC75" w14:textId="77777777">
        <w:tblPrEx>
          <w:tblCellMar>
            <w:top w:w="0" w:type="dxa"/>
            <w:bottom w:w="0" w:type="dxa"/>
          </w:tblCellMar>
        </w:tblPrEx>
        <w:tc>
          <w:tcPr>
            <w:tcW w:w="2300" w:type="dxa"/>
            <w:tcMar>
              <w:top w:w="90" w:type="dxa"/>
              <w:left w:w="110" w:type="dxa"/>
              <w:bottom w:w="90" w:type="dxa"/>
              <w:right w:w="110" w:type="dxa"/>
            </w:tcMar>
          </w:tcPr>
          <w:p w14:paraId="3DB1FA3D" w14:textId="77777777" w:rsidR="004F0243" w:rsidRDefault="00000000">
            <w:r>
              <w:rPr>
                <w:sz w:val="18"/>
                <w:szCs w:val="18"/>
              </w:rPr>
              <w:t>Volume &amp; Materiality</w:t>
            </w:r>
          </w:p>
        </w:tc>
        <w:tc>
          <w:tcPr>
            <w:tcW w:w="4550" w:type="dxa"/>
            <w:tcMar>
              <w:top w:w="90" w:type="dxa"/>
              <w:left w:w="110" w:type="dxa"/>
              <w:bottom w:w="90" w:type="dxa"/>
              <w:right w:w="110" w:type="dxa"/>
            </w:tcMar>
          </w:tcPr>
          <w:p w14:paraId="6FD9CAE7" w14:textId="77777777" w:rsidR="004F0243" w:rsidRDefault="00000000">
            <w:r>
              <w:rPr>
                <w:sz w:val="18"/>
                <w:szCs w:val="18"/>
              </w:rPr>
              <w:t>Show how small unit differences compound at scale</w:t>
            </w:r>
          </w:p>
        </w:tc>
        <w:tc>
          <w:tcPr>
            <w:tcW w:w="2500" w:type="dxa"/>
            <w:tcMar>
              <w:top w:w="90" w:type="dxa"/>
              <w:left w:w="110" w:type="dxa"/>
              <w:bottom w:w="90" w:type="dxa"/>
              <w:right w:w="110" w:type="dxa"/>
            </w:tcMar>
          </w:tcPr>
          <w:p w14:paraId="1149EA78" w14:textId="77777777" w:rsidR="004F0243" w:rsidRDefault="00000000">
            <w:r>
              <w:rPr>
                <w:sz w:val="18"/>
                <w:szCs w:val="18"/>
              </w:rPr>
              <w:t>Analytical branch — Testing Guide Test 7 is the manual version</w:t>
            </w:r>
          </w:p>
        </w:tc>
      </w:tr>
      <w:tr w:rsidR="004F0243" w14:paraId="7CD6FC7A" w14:textId="77777777">
        <w:tblPrEx>
          <w:tblCellMar>
            <w:top w:w="0" w:type="dxa"/>
            <w:bottom w:w="0" w:type="dxa"/>
          </w:tblCellMar>
        </w:tblPrEx>
        <w:tc>
          <w:tcPr>
            <w:tcW w:w="2300" w:type="dxa"/>
            <w:tcMar>
              <w:top w:w="90" w:type="dxa"/>
              <w:left w:w="110" w:type="dxa"/>
              <w:bottom w:w="90" w:type="dxa"/>
              <w:right w:w="110" w:type="dxa"/>
            </w:tcMar>
          </w:tcPr>
          <w:p w14:paraId="3FAEBD8E" w14:textId="77777777" w:rsidR="004F0243" w:rsidRDefault="00000000">
            <w:r>
              <w:rPr>
                <w:sz w:val="18"/>
                <w:szCs w:val="18"/>
              </w:rPr>
              <w:t>Recipe / Menu Costing</w:t>
            </w:r>
          </w:p>
        </w:tc>
        <w:tc>
          <w:tcPr>
            <w:tcW w:w="4550" w:type="dxa"/>
            <w:tcMar>
              <w:top w:w="90" w:type="dxa"/>
              <w:left w:w="110" w:type="dxa"/>
              <w:bottom w:w="90" w:type="dxa"/>
              <w:right w:w="110" w:type="dxa"/>
            </w:tcMar>
          </w:tcPr>
          <w:p w14:paraId="2DAABD64" w14:textId="77777777" w:rsidR="004F0243" w:rsidRDefault="00000000">
            <w:r>
              <w:rPr>
                <w:sz w:val="18"/>
                <w:szCs w:val="18"/>
              </w:rPr>
              <w:t>Translate ingredient economics into per-dish cost</w:t>
            </w:r>
          </w:p>
        </w:tc>
        <w:tc>
          <w:tcPr>
            <w:tcW w:w="2500" w:type="dxa"/>
            <w:tcMar>
              <w:top w:w="90" w:type="dxa"/>
              <w:left w:w="110" w:type="dxa"/>
              <w:bottom w:w="90" w:type="dxa"/>
              <w:right w:w="110" w:type="dxa"/>
            </w:tcMar>
          </w:tcPr>
          <w:p w14:paraId="0A305FC7" w14:textId="77777777" w:rsidR="004F0243" w:rsidRDefault="00000000">
            <w:r>
              <w:rPr>
                <w:sz w:val="18"/>
                <w:szCs w:val="18"/>
              </w:rPr>
              <w:t>Major adjacent branch</w:t>
            </w:r>
          </w:p>
        </w:tc>
      </w:tr>
      <w:tr w:rsidR="004F0243" w14:paraId="210C95CC" w14:textId="77777777">
        <w:tblPrEx>
          <w:tblCellMar>
            <w:top w:w="0" w:type="dxa"/>
            <w:bottom w:w="0" w:type="dxa"/>
          </w:tblCellMar>
        </w:tblPrEx>
        <w:tc>
          <w:tcPr>
            <w:tcW w:w="2300" w:type="dxa"/>
            <w:tcMar>
              <w:top w:w="90" w:type="dxa"/>
              <w:left w:w="110" w:type="dxa"/>
              <w:bottom w:w="90" w:type="dxa"/>
              <w:right w:w="110" w:type="dxa"/>
            </w:tcMar>
          </w:tcPr>
          <w:p w14:paraId="5EA0D472" w14:textId="77777777" w:rsidR="004F0243" w:rsidRDefault="00000000">
            <w:r>
              <w:rPr>
                <w:sz w:val="18"/>
                <w:szCs w:val="18"/>
              </w:rPr>
              <w:t>Category Expansion</w:t>
            </w:r>
          </w:p>
        </w:tc>
        <w:tc>
          <w:tcPr>
            <w:tcW w:w="4550" w:type="dxa"/>
            <w:tcMar>
              <w:top w:w="90" w:type="dxa"/>
              <w:left w:w="110" w:type="dxa"/>
              <w:bottom w:w="90" w:type="dxa"/>
              <w:right w:w="110" w:type="dxa"/>
            </w:tcMar>
          </w:tcPr>
          <w:p w14:paraId="5B030AA1" w14:textId="77777777" w:rsidR="004F0243" w:rsidRDefault="00000000">
            <w:r>
              <w:rPr>
                <w:sz w:val="18"/>
                <w:szCs w:val="18"/>
              </w:rPr>
              <w:t>Apply the engine beyond food</w:t>
            </w:r>
          </w:p>
        </w:tc>
        <w:tc>
          <w:tcPr>
            <w:tcW w:w="2500" w:type="dxa"/>
            <w:tcMar>
              <w:top w:w="90" w:type="dxa"/>
              <w:left w:w="110" w:type="dxa"/>
              <w:bottom w:w="90" w:type="dxa"/>
              <w:right w:w="110" w:type="dxa"/>
            </w:tcMar>
          </w:tcPr>
          <w:p w14:paraId="1EBBADF0" w14:textId="77777777" w:rsidR="004F0243" w:rsidRDefault="00000000">
            <w:r>
              <w:rPr>
                <w:sz w:val="18"/>
                <w:szCs w:val="18"/>
              </w:rPr>
              <w:t>Usage-led expansion</w:t>
            </w:r>
          </w:p>
        </w:tc>
      </w:tr>
      <w:tr w:rsidR="004F0243" w14:paraId="22D3A9A8" w14:textId="77777777">
        <w:tblPrEx>
          <w:tblCellMar>
            <w:top w:w="0" w:type="dxa"/>
            <w:bottom w:w="0" w:type="dxa"/>
          </w:tblCellMar>
        </w:tblPrEx>
        <w:tc>
          <w:tcPr>
            <w:tcW w:w="2300" w:type="dxa"/>
            <w:tcMar>
              <w:top w:w="90" w:type="dxa"/>
              <w:left w:w="110" w:type="dxa"/>
              <w:bottom w:w="90" w:type="dxa"/>
              <w:right w:w="110" w:type="dxa"/>
            </w:tcMar>
          </w:tcPr>
          <w:p w14:paraId="7ADB8321" w14:textId="77777777" w:rsidR="004F0243" w:rsidRDefault="00000000">
            <w:r>
              <w:rPr>
                <w:sz w:val="18"/>
                <w:szCs w:val="18"/>
              </w:rPr>
              <w:t>Commercialisation</w:t>
            </w:r>
          </w:p>
        </w:tc>
        <w:tc>
          <w:tcPr>
            <w:tcW w:w="4550" w:type="dxa"/>
            <w:tcMar>
              <w:top w:w="90" w:type="dxa"/>
              <w:left w:w="110" w:type="dxa"/>
              <w:bottom w:w="90" w:type="dxa"/>
              <w:right w:w="110" w:type="dxa"/>
            </w:tcMar>
          </w:tcPr>
          <w:p w14:paraId="524288E4" w14:textId="77777777" w:rsidR="004F0243" w:rsidRDefault="00000000">
            <w:r>
              <w:rPr>
                <w:sz w:val="18"/>
                <w:szCs w:val="18"/>
              </w:rPr>
              <w:t>Paid pilots, terms, structure, deployment</w:t>
            </w:r>
          </w:p>
        </w:tc>
        <w:tc>
          <w:tcPr>
            <w:tcW w:w="2500" w:type="dxa"/>
            <w:tcMar>
              <w:top w:w="90" w:type="dxa"/>
              <w:left w:w="110" w:type="dxa"/>
              <w:bottom w:w="90" w:type="dxa"/>
              <w:right w:w="110" w:type="dxa"/>
            </w:tcMar>
          </w:tcPr>
          <w:p w14:paraId="5D8A6F10" w14:textId="77777777" w:rsidR="004F0243" w:rsidRDefault="00000000">
            <w:r>
              <w:rPr>
                <w:sz w:val="18"/>
                <w:szCs w:val="18"/>
              </w:rPr>
              <w:t>Parked until charging</w:t>
            </w:r>
          </w:p>
        </w:tc>
      </w:tr>
    </w:tbl>
    <w:p w14:paraId="2D205AA3" w14:textId="77777777" w:rsidR="004F0243" w:rsidRDefault="00000000">
      <w:pPr>
        <w:pStyle w:val="Heading2"/>
        <w:spacing w:before="200" w:after="90"/>
      </w:pPr>
      <w:r>
        <w:t>What's already core — corrected and expanded</w:t>
      </w:r>
    </w:p>
    <w:p w14:paraId="4D41F96E" w14:textId="77777777" w:rsidR="004F0243" w:rsidRDefault="00000000">
      <w:pPr>
        <w:spacing w:after="120"/>
      </w:pPr>
      <w:r>
        <w:lastRenderedPageBreak/>
        <w:t>The previous draft undercounted this list. Everything below is shipped, tested, and load-bearing — not aspirational:</w:t>
      </w:r>
    </w:p>
    <w:p w14:paraId="770ABF1C" w14:textId="77777777" w:rsidR="004F0243" w:rsidRDefault="00000000">
      <w:pPr>
        <w:pStyle w:val="ListParagraph"/>
        <w:numPr>
          <w:ilvl w:val="0"/>
          <w:numId w:val="1"/>
        </w:numPr>
        <w:spacing w:after="60"/>
      </w:pPr>
      <w:r>
        <w:t>Deterministic pack normalisation and equalised $/kg, $/L or $/each comparison.</w:t>
      </w:r>
    </w:p>
    <w:p w14:paraId="72528051" w14:textId="77777777" w:rsidR="004F0243" w:rsidRDefault="00000000">
      <w:pPr>
        <w:pStyle w:val="ListParagraph"/>
        <w:numPr>
          <w:ilvl w:val="0"/>
          <w:numId w:val="1"/>
        </w:numPr>
        <w:spacing w:after="60"/>
      </w:pPr>
      <w:r>
        <w:t>Verified / Predicted / Needs Review trust states, with pack memory that persists across re-import — a verified Supplier + SKU pack is never silently re-guessed, even after an updated price list is imported.</w:t>
      </w:r>
    </w:p>
    <w:p w14:paraId="62119A09" w14:textId="77777777" w:rsidR="004F0243" w:rsidRDefault="00000000">
      <w:pPr>
        <w:pStyle w:val="ListParagraph"/>
        <w:numPr>
          <w:ilvl w:val="0"/>
          <w:numId w:val="1"/>
        </w:numPr>
        <w:spacing w:after="60"/>
      </w:pPr>
      <w:r>
        <w:t>Current-supplier baseline and annual saving calculation, headlined as the primary commercial output of the Compare screen rather than a table column.</w:t>
      </w:r>
    </w:p>
    <w:p w14:paraId="584F39CA" w14:textId="77777777" w:rsidR="004F0243" w:rsidRDefault="00000000">
      <w:pPr>
        <w:pStyle w:val="ListParagraph"/>
        <w:numPr>
          <w:ilvl w:val="0"/>
          <w:numId w:val="1"/>
        </w:numPr>
        <w:spacing w:after="60"/>
      </w:pPr>
      <w:r>
        <w:t>Two ways to supply annual usage: a direct canonical figure, or a period quantity plus reporting length, annualised deterministically — with an explicit, non-automatic safeguard against misreading a pack-count as an already-canonical total.</w:t>
      </w:r>
    </w:p>
    <w:p w14:paraId="7268D126" w14:textId="77777777" w:rsidR="004F0243" w:rsidRDefault="00000000">
      <w:pPr>
        <w:pStyle w:val="ListParagraph"/>
        <w:numPr>
          <w:ilvl w:val="0"/>
          <w:numId w:val="1"/>
        </w:numPr>
        <w:spacing w:after="60"/>
      </w:pPr>
      <w:r>
        <w:t>Verified vs. Indicative confidence, inherited honestly from the weakest pack behind any given figure, reported as two separate totals rather than one blended “estimated” number.</w:t>
      </w:r>
    </w:p>
    <w:p w14:paraId="3A2C85AF" w14:textId="77777777" w:rsidR="004F0243" w:rsidRDefault="00000000">
      <w:pPr>
        <w:pStyle w:val="ListParagraph"/>
        <w:numPr>
          <w:ilvl w:val="0"/>
          <w:numId w:val="1"/>
        </w:numPr>
        <w:spacing w:after="60"/>
      </w:pPr>
      <w:r>
        <w:t>Comparison groups as the current mechanism for declaring products comparable — deliberately human-assigned, no automatic semantic matching.</w:t>
      </w:r>
    </w:p>
    <w:p w14:paraId="59114D2F" w14:textId="77777777" w:rsidR="004F0243" w:rsidRDefault="00000000">
      <w:pPr>
        <w:pStyle w:val="ListParagraph"/>
        <w:numPr>
          <w:ilvl w:val="0"/>
          <w:numId w:val="1"/>
        </w:numPr>
        <w:spacing w:after="60"/>
      </w:pPr>
      <w:r>
        <w:t>Import column mapping hardened against three real mismapping risks: Supplier SKU now recognises Product Code / Item Code / Supplier Code, not just a header containing “sku”; Annual Volume is never auto-mapped, ever, closing a real risk where a cost-sounding column could be read as a usage column; and multiple rows flagged “current supplier” in one import surface as a Review conflict instead of being resolved by processing order.</w:t>
      </w:r>
    </w:p>
    <w:p w14:paraId="07CAF046" w14:textId="77777777" w:rsidR="004F0243" w:rsidRDefault="00000000">
      <w:pPr>
        <w:pStyle w:val="ListParagraph"/>
        <w:numPr>
          <w:ilvl w:val="0"/>
          <w:numId w:val="1"/>
        </w:numPr>
        <w:spacing w:after="60"/>
      </w:pPr>
      <w:r>
        <w:t>Batch verify, scoped strictly to whatever's currently visible — a filtered Products list or the Unverified Predictions queue — never a hidden “verify everything” sweep.</w:t>
      </w:r>
    </w:p>
    <w:p w14:paraId="0F706C00" w14:textId="77777777" w:rsidR="004F0243" w:rsidRDefault="00000000">
      <w:pPr>
        <w:pStyle w:val="ListParagraph"/>
        <w:numPr>
          <w:ilvl w:val="0"/>
          <w:numId w:val="1"/>
        </w:numPr>
        <w:spacing w:after="60"/>
      </w:pPr>
      <w:r>
        <w:t>The finished warm cream / terracotta / sage design direction, serif display type, and simple comparison-first UX.</w:t>
      </w:r>
    </w:p>
    <w:p w14:paraId="66EBE2D0" w14:textId="77777777" w:rsidR="004F0243" w:rsidRDefault="00000000">
      <w:pPr>
        <w:pStyle w:val="Heading1"/>
      </w:pPr>
      <w:r>
        <w:t>2. Item Intelligence — Narrowed</w:t>
      </w:r>
    </w:p>
    <w:p w14:paraId="026922DA" w14:textId="77777777" w:rsidR="004F0243" w:rsidRDefault="00000000">
      <w:pPr>
        <w:shd w:val="clear" w:color="auto" w:fill="F6EADA"/>
        <w:spacing w:after="100"/>
      </w:pPr>
      <w:r>
        <w:rPr>
          <w:b/>
          <w:bCs/>
          <w:color w:val="B9772C"/>
          <w:sz w:val="16"/>
          <w:szCs w:val="16"/>
        </w:rPr>
        <w:t xml:space="preserve"> PARKED — NARROWER THAN FIRST DRAFTED </w:t>
      </w:r>
    </w:p>
    <w:p w14:paraId="166ABE25" w14:textId="77777777" w:rsidR="004F0243" w:rsidRDefault="00000000">
      <w:pPr>
        <w:spacing w:after="120"/>
      </w:pPr>
      <w:r>
        <w:t>The original framing described this as remembering a verified pack and restoring it automatically on later imports. That's not a future idea — it's how Verified status has worked since early in the build. What's genuinely still open is narrower and harder:</w:t>
      </w:r>
    </w:p>
    <w:p w14:paraId="180D46B8" w14:textId="77777777" w:rsidR="004F0243" w:rsidRDefault="00000000">
      <w:pPr>
        <w:pStyle w:val="ListParagraph"/>
        <w:numPr>
          <w:ilvl w:val="0"/>
          <w:numId w:val="1"/>
        </w:numPr>
        <w:spacing w:after="60"/>
      </w:pPr>
      <w:r>
        <w:t>Recognise a changed SKU or a materially different description as a possible match to a previously known item, rather than treating it as an unrelated new product with no history.</w:t>
      </w:r>
    </w:p>
    <w:p w14:paraId="505ED0F1" w14:textId="77777777" w:rsidR="004F0243" w:rsidRDefault="00000000">
      <w:pPr>
        <w:pStyle w:val="ListParagraph"/>
        <w:numPr>
          <w:ilvl w:val="0"/>
          <w:numId w:val="1"/>
        </w:numPr>
        <w:spacing w:after="60"/>
      </w:pPr>
      <w:r>
        <w:t>Let separate comparison efforts reference a shared pool of known items instead of re-deriving the same knowledge independently — relevant once there's more than one distinct “project” worth of catalogue data, which there isn't yet.</w:t>
      </w:r>
    </w:p>
    <w:p w14:paraId="60828E0F" w14:textId="77777777" w:rsidR="004F0243" w:rsidRDefault="00000000">
      <w:pPr>
        <w:spacing w:before="80"/>
      </w:pPr>
      <w:r>
        <w:t>Keep the truth hierarchy exactly as it already stands: prediction suggests, verified human knowledge establishes truth. This branch would extend who benefits from that truth, not weaken it.</w:t>
      </w:r>
    </w:p>
    <w:p w14:paraId="0B90AD7E" w14:textId="77777777" w:rsidR="004F0243" w:rsidRDefault="00000000">
      <w:pPr>
        <w:pStyle w:val="Heading2"/>
        <w:spacing w:before="200" w:after="90"/>
      </w:pPr>
      <w:r>
        <w:t>Why it stays parked</w:t>
      </w:r>
    </w:p>
    <w:p w14:paraId="485C7EA9" w14:textId="77777777" w:rsidR="004F0243" w:rsidRDefault="00000000">
      <w:pPr>
        <w:spacing w:after="120"/>
      </w:pPr>
      <w:r>
        <w:lastRenderedPageBreak/>
        <w:t>The exact-match version already solves the loudest version of the pain — repeatedly re-confirming the same SKU. Fuzzy matching is a harder, riskier problem (a wrong match here is a false product-equivalence claim, the exact failure mode the trust hierarchy exists to prevent). Worth building only once real use produces the specific signal: “this SKU changed and I had to redo work I'd already done.”</w:t>
      </w:r>
    </w:p>
    <w:p w14:paraId="1F73E29A" w14:textId="77777777" w:rsidR="004F0243" w:rsidRDefault="00000000">
      <w:pPr>
        <w:pStyle w:val="Heading1"/>
      </w:pPr>
      <w:r>
        <w:t>3. Import Automation — Narrowed</w:t>
      </w:r>
    </w:p>
    <w:p w14:paraId="3BC8F32E" w14:textId="77777777" w:rsidR="004F0243" w:rsidRDefault="00000000">
      <w:pPr>
        <w:shd w:val="clear" w:color="auto" w:fill="F6EADA"/>
        <w:spacing w:after="100"/>
      </w:pPr>
      <w:r>
        <w:rPr>
          <w:b/>
          <w:bCs/>
          <w:color w:val="B9772C"/>
          <w:sz w:val="16"/>
          <w:szCs w:val="16"/>
        </w:rPr>
        <w:t xml:space="preserve"> PARKED NEARBY — NARROWER THAN FIRST DRAFTED </w:t>
      </w:r>
    </w:p>
    <w:p w14:paraId="2725FF42" w14:textId="77777777" w:rsidR="004F0243" w:rsidRDefault="00000000">
      <w:pPr>
        <w:spacing w:after="120"/>
      </w:pPr>
      <w:r>
        <w:t>Three of the six ideas in the original draft are now built: recognising Product Code as SKU, guarding against an “annual”-sounding column being misread as usage, and surfacing multiple current-supplier candidates instead of guessing. What's left is the harder half, and it's deliberately gated:</w:t>
      </w:r>
    </w:p>
    <w:p w14:paraId="77BE4EC1" w14:textId="77777777" w:rsidR="004F0243" w:rsidRDefault="00000000">
      <w:pPr>
        <w:pStyle w:val="ListParagraph"/>
        <w:numPr>
          <w:ilvl w:val="0"/>
          <w:numId w:val="1"/>
        </w:numPr>
        <w:spacing w:after="60"/>
      </w:pPr>
      <w:r>
        <w:t>Import a report's own Qty column directly as period usage, instead of retyping a quantity per group by hand.</w:t>
      </w:r>
    </w:p>
    <w:p w14:paraId="5AE042C4" w14:textId="77777777" w:rsidR="004F0243" w:rsidRDefault="00000000">
      <w:pPr>
        <w:pStyle w:val="ListParagraph"/>
        <w:numPr>
          <w:ilvl w:val="0"/>
          <w:numId w:val="1"/>
        </w:numPr>
        <w:spacing w:after="60"/>
      </w:pPr>
      <w:r>
        <w:t>Let the reporting period (e.g. “this covers 3 months”) be declared once at import time and carried into every group's comparison, rather than set per group on the Compare screen.</w:t>
      </w:r>
    </w:p>
    <w:p w14:paraId="686E2E65" w14:textId="77777777" w:rsidR="004F0243" w:rsidRDefault="00000000">
      <w:pPr>
        <w:spacing w:before="80"/>
      </w:pPr>
      <w:r>
        <w:t>Both wait on the same prerequisite: re-import needs to become reconciliation — comparing what's new against what's already known before writing anything — rather than the current plain append. Automating period-usage import before that exists would compound the exact ambiguity reconciliation is meant to resolve (which imported Qty is current, which is historical, which duplicate). This is the most imminent piece of real architecture debt in the whole build, and it's explicitly next, not a someday item.</w:t>
      </w:r>
    </w:p>
    <w:p w14:paraId="65F6C6AF" w14:textId="77777777" w:rsidR="004F0243" w:rsidRDefault="00000000">
      <w:pPr>
        <w:pStyle w:val="Heading2"/>
        <w:spacing w:before="200" w:after="90"/>
      </w:pPr>
      <w:r>
        <w:t>Chef-facing ambition, unchanged</w:t>
      </w:r>
    </w:p>
    <w:p w14:paraId="47311A4A" w14:textId="77777777" w:rsidR="004F0243" w:rsidRDefault="00000000">
      <w:pPr>
        <w:spacing w:after="120"/>
      </w:pPr>
      <w:r>
        <w:t>Download supplier report → minimal cleanup → import → review exceptions → compare.</w:t>
      </w:r>
    </w:p>
    <w:p w14:paraId="41CA663E" w14:textId="77777777" w:rsidR="004F0243" w:rsidRDefault="00000000">
      <w:pPr>
        <w:pStyle w:val="Heading1"/>
      </w:pPr>
      <w:r>
        <w:t>4. Savings Intelligence / Opportunity Dashboard</w:t>
      </w:r>
    </w:p>
    <w:p w14:paraId="0CC13ECE" w14:textId="77777777" w:rsidR="004F0243" w:rsidRDefault="00000000">
      <w:pPr>
        <w:shd w:val="clear" w:color="auto" w:fill="F6EADA"/>
        <w:spacing w:after="100"/>
      </w:pPr>
      <w:r>
        <w:rPr>
          <w:b/>
          <w:bCs/>
          <w:color w:val="B9772C"/>
          <w:sz w:val="16"/>
          <w:szCs w:val="16"/>
        </w:rPr>
        <w:t xml:space="preserve"> PARKED — AFTER REAL USE </w:t>
      </w:r>
    </w:p>
    <w:p w14:paraId="6C9315FD" w14:textId="77777777" w:rsidR="004F0243" w:rsidRDefault="00000000">
      <w:pPr>
        <w:spacing w:after="120"/>
      </w:pPr>
      <w:r>
        <w:t>The annual comparison saving is the golden child of the interface. A future linked insights page could explain where that total actually comes from, without ever competing with the hero figure for attention:</w:t>
      </w:r>
    </w:p>
    <w:p w14:paraId="61BF6ABE" w14:textId="77777777" w:rsidR="004F0243" w:rsidRDefault="00000000">
      <w:pPr>
        <w:pStyle w:val="ListParagraph"/>
        <w:numPr>
          <w:ilvl w:val="0"/>
          <w:numId w:val="1"/>
        </w:numPr>
        <w:spacing w:after="60"/>
      </w:pPr>
      <w:r>
        <w:t>Largest annual dollar savings by item.</w:t>
      </w:r>
    </w:p>
    <w:p w14:paraId="076EE128" w14:textId="77777777" w:rsidR="004F0243" w:rsidRDefault="00000000">
      <w:pPr>
        <w:pStyle w:val="ListParagraph"/>
        <w:numPr>
          <w:ilvl w:val="0"/>
          <w:numId w:val="1"/>
        </w:numPr>
        <w:spacing w:after="60"/>
      </w:pPr>
      <w:r>
        <w:t>Largest percentage savings.</w:t>
      </w:r>
    </w:p>
    <w:p w14:paraId="43C05EBF" w14:textId="77777777" w:rsidR="004F0243" w:rsidRDefault="00000000">
      <w:pPr>
        <w:pStyle w:val="ListParagraph"/>
        <w:numPr>
          <w:ilvl w:val="0"/>
          <w:numId w:val="1"/>
        </w:numPr>
        <w:spacing w:after="60"/>
      </w:pPr>
      <w:r>
        <w:t>Highest annual-spend items.</w:t>
      </w:r>
    </w:p>
    <w:p w14:paraId="45FFAD76" w14:textId="77777777" w:rsidR="004F0243" w:rsidRDefault="00000000">
      <w:pPr>
        <w:pStyle w:val="ListParagraph"/>
        <w:numPr>
          <w:ilvl w:val="0"/>
          <w:numId w:val="1"/>
        </w:numPr>
        <w:spacing w:after="60"/>
      </w:pPr>
      <w:r>
        <w:t>Savings by product category.</w:t>
      </w:r>
    </w:p>
    <w:p w14:paraId="7CAE6D2B" w14:textId="77777777" w:rsidR="004F0243" w:rsidRDefault="00000000">
      <w:pPr>
        <w:pStyle w:val="ListParagraph"/>
        <w:numPr>
          <w:ilvl w:val="0"/>
          <w:numId w:val="1"/>
        </w:numPr>
        <w:spacing w:after="60"/>
      </w:pPr>
      <w:r>
        <w:t>Verified opportunity vs. Indicative opportunity, broken out — this split already exists at the summary-strip level; a dashboard would just make it explorable.</w:t>
      </w:r>
    </w:p>
    <w:p w14:paraId="4A9EFAA3" w14:textId="77777777" w:rsidR="004F0243" w:rsidRDefault="00000000">
      <w:pPr>
        <w:pStyle w:val="ListParagraph"/>
        <w:numPr>
          <w:ilvl w:val="0"/>
          <w:numId w:val="1"/>
        </w:numPr>
        <w:spacing w:after="60"/>
      </w:pPr>
      <w:r>
        <w:t>Spend-weighted prioritisation, so a huge percentage saving on a tiny item never outranks a small saving on massive volume — exactly the distinction Testing Guide Tests 2 and 3 are designed to probe by hand.</w:t>
      </w:r>
    </w:p>
    <w:p w14:paraId="50022E55" w14:textId="77777777" w:rsidR="004F0243" w:rsidRDefault="00000000">
      <w:pPr>
        <w:spacing w:before="80"/>
      </w:pPr>
      <w:r>
        <w:t>Key philosophy, unchanged: charts should answer “where is the money?” rather than decorate the interface.</w:t>
      </w:r>
    </w:p>
    <w:p w14:paraId="7EB85B07" w14:textId="77777777" w:rsidR="004F0243" w:rsidRDefault="00000000">
      <w:pPr>
        <w:pStyle w:val="Heading1"/>
      </w:pPr>
      <w:r>
        <w:t>5. Cost Pressure / Historical Price Intelligence</w:t>
      </w:r>
    </w:p>
    <w:p w14:paraId="018907D2" w14:textId="77777777" w:rsidR="004F0243" w:rsidRDefault="00000000">
      <w:pPr>
        <w:shd w:val="clear" w:color="auto" w:fill="F6EADA"/>
        <w:spacing w:after="100"/>
      </w:pPr>
      <w:r>
        <w:rPr>
          <w:b/>
          <w:bCs/>
          <w:color w:val="B9772C"/>
          <w:sz w:val="16"/>
          <w:szCs w:val="16"/>
        </w:rPr>
        <w:t xml:space="preserve"> PARKED — REQUIRES HISTORY </w:t>
      </w:r>
    </w:p>
    <w:p w14:paraId="00FDA28A" w14:textId="77777777" w:rsidR="004F0243" w:rsidRDefault="00000000">
      <w:pPr>
        <w:pStyle w:val="ListParagraph"/>
        <w:numPr>
          <w:ilvl w:val="0"/>
          <w:numId w:val="1"/>
        </w:numPr>
        <w:spacing w:after="60"/>
      </w:pPr>
      <w:r>
        <w:t>Largest normalised price increases.</w:t>
      </w:r>
    </w:p>
    <w:p w14:paraId="1D5131CC" w14:textId="77777777" w:rsidR="004F0243" w:rsidRDefault="00000000">
      <w:pPr>
        <w:pStyle w:val="ListParagraph"/>
        <w:numPr>
          <w:ilvl w:val="0"/>
          <w:numId w:val="1"/>
        </w:numPr>
        <w:spacing w:after="60"/>
      </w:pPr>
      <w:r>
        <w:t>Largest percentage price increases.</w:t>
      </w:r>
    </w:p>
    <w:p w14:paraId="4EF01DC9" w14:textId="77777777" w:rsidR="004F0243" w:rsidRDefault="00000000">
      <w:pPr>
        <w:pStyle w:val="ListParagraph"/>
        <w:numPr>
          <w:ilvl w:val="0"/>
          <w:numId w:val="1"/>
        </w:numPr>
        <w:spacing w:after="60"/>
      </w:pPr>
      <w:r>
        <w:t>Largest annual expense increases once volume is considered.</w:t>
      </w:r>
    </w:p>
    <w:p w14:paraId="6CB37BD3" w14:textId="77777777" w:rsidR="004F0243" w:rsidRDefault="00000000">
      <w:pPr>
        <w:pStyle w:val="ListParagraph"/>
        <w:numPr>
          <w:ilvl w:val="0"/>
          <w:numId w:val="1"/>
        </w:numPr>
        <w:spacing w:after="60"/>
      </w:pPr>
      <w:r>
        <w:t>Price movement kept separate from expense impact — a large percentage move on a tiny SKU may matter less than a small rise on a high-volume product.</w:t>
      </w:r>
    </w:p>
    <w:p w14:paraId="3CA2410B" w14:textId="77777777" w:rsidR="004F0243" w:rsidRDefault="00000000">
      <w:pPr>
        <w:pStyle w:val="ListParagraph"/>
        <w:numPr>
          <w:ilvl w:val="0"/>
          <w:numId w:val="1"/>
        </w:numPr>
        <w:spacing w:after="60"/>
      </w:pPr>
      <w:r>
        <w:t>Price freshness / quote-date tracking, eventually comparing historical effective paid price against current quoted price.</w:t>
      </w:r>
    </w:p>
    <w:p w14:paraId="37A61259" w14:textId="77777777" w:rsidR="004F0243" w:rsidRDefault="00000000">
      <w:pPr>
        <w:spacing w:before="80"/>
      </w:pPr>
      <w:r>
        <w:t>Firm boundary, unchanged: the tool should never claim a price “increased” until it has a genuine historical baseline or repeated snapshots — exactly Doctrine Rule 12 (commercial attractiveness, or in this case a trend claim, cannot outrun the evidence behind it).</w:t>
      </w:r>
    </w:p>
    <w:p w14:paraId="791AA184" w14:textId="77777777" w:rsidR="004F0243" w:rsidRDefault="00000000">
      <w:pPr>
        <w:pStyle w:val="Heading1"/>
      </w:pPr>
      <w:r>
        <w:t>6. Price Watch / Alerts</w:t>
      </w:r>
    </w:p>
    <w:p w14:paraId="0DB34635" w14:textId="77777777" w:rsidR="004F0243" w:rsidRDefault="00000000">
      <w:pPr>
        <w:shd w:val="clear" w:color="auto" w:fill="F6EADA"/>
        <w:spacing w:after="100"/>
      </w:pPr>
      <w:r>
        <w:rPr>
          <w:b/>
          <w:bCs/>
          <w:color w:val="B9772C"/>
          <w:sz w:val="16"/>
          <w:szCs w:val="16"/>
        </w:rPr>
        <w:t xml:space="preserve"> FAST MONEY STRATEGY IDEA — PARKED </w:t>
      </w:r>
    </w:p>
    <w:p w14:paraId="31991F78" w14:textId="77777777" w:rsidR="004F0243" w:rsidRDefault="00000000">
      <w:pPr>
        <w:spacing w:after="120"/>
      </w:pPr>
      <w:r>
        <w:t>A future price-alert layer: notify when a known item or supplier cost moves enough to matter.</w:t>
      </w:r>
    </w:p>
    <w:p w14:paraId="5A590B9E" w14:textId="77777777" w:rsidR="004F0243" w:rsidRDefault="00000000">
      <w:pPr>
        <w:pStyle w:val="ListParagraph"/>
        <w:numPr>
          <w:ilvl w:val="0"/>
          <w:numId w:val="1"/>
        </w:numPr>
        <w:spacing w:after="60"/>
      </w:pPr>
      <w:r>
        <w:t>Alert when a product price rises above a chosen threshold.</w:t>
      </w:r>
    </w:p>
    <w:p w14:paraId="251FA21D" w14:textId="77777777" w:rsidR="004F0243" w:rsidRDefault="00000000">
      <w:pPr>
        <w:pStyle w:val="ListParagraph"/>
        <w:numPr>
          <w:ilvl w:val="0"/>
          <w:numId w:val="1"/>
        </w:numPr>
        <w:spacing w:after="60"/>
      </w:pPr>
      <w:r>
        <w:t>Alert when an alternative supplier becomes materially cheaper than the current baseline.</w:t>
      </w:r>
    </w:p>
    <w:p w14:paraId="499AF3B9" w14:textId="77777777" w:rsidR="004F0243" w:rsidRDefault="00000000">
      <w:pPr>
        <w:pStyle w:val="ListParagraph"/>
        <w:numPr>
          <w:ilvl w:val="0"/>
          <w:numId w:val="1"/>
        </w:numPr>
        <w:spacing w:after="60"/>
      </w:pPr>
      <w:r>
        <w:t>Distinguish raw price movement from annual financial impact, so alerts focus on commercially meaningful change, not noise.</w:t>
      </w:r>
    </w:p>
    <w:p w14:paraId="5884DB18" w14:textId="77777777" w:rsidR="004F0243" w:rsidRDefault="00000000">
      <w:pPr>
        <w:pStyle w:val="ListParagraph"/>
        <w:numPr>
          <w:ilvl w:val="0"/>
          <w:numId w:val="1"/>
        </w:numPr>
        <w:spacing w:after="60"/>
      </w:pPr>
      <w:r>
        <w:t>Built on historical snapshots, never a single quoted price mistaken for a trend.</w:t>
      </w:r>
    </w:p>
    <w:p w14:paraId="7BD60E38" w14:textId="77777777" w:rsidR="004F0243" w:rsidRDefault="00000000">
      <w:pPr>
        <w:spacing w:before="80"/>
      </w:pPr>
      <w:r>
        <w:t>Future procurement intelligence, explicitly not part of the current build.</w:t>
      </w:r>
    </w:p>
    <w:p w14:paraId="5DEC66C3" w14:textId="77777777" w:rsidR="004F0243" w:rsidRDefault="00000000">
      <w:pPr>
        <w:pStyle w:val="Heading1"/>
      </w:pPr>
      <w:r>
        <w:t>7. Supplier Strategy: Cherry-Picking vs. Consolidation</w:t>
      </w:r>
    </w:p>
    <w:p w14:paraId="512F40BF" w14:textId="77777777" w:rsidR="004F0243" w:rsidRDefault="00000000">
      <w:pPr>
        <w:shd w:val="clear" w:color="auto" w:fill="F6EADA"/>
        <w:spacing w:after="100"/>
      </w:pPr>
      <w:r>
        <w:rPr>
          <w:b/>
          <w:bCs/>
          <w:color w:val="B9772C"/>
          <w:sz w:val="16"/>
          <w:szCs w:val="16"/>
        </w:rPr>
        <w:t xml:space="preserve"> PARKED ANALYTICS — MANUAL VERSION NOW TESTABLE </w:t>
      </w:r>
    </w:p>
    <w:p w14:paraId="1CD3CD89" w14:textId="77777777" w:rsidR="004F0243" w:rsidRDefault="00000000">
      <w:pPr>
        <w:spacing w:after="120"/>
      </w:pPr>
      <w:r>
        <w:t>The interesting question is rarely “who's cheapest on this SKU?” alone — it's what purchasing strategy is best across the whole basket. This is now directly testable by hand: see Testing Guide Test 6.</w:t>
      </w:r>
    </w:p>
    <w:p w14:paraId="0480B4B3" w14:textId="77777777" w:rsidR="004F0243" w:rsidRDefault="00000000">
      <w:pPr>
        <w:pStyle w:val="ListParagraph"/>
        <w:numPr>
          <w:ilvl w:val="0"/>
          <w:numId w:val="1"/>
        </w:numPr>
        <w:spacing w:after="60"/>
      </w:pPr>
      <w:r>
        <w:t>Calculate the theoretical maximum saving by choosing the cheapest supplier item-by-item.</w:t>
      </w:r>
    </w:p>
    <w:p w14:paraId="58A0E5C8" w14:textId="77777777" w:rsidR="004F0243" w:rsidRDefault="00000000">
      <w:pPr>
        <w:pStyle w:val="ListParagraph"/>
        <w:numPr>
          <w:ilvl w:val="0"/>
          <w:numId w:val="1"/>
        </w:numPr>
        <w:spacing w:after="60"/>
      </w:pPr>
      <w:r>
        <w:t>Compare that against moving most or all purchasing to a single supplier.</w:t>
      </w:r>
    </w:p>
    <w:p w14:paraId="2F9C10AF" w14:textId="77777777" w:rsidR="004F0243" w:rsidRDefault="00000000">
      <w:pPr>
        <w:pStyle w:val="ListParagraph"/>
        <w:numPr>
          <w:ilvl w:val="0"/>
          <w:numId w:val="1"/>
        </w:numPr>
        <w:spacing w:after="60"/>
      </w:pPr>
      <w:r>
        <w:t>Quantify the savings sacrificed for consolidation convenience.</w:t>
      </w:r>
    </w:p>
    <w:p w14:paraId="1138DA0D" w14:textId="77777777" w:rsidR="004F0243" w:rsidRDefault="00000000">
      <w:pPr>
        <w:pStyle w:val="ListParagraph"/>
        <w:numPr>
          <w:ilvl w:val="0"/>
          <w:numId w:val="1"/>
        </w:numPr>
        <w:spacing w:after="60"/>
      </w:pPr>
      <w:r>
        <w:t>Expose whether a supplier is broadly competitive or only strong in specific categories — Testing Guide Test 9 probes this directly.</w:t>
      </w:r>
    </w:p>
    <w:p w14:paraId="4D11DB58" w14:textId="77777777" w:rsidR="004F0243" w:rsidRDefault="00000000">
      <w:pPr>
        <w:pStyle w:val="ListParagraph"/>
        <w:numPr>
          <w:ilvl w:val="0"/>
          <w:numId w:val="1"/>
        </w:numPr>
        <w:spacing w:after="60"/>
      </w:pPr>
      <w:r>
        <w:t>Only incorporate non-price trade-offs (operational simplicity, minimum-order constraints) once real use proves they matter.</w:t>
      </w:r>
    </w:p>
    <w:p w14:paraId="4118A8C5" w14:textId="77777777" w:rsidR="004F0243" w:rsidRDefault="00000000">
      <w:pPr>
        <w:spacing w:before="80"/>
      </w:pPr>
      <w:r>
        <w:t>Example decision: is an extra $1,600/year of theoretical saving worth managing four suppliers instead of one?</w:t>
      </w:r>
    </w:p>
    <w:p w14:paraId="6A0F5353" w14:textId="77777777" w:rsidR="004F0243" w:rsidRDefault="00000000">
      <w:pPr>
        <w:pStyle w:val="Heading1"/>
      </w:pPr>
      <w:r>
        <w:t>8. Volume Sensitivity / Materiality Intelligence</w:t>
      </w:r>
    </w:p>
    <w:p w14:paraId="68FC751C" w14:textId="77777777" w:rsidR="004F0243" w:rsidRDefault="00000000">
      <w:pPr>
        <w:shd w:val="clear" w:color="auto" w:fill="F6EADA"/>
        <w:spacing w:after="100"/>
      </w:pPr>
      <w:r>
        <w:rPr>
          <w:b/>
          <w:bCs/>
          <w:color w:val="B9772C"/>
          <w:sz w:val="16"/>
          <w:szCs w:val="16"/>
        </w:rPr>
        <w:t xml:space="preserve"> PARKED ANALYTICS — MANUAL VERSION NOW TESTABLE </w:t>
      </w:r>
    </w:p>
    <w:p w14:paraId="3825AAD5" w14:textId="77777777" w:rsidR="004F0243" w:rsidRDefault="00000000">
      <w:pPr>
        <w:spacing w:after="120"/>
      </w:pPr>
      <w:r>
        <w:t>Also directly testable by hand now — see Testing Guide Test 7.</w:t>
      </w:r>
    </w:p>
    <w:p w14:paraId="18178A4B" w14:textId="77777777" w:rsidR="004F0243" w:rsidRDefault="00000000">
      <w:pPr>
        <w:pStyle w:val="ListParagraph"/>
        <w:numPr>
          <w:ilvl w:val="0"/>
          <w:numId w:val="1"/>
        </w:numPr>
        <w:spacing w:after="60"/>
      </w:pPr>
      <w:r>
        <w:t>Demonstrate how tiny unit-cost differences become material at high purchasing volumes.</w:t>
      </w:r>
    </w:p>
    <w:p w14:paraId="5A211BB6" w14:textId="77777777" w:rsidR="004F0243" w:rsidRDefault="00000000">
      <w:pPr>
        <w:pStyle w:val="ListParagraph"/>
        <w:numPr>
          <w:ilvl w:val="0"/>
          <w:numId w:val="1"/>
        </w:numPr>
        <w:spacing w:after="60"/>
      </w:pPr>
      <w:r>
        <w:t>Demonstrate the opposite: dramatic percentage discounts can be commercially irrelevant on tiny-volume products.</w:t>
      </w:r>
    </w:p>
    <w:p w14:paraId="4331055C" w14:textId="77777777" w:rsidR="004F0243" w:rsidRDefault="00000000">
      <w:pPr>
        <w:pStyle w:val="ListParagraph"/>
        <w:numPr>
          <w:ilvl w:val="0"/>
          <w:numId w:val="1"/>
        </w:numPr>
        <w:spacing w:after="60"/>
      </w:pPr>
      <w:r>
        <w:t>Explore break-even / materiality thresholds — at what annual volume does a supplier change become worth acting on?</w:t>
      </w:r>
    </w:p>
    <w:p w14:paraId="4AA77802" w14:textId="77777777" w:rsidR="004F0243" w:rsidRDefault="00000000">
      <w:pPr>
        <w:pStyle w:val="ListParagraph"/>
        <w:numPr>
          <w:ilvl w:val="0"/>
          <w:numId w:val="1"/>
        </w:numPr>
        <w:spacing w:after="60"/>
      </w:pPr>
      <w:r>
        <w:t>Eventually distinguish economic demand (kg/L/each required) from the supplier-specific pack quantities needed to satisfy it.</w:t>
      </w:r>
    </w:p>
    <w:p w14:paraId="15B3B98C" w14:textId="77777777" w:rsidR="004F0243" w:rsidRDefault="00000000">
      <w:pPr>
        <w:spacing w:before="80"/>
      </w:pPr>
      <w:r>
        <w:t>Core relationship, unchanged: unit saving × purchasing exposure = commercial impact.</w:t>
      </w:r>
    </w:p>
    <w:p w14:paraId="2AE1FB04" w14:textId="77777777" w:rsidR="004F0243" w:rsidRDefault="00000000">
      <w:pPr>
        <w:pStyle w:val="Heading1"/>
      </w:pPr>
      <w:r>
        <w:t>9. Recipe &amp; Menu Cost Intelligence</w:t>
      </w:r>
    </w:p>
    <w:p w14:paraId="3A67830C" w14:textId="77777777" w:rsidR="004F0243" w:rsidRDefault="00000000">
      <w:pPr>
        <w:shd w:val="clear" w:color="auto" w:fill="F6EADA"/>
        <w:spacing w:after="100"/>
      </w:pPr>
      <w:r>
        <w:rPr>
          <w:b/>
          <w:bCs/>
          <w:color w:val="B9772C"/>
          <w:sz w:val="16"/>
          <w:szCs w:val="16"/>
        </w:rPr>
        <w:t xml:space="preserve"> MAJOR ADJACENT BRANCH </w:t>
      </w:r>
    </w:p>
    <w:p w14:paraId="301B3ED9" w14:textId="77777777" w:rsidR="004F0243" w:rsidRDefault="00000000">
      <w:pPr>
        <w:spacing w:after="120"/>
      </w:pPr>
      <w:r>
        <w:t>The largest adjacent idea raised outside this build. Once ingredient costs are normalised accurately, the next logical commercial question is what those costs mean at dish level.</w:t>
      </w:r>
    </w:p>
    <w:p w14:paraId="2046DC5B" w14:textId="77777777" w:rsidR="004F0243" w:rsidRDefault="00000000">
      <w:pPr>
        <w:pStyle w:val="ListParagraph"/>
        <w:numPr>
          <w:ilvl w:val="0"/>
          <w:numId w:val="1"/>
        </w:numPr>
        <w:spacing w:after="60"/>
      </w:pPr>
      <w:r>
        <w:t>Accurate recipe costing using the normalised ingredient costs the comparison engine already produces.</w:t>
      </w:r>
    </w:p>
    <w:p w14:paraId="59805A83" w14:textId="77777777" w:rsidR="004F0243" w:rsidRDefault="00000000">
      <w:pPr>
        <w:pStyle w:val="ListParagraph"/>
        <w:numPr>
          <w:ilvl w:val="0"/>
          <w:numId w:val="1"/>
        </w:numPr>
        <w:spacing w:after="60"/>
      </w:pPr>
      <w:r>
        <w:t>Per-dish cost estimates from ingredient quantities and portion weights.</w:t>
      </w:r>
    </w:p>
    <w:p w14:paraId="2C1D2A0F" w14:textId="77777777" w:rsidR="004F0243" w:rsidRDefault="00000000">
      <w:pPr>
        <w:pStyle w:val="ListParagraph"/>
        <w:numPr>
          <w:ilvl w:val="0"/>
          <w:numId w:val="1"/>
        </w:numPr>
        <w:spacing w:after="60"/>
      </w:pPr>
      <w:r>
        <w:t>Reduce the manual burden of maintaining recipe weights and pack assumptions by hand.</w:t>
      </w:r>
    </w:p>
    <w:p w14:paraId="75E34C73" w14:textId="77777777" w:rsidR="004F0243" w:rsidRDefault="00000000">
      <w:pPr>
        <w:pStyle w:val="ListParagraph"/>
        <w:numPr>
          <w:ilvl w:val="0"/>
          <w:numId w:val="1"/>
        </w:numPr>
        <w:spacing w:after="60"/>
      </w:pPr>
      <w:r>
        <w:t>Reuse recipe exports from existing systems where available, rather than forcing recipes to be rebuilt from scratch.</w:t>
      </w:r>
    </w:p>
    <w:p w14:paraId="2BF8D12A" w14:textId="77777777" w:rsidR="004F0243" w:rsidRDefault="00000000">
      <w:pPr>
        <w:pStyle w:val="ListParagraph"/>
        <w:numPr>
          <w:ilvl w:val="0"/>
          <w:numId w:val="1"/>
        </w:numPr>
        <w:spacing w:after="60"/>
      </w:pPr>
      <w:r>
        <w:t>Support both custom and standard/recommended recipe types.</w:t>
      </w:r>
    </w:p>
    <w:p w14:paraId="037CF5A1" w14:textId="77777777" w:rsidR="004F0243" w:rsidRDefault="00000000">
      <w:pPr>
        <w:pStyle w:val="ListParagraph"/>
        <w:numPr>
          <w:ilvl w:val="0"/>
          <w:numId w:val="1"/>
        </w:numPr>
        <w:spacing w:after="60"/>
      </w:pPr>
      <w:r>
        <w:t>Flag recipe-cost changes when an ingredient price changes.</w:t>
      </w:r>
    </w:p>
    <w:p w14:paraId="6BE7CBE5" w14:textId="77777777" w:rsidR="004F0243" w:rsidRDefault="00000000">
      <w:pPr>
        <w:pStyle w:val="ListParagraph"/>
        <w:numPr>
          <w:ilvl w:val="0"/>
          <w:numId w:val="1"/>
        </w:numPr>
        <w:spacing w:after="60"/>
      </w:pPr>
      <w:r>
        <w:t>Eventually connect purchasing savings to dish economics — which supplier switch actually improves the cost of the dishes that matter?</w:t>
      </w:r>
    </w:p>
    <w:p w14:paraId="3686090D" w14:textId="77777777" w:rsidR="004F0243" w:rsidRDefault="00000000">
      <w:pPr>
        <w:spacing w:before="80"/>
      </w:pPr>
      <w:r>
        <w:t>Observed pain point: chefs often enter the wrong product weight, or must manually maintain portion weight for every ingredient in every dish. This branch only earns its place if it genuinely removes that work rather than recreating it in a second interface — the same bar the tool itself was held to before any of its features shipped.</w:t>
      </w:r>
    </w:p>
    <w:p w14:paraId="4F16111D" w14:textId="77777777" w:rsidR="004F0243" w:rsidRDefault="00000000">
      <w:pPr>
        <w:spacing w:before="80"/>
      </w:pPr>
      <w:r>
        <w:t>Potential chain: supplier cost truth → ingredient cost truth → recipe cost → dish economics.</w:t>
      </w:r>
    </w:p>
    <w:p w14:paraId="1C9B53C3" w14:textId="77777777" w:rsidR="004F0243" w:rsidRDefault="00000000">
      <w:pPr>
        <w:pStyle w:val="Heading1"/>
      </w:pPr>
      <w:r>
        <w:t>10. Product Architecture / Compartmentalisation</w:t>
      </w:r>
    </w:p>
    <w:p w14:paraId="0DE92B99" w14:textId="77777777" w:rsidR="004F0243" w:rsidRDefault="00000000">
      <w:pPr>
        <w:shd w:val="clear" w:color="auto" w:fill="F6EADA"/>
        <w:spacing w:after="100"/>
      </w:pPr>
      <w:r>
        <w:rPr>
          <w:b/>
          <w:bCs/>
          <w:color w:val="B9772C"/>
          <w:sz w:val="16"/>
          <w:szCs w:val="16"/>
        </w:rPr>
        <w:t xml:space="preserve"> PARKED DESIGN QUESTION </w:t>
      </w:r>
    </w:p>
    <w:p w14:paraId="453A3232" w14:textId="77777777" w:rsidR="004F0243" w:rsidRDefault="00000000">
      <w:pPr>
        <w:spacing w:after="120"/>
      </w:pPr>
      <w:r>
        <w:t>How the model should compartmentalise as it grows, rather than becoming one giant procurement screen:</w:t>
      </w:r>
    </w:p>
    <w:tbl>
      <w:tblPr>
        <w:tblW w:w="9350" w:type="dxa"/>
        <w:tblInd w:w="-3" w:type="dxa"/>
        <w:tblBorders>
          <w:top w:val="single" w:sz="4" w:space="0" w:color="D8DACF"/>
          <w:left w:val="single" w:sz="4" w:space="0" w:color="D8DACF"/>
          <w:bottom w:val="single" w:sz="4" w:space="0" w:color="D8DACF"/>
          <w:right w:val="single" w:sz="4" w:space="0" w:color="D8DACF"/>
          <w:insideH w:val="single" w:sz="2" w:space="0" w:color="D8DACF"/>
          <w:insideV w:val="single" w:sz="2" w:space="0" w:color="D8DACF"/>
        </w:tblBorders>
        <w:tblCellMar>
          <w:left w:w="10" w:type="dxa"/>
          <w:right w:w="10" w:type="dxa"/>
        </w:tblCellMar>
        <w:tblLook w:val="0000" w:firstRow="0" w:lastRow="0" w:firstColumn="0" w:lastColumn="0" w:noHBand="0" w:noVBand="0"/>
      </w:tblPr>
      <w:tblGrid>
        <w:gridCol w:w="2800"/>
        <w:gridCol w:w="6550"/>
      </w:tblGrid>
      <w:tr w:rsidR="004F0243" w14:paraId="50933E61" w14:textId="77777777">
        <w:tblPrEx>
          <w:tblCellMar>
            <w:top w:w="0" w:type="dxa"/>
            <w:bottom w:w="0" w:type="dxa"/>
          </w:tblCellMar>
        </w:tblPrEx>
        <w:trPr>
          <w:tblHeader/>
        </w:trPr>
        <w:tc>
          <w:tcPr>
            <w:tcW w:w="2800" w:type="dxa"/>
            <w:shd w:val="clear" w:color="auto" w:fill="F6F6F1"/>
            <w:tcMar>
              <w:top w:w="90" w:type="dxa"/>
              <w:left w:w="110" w:type="dxa"/>
              <w:bottom w:w="90" w:type="dxa"/>
              <w:right w:w="110" w:type="dxa"/>
            </w:tcMar>
          </w:tcPr>
          <w:p w14:paraId="64A4890B" w14:textId="77777777" w:rsidR="004F0243" w:rsidRDefault="00000000">
            <w:r>
              <w:rPr>
                <w:b/>
                <w:bCs/>
                <w:color w:val="1B2420"/>
                <w:sz w:val="18"/>
                <w:szCs w:val="18"/>
              </w:rPr>
              <w:t>Domain</w:t>
            </w:r>
          </w:p>
        </w:tc>
        <w:tc>
          <w:tcPr>
            <w:tcW w:w="6550" w:type="dxa"/>
            <w:shd w:val="clear" w:color="auto" w:fill="F6F6F1"/>
            <w:tcMar>
              <w:top w:w="90" w:type="dxa"/>
              <w:left w:w="110" w:type="dxa"/>
              <w:bottom w:w="90" w:type="dxa"/>
              <w:right w:w="110" w:type="dxa"/>
            </w:tcMar>
          </w:tcPr>
          <w:p w14:paraId="172A65E2" w14:textId="77777777" w:rsidR="004F0243" w:rsidRDefault="00000000">
            <w:r>
              <w:rPr>
                <w:b/>
                <w:bCs/>
                <w:color w:val="1B2420"/>
                <w:sz w:val="18"/>
                <w:szCs w:val="18"/>
              </w:rPr>
              <w:t>Responsibility</w:t>
            </w:r>
          </w:p>
        </w:tc>
      </w:tr>
      <w:tr w:rsidR="004F0243" w14:paraId="0C5B9D24" w14:textId="77777777">
        <w:tblPrEx>
          <w:tblCellMar>
            <w:top w:w="0" w:type="dxa"/>
            <w:bottom w:w="0" w:type="dxa"/>
          </w:tblCellMar>
        </w:tblPrEx>
        <w:tc>
          <w:tcPr>
            <w:tcW w:w="2800" w:type="dxa"/>
            <w:tcMar>
              <w:top w:w="90" w:type="dxa"/>
              <w:left w:w="110" w:type="dxa"/>
              <w:bottom w:w="90" w:type="dxa"/>
              <w:right w:w="110" w:type="dxa"/>
            </w:tcMar>
          </w:tcPr>
          <w:p w14:paraId="3BCD00AE" w14:textId="77777777" w:rsidR="004F0243" w:rsidRDefault="00000000">
            <w:r>
              <w:rPr>
                <w:sz w:val="18"/>
                <w:szCs w:val="18"/>
              </w:rPr>
              <w:t>Comparison Core</w:t>
            </w:r>
          </w:p>
        </w:tc>
        <w:tc>
          <w:tcPr>
            <w:tcW w:w="6550" w:type="dxa"/>
            <w:tcMar>
              <w:top w:w="90" w:type="dxa"/>
              <w:left w:w="110" w:type="dxa"/>
              <w:bottom w:w="90" w:type="dxa"/>
              <w:right w:w="110" w:type="dxa"/>
            </w:tcMar>
          </w:tcPr>
          <w:p w14:paraId="429FED33" w14:textId="77777777" w:rsidR="004F0243" w:rsidRDefault="00000000">
            <w:r>
              <w:rPr>
                <w:sz w:val="18"/>
                <w:szCs w:val="18"/>
              </w:rPr>
              <w:t>Products, packs, canonical quantities, normalised unit cost, current baseline, annual saving.</w:t>
            </w:r>
          </w:p>
        </w:tc>
      </w:tr>
      <w:tr w:rsidR="004F0243" w14:paraId="4AA6C00C" w14:textId="77777777">
        <w:tblPrEx>
          <w:tblCellMar>
            <w:top w:w="0" w:type="dxa"/>
            <w:bottom w:w="0" w:type="dxa"/>
          </w:tblCellMar>
        </w:tblPrEx>
        <w:tc>
          <w:tcPr>
            <w:tcW w:w="2800" w:type="dxa"/>
            <w:tcMar>
              <w:top w:w="90" w:type="dxa"/>
              <w:left w:w="110" w:type="dxa"/>
              <w:bottom w:w="90" w:type="dxa"/>
              <w:right w:w="110" w:type="dxa"/>
            </w:tcMar>
          </w:tcPr>
          <w:p w14:paraId="31A818DD" w14:textId="77777777" w:rsidR="004F0243" w:rsidRDefault="00000000">
            <w:r>
              <w:rPr>
                <w:sz w:val="18"/>
                <w:szCs w:val="18"/>
              </w:rPr>
              <w:t>Item Knowledge</w:t>
            </w:r>
          </w:p>
        </w:tc>
        <w:tc>
          <w:tcPr>
            <w:tcW w:w="6550" w:type="dxa"/>
            <w:tcMar>
              <w:top w:w="90" w:type="dxa"/>
              <w:left w:w="110" w:type="dxa"/>
              <w:bottom w:w="90" w:type="dxa"/>
              <w:right w:w="110" w:type="dxa"/>
            </w:tcMar>
          </w:tcPr>
          <w:p w14:paraId="18CEA543" w14:textId="77777777" w:rsidR="004F0243" w:rsidRDefault="00000000">
            <w:r>
              <w:rPr>
                <w:sz w:val="18"/>
                <w:szCs w:val="18"/>
              </w:rPr>
              <w:t>Remembered verified items and supplier-specific identities.</w:t>
            </w:r>
          </w:p>
        </w:tc>
      </w:tr>
      <w:tr w:rsidR="004F0243" w14:paraId="5CD4FC64" w14:textId="77777777">
        <w:tblPrEx>
          <w:tblCellMar>
            <w:top w:w="0" w:type="dxa"/>
            <w:bottom w:w="0" w:type="dxa"/>
          </w:tblCellMar>
        </w:tblPrEx>
        <w:tc>
          <w:tcPr>
            <w:tcW w:w="2800" w:type="dxa"/>
            <w:tcMar>
              <w:top w:w="90" w:type="dxa"/>
              <w:left w:w="110" w:type="dxa"/>
              <w:bottom w:w="90" w:type="dxa"/>
              <w:right w:w="110" w:type="dxa"/>
            </w:tcMar>
          </w:tcPr>
          <w:p w14:paraId="7A227BD9" w14:textId="77777777" w:rsidR="004F0243" w:rsidRDefault="00000000">
            <w:r>
              <w:rPr>
                <w:sz w:val="18"/>
                <w:szCs w:val="18"/>
              </w:rPr>
              <w:t>Procurement Insights</w:t>
            </w:r>
          </w:p>
        </w:tc>
        <w:tc>
          <w:tcPr>
            <w:tcW w:w="6550" w:type="dxa"/>
            <w:tcMar>
              <w:top w:w="90" w:type="dxa"/>
              <w:left w:w="110" w:type="dxa"/>
              <w:bottom w:w="90" w:type="dxa"/>
              <w:right w:w="110" w:type="dxa"/>
            </w:tcMar>
          </w:tcPr>
          <w:p w14:paraId="17F63ED4" w14:textId="77777777" w:rsidR="004F0243" w:rsidRDefault="00000000">
            <w:r>
              <w:rPr>
                <w:sz w:val="18"/>
                <w:szCs w:val="18"/>
              </w:rPr>
              <w:t>Savings concentration, price pressure, alerts, supplier strategy.</w:t>
            </w:r>
          </w:p>
        </w:tc>
      </w:tr>
      <w:tr w:rsidR="004F0243" w14:paraId="5AA9DE75" w14:textId="77777777">
        <w:tblPrEx>
          <w:tblCellMar>
            <w:top w:w="0" w:type="dxa"/>
            <w:bottom w:w="0" w:type="dxa"/>
          </w:tblCellMar>
        </w:tblPrEx>
        <w:tc>
          <w:tcPr>
            <w:tcW w:w="2800" w:type="dxa"/>
            <w:tcMar>
              <w:top w:w="90" w:type="dxa"/>
              <w:left w:w="110" w:type="dxa"/>
              <w:bottom w:w="90" w:type="dxa"/>
              <w:right w:w="110" w:type="dxa"/>
            </w:tcMar>
          </w:tcPr>
          <w:p w14:paraId="71E37D10" w14:textId="77777777" w:rsidR="004F0243" w:rsidRDefault="00000000">
            <w:r>
              <w:rPr>
                <w:sz w:val="18"/>
                <w:szCs w:val="18"/>
              </w:rPr>
              <w:t>Recipe / Menu Costing</w:t>
            </w:r>
          </w:p>
        </w:tc>
        <w:tc>
          <w:tcPr>
            <w:tcW w:w="6550" w:type="dxa"/>
            <w:tcMar>
              <w:top w:w="90" w:type="dxa"/>
              <w:left w:w="110" w:type="dxa"/>
              <w:bottom w:w="90" w:type="dxa"/>
              <w:right w:w="110" w:type="dxa"/>
            </w:tcMar>
          </w:tcPr>
          <w:p w14:paraId="3F41CEDE" w14:textId="77777777" w:rsidR="004F0243" w:rsidRDefault="00000000">
            <w:r>
              <w:rPr>
                <w:sz w:val="18"/>
                <w:szCs w:val="18"/>
              </w:rPr>
              <w:t>Ingredient usage and per-dish economics.</w:t>
            </w:r>
          </w:p>
        </w:tc>
      </w:tr>
    </w:tbl>
    <w:p w14:paraId="41C8171B" w14:textId="77777777" w:rsidR="004F0243" w:rsidRDefault="00000000">
      <w:pPr>
        <w:spacing w:before="80"/>
      </w:pPr>
      <w:r>
        <w:t>Architectural direction only — the current prototype remains intentionally simple.</w:t>
      </w:r>
    </w:p>
    <w:p w14:paraId="342B302A" w14:textId="77777777" w:rsidR="004F0243" w:rsidRDefault="00000000">
      <w:pPr>
        <w:pStyle w:val="Heading1"/>
      </w:pPr>
      <w:r>
        <w:t>11. Category Expansion</w:t>
      </w:r>
    </w:p>
    <w:p w14:paraId="77E38E6D" w14:textId="77777777" w:rsidR="004F0243" w:rsidRDefault="00000000">
      <w:pPr>
        <w:shd w:val="clear" w:color="auto" w:fill="F6EADA"/>
        <w:spacing w:after="100"/>
      </w:pPr>
      <w:r>
        <w:rPr>
          <w:b/>
          <w:bCs/>
          <w:color w:val="B9772C"/>
          <w:sz w:val="16"/>
          <w:szCs w:val="16"/>
        </w:rPr>
        <w:t xml:space="preserve"> USAGE-LED </w:t>
      </w:r>
    </w:p>
    <w:p w14:paraId="6FDBDD43" w14:textId="77777777" w:rsidR="004F0243" w:rsidRDefault="00000000">
      <w:pPr>
        <w:spacing w:after="120"/>
      </w:pPr>
      <w:r>
        <w:t>The engine isn't inherently food-only. Any category with a genuinely comparable unit can fit the same model — food ingredients, beverage inputs, packaging and disposables, cleaning chemicals and consumables, paper goods, selected operating supplies.</w:t>
      </w:r>
    </w:p>
    <w:p w14:paraId="60C4424F" w14:textId="77777777" w:rsidR="004F0243" w:rsidRDefault="00000000">
      <w:pPr>
        <w:spacing w:before="80"/>
      </w:pPr>
      <w:r>
        <w:t>Boundary, unchanged: expansion should follow real venue use. The model weakens wherever “equivalent” products differ materially in quality, yield, formulation or operational effect and can't be compared honestly on unit price alone.</w:t>
      </w:r>
    </w:p>
    <w:p w14:paraId="6430AAFC" w14:textId="77777777" w:rsidR="004F0243" w:rsidRDefault="00000000">
      <w:pPr>
        <w:pStyle w:val="Heading1"/>
      </w:pPr>
      <w:r>
        <w:t>12. Commercialisation Branch</w:t>
      </w:r>
    </w:p>
    <w:p w14:paraId="3A1C8108" w14:textId="77777777" w:rsidR="004F0243" w:rsidRDefault="00000000">
      <w:pPr>
        <w:shd w:val="clear" w:color="auto" w:fill="F6EADA"/>
        <w:spacing w:after="100"/>
      </w:pPr>
      <w:r>
        <w:rPr>
          <w:b/>
          <w:bCs/>
          <w:color w:val="B9772C"/>
          <w:sz w:val="16"/>
          <w:szCs w:val="16"/>
        </w:rPr>
        <w:t xml:space="preserve"> PARKED UNTIL CHARGING </w:t>
      </w:r>
    </w:p>
    <w:p w14:paraId="728ED091" w14:textId="77777777" w:rsidR="004F0243" w:rsidRDefault="00000000">
      <w:pPr>
        <w:pStyle w:val="ListParagraph"/>
        <w:numPr>
          <w:ilvl w:val="0"/>
          <w:numId w:val="1"/>
        </w:numPr>
        <w:spacing w:after="60"/>
      </w:pPr>
      <w:r>
        <w:t>Internal venue pilot first — prove usefulness against real purchasing scenarios.</w:t>
      </w:r>
    </w:p>
    <w:p w14:paraId="6BE44182" w14:textId="77777777" w:rsidR="004F0243" w:rsidRDefault="00000000">
      <w:pPr>
        <w:pStyle w:val="ListParagraph"/>
        <w:numPr>
          <w:ilvl w:val="0"/>
          <w:numId w:val="1"/>
        </w:numPr>
        <w:spacing w:after="60"/>
      </w:pPr>
      <w:r>
        <w:t>External pilot once the workflow survives real chef / venue use.</w:t>
      </w:r>
    </w:p>
    <w:p w14:paraId="2EB21BBA" w14:textId="77777777" w:rsidR="004F0243" w:rsidRDefault="00000000">
      <w:pPr>
        <w:pStyle w:val="ListParagraph"/>
        <w:numPr>
          <w:ilvl w:val="0"/>
          <w:numId w:val="1"/>
        </w:numPr>
        <w:spacing w:after="60"/>
      </w:pPr>
      <w:r>
        <w:t>If charging begins: business structure as required, invoicing, basic customer terms, confidentiality / data boundaries, appropriate liability wording.</w:t>
      </w:r>
    </w:p>
    <w:p w14:paraId="01DE8006" w14:textId="77777777" w:rsidR="004F0243" w:rsidRDefault="00000000">
      <w:pPr>
        <w:pStyle w:val="ListParagraph"/>
        <w:numPr>
          <w:ilvl w:val="0"/>
          <w:numId w:val="1"/>
        </w:numPr>
        <w:spacing w:after="60"/>
      </w:pPr>
      <w:r>
        <w:t>Revisit company structure, insurance and larger infrastructure only once customer traction makes that complexity worthwhile.</w:t>
      </w:r>
    </w:p>
    <w:p w14:paraId="4FE2044D" w14:textId="77777777" w:rsidR="004F0243" w:rsidRDefault="00000000">
      <w:pPr>
        <w:spacing w:before="80"/>
      </w:pPr>
      <w:r>
        <w:t>Commercial positioning stays wider hospitality purchasing intelligence, but the product should keep leading with its simple cost-comparison value proposition.</w:t>
      </w:r>
    </w:p>
    <w:p w14:paraId="2CCBD891" w14:textId="77777777" w:rsidR="004F0243" w:rsidRDefault="00000000">
      <w:pPr>
        <w:pStyle w:val="Heading2"/>
        <w:spacing w:before="200" w:after="90"/>
      </w:pPr>
      <w:r>
        <w:t>A free/paid shape worth being architecturally aware of — not yet building</w:t>
      </w:r>
    </w:p>
    <w:p w14:paraId="233FEDF2" w14:textId="77777777" w:rsidR="004F0243" w:rsidRDefault="00000000">
      <w:pPr>
        <w:spacing w:after="120"/>
      </w:pPr>
      <w:r>
        <w:t>A genuine hypothesis worth recording while it's fresh, not a spec: Quick Compare (the informal, no-import, one-question-right-now calculator) as the free layer; structured multi-product import, basket analytics, and anything built on top of a persisted product catalogue as the paid layer. Recording this now is explicitly about not having to redesign anything later — it must not influence a single design decision before charging is actually being considered. No accounts, no billing, no gating logic exist or should exist yet, and nothing about the current build changes because of this note.</w:t>
      </w:r>
    </w:p>
    <w:p w14:paraId="66982A63" w14:textId="77777777" w:rsidR="004F0243" w:rsidRDefault="00000000">
      <w:pPr>
        <w:spacing w:before="80"/>
      </w:pPr>
      <w:r>
        <w:t>The boundary is natural, not artificial, which is the entire point. Quick Compare is deliberately ephemeral and single-purpose — no persistence, no basket, answers exactly one question — for pure UX reasons that were decided before monetisation ever entered the conversation. That already IS the natural free-tier edge; nothing needs to be built to create it. The alternative shape — a fully-capable tool deliberately timed or crippled to manufacture urgency — is explicitly rejected. The free layer must stay a genuinely complete, honest tool on its own terms, forever, not a trial. The split maps onto two different real moments (“I have a question right now” vs. “I want to systematically analyse a basket”), never onto withheld value inside the same moment.</w:t>
      </w:r>
    </w:p>
    <w:p w14:paraId="769F111F" w14:textId="77777777" w:rsidR="004F0243" w:rsidRDefault="00000000">
      <w:pPr>
        <w:spacing w:before="80"/>
      </w:pPr>
      <w:r>
        <w:t>The one real architectural implication, worth actually protecting: keep the calculation and trust engine (equalised cost, annual saving, Verified/Indicative confidence) completely indifferent to which entry point called it, exactly as already designed. If tiering is ever built, it should gate at the entry-point layer — which door you can walk through — never inside the shared maths itself. That engine must produce identical, equally trustworthy answers regardless of who's paying for what.</w:t>
      </w:r>
    </w:p>
    <w:p w14:paraId="4F60C773" w14:textId="77777777" w:rsidR="004F0243" w:rsidRDefault="00000000">
      <w:pPr>
        <w:spacing w:before="80"/>
      </w:pPr>
      <w:r>
        <w:t>Left genuinely open for whenever this becomes real: what the two layers are actually called, and where the (still entirely undesigned) upgrade path is surfaced. Deliberately not decided now — same discipline as the naming process below.</w:t>
      </w:r>
    </w:p>
    <w:p w14:paraId="4ED063EA" w14:textId="77777777" w:rsidR="004F0243" w:rsidRDefault="00000000">
      <w:pPr>
        <w:pStyle w:val="Heading1"/>
      </w:pPr>
      <w:r>
        <w:t>13. Brand / Naming</w:t>
      </w:r>
    </w:p>
    <w:p w14:paraId="2B95D962" w14:textId="77777777" w:rsidR="004F0243" w:rsidRDefault="00000000">
      <w:pPr>
        <w:shd w:val="clear" w:color="auto" w:fill="E4EFE7"/>
        <w:spacing w:after="100"/>
      </w:pPr>
      <w:r>
        <w:rPr>
          <w:b/>
          <w:bCs/>
          <w:color w:val="2F6F52"/>
          <w:sz w:val="16"/>
          <w:szCs w:val="16"/>
        </w:rPr>
        <w:t xml:space="preserve"> RESOLVED </w:t>
      </w:r>
    </w:p>
    <w:p w14:paraId="2EC1421E" w14:textId="77777777" w:rsidR="004F0243" w:rsidRDefault="00000000">
      <w:pPr>
        <w:spacing w:after="120"/>
      </w:pPr>
      <w:r>
        <w:t>The development name “Group Cost Normaliser” read as more robotic than the finished product. This was worked through properly, not just brainstormed: several directions were weighed against a simple bar — does the name mean something real in a working kitchen, not just sound food-adjacent.</w:t>
      </w:r>
    </w:p>
    <w:p w14:paraId="4712579C" w14:textId="77777777" w:rsidR="004F0243" w:rsidRDefault="00000000">
      <w:pPr>
        <w:pStyle w:val="ListParagraph"/>
        <w:numPr>
          <w:ilvl w:val="0"/>
          <w:numId w:val="1"/>
        </w:numPr>
        <w:spacing w:after="60"/>
      </w:pPr>
      <w:r>
        <w:t>The Pass — the checkpoint where nothing leaves the kitchen unconfirmed. Closest fit to the Verified/Indicative trust model, but ultimately not the one chosen.</w:t>
      </w:r>
    </w:p>
    <w:p w14:paraId="25B7C5EE" w14:textId="77777777" w:rsidR="004F0243" w:rsidRDefault="00000000">
      <w:pPr>
        <w:pStyle w:val="ListParagraph"/>
        <w:numPr>
          <w:ilvl w:val="0"/>
          <w:numId w:val="1"/>
        </w:numPr>
        <w:spacing w:after="60"/>
      </w:pPr>
      <w:r>
        <w:t>Par, The Larder — also considered; quieter, more custodial framings.</w:t>
      </w:r>
    </w:p>
    <w:p w14:paraId="1630EF2A" w14:textId="77777777" w:rsidR="004F0243" w:rsidRDefault="00000000">
      <w:pPr>
        <w:pStyle w:val="ListParagraph"/>
        <w:numPr>
          <w:ilvl w:val="0"/>
          <w:numId w:val="1"/>
        </w:numPr>
        <w:spacing w:after="60"/>
      </w:pPr>
      <w:r>
        <w:t>The Yield — chosen. A yield test is the real kitchen practice of finding what an ingredient actually costs once packaging and waste are stripped away — the exact thing this tool does at the SKU level. It also carries a second, unforced meaning: a yield is a return, the same word a bookkeeper would use.</w:t>
      </w:r>
    </w:p>
    <w:p w14:paraId="6E53DE78" w14:textId="77777777" w:rsidR="004F0243" w:rsidRDefault="00000000">
      <w:pPr>
        <w:spacing w:before="80"/>
      </w:pPr>
      <w:r>
        <w:t>Now live throughout the product, the doctrine, and this document. A handful of rough logo directions were sketched (a wheat sheaf, a narrowing “true measure” funnel shape, a Y-as-fork monogram, a badge combining The Yield with The Pass) — “true measure” was the preferred direction. The actual mark hasn't been finalised; the sidebar currently carries the wordmark alone. That's the one piece of this section still genuinely open.</w:t>
      </w:r>
    </w:p>
    <w:p w14:paraId="228A94FC" w14:textId="77777777" w:rsidR="004F0243" w:rsidRDefault="00000000">
      <w:pPr>
        <w:pStyle w:val="Heading1"/>
      </w:pPr>
      <w:r>
        <w:t>14. Things Deliberately Not to Rush</w:t>
      </w:r>
    </w:p>
    <w:p w14:paraId="398256E6" w14:textId="77777777" w:rsidR="004F0243" w:rsidRDefault="00000000">
      <w:pPr>
        <w:pStyle w:val="ListParagraph"/>
        <w:numPr>
          <w:ilvl w:val="0"/>
          <w:numId w:val="1"/>
        </w:numPr>
        <w:spacing w:after="60"/>
      </w:pPr>
      <w:r>
        <w:t>Don't build dashboards merely because the data exists.</w:t>
      </w:r>
    </w:p>
    <w:p w14:paraId="584C76BE" w14:textId="77777777" w:rsidR="004F0243" w:rsidRDefault="00000000">
      <w:pPr>
        <w:pStyle w:val="ListParagraph"/>
        <w:numPr>
          <w:ilvl w:val="0"/>
          <w:numId w:val="1"/>
        </w:numPr>
        <w:spacing w:after="60"/>
      </w:pPr>
      <w:r>
        <w:t>Don't introduce AI matching before repeated manual correction proves it would save meaningful work.</w:t>
      </w:r>
    </w:p>
    <w:p w14:paraId="087431EA" w14:textId="77777777" w:rsidR="004F0243" w:rsidRDefault="00000000">
      <w:pPr>
        <w:pStyle w:val="ListParagraph"/>
        <w:numPr>
          <w:ilvl w:val="0"/>
          <w:numId w:val="1"/>
        </w:numPr>
        <w:spacing w:after="60"/>
      </w:pPr>
      <w:r>
        <w:t>Don't turn recipe costing into a second manual-maintenance burden for chefs.</w:t>
      </w:r>
    </w:p>
    <w:p w14:paraId="6CAB9E25" w14:textId="77777777" w:rsidR="004F0243" w:rsidRDefault="00000000">
      <w:pPr>
        <w:pStyle w:val="ListParagraph"/>
        <w:numPr>
          <w:ilvl w:val="0"/>
          <w:numId w:val="1"/>
        </w:numPr>
        <w:spacing w:after="60"/>
      </w:pPr>
      <w:r>
        <w:t>Don't infer price trends without historical evidence.</w:t>
      </w:r>
    </w:p>
    <w:p w14:paraId="0EDEDDDE" w14:textId="77777777" w:rsidR="004F0243" w:rsidRDefault="00000000">
      <w:pPr>
        <w:pStyle w:val="ListParagraph"/>
        <w:numPr>
          <w:ilvl w:val="0"/>
          <w:numId w:val="1"/>
        </w:numPr>
        <w:spacing w:after="60"/>
      </w:pPr>
      <w:r>
        <w:t>Don't treat identical broad categories as proof that products are truly substitutable.</w:t>
      </w:r>
    </w:p>
    <w:p w14:paraId="16F23AD5" w14:textId="77777777" w:rsidR="004F0243" w:rsidRDefault="00000000">
      <w:pPr>
        <w:pStyle w:val="ListParagraph"/>
        <w:numPr>
          <w:ilvl w:val="0"/>
          <w:numId w:val="1"/>
        </w:numPr>
        <w:spacing w:after="60"/>
      </w:pPr>
      <w:r>
        <w:t>Don't let supplier-strategy sophistication obscure the simple question: what is the genuine like-for-like cost, and the annual difference?</w:t>
      </w:r>
    </w:p>
    <w:p w14:paraId="65C7C529" w14:textId="77777777" w:rsidR="004F0243" w:rsidRDefault="00000000">
      <w:pPr>
        <w:pStyle w:val="ListParagraph"/>
        <w:numPr>
          <w:ilvl w:val="0"/>
          <w:numId w:val="1"/>
        </w:numPr>
        <w:spacing w:after="60"/>
      </w:pPr>
      <w:r>
        <w:t>Don't commercialise the architecture prematurely simply because the prototype works.</w:t>
      </w:r>
    </w:p>
    <w:p w14:paraId="3BE3902F" w14:textId="77777777" w:rsidR="004F0243" w:rsidRDefault="00000000">
      <w:pPr>
        <w:pStyle w:val="Heading1"/>
      </w:pPr>
      <w:r>
        <w:t>15. Re-Entry Gates</w:t>
      </w:r>
    </w:p>
    <w:p w14:paraId="241F3032" w14:textId="77777777" w:rsidR="004F0243" w:rsidRDefault="00000000">
      <w:pPr>
        <w:spacing w:after="120"/>
      </w:pPr>
      <w:r>
        <w:t>A parked idea returns only when real use produces a repeated signal — never because it would be interesting to build:</w:t>
      </w:r>
    </w:p>
    <w:tbl>
      <w:tblPr>
        <w:tblW w:w="9350" w:type="dxa"/>
        <w:tblInd w:w="-3" w:type="dxa"/>
        <w:tblBorders>
          <w:top w:val="single" w:sz="4" w:space="0" w:color="D8DACF"/>
          <w:left w:val="single" w:sz="4" w:space="0" w:color="D8DACF"/>
          <w:bottom w:val="single" w:sz="4" w:space="0" w:color="D8DACF"/>
          <w:right w:val="single" w:sz="4" w:space="0" w:color="D8DACF"/>
          <w:insideH w:val="single" w:sz="2" w:space="0" w:color="D8DACF"/>
          <w:insideV w:val="single" w:sz="2" w:space="0" w:color="D8DACF"/>
        </w:tblBorders>
        <w:tblCellMar>
          <w:left w:w="10" w:type="dxa"/>
          <w:right w:w="10" w:type="dxa"/>
        </w:tblCellMar>
        <w:tblLook w:val="0000" w:firstRow="0" w:lastRow="0" w:firstColumn="0" w:lastColumn="0" w:noHBand="0" w:noVBand="0"/>
      </w:tblPr>
      <w:tblGrid>
        <w:gridCol w:w="4200"/>
        <w:gridCol w:w="5150"/>
      </w:tblGrid>
      <w:tr w:rsidR="004F0243" w14:paraId="31365766" w14:textId="77777777">
        <w:tblPrEx>
          <w:tblCellMar>
            <w:top w:w="0" w:type="dxa"/>
            <w:bottom w:w="0" w:type="dxa"/>
          </w:tblCellMar>
        </w:tblPrEx>
        <w:trPr>
          <w:tblHeader/>
        </w:trPr>
        <w:tc>
          <w:tcPr>
            <w:tcW w:w="4200" w:type="dxa"/>
            <w:shd w:val="clear" w:color="auto" w:fill="F6F6F1"/>
            <w:tcMar>
              <w:top w:w="90" w:type="dxa"/>
              <w:left w:w="110" w:type="dxa"/>
              <w:bottom w:w="90" w:type="dxa"/>
              <w:right w:w="110" w:type="dxa"/>
            </w:tcMar>
          </w:tcPr>
          <w:p w14:paraId="5B88AED3" w14:textId="77777777" w:rsidR="004F0243" w:rsidRDefault="00000000">
            <w:r>
              <w:rPr>
                <w:b/>
                <w:bCs/>
                <w:color w:val="1B2420"/>
                <w:sz w:val="18"/>
                <w:szCs w:val="18"/>
              </w:rPr>
              <w:t>Real-world signal</w:t>
            </w:r>
          </w:p>
        </w:tc>
        <w:tc>
          <w:tcPr>
            <w:tcW w:w="5150" w:type="dxa"/>
            <w:shd w:val="clear" w:color="auto" w:fill="F6F6F1"/>
            <w:tcMar>
              <w:top w:w="90" w:type="dxa"/>
              <w:left w:w="110" w:type="dxa"/>
              <w:bottom w:w="90" w:type="dxa"/>
              <w:right w:w="110" w:type="dxa"/>
            </w:tcMar>
          </w:tcPr>
          <w:p w14:paraId="25A7CB7E" w14:textId="77777777" w:rsidR="004F0243" w:rsidRDefault="00000000">
            <w:r>
              <w:rPr>
                <w:b/>
                <w:bCs/>
                <w:color w:val="1B2420"/>
                <w:sz w:val="18"/>
                <w:szCs w:val="18"/>
              </w:rPr>
              <w:t>Branch it activates</w:t>
            </w:r>
          </w:p>
        </w:tc>
      </w:tr>
      <w:tr w:rsidR="004F0243" w14:paraId="3954095E" w14:textId="77777777">
        <w:tblPrEx>
          <w:tblCellMar>
            <w:top w:w="0" w:type="dxa"/>
            <w:bottom w:w="0" w:type="dxa"/>
          </w:tblCellMar>
        </w:tblPrEx>
        <w:tc>
          <w:tcPr>
            <w:tcW w:w="4200" w:type="dxa"/>
            <w:tcMar>
              <w:top w:w="90" w:type="dxa"/>
              <w:left w:w="110" w:type="dxa"/>
              <w:bottom w:w="90" w:type="dxa"/>
              <w:right w:w="110" w:type="dxa"/>
            </w:tcMar>
          </w:tcPr>
          <w:p w14:paraId="0CC3A77E" w14:textId="77777777" w:rsidR="004F0243" w:rsidRDefault="00000000">
            <w:r>
              <w:rPr>
                <w:sz w:val="18"/>
                <w:szCs w:val="18"/>
              </w:rPr>
              <w:t>“I keep correcting the same product.”</w:t>
            </w:r>
          </w:p>
        </w:tc>
        <w:tc>
          <w:tcPr>
            <w:tcW w:w="5150" w:type="dxa"/>
            <w:tcMar>
              <w:top w:w="90" w:type="dxa"/>
              <w:left w:w="110" w:type="dxa"/>
              <w:bottom w:w="90" w:type="dxa"/>
              <w:right w:w="110" w:type="dxa"/>
            </w:tcMar>
          </w:tcPr>
          <w:p w14:paraId="48FD5288" w14:textId="77777777" w:rsidR="004F0243" w:rsidRDefault="00000000">
            <w:r>
              <w:rPr>
                <w:sz w:val="18"/>
                <w:szCs w:val="18"/>
              </w:rPr>
              <w:t>Item Intelligence (fuzzy-match half)</w:t>
            </w:r>
          </w:p>
        </w:tc>
      </w:tr>
      <w:tr w:rsidR="004F0243" w14:paraId="153CC8FC" w14:textId="77777777">
        <w:tblPrEx>
          <w:tblCellMar>
            <w:top w:w="0" w:type="dxa"/>
            <w:bottom w:w="0" w:type="dxa"/>
          </w:tblCellMar>
        </w:tblPrEx>
        <w:tc>
          <w:tcPr>
            <w:tcW w:w="4200" w:type="dxa"/>
            <w:tcMar>
              <w:top w:w="90" w:type="dxa"/>
              <w:left w:w="110" w:type="dxa"/>
              <w:bottom w:w="90" w:type="dxa"/>
              <w:right w:w="110" w:type="dxa"/>
            </w:tcMar>
          </w:tcPr>
          <w:p w14:paraId="67F82C72" w14:textId="77777777" w:rsidR="004F0243" w:rsidRDefault="00000000">
            <w:r>
              <w:rPr>
                <w:sz w:val="18"/>
                <w:szCs w:val="18"/>
              </w:rPr>
              <w:t>“Entering Qty for every group is annoying.”</w:t>
            </w:r>
          </w:p>
        </w:tc>
        <w:tc>
          <w:tcPr>
            <w:tcW w:w="5150" w:type="dxa"/>
            <w:tcMar>
              <w:top w:w="90" w:type="dxa"/>
              <w:left w:w="110" w:type="dxa"/>
              <w:bottom w:w="90" w:type="dxa"/>
              <w:right w:w="110" w:type="dxa"/>
            </w:tcMar>
          </w:tcPr>
          <w:p w14:paraId="36CDEE53" w14:textId="77777777" w:rsidR="004F0243" w:rsidRDefault="00000000">
            <w:r>
              <w:rPr>
                <w:sz w:val="18"/>
                <w:szCs w:val="18"/>
              </w:rPr>
              <w:t>Import Automation (period-usage half)</w:t>
            </w:r>
          </w:p>
        </w:tc>
      </w:tr>
      <w:tr w:rsidR="004F0243" w14:paraId="687B03E4" w14:textId="77777777">
        <w:tblPrEx>
          <w:tblCellMar>
            <w:top w:w="0" w:type="dxa"/>
            <w:bottom w:w="0" w:type="dxa"/>
          </w:tblCellMar>
        </w:tblPrEx>
        <w:tc>
          <w:tcPr>
            <w:tcW w:w="4200" w:type="dxa"/>
            <w:tcMar>
              <w:top w:w="90" w:type="dxa"/>
              <w:left w:w="110" w:type="dxa"/>
              <w:bottom w:w="90" w:type="dxa"/>
              <w:right w:w="110" w:type="dxa"/>
            </w:tcMar>
          </w:tcPr>
          <w:p w14:paraId="57F7356D" w14:textId="77777777" w:rsidR="004F0243" w:rsidRDefault="00000000">
            <w:r>
              <w:rPr>
                <w:sz w:val="18"/>
                <w:szCs w:val="18"/>
              </w:rPr>
              <w:t>“Where is most of this opportunity coming from?”</w:t>
            </w:r>
          </w:p>
        </w:tc>
        <w:tc>
          <w:tcPr>
            <w:tcW w:w="5150" w:type="dxa"/>
            <w:tcMar>
              <w:top w:w="90" w:type="dxa"/>
              <w:left w:w="110" w:type="dxa"/>
              <w:bottom w:w="90" w:type="dxa"/>
              <w:right w:w="110" w:type="dxa"/>
            </w:tcMar>
          </w:tcPr>
          <w:p w14:paraId="41C9742F" w14:textId="77777777" w:rsidR="004F0243" w:rsidRDefault="00000000">
            <w:r>
              <w:rPr>
                <w:sz w:val="18"/>
                <w:szCs w:val="18"/>
              </w:rPr>
              <w:t>Savings Intelligence</w:t>
            </w:r>
          </w:p>
        </w:tc>
      </w:tr>
      <w:tr w:rsidR="004F0243" w14:paraId="73703A95" w14:textId="77777777">
        <w:tblPrEx>
          <w:tblCellMar>
            <w:top w:w="0" w:type="dxa"/>
            <w:bottom w:w="0" w:type="dxa"/>
          </w:tblCellMar>
        </w:tblPrEx>
        <w:tc>
          <w:tcPr>
            <w:tcW w:w="4200" w:type="dxa"/>
            <w:tcMar>
              <w:top w:w="90" w:type="dxa"/>
              <w:left w:w="110" w:type="dxa"/>
              <w:bottom w:w="90" w:type="dxa"/>
              <w:right w:w="110" w:type="dxa"/>
            </w:tcMar>
          </w:tcPr>
          <w:p w14:paraId="52513358" w14:textId="77777777" w:rsidR="004F0243" w:rsidRDefault="00000000">
            <w:r>
              <w:rPr>
                <w:sz w:val="18"/>
                <w:szCs w:val="18"/>
              </w:rPr>
              <w:t>“Did this ingredient just get materially more expensive?”</w:t>
            </w:r>
          </w:p>
        </w:tc>
        <w:tc>
          <w:tcPr>
            <w:tcW w:w="5150" w:type="dxa"/>
            <w:tcMar>
              <w:top w:w="90" w:type="dxa"/>
              <w:left w:w="110" w:type="dxa"/>
              <w:bottom w:w="90" w:type="dxa"/>
              <w:right w:w="110" w:type="dxa"/>
            </w:tcMar>
          </w:tcPr>
          <w:p w14:paraId="102B97EE" w14:textId="77777777" w:rsidR="004F0243" w:rsidRDefault="00000000">
            <w:r>
              <w:rPr>
                <w:sz w:val="18"/>
                <w:szCs w:val="18"/>
              </w:rPr>
              <w:t>Price Watch / Cost Pressure</w:t>
            </w:r>
          </w:p>
        </w:tc>
      </w:tr>
      <w:tr w:rsidR="004F0243" w14:paraId="3A38BCC0" w14:textId="77777777">
        <w:tblPrEx>
          <w:tblCellMar>
            <w:top w:w="0" w:type="dxa"/>
            <w:bottom w:w="0" w:type="dxa"/>
          </w:tblCellMar>
        </w:tblPrEx>
        <w:tc>
          <w:tcPr>
            <w:tcW w:w="4200" w:type="dxa"/>
            <w:tcMar>
              <w:top w:w="90" w:type="dxa"/>
              <w:left w:w="110" w:type="dxa"/>
              <w:bottom w:w="90" w:type="dxa"/>
              <w:right w:w="110" w:type="dxa"/>
            </w:tcMar>
          </w:tcPr>
          <w:p w14:paraId="33845E04" w14:textId="77777777" w:rsidR="004F0243" w:rsidRDefault="00000000">
            <w:r>
              <w:rPr>
                <w:sz w:val="18"/>
                <w:szCs w:val="18"/>
              </w:rPr>
              <w:t>“Should I consolidate suppliers or cherry-pick?”</w:t>
            </w:r>
          </w:p>
        </w:tc>
        <w:tc>
          <w:tcPr>
            <w:tcW w:w="5150" w:type="dxa"/>
            <w:tcMar>
              <w:top w:w="90" w:type="dxa"/>
              <w:left w:w="110" w:type="dxa"/>
              <w:bottom w:w="90" w:type="dxa"/>
              <w:right w:w="110" w:type="dxa"/>
            </w:tcMar>
          </w:tcPr>
          <w:p w14:paraId="78178AE7" w14:textId="77777777" w:rsidR="004F0243" w:rsidRDefault="00000000">
            <w:r>
              <w:rPr>
                <w:sz w:val="18"/>
                <w:szCs w:val="18"/>
              </w:rPr>
              <w:t>Supplier Strategy</w:t>
            </w:r>
          </w:p>
        </w:tc>
      </w:tr>
      <w:tr w:rsidR="004F0243" w14:paraId="6510EEDC" w14:textId="77777777">
        <w:tblPrEx>
          <w:tblCellMar>
            <w:top w:w="0" w:type="dxa"/>
            <w:bottom w:w="0" w:type="dxa"/>
          </w:tblCellMar>
        </w:tblPrEx>
        <w:tc>
          <w:tcPr>
            <w:tcW w:w="4200" w:type="dxa"/>
            <w:tcMar>
              <w:top w:w="90" w:type="dxa"/>
              <w:left w:w="110" w:type="dxa"/>
              <w:bottom w:w="90" w:type="dxa"/>
              <w:right w:w="110" w:type="dxa"/>
            </w:tcMar>
          </w:tcPr>
          <w:p w14:paraId="2DADDCE8" w14:textId="77777777" w:rsidR="004F0243" w:rsidRDefault="00000000">
            <w:r>
              <w:rPr>
                <w:sz w:val="18"/>
                <w:szCs w:val="18"/>
              </w:rPr>
              <w:t>“This small difference looks tiny — does it actually matter?”</w:t>
            </w:r>
          </w:p>
        </w:tc>
        <w:tc>
          <w:tcPr>
            <w:tcW w:w="5150" w:type="dxa"/>
            <w:tcMar>
              <w:top w:w="90" w:type="dxa"/>
              <w:left w:w="110" w:type="dxa"/>
              <w:bottom w:w="90" w:type="dxa"/>
              <w:right w:w="110" w:type="dxa"/>
            </w:tcMar>
          </w:tcPr>
          <w:p w14:paraId="02006AE1" w14:textId="77777777" w:rsidR="004F0243" w:rsidRDefault="00000000">
            <w:r>
              <w:rPr>
                <w:sz w:val="18"/>
                <w:szCs w:val="18"/>
              </w:rPr>
              <w:t>Volume / Materiality</w:t>
            </w:r>
          </w:p>
        </w:tc>
      </w:tr>
      <w:tr w:rsidR="004F0243" w14:paraId="6D2B326E" w14:textId="77777777">
        <w:tblPrEx>
          <w:tblCellMar>
            <w:top w:w="0" w:type="dxa"/>
            <w:bottom w:w="0" w:type="dxa"/>
          </w:tblCellMar>
        </w:tblPrEx>
        <w:tc>
          <w:tcPr>
            <w:tcW w:w="4200" w:type="dxa"/>
            <w:tcMar>
              <w:top w:w="90" w:type="dxa"/>
              <w:left w:w="110" w:type="dxa"/>
              <w:bottom w:w="90" w:type="dxa"/>
              <w:right w:w="110" w:type="dxa"/>
            </w:tcMar>
          </w:tcPr>
          <w:p w14:paraId="55A865CF" w14:textId="77777777" w:rsidR="004F0243" w:rsidRDefault="00000000">
            <w:r>
              <w:rPr>
                <w:sz w:val="18"/>
                <w:szCs w:val="18"/>
              </w:rPr>
              <w:t>“What does this price change do to my dish cost?”</w:t>
            </w:r>
          </w:p>
        </w:tc>
        <w:tc>
          <w:tcPr>
            <w:tcW w:w="5150" w:type="dxa"/>
            <w:tcMar>
              <w:top w:w="90" w:type="dxa"/>
              <w:left w:w="110" w:type="dxa"/>
              <w:bottom w:w="90" w:type="dxa"/>
              <w:right w:w="110" w:type="dxa"/>
            </w:tcMar>
          </w:tcPr>
          <w:p w14:paraId="385698A8" w14:textId="77777777" w:rsidR="004F0243" w:rsidRDefault="00000000">
            <w:r>
              <w:rPr>
                <w:sz w:val="18"/>
                <w:szCs w:val="18"/>
              </w:rPr>
              <w:t>Recipe &amp; Menu Costing</w:t>
            </w:r>
          </w:p>
        </w:tc>
      </w:tr>
    </w:tbl>
    <w:p w14:paraId="2D3A9827" w14:textId="77777777" w:rsidR="004F0243" w:rsidRDefault="00000000">
      <w:pPr>
        <w:spacing w:before="100"/>
      </w:pPr>
      <w:r>
        <w:t>Use the tool. Let friction write the roadmap — the same discipline that moved three of these items out of “parked” and into “core” before this document was even finished.</w:t>
      </w:r>
    </w:p>
    <w:p w14:paraId="3BEBE31D" w14:textId="77777777" w:rsidR="004F0243" w:rsidRDefault="00000000">
      <w:pPr>
        <w:spacing w:before="280"/>
      </w:pPr>
      <w:r>
        <w:t>The Yield • Parked Ideas &amp; Future Branches • Revised 17 Aug 2026</w:t>
      </w:r>
    </w:p>
    <w:sectPr w:rsidR="004F024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013A5"/>
    <w:multiLevelType w:val="hybridMultilevel"/>
    <w:tmpl w:val="0E4E0634"/>
    <w:lvl w:ilvl="0" w:tplc="69381A44">
      <w:start w:val="1"/>
      <w:numFmt w:val="bullet"/>
      <w:lvlText w:val="●"/>
      <w:lvlJc w:val="left"/>
      <w:pPr>
        <w:ind w:left="720" w:hanging="360"/>
      </w:pPr>
    </w:lvl>
    <w:lvl w:ilvl="1" w:tplc="EA30EF1A">
      <w:start w:val="1"/>
      <w:numFmt w:val="bullet"/>
      <w:lvlText w:val="○"/>
      <w:lvlJc w:val="left"/>
      <w:pPr>
        <w:ind w:left="1440" w:hanging="360"/>
      </w:pPr>
    </w:lvl>
    <w:lvl w:ilvl="2" w:tplc="4648BCC6">
      <w:start w:val="1"/>
      <w:numFmt w:val="bullet"/>
      <w:lvlText w:val="■"/>
      <w:lvlJc w:val="left"/>
      <w:pPr>
        <w:ind w:left="2160" w:hanging="360"/>
      </w:pPr>
    </w:lvl>
    <w:lvl w:ilvl="3" w:tplc="9AECCBAA">
      <w:start w:val="1"/>
      <w:numFmt w:val="bullet"/>
      <w:lvlText w:val="●"/>
      <w:lvlJc w:val="left"/>
      <w:pPr>
        <w:ind w:left="2880" w:hanging="360"/>
      </w:pPr>
    </w:lvl>
    <w:lvl w:ilvl="4" w:tplc="F4AABFC4">
      <w:start w:val="1"/>
      <w:numFmt w:val="bullet"/>
      <w:lvlText w:val="○"/>
      <w:lvlJc w:val="left"/>
      <w:pPr>
        <w:ind w:left="3600" w:hanging="360"/>
      </w:pPr>
    </w:lvl>
    <w:lvl w:ilvl="5" w:tplc="66AA18A2">
      <w:start w:val="1"/>
      <w:numFmt w:val="bullet"/>
      <w:lvlText w:val="■"/>
      <w:lvlJc w:val="left"/>
      <w:pPr>
        <w:ind w:left="4320" w:hanging="360"/>
      </w:pPr>
    </w:lvl>
    <w:lvl w:ilvl="6" w:tplc="414EB306">
      <w:start w:val="1"/>
      <w:numFmt w:val="bullet"/>
      <w:lvlText w:val="●"/>
      <w:lvlJc w:val="left"/>
      <w:pPr>
        <w:ind w:left="5040" w:hanging="360"/>
      </w:pPr>
    </w:lvl>
    <w:lvl w:ilvl="7" w:tplc="95DE050E">
      <w:start w:val="1"/>
      <w:numFmt w:val="bullet"/>
      <w:lvlText w:val="●"/>
      <w:lvlJc w:val="left"/>
      <w:pPr>
        <w:ind w:left="5760" w:hanging="360"/>
      </w:pPr>
    </w:lvl>
    <w:lvl w:ilvl="8" w:tplc="4BF6A3F4">
      <w:start w:val="1"/>
      <w:numFmt w:val="bullet"/>
      <w:lvlText w:val="●"/>
      <w:lvlJc w:val="left"/>
      <w:pPr>
        <w:ind w:left="6480" w:hanging="360"/>
      </w:pPr>
    </w:lvl>
  </w:abstractNum>
  <w:num w:numId="1" w16cid:durableId="778063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243"/>
    <w:rsid w:val="001D1697"/>
    <w:rsid w:val="002B3C96"/>
    <w:rsid w:val="004F02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743C"/>
  <w15:docId w15:val="{18714966-9055-45E8-9FCE-3F2111208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2A322D"/>
        <w:sz w:val="21"/>
        <w:szCs w:val="21"/>
        <w:lang w:val="en-AU" w:eastAsia="en-AU"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2F6F52"/>
      </w:pBdr>
      <w:spacing w:before="320" w:after="140"/>
      <w:outlineLvl w:val="0"/>
    </w:pPr>
    <w:rPr>
      <w:b/>
      <w:bCs/>
      <w:color w:val="1B2420"/>
      <w:sz w:val="27"/>
      <w:szCs w:val="27"/>
    </w:rPr>
  </w:style>
  <w:style w:type="paragraph" w:styleId="Heading2">
    <w:name w:val="heading 2"/>
    <w:uiPriority w:val="9"/>
    <w:unhideWhenUsed/>
    <w:qFormat/>
    <w:pPr>
      <w:spacing w:before="160" w:after="70"/>
      <w:outlineLvl w:val="1"/>
    </w:pPr>
    <w:rPr>
      <w:b/>
      <w:bCs/>
      <w:color w:val="2F6F52"/>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2420"/>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60"/>
    </w:pPr>
    <w:rPr>
      <w:color w:val="4B564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2756</Words>
  <Characters>15715</Characters>
  <Application>Microsoft Office Word</Application>
  <DocSecurity>0</DocSecurity>
  <Lines>130</Lines>
  <Paragraphs>36</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matthews</cp:lastModifiedBy>
  <cp:revision>2</cp:revision>
  <dcterms:created xsi:type="dcterms:W3CDTF">2026-08-24T06:47:00Z</dcterms:created>
  <dcterms:modified xsi:type="dcterms:W3CDTF">2026-08-24T06:47:00Z</dcterms:modified>
</cp:coreProperties>
</file>