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The attack used on the network was a direct DoS SYN flood attack. Analyzing the Wireshark log data you can observe the IP address 203.0.113.0 sending an overwhelming amount of SYN requests in a short period of time until the web server no longer responds.</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The overwhelming amount of SYN requests received from the attacker overload the web server causing it to stop responding leaving the website unusable. Normal traffic and the employees trying to access the site will receive timeout errors as there requests can not be handled by the web server.</w:t>
            </w:r>
            <w:r w:rsidDel="00000000" w:rsidR="00000000" w:rsidRPr="00000000">
              <w:rPr>
                <w:rtl w:val="0"/>
              </w:rPr>
            </w:r>
          </w:p>
        </w:tc>
      </w:tr>
    </w:tbl>
    <w:p w:rsidR="00000000" w:rsidDel="00000000" w:rsidP="00000000" w:rsidRDefault="00000000" w:rsidRPr="00000000" w14:paraId="0000000D">
      <w:pPr>
        <w:spacing w:after="200" w:lineRule="auto"/>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