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There are a large number of people handling the bank's data and they’re marketed widely and have a fair amount of commercial accounts, which could lead to higher risk of data being compromised. Theft while having a severe impact is unlikely in a low crime area. It is located on the coast which could be related to higher risk of natural disaster disruption, but not frequently.</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