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p>
    <w:p>
      <w:pPr>
        <w:spacing w:after="60"/>
      </w:pPr>
      <w:r>
        <w:rPr>
          <w:b/>
          <w:bCs/>
          <w:color w:val="A06D14"/>
          <w:spacing w:val="60"/>
          <w:sz w:val="24"/>
          <w:szCs w:val="24"/>
        </w:rPr>
        <w:t xml:space="preserve">USER’S GUIDE</w:t>
      </w:r>
    </w:p>
    <w:p>
      <w:pPr>
        <w:pStyle w:val="Title"/>
        <w:spacing w:after="60"/>
      </w:pPr>
      <w:r>
        <w:t xml:space="preserve">Interactive Analytic Hierarchy</w:t>
      </w:r>
    </w:p>
    <w:p>
      <w:pPr>
        <w:pStyle w:val="Title"/>
        <w:spacing w:after="200"/>
      </w:pPr>
      <w:r>
        <w:t xml:space="preserve">Process </w:t>
      </w:r>
      <w:r>
        <w:rPr>
          <w:color w:val="A06D14"/>
        </w:rPr>
        <w:t xml:space="preserve">(AHP) </w:t>
      </w:r>
      <w:r>
        <w:t xml:space="preserve">Model in 3-D Space</w:t>
      </w:r>
    </w:p>
    <w:p>
      <w:pPr>
        <w:spacing w:after="60" w:line="300"/>
      </w:pPr>
      <w:r>
        <w:rPr>
          <w:color w:val="55617A"/>
          <w:sz w:val="26"/>
          <w:szCs w:val="26"/>
        </w:rPr>
        <w:t xml:space="preserve">A facilitated decision instrument. Structure the choice, weigh it by judgment, and read the trade-offs in three dimensions.</w:t>
      </w:r>
    </w:p>
    <w:p>
      <w:pPr>
        <w:spacing w:after="120"/>
      </w:pPr>
    </w:p>
    <w:p>
      <w:r>
        <w:rPr>
          <w:color w:val="A06D14"/>
          <w:sz w:val="24"/>
          <w:szCs w:val="24"/>
        </w:rPr>
        <w:t xml:space="preserve">● </w:t>
      </w:r>
      <w:r>
        <w:rPr>
          <w:color w:val="0E8C7C"/>
          <w:sz w:val="24"/>
          <w:szCs w:val="24"/>
        </w:rPr>
        <w:t xml:space="preserve">● </w:t>
      </w:r>
      <w:r>
        <w:rPr>
          <w:color w:val="5A47C8"/>
          <w:sz w:val="24"/>
          <w:szCs w:val="24"/>
        </w:rPr>
        <w:t xml:space="preserve">●</w:t>
      </w:r>
    </w:p>
    <w:p>
      <w:r>
        <w:br w:type="page"/>
      </w:r>
    </w:p>
    <w:p>
      <w:pPr>
        <w:pStyle w:val="Heading1"/>
      </w:pPr>
      <w:r>
        <w:t xml:space="preserve">What is inside</w:t>
      </w:r>
    </w:p>
    <w:p>
      <w:pPr>
        <w:spacing w:after="120" w:before="0" w:line="276"/>
      </w:pPr>
      <w:r>
        <w:rPr>
          <w:color w:val="1B2336"/>
          <w:sz w:val="22"/>
          <w:szCs w:val="22"/>
        </w:rPr>
        <w:t xml:space="preserve">This guide explains how to use the tool from start to finish. It is written for a first-time user. You do not need any background in mathematics or decision theory to follow it.</w:t>
      </w:r>
    </w:p>
    <w:p>
      <w:pPr>
        <w:spacing w:after="60"/>
      </w:pP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70"/>
              <w:left w:type="dxa" w:w="40"/>
              <w:bottom w:type="dxa" w:w="70"/>
              <w:right w:type="dxa" w:w="140"/>
            </w:tcMar>
          </w:tcPr>
          <w:p>
            <w:pPr>
              <w:spacing w:after="0" w:line="264"/>
            </w:pPr>
            <w:r>
              <w:rPr>
                <w:b/>
                <w:bCs/>
                <w:color w:val="A06D14"/>
                <w:sz w:val="20"/>
                <w:szCs w:val="20"/>
              </w:rPr>
              <w:t xml:space="preserve">01   </w:t>
            </w:r>
            <w:r>
              <w:rPr>
                <w:color w:val="1B2336"/>
                <w:sz w:val="22"/>
                <w:szCs w:val="22"/>
              </w:rPr>
              <w:t xml:space="preserve">What this tool is for</w:t>
            </w:r>
          </w:p>
        </w:tc>
        <w:tc>
          <w:tcPr>
            <w:tcW w:type="dxa" w:w="4680"/>
            <w:tcBorders>
              <w:top w:val="none"/>
              <w:left w:val="none"/>
              <w:bottom w:val="none"/>
              <w:right w:val="none"/>
            </w:tcBorders>
            <w:tcMar>
              <w:top w:type="dxa" w:w="70"/>
              <w:left w:type="dxa" w:w="40"/>
              <w:bottom w:type="dxa" w:w="70"/>
              <w:right w:type="dxa" w:w="140"/>
            </w:tcMar>
          </w:tcPr>
          <w:p>
            <w:pPr>
              <w:spacing w:after="0" w:line="264"/>
            </w:pPr>
            <w:r>
              <w:rPr>
                <w:b/>
                <w:bCs/>
                <w:color w:val="A06D14"/>
                <w:sz w:val="20"/>
                <w:szCs w:val="20"/>
              </w:rPr>
              <w:t xml:space="preserve">09   </w:t>
            </w:r>
            <w:r>
              <w:rPr>
                <w:color w:val="1B2336"/>
                <w:sz w:val="22"/>
                <w:szCs w:val="22"/>
              </w:rPr>
              <w:t xml:space="preserve">Step 4. Read the results</w:t>
            </w:r>
          </w:p>
        </w:tc>
      </w:tr>
      <w:tr>
        <w:tc>
          <w:tcPr>
            <w:tcW w:type="dxa" w:w="4680"/>
            <w:tcBorders>
              <w:top w:val="none"/>
              <w:left w:val="none"/>
              <w:bottom w:val="none"/>
              <w:right w:val="none"/>
            </w:tcBorders>
            <w:tcMar>
              <w:top w:type="dxa" w:w="70"/>
              <w:left w:type="dxa" w:w="40"/>
              <w:bottom w:type="dxa" w:w="70"/>
              <w:right w:type="dxa" w:w="140"/>
            </w:tcMar>
          </w:tcPr>
          <w:p>
            <w:pPr>
              <w:spacing w:after="0" w:line="264"/>
            </w:pPr>
            <w:r>
              <w:rPr>
                <w:b/>
                <w:bCs/>
                <w:color w:val="A06D14"/>
                <w:sz w:val="20"/>
                <w:szCs w:val="20"/>
              </w:rPr>
              <w:t xml:space="preserve">02   </w:t>
            </w:r>
            <w:r>
              <w:rPr>
                <w:color w:val="1B2336"/>
                <w:sz w:val="22"/>
                <w:szCs w:val="22"/>
              </w:rPr>
              <w:t xml:space="preserve">The idea in plain terms</w:t>
            </w:r>
          </w:p>
        </w:tc>
        <w:tc>
          <w:tcPr>
            <w:tcW w:type="dxa" w:w="4680"/>
            <w:tcBorders>
              <w:top w:val="none"/>
              <w:left w:val="none"/>
              <w:bottom w:val="none"/>
              <w:right w:val="none"/>
            </w:tcBorders>
            <w:tcMar>
              <w:top w:type="dxa" w:w="70"/>
              <w:left w:type="dxa" w:w="40"/>
              <w:bottom w:type="dxa" w:w="70"/>
              <w:right w:type="dxa" w:w="140"/>
            </w:tcMar>
          </w:tcPr>
          <w:p>
            <w:pPr>
              <w:spacing w:after="0" w:line="264"/>
            </w:pPr>
            <w:r>
              <w:rPr>
                <w:b/>
                <w:bCs/>
                <w:color w:val="A06D14"/>
                <w:sz w:val="20"/>
                <w:szCs w:val="20"/>
              </w:rPr>
              <w:t xml:space="preserve">10   </w:t>
            </w:r>
            <w:r>
              <w:rPr>
                <w:color w:val="1B2336"/>
                <w:sz w:val="22"/>
                <w:szCs w:val="22"/>
              </w:rPr>
              <w:t xml:space="preserve">The 3-D decision space</w:t>
            </w:r>
          </w:p>
        </w:tc>
      </w:tr>
      <w:tr>
        <w:tc>
          <w:tcPr>
            <w:tcW w:type="dxa" w:w="4680"/>
            <w:tcBorders>
              <w:top w:val="none"/>
              <w:left w:val="none"/>
              <w:bottom w:val="none"/>
              <w:right w:val="none"/>
            </w:tcBorders>
            <w:tcMar>
              <w:top w:type="dxa" w:w="70"/>
              <w:left w:type="dxa" w:w="40"/>
              <w:bottom w:type="dxa" w:w="70"/>
              <w:right w:type="dxa" w:w="140"/>
            </w:tcMar>
          </w:tcPr>
          <w:p>
            <w:pPr>
              <w:spacing w:after="0" w:line="264"/>
            </w:pPr>
            <w:r>
              <w:rPr>
                <w:b/>
                <w:bCs/>
                <w:color w:val="A06D14"/>
                <w:sz w:val="20"/>
                <w:szCs w:val="20"/>
              </w:rPr>
              <w:t xml:space="preserve">03   </w:t>
            </w:r>
            <w:r>
              <w:rPr>
                <w:color w:val="1B2336"/>
                <w:sz w:val="22"/>
                <w:szCs w:val="22"/>
              </w:rPr>
              <w:t xml:space="preserve">What you need to start</w:t>
            </w:r>
          </w:p>
        </w:tc>
        <w:tc>
          <w:tcPr>
            <w:tcW w:type="dxa" w:w="4680"/>
            <w:tcBorders>
              <w:top w:val="none"/>
              <w:left w:val="none"/>
              <w:bottom w:val="none"/>
              <w:right w:val="none"/>
            </w:tcBorders>
            <w:tcMar>
              <w:top w:type="dxa" w:w="70"/>
              <w:left w:type="dxa" w:w="40"/>
              <w:bottom w:type="dxa" w:w="70"/>
              <w:right w:type="dxa" w:w="140"/>
            </w:tcMar>
          </w:tcPr>
          <w:p>
            <w:pPr>
              <w:spacing w:after="0" w:line="264"/>
            </w:pPr>
            <w:r>
              <w:rPr>
                <w:b/>
                <w:bCs/>
                <w:color w:val="A06D14"/>
                <w:sz w:val="20"/>
                <w:szCs w:val="20"/>
              </w:rPr>
              <w:t xml:space="preserve">11   </w:t>
            </w:r>
            <w:r>
              <w:rPr>
                <w:color w:val="1B2336"/>
                <w:sz w:val="22"/>
                <w:szCs w:val="22"/>
              </w:rPr>
              <w:t xml:space="preserve">Stress-testing the winner</w:t>
            </w:r>
          </w:p>
        </w:tc>
      </w:tr>
      <w:tr>
        <w:tc>
          <w:tcPr>
            <w:tcW w:type="dxa" w:w="4680"/>
            <w:tcBorders>
              <w:top w:val="none"/>
              <w:left w:val="none"/>
              <w:bottom w:val="none"/>
              <w:right w:val="none"/>
            </w:tcBorders>
            <w:tcMar>
              <w:top w:type="dxa" w:w="70"/>
              <w:left w:type="dxa" w:w="40"/>
              <w:bottom w:type="dxa" w:w="70"/>
              <w:right w:type="dxa" w:w="140"/>
            </w:tcMar>
          </w:tcPr>
          <w:p>
            <w:pPr>
              <w:spacing w:after="0" w:line="264"/>
            </w:pPr>
            <w:r>
              <w:rPr>
                <w:b/>
                <w:bCs/>
                <w:color w:val="A06D14"/>
                <w:sz w:val="20"/>
                <w:szCs w:val="20"/>
              </w:rPr>
              <w:t xml:space="preserve">04   </w:t>
            </w:r>
            <w:r>
              <w:rPr>
                <w:color w:val="1B2336"/>
                <w:sz w:val="22"/>
                <w:szCs w:val="22"/>
              </w:rPr>
              <w:t xml:space="preserve">Quick start in five steps</w:t>
            </w:r>
          </w:p>
        </w:tc>
        <w:tc>
          <w:tcPr>
            <w:tcW w:type="dxa" w:w="4680"/>
            <w:tcBorders>
              <w:top w:val="none"/>
              <w:left w:val="none"/>
              <w:bottom w:val="none"/>
              <w:right w:val="none"/>
            </w:tcBorders>
            <w:tcMar>
              <w:top w:type="dxa" w:w="70"/>
              <w:left w:type="dxa" w:w="40"/>
              <w:bottom w:type="dxa" w:w="70"/>
              <w:right w:type="dxa" w:w="140"/>
            </w:tcMar>
          </w:tcPr>
          <w:p>
            <w:pPr>
              <w:spacing w:after="0" w:line="264"/>
            </w:pPr>
            <w:r>
              <w:rPr>
                <w:b/>
                <w:bCs/>
                <w:color w:val="A06D14"/>
                <w:sz w:val="20"/>
                <w:szCs w:val="20"/>
              </w:rPr>
              <w:t xml:space="preserve">12   </w:t>
            </w:r>
            <w:r>
              <w:rPr>
                <w:color w:val="1B2336"/>
                <w:sz w:val="22"/>
                <w:szCs w:val="22"/>
              </w:rPr>
              <w:t xml:space="preserve">Running a session with a group</w:t>
            </w:r>
          </w:p>
        </w:tc>
      </w:tr>
      <w:tr>
        <w:tc>
          <w:tcPr>
            <w:tcW w:type="dxa" w:w="4680"/>
            <w:tcBorders>
              <w:top w:val="none"/>
              <w:left w:val="none"/>
              <w:bottom w:val="none"/>
              <w:right w:val="none"/>
            </w:tcBorders>
            <w:tcMar>
              <w:top w:type="dxa" w:w="70"/>
              <w:left w:type="dxa" w:w="40"/>
              <w:bottom w:type="dxa" w:w="70"/>
              <w:right w:type="dxa" w:w="140"/>
            </w:tcMar>
          </w:tcPr>
          <w:p>
            <w:pPr>
              <w:spacing w:after="0" w:line="264"/>
            </w:pPr>
            <w:r>
              <w:rPr>
                <w:b/>
                <w:bCs/>
                <w:color w:val="A06D14"/>
                <w:sz w:val="20"/>
                <w:szCs w:val="20"/>
              </w:rPr>
              <w:t xml:space="preserve">05   </w:t>
            </w:r>
            <w:r>
              <w:rPr>
                <w:color w:val="1B2336"/>
                <w:sz w:val="22"/>
                <w:szCs w:val="22"/>
              </w:rPr>
              <w:t xml:space="preserve">The screen at a glance</w:t>
            </w:r>
          </w:p>
        </w:tc>
        <w:tc>
          <w:tcPr>
            <w:tcW w:type="dxa" w:w="4680"/>
            <w:tcBorders>
              <w:top w:val="none"/>
              <w:left w:val="none"/>
              <w:bottom w:val="none"/>
              <w:right w:val="none"/>
            </w:tcBorders>
            <w:tcMar>
              <w:top w:type="dxa" w:w="70"/>
              <w:left w:type="dxa" w:w="40"/>
              <w:bottom w:type="dxa" w:w="70"/>
              <w:right w:type="dxa" w:w="140"/>
            </w:tcMar>
          </w:tcPr>
          <w:p>
            <w:pPr>
              <w:spacing w:after="0" w:line="264"/>
            </w:pPr>
            <w:r>
              <w:rPr>
                <w:b/>
                <w:bCs/>
                <w:color w:val="A06D14"/>
                <w:sz w:val="20"/>
                <w:szCs w:val="20"/>
              </w:rPr>
              <w:t xml:space="preserve">13   </w:t>
            </w:r>
            <w:r>
              <w:rPr>
                <w:color w:val="1B2336"/>
                <w:sz w:val="22"/>
                <w:szCs w:val="22"/>
              </w:rPr>
              <w:t xml:space="preserve">Tips for a good result</w:t>
            </w:r>
          </w:p>
        </w:tc>
      </w:tr>
      <w:tr>
        <w:tc>
          <w:tcPr>
            <w:tcW w:type="dxa" w:w="4680"/>
            <w:tcBorders>
              <w:top w:val="none"/>
              <w:left w:val="none"/>
              <w:bottom w:val="none"/>
              <w:right w:val="none"/>
            </w:tcBorders>
            <w:tcMar>
              <w:top w:type="dxa" w:w="70"/>
              <w:left w:type="dxa" w:w="40"/>
              <w:bottom w:type="dxa" w:w="70"/>
              <w:right w:type="dxa" w:w="140"/>
            </w:tcMar>
          </w:tcPr>
          <w:p>
            <w:pPr>
              <w:spacing w:after="0" w:line="264"/>
            </w:pPr>
            <w:r>
              <w:rPr>
                <w:b/>
                <w:bCs/>
                <w:color w:val="A06D14"/>
                <w:sz w:val="20"/>
                <w:szCs w:val="20"/>
              </w:rPr>
              <w:t xml:space="preserve">06   </w:t>
            </w:r>
            <w:r>
              <w:rPr>
                <w:color w:val="1B2336"/>
                <w:sz w:val="22"/>
                <w:szCs w:val="22"/>
              </w:rPr>
              <w:t xml:space="preserve">Step 1. Set up the decision</w:t>
            </w:r>
          </w:p>
        </w:tc>
        <w:tc>
          <w:tcPr>
            <w:tcW w:type="dxa" w:w="4680"/>
            <w:tcBorders>
              <w:top w:val="none"/>
              <w:left w:val="none"/>
              <w:bottom w:val="none"/>
              <w:right w:val="none"/>
            </w:tcBorders>
            <w:tcMar>
              <w:top w:type="dxa" w:w="70"/>
              <w:left w:type="dxa" w:w="40"/>
              <w:bottom w:type="dxa" w:w="70"/>
              <w:right w:type="dxa" w:w="140"/>
            </w:tcMar>
          </w:tcPr>
          <w:p>
            <w:pPr>
              <w:spacing w:after="0" w:line="264"/>
            </w:pPr>
            <w:r>
              <w:rPr>
                <w:b/>
                <w:bCs/>
                <w:color w:val="A06D14"/>
                <w:sz w:val="20"/>
                <w:szCs w:val="20"/>
              </w:rPr>
              <w:t xml:space="preserve">14   </w:t>
            </w:r>
            <w:r>
              <w:rPr>
                <w:color w:val="1B2336"/>
                <w:sz w:val="22"/>
                <w:szCs w:val="22"/>
              </w:rPr>
              <w:t xml:space="preserve">Common questions and fixes</w:t>
            </w:r>
          </w:p>
        </w:tc>
      </w:tr>
      <w:tr>
        <w:tc>
          <w:tcPr>
            <w:tcW w:type="dxa" w:w="4680"/>
            <w:tcBorders>
              <w:top w:val="none"/>
              <w:left w:val="none"/>
              <w:bottom w:val="none"/>
              <w:right w:val="none"/>
            </w:tcBorders>
            <w:tcMar>
              <w:top w:type="dxa" w:w="70"/>
              <w:left w:type="dxa" w:w="40"/>
              <w:bottom w:type="dxa" w:w="70"/>
              <w:right w:type="dxa" w:w="140"/>
            </w:tcMar>
          </w:tcPr>
          <w:p>
            <w:pPr>
              <w:spacing w:after="0" w:line="264"/>
            </w:pPr>
            <w:r>
              <w:rPr>
                <w:b/>
                <w:bCs/>
                <w:color w:val="A06D14"/>
                <w:sz w:val="20"/>
                <w:szCs w:val="20"/>
              </w:rPr>
              <w:t xml:space="preserve">07   </w:t>
            </w:r>
            <w:r>
              <w:rPr>
                <w:color w:val="1B2336"/>
                <w:sz w:val="22"/>
                <w:szCs w:val="22"/>
              </w:rPr>
              <w:t xml:space="preserve">Step 2. Weigh the criteria</w:t>
            </w:r>
          </w:p>
        </w:tc>
        <w:tc>
          <w:tcPr>
            <w:tcW w:type="dxa" w:w="4680"/>
            <w:tcBorders>
              <w:top w:val="none"/>
              <w:left w:val="none"/>
              <w:bottom w:val="none"/>
              <w:right w:val="none"/>
            </w:tcBorders>
            <w:tcMar>
              <w:top w:type="dxa" w:w="70"/>
              <w:left w:type="dxa" w:w="40"/>
              <w:bottom w:type="dxa" w:w="70"/>
              <w:right w:type="dxa" w:w="140"/>
            </w:tcMar>
          </w:tcPr>
          <w:p>
            <w:pPr>
              <w:spacing w:after="0" w:line="264"/>
            </w:pPr>
            <w:r>
              <w:rPr>
                <w:b/>
                <w:bCs/>
                <w:color w:val="A06D14"/>
                <w:sz w:val="20"/>
                <w:szCs w:val="20"/>
              </w:rPr>
              <w:t xml:space="preserve">15   </w:t>
            </w:r>
            <w:r>
              <w:rPr>
                <w:color w:val="1B2336"/>
                <w:sz w:val="22"/>
                <w:szCs w:val="22"/>
              </w:rPr>
              <w:t xml:space="preserve">A short glossary</w:t>
            </w:r>
          </w:p>
        </w:tc>
      </w:tr>
      <w:tr>
        <w:tc>
          <w:tcPr>
            <w:tcW w:type="dxa" w:w="4680"/>
            <w:tcBorders>
              <w:top w:val="none"/>
              <w:left w:val="none"/>
              <w:bottom w:val="none"/>
              <w:right w:val="none"/>
            </w:tcBorders>
            <w:tcMar>
              <w:top w:type="dxa" w:w="70"/>
              <w:left w:type="dxa" w:w="40"/>
              <w:bottom w:type="dxa" w:w="70"/>
              <w:right w:type="dxa" w:w="140"/>
            </w:tcMar>
          </w:tcPr>
          <w:p>
            <w:pPr>
              <w:spacing w:after="0" w:line="264"/>
            </w:pPr>
            <w:r>
              <w:rPr>
                <w:b/>
                <w:bCs/>
                <w:color w:val="A06D14"/>
                <w:sz w:val="20"/>
                <w:szCs w:val="20"/>
              </w:rPr>
              <w:t xml:space="preserve">08   </w:t>
            </w:r>
            <w:r>
              <w:rPr>
                <w:color w:val="1B2336"/>
                <w:sz w:val="22"/>
                <w:szCs w:val="22"/>
              </w:rPr>
              <w:t xml:space="preserve">Step 3. Score the options</w:t>
            </w:r>
          </w:p>
        </w:tc>
        <w:tc>
          <w:tcPr>
            <w:tcW w:type="dxa" w:w="4680"/>
            <w:tcBorders>
              <w:top w:val="none"/>
              <w:left w:val="none"/>
              <w:bottom w:val="none"/>
              <w:right w:val="none"/>
            </w:tcBorders>
            <w:tcMar>
              <w:top w:type="dxa" w:w="70"/>
              <w:left w:type="dxa" w:w="40"/>
              <w:bottom w:type="dxa" w:w="70"/>
              <w:right w:type="dxa" w:w="140"/>
            </w:tcMar>
          </w:tcPr>
          <w:p>
            <w:pPr>
              <w:spacing w:after="0" w:line="264"/>
            </w:pPr>
            <w:r>
              <w:rPr>
                <w:b/>
                <w:bCs/>
                <w:color w:val="A06D14"/>
                <w:sz w:val="20"/>
                <w:szCs w:val="20"/>
              </w:rPr>
              <w:t xml:space="preserve">16   </w:t>
            </w:r>
            <w:r>
              <w:rPr>
                <w:color w:val="1B2336"/>
                <w:sz w:val="22"/>
                <w:szCs w:val="22"/>
              </w:rPr>
              <w:t xml:space="preserve">The whole flow on one page</w:t>
            </w:r>
          </w:p>
        </w:tc>
      </w:tr>
    </w:tbl>
    <w:p>
      <w:r>
        <w:br w:type="page"/>
      </w:r>
    </w:p>
    <w:p>
      <w:pPr>
        <w:pStyle w:val="Heading1"/>
      </w:pPr>
      <w:r>
        <w:t xml:space="preserve">What this tool is for</w:t>
      </w:r>
    </w:p>
    <w:p>
      <w:pPr>
        <w:spacing w:after="120" w:before="0" w:line="276"/>
      </w:pPr>
      <w:r>
        <w:rPr>
          <w:color w:val="1B2336"/>
          <w:sz w:val="22"/>
          <w:szCs w:val="22"/>
        </w:rPr>
        <w:t xml:space="preserve">This tool helps a person or a team make a hard choice in a clear and defensible way. You use it when you have several options and several things that matter, and no single option is best on everything. Common examples include choosing a vendor, hiring a candidate, picking a location, and deciding which project to fund first.</w:t>
      </w:r>
    </w:p>
    <w:p>
      <w:pPr>
        <w:spacing w:after="120" w:before="0" w:line="276"/>
      </w:pPr>
      <w:r>
        <w:rPr>
          <w:color w:val="1B2336"/>
          <w:sz w:val="22"/>
          <w:szCs w:val="22"/>
        </w:rPr>
        <w:t xml:space="preserve">The tool does three jobs. It breaks the decision into parts you can judge one at a time. It turns those judgments into a ranked answer. It shows you the trade-offs as a picture so you can see why the winner won.</w:t>
      </w:r>
    </w:p>
    <w:p>
      <w:pPr>
        <w:pStyle w:val="Heading1"/>
      </w:pPr>
      <w:r>
        <w:t xml:space="preserve">The idea in plain terms</w:t>
      </w:r>
    </w:p>
    <w:p>
      <w:pPr>
        <w:spacing w:after="120" w:before="0" w:line="276"/>
      </w:pPr>
      <w:r>
        <w:rPr>
          <w:color w:val="1B2336"/>
          <w:sz w:val="22"/>
          <w:szCs w:val="22"/>
        </w:rPr>
        <w:t xml:space="preserve">Comparing five options against six things that matter, all at once and in your head, is very hard. The Analytic Hierarchy Process, or AHP, makes the job easy by asking you to compare only two things at a time. You answer many small questions, and the tool does the arithmetic for you.</w:t>
      </w:r>
    </w:p>
    <w:p>
      <w:pPr>
        <w:spacing w:after="120" w:before="0" w:line="276"/>
      </w:pPr>
      <w:r>
        <w:rPr>
          <w:color w:val="1B2336"/>
          <w:sz w:val="22"/>
          <w:szCs w:val="22"/>
        </w:rPr>
        <w:t xml:space="preserve">There are two kinds of comparison. First you compare the </w:t>
      </w:r>
      <w:r>
        <w:rPr>
          <w:b/>
          <w:bCs/>
          <w:color w:val="1B2336"/>
          <w:sz w:val="22"/>
          <w:szCs w:val="22"/>
        </w:rPr>
        <w:t xml:space="preserve">criteria</w:t>
      </w:r>
      <w:r>
        <w:rPr>
          <w:color w:val="1B2336"/>
          <w:sz w:val="22"/>
          <w:szCs w:val="22"/>
        </w:rPr>
        <w:t xml:space="preserve"> against each other to decide how much each one matters. Then you compare the </w:t>
      </w:r>
      <w:r>
        <w:rPr>
          <w:b/>
          <w:bCs/>
          <w:color w:val="1B2336"/>
          <w:sz w:val="22"/>
          <w:szCs w:val="22"/>
        </w:rPr>
        <w:t xml:space="preserve">options</w:t>
      </w:r>
      <w:r>
        <w:rPr>
          <w:color w:val="1B2336"/>
          <w:sz w:val="22"/>
          <w:szCs w:val="22"/>
        </w:rPr>
        <w:t xml:space="preserve"> against each other on one criterion at a time. The tool combines all of that into a single score for each option.</w:t>
      </w:r>
    </w:p>
    <w:tbl>
      <w:tblPr>
        <w:tblW w:type="dxa" w:w="9360"/>
        <w:tblBorders>
          <w:top w:val="single" w:color="EEF1F6" w:sz="2"/>
          <w:left w:val="single" w:color="0E8C7C" w:sz="18"/>
          <w:bottom w:val="single" w:color="EEF1F6" w:sz="2"/>
          <w:right w:val="single" w:color="EEF1F6" w:sz="2"/>
          <w:insideH w:val="none"/>
          <w:insideV w:val="none"/>
        </w:tblBorders>
      </w:tblPr>
      <w:tblGrid>
        <w:gridCol w:w="9360"/>
      </w:tblGrid>
      <w:tr>
        <w:trPr>
          <w:cantSplit/>
        </w:trPr>
        <w:tc>
          <w:tcPr>
            <w:tcW w:type="dxa" w:w="9360"/>
            <w:shd w:fill="EEF1F6" w:val="clear"/>
            <w:tcMar>
              <w:top w:type="dxa" w:w="120"/>
              <w:left w:type="dxa" w:w="200"/>
              <w:bottom w:type="dxa" w:w="120"/>
              <w:right w:type="dxa" w:w="160"/>
            </w:tcMar>
          </w:tcPr>
          <w:p>
            <w:pPr>
              <w:spacing w:after="0" w:line="272"/>
            </w:pPr>
            <w:r>
              <w:rPr>
                <w:b/>
                <w:bCs/>
                <w:color w:val="0E8C7C"/>
                <w:sz w:val="22"/>
                <w:szCs w:val="22"/>
              </w:rPr>
              <w:t xml:space="preserve">For the curious.  </w:t>
            </w:r>
            <w:r>
              <w:rPr>
                <w:color w:val="1B2336"/>
                <w:sz w:val="22"/>
                <w:szCs w:val="22"/>
              </w:rPr>
              <w:t xml:space="preserve">The tool finds each set of weights from the principal eigenvector of your comparisons, and it measures how well your judgments hold together with a consistency ratio. You never have to touch the mathematics. The rest of this guide stays in plain language.</w:t>
            </w:r>
          </w:p>
        </w:tc>
      </w:tr>
    </w:tbl>
    <w:p>
      <w:pPr>
        <w:pStyle w:val="Heading1"/>
      </w:pPr>
      <w:r>
        <w:t xml:space="preserve">What you need to start</w:t>
      </w:r>
    </w:p>
    <w:p>
      <w:pPr>
        <w:pStyle w:val="ListParagraph"/>
        <w:numPr>
          <w:ilvl w:val="0"/>
          <w:numId w:val="2"/>
        </w:numPr>
        <w:spacing w:after="90" w:line="270"/>
      </w:pPr>
      <w:r>
        <w:rPr>
          <w:color w:val="1B2336"/>
          <w:sz w:val="22"/>
          <w:szCs w:val="22"/>
        </w:rPr>
        <w:t xml:space="preserve">You need a clear decision to make, stated as a single goal.</w:t>
      </w:r>
    </w:p>
    <w:p>
      <w:pPr>
        <w:pStyle w:val="ListParagraph"/>
        <w:numPr>
          <w:ilvl w:val="0"/>
          <w:numId w:val="2"/>
        </w:numPr>
        <w:spacing w:after="90" w:line="270"/>
      </w:pPr>
      <w:r>
        <w:rPr>
          <w:color w:val="1B2336"/>
          <w:sz w:val="22"/>
          <w:szCs w:val="22"/>
        </w:rPr>
        <w:t xml:space="preserve">You need the criteria that matter for that decision, which are the factors you will judge by.</w:t>
      </w:r>
    </w:p>
    <w:p>
      <w:pPr>
        <w:pStyle w:val="ListParagraph"/>
        <w:numPr>
          <w:ilvl w:val="0"/>
          <w:numId w:val="2"/>
        </w:numPr>
        <w:spacing w:after="90" w:line="270"/>
      </w:pPr>
      <w:r>
        <w:rPr>
          <w:color w:val="1B2336"/>
          <w:sz w:val="22"/>
          <w:szCs w:val="22"/>
        </w:rPr>
        <w:t xml:space="preserve">You need the options you are choosing between.</w:t>
      </w:r>
    </w:p>
    <w:p>
      <w:pPr>
        <w:pStyle w:val="ListParagraph"/>
        <w:numPr>
          <w:ilvl w:val="0"/>
          <w:numId w:val="2"/>
        </w:numPr>
        <w:spacing w:after="90" w:line="270"/>
      </w:pPr>
      <w:r>
        <w:rPr>
          <w:color w:val="1B2336"/>
          <w:sz w:val="22"/>
          <w:szCs w:val="22"/>
        </w:rPr>
        <w:t xml:space="preserve">You need the tool, which is a single web page. Open the file in any modern web browser. There is nothing to install.</w:t>
      </w:r>
    </w:p>
    <w:tbl>
      <w:tblPr>
        <w:tblW w:type="dxa" w:w="9360"/>
        <w:tblBorders>
          <w:top w:val="single" w:color="FBF3DF" w:sz="2"/>
          <w:left w:val="single" w:color="A06D14" w:sz="18"/>
          <w:bottom w:val="single" w:color="FBF3DF" w:sz="2"/>
          <w:right w:val="single" w:color="FBF3DF" w:sz="2"/>
          <w:insideH w:val="none"/>
          <w:insideV w:val="none"/>
        </w:tblBorders>
      </w:tblPr>
      <w:tblGrid>
        <w:gridCol w:w="9360"/>
      </w:tblGrid>
      <w:tr>
        <w:trPr>
          <w:cantSplit/>
        </w:trPr>
        <w:tc>
          <w:tcPr>
            <w:tcW w:type="dxa" w:w="9360"/>
            <w:shd w:fill="FBF3DF" w:val="clear"/>
            <w:tcMar>
              <w:top w:type="dxa" w:w="120"/>
              <w:left w:type="dxa" w:w="200"/>
              <w:bottom w:type="dxa" w:w="120"/>
              <w:right w:type="dxa" w:w="160"/>
            </w:tcMar>
          </w:tcPr>
          <w:p>
            <w:pPr>
              <w:spacing w:after="0" w:line="272"/>
            </w:pPr>
            <w:r>
              <w:rPr>
                <w:b/>
                <w:bCs/>
                <w:color w:val="A06D14"/>
                <w:sz w:val="22"/>
                <w:szCs w:val="22"/>
              </w:rPr>
              <w:t xml:space="preserve">Note.  </w:t>
            </w:r>
            <w:r>
              <w:rPr>
                <w:color w:val="1B2336"/>
                <w:sz w:val="22"/>
                <w:szCs w:val="22"/>
              </w:rPr>
              <w:t xml:space="preserve">The tool does not save a file. Your work stays while the page is open. If you need a record, capture the Results screen with a screenshot, or write down the criteria weights and the final ranking before you close the page.</w:t>
            </w:r>
          </w:p>
        </w:tc>
      </w:tr>
    </w:tbl>
    <w:p>
      <w:pPr>
        <w:pStyle w:val="Heading1"/>
      </w:pPr>
      <w:r>
        <w:t xml:space="preserve">Quick start in five steps</w:t>
      </w:r>
    </w:p>
    <w:p>
      <w:pPr>
        <w:spacing w:after="120" w:before="0" w:line="276"/>
      </w:pPr>
      <w:r>
        <w:rPr>
          <w:color w:val="1B2336"/>
          <w:sz w:val="22"/>
          <w:szCs w:val="22"/>
        </w:rPr>
        <w:t xml:space="preserve">If you want to begin right away, follow these five steps. Each step has its own section later in the guide with more detail.</w:t>
      </w:r>
    </w:p>
    <w:p>
      <w:pPr>
        <w:pStyle w:val="ListParagraph"/>
        <w:numPr>
          <w:ilvl w:val="0"/>
          <w:numId w:val="3"/>
        </w:numPr>
        <w:spacing w:after="110" w:line="272"/>
      </w:pPr>
      <w:r>
        <w:rPr>
          <w:color w:val="1B2336"/>
          <w:sz w:val="22"/>
          <w:szCs w:val="22"/>
        </w:rPr>
        <w:t xml:space="preserve">Open the page and go to the Structure tab. Set your goal, list your criteria, and list your options. Use a template if you want a head start.</w:t>
      </w:r>
    </w:p>
    <w:p>
      <w:pPr>
        <w:pStyle w:val="ListParagraph"/>
        <w:numPr>
          <w:ilvl w:val="0"/>
          <w:numId w:val="3"/>
        </w:numPr>
        <w:spacing w:after="110" w:line="272"/>
      </w:pPr>
      <w:r>
        <w:rPr>
          <w:color w:val="1B2336"/>
          <w:sz w:val="22"/>
          <w:szCs w:val="22"/>
        </w:rPr>
        <w:t xml:space="preserve">Go to Weigh criteria. Compare the criteria two at a time and tip the balance toward the one that matters more.</w:t>
      </w:r>
    </w:p>
    <w:p>
      <w:pPr>
        <w:pStyle w:val="ListParagraph"/>
        <w:numPr>
          <w:ilvl w:val="0"/>
          <w:numId w:val="3"/>
        </w:numPr>
        <w:spacing w:after="110" w:line="272"/>
      </w:pPr>
      <w:r>
        <w:rPr>
          <w:color w:val="1B2336"/>
          <w:sz w:val="22"/>
          <w:szCs w:val="22"/>
        </w:rPr>
        <w:t xml:space="preserve">Go to Score options. Pick one criterion and compare the options on that criterion alone. Repeat for each criterion.</w:t>
      </w:r>
    </w:p>
    <w:p>
      <w:pPr>
        <w:pStyle w:val="ListParagraph"/>
        <w:numPr>
          <w:ilvl w:val="0"/>
          <w:numId w:val="3"/>
        </w:numPr>
        <w:spacing w:after="110" w:line="272"/>
      </w:pPr>
      <w:r>
        <w:rPr>
          <w:color w:val="1B2336"/>
          <w:sz w:val="22"/>
          <w:szCs w:val="22"/>
        </w:rPr>
        <w:t xml:space="preserve">Go to Results. Read the ranking and check that the consistency readings are green.</w:t>
      </w:r>
    </w:p>
    <w:p>
      <w:pPr>
        <w:pStyle w:val="ListParagraph"/>
        <w:numPr>
          <w:ilvl w:val="0"/>
          <w:numId w:val="3"/>
        </w:numPr>
        <w:spacing w:after="110" w:line="272"/>
      </w:pPr>
      <w:r>
        <w:rPr>
          <w:color w:val="1B2336"/>
          <w:sz w:val="22"/>
          <w:szCs w:val="22"/>
        </w:rPr>
        <w:t xml:space="preserve">Drag the sensitivity sliders to test the winner, and read the 3-D space to see why it stands where it does.</w:t>
      </w:r>
    </w:p>
    <w:p>
      <w:pPr>
        <w:pStyle w:val="Heading1"/>
      </w:pPr>
      <w:r>
        <w:t xml:space="preserve">The screen at a glance</w:t>
      </w:r>
    </w:p>
    <w:p>
      <w:pPr>
        <w:spacing w:after="120" w:before="0" w:line="276"/>
      </w:pPr>
      <w:r>
        <w:rPr>
          <w:color w:val="1B2336"/>
          <w:sz w:val="22"/>
          <w:szCs w:val="22"/>
        </w:rPr>
        <w:t xml:space="preserve">The tool has six tabs along the top. The first four are the steps you work through in order. The last two hold reference material you can read at any time. A live 3-D view sits beside your work and updates as you make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0DC" w:sz="1"/>
              <w:left w:val="single" w:color="C9D0DC" w:sz="1"/>
              <w:bottom w:val="single" w:color="C9D0DC" w:sz="1"/>
              <w:right w:val="single" w:color="C9D0DC" w:sz="1"/>
            </w:tcBorders>
            <w:shd w:fill="1B2336" w:val="clear"/>
            <w:tcMar>
              <w:top w:type="dxa" w:w="70"/>
              <w:left w:type="dxa" w:w="120"/>
              <w:bottom w:type="dxa" w:w="70"/>
              <w:right w:type="dxa" w:w="120"/>
            </w:tcMar>
            <w:vAlign w:val="center"/>
          </w:tcPr>
          <w:p>
            <w:pPr>
              <w:spacing w:after="0" w:line="264"/>
              <w:jc w:val="left"/>
            </w:pPr>
            <w:r>
              <w:rPr>
                <w:b/>
                <w:bCs/>
                <w:color w:val="FFFFFF"/>
                <w:sz w:val="21"/>
                <w:szCs w:val="21"/>
              </w:rPr>
              <w:t xml:space="preserve">Tab</w:t>
            </w:r>
          </w:p>
        </w:tc>
        <w:tc>
          <w:tcPr>
            <w:tcW w:type="dxa" w:w="7160"/>
            <w:tcBorders>
              <w:top w:val="single" w:color="C9D0DC" w:sz="1"/>
              <w:left w:val="single" w:color="C9D0DC" w:sz="1"/>
              <w:bottom w:val="single" w:color="C9D0DC" w:sz="1"/>
              <w:right w:val="single" w:color="C9D0DC" w:sz="1"/>
            </w:tcBorders>
            <w:shd w:fill="1B2336" w:val="clear"/>
            <w:tcMar>
              <w:top w:type="dxa" w:w="70"/>
              <w:left w:type="dxa" w:w="120"/>
              <w:bottom w:type="dxa" w:w="70"/>
              <w:right w:type="dxa" w:w="120"/>
            </w:tcMar>
            <w:vAlign w:val="center"/>
          </w:tcPr>
          <w:p>
            <w:pPr>
              <w:spacing w:after="0" w:line="264"/>
              <w:jc w:val="left"/>
            </w:pPr>
            <w:r>
              <w:rPr>
                <w:b/>
                <w:bCs/>
                <w:color w:val="FFFFFF"/>
                <w:sz w:val="21"/>
                <w:szCs w:val="21"/>
              </w:rPr>
              <w:t xml:space="preserve">What you do there</w:t>
            </w:r>
          </w:p>
        </w:tc>
      </w:tr>
      <w:tr>
        <w:tc>
          <w:tcPr>
            <w:tcW w:type="dxa" w:w="220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bCs/>
                <w:color w:val="1B2336"/>
                <w:sz w:val="21"/>
                <w:szCs w:val="21"/>
              </w:rPr>
              <w:t xml:space="preserve">Structure</w:t>
            </w:r>
          </w:p>
        </w:tc>
        <w:tc>
          <w:tcPr>
            <w:tcW w:type="dxa" w:w="716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val="false"/>
                <w:bCs w:val="false"/>
                <w:color w:val="1B2336"/>
                <w:sz w:val="21"/>
                <w:szCs w:val="21"/>
              </w:rPr>
              <w:t xml:space="preserve">You set the goal, the criteria, and the options.</w:t>
            </w:r>
          </w:p>
        </w:tc>
      </w:tr>
      <w:tr>
        <w:tc>
          <w:tcPr>
            <w:tcW w:type="dxa" w:w="220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bCs/>
                <w:color w:val="1B2336"/>
                <w:sz w:val="21"/>
                <w:szCs w:val="21"/>
              </w:rPr>
              <w:t xml:space="preserve">Weigh criteria</w:t>
            </w:r>
          </w:p>
        </w:tc>
        <w:tc>
          <w:tcPr>
            <w:tcW w:type="dxa" w:w="716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val="false"/>
                <w:bCs w:val="false"/>
                <w:color w:val="1B2336"/>
                <w:sz w:val="21"/>
                <w:szCs w:val="21"/>
              </w:rPr>
              <w:t xml:space="preserve">You decide how much each criterion matters.</w:t>
            </w:r>
          </w:p>
        </w:tc>
      </w:tr>
      <w:tr>
        <w:tc>
          <w:tcPr>
            <w:tcW w:type="dxa" w:w="220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bCs/>
                <w:color w:val="1B2336"/>
                <w:sz w:val="21"/>
                <w:szCs w:val="21"/>
              </w:rPr>
              <w:t xml:space="preserve">Score options</w:t>
            </w:r>
          </w:p>
        </w:tc>
        <w:tc>
          <w:tcPr>
            <w:tcW w:type="dxa" w:w="716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val="false"/>
                <w:bCs w:val="false"/>
                <w:color w:val="1B2336"/>
                <w:sz w:val="21"/>
                <w:szCs w:val="21"/>
              </w:rPr>
              <w:t xml:space="preserve">You compare the options on one criterion at a time.</w:t>
            </w:r>
          </w:p>
        </w:tc>
      </w:tr>
      <w:tr>
        <w:tc>
          <w:tcPr>
            <w:tcW w:type="dxa" w:w="220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bCs/>
                <w:color w:val="1B2336"/>
                <w:sz w:val="21"/>
                <w:szCs w:val="21"/>
              </w:rPr>
              <w:t xml:space="preserve">Results</w:t>
            </w:r>
          </w:p>
        </w:tc>
        <w:tc>
          <w:tcPr>
            <w:tcW w:type="dxa" w:w="716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val="false"/>
                <w:bCs w:val="false"/>
                <w:color w:val="1B2336"/>
                <w:sz w:val="21"/>
                <w:szCs w:val="21"/>
              </w:rPr>
              <w:t xml:space="preserve">You read the ranking and check the consistency.</w:t>
            </w:r>
          </w:p>
        </w:tc>
      </w:tr>
      <w:tr>
        <w:tc>
          <w:tcPr>
            <w:tcW w:type="dxa" w:w="220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bCs/>
                <w:color w:val="1B2336"/>
                <w:sz w:val="21"/>
                <w:szCs w:val="21"/>
              </w:rPr>
              <w:t xml:space="preserve">Guide</w:t>
            </w:r>
          </w:p>
        </w:tc>
        <w:tc>
          <w:tcPr>
            <w:tcW w:type="dxa" w:w="716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val="false"/>
                <w:bCs w:val="false"/>
                <w:color w:val="1B2336"/>
                <w:sz w:val="21"/>
                <w:szCs w:val="21"/>
              </w:rPr>
              <w:t xml:space="preserve">You read the full written method inside the tool.</w:t>
            </w:r>
          </w:p>
        </w:tc>
      </w:tr>
      <w:tr>
        <w:tc>
          <w:tcPr>
            <w:tcW w:type="dxa" w:w="220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bCs/>
                <w:color w:val="1B2336"/>
                <w:sz w:val="21"/>
                <w:szCs w:val="21"/>
              </w:rPr>
              <w:t xml:space="preserve">Facilitation</w:t>
            </w:r>
          </w:p>
        </w:tc>
        <w:tc>
          <w:tcPr>
            <w:tcW w:type="dxa" w:w="716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val="false"/>
                <w:bCs w:val="false"/>
                <w:color w:val="1B2336"/>
                <w:sz w:val="21"/>
                <w:szCs w:val="21"/>
              </w:rPr>
              <w:t xml:space="preserve">You follow a script for running a group session.</w:t>
            </w:r>
          </w:p>
        </w:tc>
      </w:tr>
    </w:tbl>
    <w:p>
      <w:pPr>
        <w:pStyle w:val="Heading1"/>
      </w:pPr>
      <w:r>
        <w:t xml:space="preserve">Step 1. Set up the decision</w:t>
      </w:r>
    </w:p>
    <w:p>
      <w:pPr>
        <w:pStyle w:val="Heading2"/>
      </w:pPr>
      <w:r>
        <w:t xml:space="preserve">Choose how to begin</w:t>
      </w:r>
    </w:p>
    <w:p>
      <w:pPr>
        <w:spacing w:after="120" w:before="0" w:line="276"/>
      </w:pPr>
      <w:r>
        <w:rPr>
          <w:color w:val="1B2336"/>
          <w:sz w:val="22"/>
          <w:szCs w:val="22"/>
        </w:rPr>
        <w:t xml:space="preserve">The Structure tab gives you three ways to start, and all of them stay editable afterward.</w:t>
      </w:r>
    </w:p>
    <w:p>
      <w:pPr>
        <w:pStyle w:val="ListParagraph"/>
        <w:numPr>
          <w:ilvl w:val="0"/>
          <w:numId w:val="2"/>
        </w:numPr>
        <w:spacing w:after="90" w:line="270"/>
      </w:pPr>
      <w:r>
        <w:rPr>
          <w:b/>
          <w:bCs/>
          <w:color w:val="1B2336"/>
          <w:sz w:val="22"/>
          <w:szCs w:val="22"/>
        </w:rPr>
        <w:t xml:space="preserve">You can start from a template. </w:t>
      </w:r>
      <w:r>
        <w:rPr>
          <w:color w:val="1B2336"/>
          <w:sz w:val="22"/>
          <w:szCs w:val="22"/>
        </w:rPr>
        <w:t xml:space="preserve">Pick a common decision type and a ready-made starter loads in one click. The choices are vendor selection, hiring a candidate, choosing a location, prioritising initiatives, selecting a platform, and choosing a strategy.</w:t>
      </w:r>
    </w:p>
    <w:p>
      <w:pPr>
        <w:pStyle w:val="ListParagraph"/>
        <w:numPr>
          <w:ilvl w:val="0"/>
          <w:numId w:val="2"/>
        </w:numPr>
        <w:spacing w:after="90" w:line="270"/>
      </w:pPr>
      <w:r>
        <w:rPr>
          <w:b/>
          <w:bCs/>
          <w:color w:val="1B2336"/>
          <w:sz w:val="22"/>
          <w:szCs w:val="22"/>
        </w:rPr>
        <w:t xml:space="preserve">You can ask the assistant. </w:t>
      </w:r>
      <w:r>
        <w:rPr>
          <w:color w:val="1B2336"/>
          <w:sz w:val="22"/>
          <w:szCs w:val="22"/>
        </w:rPr>
        <w:t xml:space="preserve">Describe your decision in a sentence and the assistant proposes criteria and options for you to tick and add.</w:t>
      </w:r>
    </w:p>
    <w:p>
      <w:pPr>
        <w:pStyle w:val="ListParagraph"/>
        <w:numPr>
          <w:ilvl w:val="0"/>
          <w:numId w:val="2"/>
        </w:numPr>
        <w:spacing w:after="90" w:line="270"/>
      </w:pPr>
      <w:r>
        <w:rPr>
          <w:b/>
          <w:bCs/>
          <w:color w:val="1B2336"/>
          <w:sz w:val="22"/>
          <w:szCs w:val="22"/>
        </w:rPr>
        <w:t xml:space="preserve">You can build it by hand. </w:t>
      </w:r>
      <w:r>
        <w:rPr>
          <w:color w:val="1B2336"/>
          <w:sz w:val="22"/>
          <w:szCs w:val="22"/>
        </w:rPr>
        <w:t xml:space="preserve">Type your goal, then add, rename, and remove criteria and options as you like.</w:t>
      </w:r>
    </w:p>
    <w:tbl>
      <w:tblPr>
        <w:tblW w:type="dxa" w:w="9360"/>
        <w:tblBorders>
          <w:top w:val="single" w:color="EEF1F6" w:sz="2"/>
          <w:left w:val="single" w:color="5A47C8" w:sz="18"/>
          <w:bottom w:val="single" w:color="EEF1F6" w:sz="2"/>
          <w:right w:val="single" w:color="EEF1F6" w:sz="2"/>
          <w:insideH w:val="none"/>
          <w:insideV w:val="none"/>
        </w:tblBorders>
      </w:tblPr>
      <w:tblGrid>
        <w:gridCol w:w="9360"/>
      </w:tblGrid>
      <w:tr>
        <w:trPr>
          <w:cantSplit/>
        </w:trPr>
        <w:tc>
          <w:tcPr>
            <w:tcW w:type="dxa" w:w="9360"/>
            <w:shd w:fill="EEF1F6" w:val="clear"/>
            <w:tcMar>
              <w:top w:type="dxa" w:w="120"/>
              <w:left w:type="dxa" w:w="200"/>
              <w:bottom w:type="dxa" w:w="120"/>
              <w:right w:type="dxa" w:w="160"/>
            </w:tcMar>
          </w:tcPr>
          <w:p>
            <w:pPr>
              <w:spacing w:after="0" w:line="272"/>
            </w:pPr>
            <w:r>
              <w:rPr>
                <w:b/>
                <w:bCs/>
                <w:color w:val="5A47C8"/>
                <w:sz w:val="22"/>
                <w:szCs w:val="22"/>
              </w:rPr>
              <w:t xml:space="preserve">About the assistant.  </w:t>
            </w:r>
            <w:r>
              <w:rPr>
                <w:color w:val="1B2336"/>
                <w:sz w:val="22"/>
                <w:szCs w:val="22"/>
              </w:rPr>
              <w:t xml:space="preserve">The assistant works when the file is opened inside Claude. If you open the file straight from your computer, the assistant is not available. In that case use a template or build by hand, which always works.</w:t>
            </w:r>
          </w:p>
        </w:tc>
      </w:tr>
    </w:tbl>
    <w:p>
      <w:pPr>
        <w:pStyle w:val="Heading2"/>
      </w:pPr>
      <w:r>
        <w:t xml:space="preserve">How many criteria and options</w:t>
      </w:r>
    </w:p>
    <w:p>
      <w:pPr>
        <w:spacing w:after="120" w:before="0" w:line="276"/>
      </w:pPr>
      <w:r>
        <w:rPr>
          <w:color w:val="1B2336"/>
          <w:sz w:val="22"/>
          <w:szCs w:val="22"/>
        </w:rPr>
        <w:t xml:space="preserve">You can have between two and nine of each. For the best focus, keep each list to roughly three to seven. A long list makes the comparisons tiring and the results harder to read.</w:t>
      </w:r>
    </w:p>
    <w:p>
      <w:pPr>
        <w:pStyle w:val="Heading2"/>
      </w:pPr>
      <w:r>
        <w:t xml:space="preserve">The one rule that matters</w:t>
      </w:r>
    </w:p>
    <w:p>
      <w:pPr>
        <w:spacing w:after="120" w:before="0" w:line="276"/>
      </w:pPr>
      <w:r>
        <w:rPr>
          <w:color w:val="1B2336"/>
          <w:sz w:val="22"/>
          <w:szCs w:val="22"/>
        </w:rPr>
        <w:t xml:space="preserve">Keep your criteria independent of each other. If two criteria measure the same underlying thing, the tool counts it twice and the weights tilt without reason. If you find an overlap you cannot remove, that is a sign the decision may need a more advanced method called ANP, which the tool describes in its Guide tab.</w:t>
      </w:r>
    </w:p>
    <w:p>
      <w:pPr>
        <w:pStyle w:val="Heading1"/>
      </w:pPr>
      <w:r>
        <w:t xml:space="preserve">Step 2. Weigh the criteria</w:t>
      </w:r>
    </w:p>
    <w:p>
      <w:pPr>
        <w:spacing w:after="120" w:before="0" w:line="276"/>
      </w:pPr>
      <w:r>
        <w:rPr>
          <w:color w:val="1B2336"/>
          <w:sz w:val="22"/>
          <w:szCs w:val="22"/>
        </w:rPr>
        <w:t xml:space="preserve">On the Weigh criteria tab you decide how much each criterion matters. The tool shows a balance beam for each pair of criteria. You tip the beam toward the criterion that matters more, and you choose how strongly by how far you tip it.</w:t>
      </w:r>
    </w:p>
    <w:p>
      <w:pPr>
        <w:spacing w:after="120" w:before="0" w:line="276"/>
      </w:pPr>
      <w:r>
        <w:rPr>
          <w:color w:val="1B2336"/>
          <w:sz w:val="22"/>
          <w:szCs w:val="22"/>
        </w:rPr>
        <w:t xml:space="preserve">You are not judging the options yet. At this stage you are only deciding what the decision is about. The numbers on the beam follow a simple one-to-nine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760"/>
      </w:tblGrid>
      <w:tr>
        <w:trPr>
          <w:tblHeader/>
        </w:trPr>
        <w:tc>
          <w:tcPr>
            <w:tcW w:type="dxa" w:w="1500"/>
            <w:tcBorders>
              <w:top w:val="single" w:color="C9D0DC" w:sz="1"/>
              <w:left w:val="single" w:color="C9D0DC" w:sz="1"/>
              <w:bottom w:val="single" w:color="C9D0DC" w:sz="1"/>
              <w:right w:val="single" w:color="C9D0DC" w:sz="1"/>
            </w:tcBorders>
            <w:shd w:fill="1B2336" w:val="clear"/>
            <w:tcMar>
              <w:top w:type="dxa" w:w="70"/>
              <w:left w:type="dxa" w:w="120"/>
              <w:bottom w:type="dxa" w:w="70"/>
              <w:right w:type="dxa" w:w="120"/>
            </w:tcMar>
            <w:vAlign w:val="center"/>
          </w:tcPr>
          <w:p>
            <w:pPr>
              <w:spacing w:after="0" w:line="264"/>
              <w:jc w:val="left"/>
            </w:pPr>
            <w:r>
              <w:rPr>
                <w:b/>
                <w:bCs/>
                <w:color w:val="FFFFFF"/>
                <w:sz w:val="21"/>
                <w:szCs w:val="21"/>
              </w:rPr>
              <w:t xml:space="preserve">Tilt</w:t>
            </w:r>
          </w:p>
        </w:tc>
        <w:tc>
          <w:tcPr>
            <w:tcW w:type="dxa" w:w="2100"/>
            <w:tcBorders>
              <w:top w:val="single" w:color="C9D0DC" w:sz="1"/>
              <w:left w:val="single" w:color="C9D0DC" w:sz="1"/>
              <w:bottom w:val="single" w:color="C9D0DC" w:sz="1"/>
              <w:right w:val="single" w:color="C9D0DC" w:sz="1"/>
            </w:tcBorders>
            <w:shd w:fill="1B2336" w:val="clear"/>
            <w:tcMar>
              <w:top w:type="dxa" w:w="70"/>
              <w:left w:type="dxa" w:w="120"/>
              <w:bottom w:type="dxa" w:w="70"/>
              <w:right w:type="dxa" w:w="120"/>
            </w:tcMar>
            <w:vAlign w:val="center"/>
          </w:tcPr>
          <w:p>
            <w:pPr>
              <w:spacing w:after="0" w:line="264"/>
              <w:jc w:val="left"/>
            </w:pPr>
            <w:r>
              <w:rPr>
                <w:b/>
                <w:bCs/>
                <w:color w:val="FFFFFF"/>
                <w:sz w:val="21"/>
                <w:szCs w:val="21"/>
              </w:rPr>
              <w:t xml:space="preserve">Meaning</w:t>
            </w:r>
          </w:p>
        </w:tc>
        <w:tc>
          <w:tcPr>
            <w:tcW w:type="dxa" w:w="5760"/>
            <w:tcBorders>
              <w:top w:val="single" w:color="C9D0DC" w:sz="1"/>
              <w:left w:val="single" w:color="C9D0DC" w:sz="1"/>
              <w:bottom w:val="single" w:color="C9D0DC" w:sz="1"/>
              <w:right w:val="single" w:color="C9D0DC" w:sz="1"/>
            </w:tcBorders>
            <w:shd w:fill="1B2336" w:val="clear"/>
            <w:tcMar>
              <w:top w:type="dxa" w:w="70"/>
              <w:left w:type="dxa" w:w="120"/>
              <w:bottom w:type="dxa" w:w="70"/>
              <w:right w:type="dxa" w:w="120"/>
            </w:tcMar>
            <w:vAlign w:val="center"/>
          </w:tcPr>
          <w:p>
            <w:pPr>
              <w:spacing w:after="0" w:line="264"/>
              <w:jc w:val="left"/>
            </w:pPr>
            <w:r>
              <w:rPr>
                <w:b/>
                <w:bCs/>
                <w:color w:val="FFFFFF"/>
                <w:sz w:val="21"/>
                <w:szCs w:val="21"/>
              </w:rPr>
              <w:t xml:space="preserve">Plain reading</w:t>
            </w:r>
          </w:p>
        </w:tc>
      </w:tr>
      <w:tr>
        <w:tc>
          <w:tcPr>
            <w:tcW w:type="dxa" w:w="150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bCs/>
                <w:color w:val="1B2336"/>
                <w:sz w:val="21"/>
                <w:szCs w:val="21"/>
              </w:rPr>
              <w:t xml:space="preserve">1</w:t>
            </w:r>
          </w:p>
        </w:tc>
        <w:tc>
          <w:tcPr>
            <w:tcW w:type="dxa" w:w="210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val="false"/>
                <w:bCs w:val="false"/>
                <w:color w:val="1B2336"/>
                <w:sz w:val="21"/>
                <w:szCs w:val="21"/>
              </w:rPr>
              <w:t xml:space="preserve">Equal</w:t>
            </w:r>
          </w:p>
        </w:tc>
        <w:tc>
          <w:tcPr>
            <w:tcW w:type="dxa" w:w="576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val="false"/>
                <w:bCs w:val="false"/>
                <w:color w:val="1B2336"/>
                <w:sz w:val="21"/>
                <w:szCs w:val="21"/>
              </w:rPr>
              <w:t xml:space="preserve">The two criteria matter the same.</w:t>
            </w:r>
          </w:p>
        </w:tc>
      </w:tr>
      <w:tr>
        <w:tc>
          <w:tcPr>
            <w:tcW w:type="dxa" w:w="150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bCs/>
                <w:color w:val="1B2336"/>
                <w:sz w:val="21"/>
                <w:szCs w:val="21"/>
              </w:rPr>
              <w:t xml:space="preserve">3</w:t>
            </w:r>
          </w:p>
        </w:tc>
        <w:tc>
          <w:tcPr>
            <w:tcW w:type="dxa" w:w="210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val="false"/>
                <w:bCs w:val="false"/>
                <w:color w:val="1B2336"/>
                <w:sz w:val="21"/>
                <w:szCs w:val="21"/>
              </w:rPr>
              <w:t xml:space="preserve">Moderate</w:t>
            </w:r>
          </w:p>
        </w:tc>
        <w:tc>
          <w:tcPr>
            <w:tcW w:type="dxa" w:w="576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val="false"/>
                <w:bCs w:val="false"/>
                <w:color w:val="1B2336"/>
                <w:sz w:val="21"/>
                <w:szCs w:val="21"/>
              </w:rPr>
              <w:t xml:space="preserve">One matters a little more.</w:t>
            </w:r>
          </w:p>
        </w:tc>
      </w:tr>
      <w:tr>
        <w:tc>
          <w:tcPr>
            <w:tcW w:type="dxa" w:w="150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bCs/>
                <w:color w:val="1B2336"/>
                <w:sz w:val="21"/>
                <w:szCs w:val="21"/>
              </w:rPr>
              <w:t xml:space="preserve">5</w:t>
            </w:r>
          </w:p>
        </w:tc>
        <w:tc>
          <w:tcPr>
            <w:tcW w:type="dxa" w:w="210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val="false"/>
                <w:bCs w:val="false"/>
                <w:color w:val="1B2336"/>
                <w:sz w:val="21"/>
                <w:szCs w:val="21"/>
              </w:rPr>
              <w:t xml:space="preserve">Strong</w:t>
            </w:r>
          </w:p>
        </w:tc>
        <w:tc>
          <w:tcPr>
            <w:tcW w:type="dxa" w:w="576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val="false"/>
                <w:bCs w:val="false"/>
                <w:color w:val="1B2336"/>
                <w:sz w:val="21"/>
                <w:szCs w:val="21"/>
              </w:rPr>
              <w:t xml:space="preserve">One matters clearly more.</w:t>
            </w:r>
          </w:p>
        </w:tc>
      </w:tr>
      <w:tr>
        <w:tc>
          <w:tcPr>
            <w:tcW w:type="dxa" w:w="150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bCs/>
                <w:color w:val="1B2336"/>
                <w:sz w:val="21"/>
                <w:szCs w:val="21"/>
              </w:rPr>
              <w:t xml:space="preserve">7</w:t>
            </w:r>
          </w:p>
        </w:tc>
        <w:tc>
          <w:tcPr>
            <w:tcW w:type="dxa" w:w="210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val="false"/>
                <w:bCs w:val="false"/>
                <w:color w:val="1B2336"/>
                <w:sz w:val="21"/>
                <w:szCs w:val="21"/>
              </w:rPr>
              <w:t xml:space="preserve">Very strong</w:t>
            </w:r>
          </w:p>
        </w:tc>
        <w:tc>
          <w:tcPr>
            <w:tcW w:type="dxa" w:w="576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val="false"/>
                <w:bCs w:val="false"/>
                <w:color w:val="1B2336"/>
                <w:sz w:val="21"/>
                <w:szCs w:val="21"/>
              </w:rPr>
              <w:t xml:space="preserve">One matters much more.</w:t>
            </w:r>
          </w:p>
        </w:tc>
      </w:tr>
      <w:tr>
        <w:tc>
          <w:tcPr>
            <w:tcW w:type="dxa" w:w="150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bCs/>
                <w:color w:val="1B2336"/>
                <w:sz w:val="21"/>
                <w:szCs w:val="21"/>
              </w:rPr>
              <w:t xml:space="preserve">9</w:t>
            </w:r>
          </w:p>
        </w:tc>
        <w:tc>
          <w:tcPr>
            <w:tcW w:type="dxa" w:w="210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val="false"/>
                <w:bCs w:val="false"/>
                <w:color w:val="1B2336"/>
                <w:sz w:val="21"/>
                <w:szCs w:val="21"/>
              </w:rPr>
              <w:t xml:space="preserve">Extreme</w:t>
            </w:r>
          </w:p>
        </w:tc>
        <w:tc>
          <w:tcPr>
            <w:tcW w:type="dxa" w:w="576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val="false"/>
                <w:bCs w:val="false"/>
                <w:color w:val="1B2336"/>
                <w:sz w:val="21"/>
                <w:szCs w:val="21"/>
              </w:rPr>
              <w:t xml:space="preserve">One matters as much more as the scale allows.</w:t>
            </w:r>
          </w:p>
        </w:tc>
      </w:tr>
      <w:tr>
        <w:tc>
          <w:tcPr>
            <w:tcW w:type="dxa" w:w="150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bCs/>
                <w:color w:val="1B2336"/>
                <w:sz w:val="21"/>
                <w:szCs w:val="21"/>
              </w:rPr>
              <w:t xml:space="preserve">2, 4, 6, 8</w:t>
            </w:r>
          </w:p>
        </w:tc>
        <w:tc>
          <w:tcPr>
            <w:tcW w:type="dxa" w:w="210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val="false"/>
                <w:bCs w:val="false"/>
                <w:color w:val="1B2336"/>
                <w:sz w:val="21"/>
                <w:szCs w:val="21"/>
              </w:rPr>
              <w:t xml:space="preserve">In between</w:t>
            </w:r>
          </w:p>
        </w:tc>
        <w:tc>
          <w:tcPr>
            <w:tcW w:type="dxa" w:w="576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val="false"/>
                <w:bCs w:val="false"/>
                <w:color w:val="1B2336"/>
                <w:sz w:val="21"/>
                <w:szCs w:val="21"/>
              </w:rPr>
              <w:t xml:space="preserve">Use these for a judgment between two of the levels above.</w:t>
            </w:r>
          </w:p>
        </w:tc>
      </w:tr>
    </w:tbl>
    <w:p>
      <w:pPr>
        <w:spacing w:after="120" w:before="0" w:line="276"/>
      </w:pPr>
      <w:r>
        <w:rPr>
          <w:color w:val="1B2336"/>
          <w:sz w:val="22"/>
          <w:szCs w:val="22"/>
        </w:rPr>
        <w:t xml:space="preserve">You only set each pair once. When you tip a beam one way, the tool fills in the reverse comparison for you. Do not aim for false precision. Moderate, strong, or extreme is a judgment you can defend, and arguing over fine shades wastes time.</w:t>
      </w:r>
    </w:p>
    <w:p>
      <w:pPr>
        <w:pStyle w:val="Heading2"/>
      </w:pPr>
      <w:r>
        <w:t xml:space="preserve">Watch the consistency reading</w:t>
      </w:r>
    </w:p>
    <w:p>
      <w:pPr>
        <w:spacing w:after="120" w:before="0" w:line="276"/>
      </w:pPr>
      <w:r>
        <w:rPr>
          <w:color w:val="1B2336"/>
          <w:sz w:val="22"/>
          <w:szCs w:val="22"/>
        </w:rPr>
        <w:t xml:space="preserve">As you work, the tool checks whether your judgments hold together and shows a coloured reading. If it turns amber or red, pause and look at the comparison the tool flags, because that pair is usually where two judgments disagree. You can read more about this in Step 4.</w:t>
      </w:r>
    </w:p>
    <w:p>
      <w:pPr>
        <w:pStyle w:val="Heading1"/>
      </w:pPr>
      <w:r>
        <w:t xml:space="preserve">Step 3. Score the options</w:t>
      </w:r>
    </w:p>
    <w:p>
      <w:pPr>
        <w:spacing w:after="120" w:before="0" w:line="276"/>
      </w:pPr>
      <w:r>
        <w:rPr>
          <w:color w:val="1B2336"/>
          <w:sz w:val="22"/>
          <w:szCs w:val="22"/>
        </w:rPr>
        <w:t xml:space="preserve">On the Score options tab you compare the options against each other, one criterion at a time. Pick a criterion, compare the options on that criterion alone, then move to the next criterion. Judging through one lens at a time is what keeps the scoring honest.</w:t>
      </w:r>
    </w:p>
    <w:tbl>
      <w:tblPr>
        <w:tblW w:type="dxa" w:w="9360"/>
        <w:tblBorders>
          <w:top w:val="single" w:color="FBF3DF" w:sz="2"/>
          <w:left w:val="single" w:color="A06D14" w:sz="18"/>
          <w:bottom w:val="single" w:color="FBF3DF" w:sz="2"/>
          <w:right w:val="single" w:color="FBF3DF" w:sz="2"/>
          <w:insideH w:val="none"/>
          <w:insideV w:val="none"/>
        </w:tblBorders>
      </w:tblPr>
      <w:tblGrid>
        <w:gridCol w:w="9360"/>
      </w:tblGrid>
      <w:tr>
        <w:trPr>
          <w:cantSplit/>
        </w:trPr>
        <w:tc>
          <w:tcPr>
            <w:tcW w:type="dxa" w:w="9360"/>
            <w:shd w:fill="FBF3DF" w:val="clear"/>
            <w:tcMar>
              <w:top w:type="dxa" w:w="120"/>
              <w:left w:type="dxa" w:w="200"/>
              <w:bottom w:type="dxa" w:w="120"/>
              <w:right w:type="dxa" w:w="160"/>
            </w:tcMar>
          </w:tcPr>
          <w:p>
            <w:pPr>
              <w:spacing w:after="0" w:line="272"/>
            </w:pPr>
            <w:r>
              <w:rPr>
                <w:b/>
                <w:bCs/>
                <w:color w:val="A06D14"/>
                <w:sz w:val="22"/>
                <w:szCs w:val="22"/>
              </w:rPr>
              <w:t xml:space="preserve">Mind the direction.  </w:t>
            </w:r>
            <w:r>
              <w:rPr>
                <w:color w:val="1B2336"/>
                <w:sz w:val="22"/>
                <w:szCs w:val="22"/>
              </w:rPr>
              <w:t xml:space="preserve">Tilt toward the option you prefer on that criterion. For cost, that means tilting toward the cheaper option, because lower cost is the thing you want. The tool states this on the step so a group does not reward the wrong side by accident.</w:t>
            </w:r>
          </w:p>
        </w:tc>
      </w:tr>
    </w:tbl>
    <w:p>
      <w:pPr>
        <w:spacing w:after="120" w:before="0" w:line="276"/>
      </w:pPr>
      <w:r>
        <w:rPr>
          <w:color w:val="1B2336"/>
          <w:sz w:val="22"/>
          <w:szCs w:val="22"/>
        </w:rPr>
        <w:t xml:space="preserve">Ask for a reason behind any strong tilt. A fact is better than a feeling, and writing the reason down gives you a record you can point to later.</w:t>
      </w:r>
    </w:p>
    <w:p>
      <w:pPr>
        <w:pStyle w:val="Heading1"/>
      </w:pPr>
      <w:r>
        <w:t xml:space="preserve">Step 4. Read the results</w:t>
      </w:r>
    </w:p>
    <w:p>
      <w:pPr>
        <w:spacing w:after="120" w:before="0" w:line="276"/>
      </w:pPr>
      <w:r>
        <w:rPr>
          <w:color w:val="1B2336"/>
          <w:sz w:val="22"/>
          <w:szCs w:val="22"/>
        </w:rPr>
        <w:t xml:space="preserve">The Results tab shows the answer the tool has worked out. Nothing on this screen is typed in by hand. The ranking, the criteria weights, and the consistency readings are all calculated from the pattern of your judgments, and that is what makes the result defensible.</w:t>
      </w:r>
    </w:p>
    <w:p>
      <w:pPr>
        <w:pStyle w:val="Heading2"/>
      </w:pPr>
      <w:r>
        <w:t xml:space="preserve">The ranking and the weights</w:t>
      </w:r>
    </w:p>
    <w:p>
      <w:pPr>
        <w:spacing w:after="120" w:before="0" w:line="276"/>
      </w:pPr>
      <w:r>
        <w:rPr>
          <w:color w:val="1B2336"/>
          <w:sz w:val="22"/>
          <w:szCs w:val="22"/>
        </w:rPr>
        <w:t xml:space="preserve">At the top you see the options in order, with a score for each. The scores are shares of total preference, so they add up to one hundred percent. Below the ranking you see how much weight each criterion carried. Read the weights before you react to the winner, because the weights explain why the winner won.</w:t>
      </w:r>
    </w:p>
    <w:p>
      <w:pPr>
        <w:pStyle w:val="Heading2"/>
      </w:pPr>
      <w:r>
        <w:t xml:space="preserve">The consistency check</w:t>
      </w:r>
    </w:p>
    <w:p>
      <w:pPr>
        <w:spacing w:after="120" w:before="0" w:line="276"/>
      </w:pPr>
      <w:r>
        <w:rPr>
          <w:color w:val="1B2336"/>
          <w:sz w:val="22"/>
          <w:szCs w:val="22"/>
        </w:rPr>
        <w:t xml:space="preserve">The tool reports a consistency reading for the criteria and for each set of option comparisons. Use the colours as a simple traffic 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rPr>
          <w:tblHeader/>
        </w:trPr>
        <w:tc>
          <w:tcPr>
            <w:tcW w:type="dxa" w:w="2300"/>
            <w:tcBorders>
              <w:top w:val="single" w:color="C9D0DC" w:sz="1"/>
              <w:left w:val="single" w:color="C9D0DC" w:sz="1"/>
              <w:bottom w:val="single" w:color="C9D0DC" w:sz="1"/>
              <w:right w:val="single" w:color="C9D0DC" w:sz="1"/>
            </w:tcBorders>
            <w:shd w:fill="1B2336" w:val="clear"/>
            <w:tcMar>
              <w:top w:type="dxa" w:w="70"/>
              <w:left w:type="dxa" w:w="120"/>
              <w:bottom w:type="dxa" w:w="70"/>
              <w:right w:type="dxa" w:w="120"/>
            </w:tcMar>
            <w:vAlign w:val="center"/>
          </w:tcPr>
          <w:p>
            <w:pPr>
              <w:spacing w:after="0" w:line="264"/>
              <w:jc w:val="left"/>
            </w:pPr>
            <w:r>
              <w:rPr>
                <w:b/>
                <w:bCs/>
                <w:color w:val="FFFFFF"/>
                <w:sz w:val="21"/>
                <w:szCs w:val="21"/>
              </w:rPr>
              <w:t xml:space="preserve">Reading</w:t>
            </w:r>
          </w:p>
        </w:tc>
        <w:tc>
          <w:tcPr>
            <w:tcW w:type="dxa" w:w="3760"/>
            <w:tcBorders>
              <w:top w:val="single" w:color="C9D0DC" w:sz="1"/>
              <w:left w:val="single" w:color="C9D0DC" w:sz="1"/>
              <w:bottom w:val="single" w:color="C9D0DC" w:sz="1"/>
              <w:right w:val="single" w:color="C9D0DC" w:sz="1"/>
            </w:tcBorders>
            <w:shd w:fill="1B2336" w:val="clear"/>
            <w:tcMar>
              <w:top w:type="dxa" w:w="70"/>
              <w:left w:type="dxa" w:w="120"/>
              <w:bottom w:type="dxa" w:w="70"/>
              <w:right w:type="dxa" w:w="120"/>
            </w:tcMar>
            <w:vAlign w:val="center"/>
          </w:tcPr>
          <w:p>
            <w:pPr>
              <w:spacing w:after="0" w:line="264"/>
              <w:jc w:val="left"/>
            </w:pPr>
            <w:r>
              <w:rPr>
                <w:b/>
                <w:bCs/>
                <w:color w:val="FFFFFF"/>
                <w:sz w:val="21"/>
                <w:szCs w:val="21"/>
              </w:rPr>
              <w:t xml:space="preserve">What it means</w:t>
            </w:r>
          </w:p>
        </w:tc>
        <w:tc>
          <w:tcPr>
            <w:tcW w:type="dxa" w:w="3300"/>
            <w:tcBorders>
              <w:top w:val="single" w:color="C9D0DC" w:sz="1"/>
              <w:left w:val="single" w:color="C9D0DC" w:sz="1"/>
              <w:bottom w:val="single" w:color="C9D0DC" w:sz="1"/>
              <w:right w:val="single" w:color="C9D0DC" w:sz="1"/>
            </w:tcBorders>
            <w:shd w:fill="1B2336" w:val="clear"/>
            <w:tcMar>
              <w:top w:type="dxa" w:w="70"/>
              <w:left w:type="dxa" w:w="120"/>
              <w:bottom w:type="dxa" w:w="70"/>
              <w:right w:type="dxa" w:w="120"/>
            </w:tcMar>
            <w:vAlign w:val="center"/>
          </w:tcPr>
          <w:p>
            <w:pPr>
              <w:spacing w:after="0" w:line="264"/>
              <w:jc w:val="left"/>
            </w:pPr>
            <w:r>
              <w:rPr>
                <w:b/>
                <w:bCs/>
                <w:color w:val="FFFFFF"/>
                <w:sz w:val="21"/>
                <w:szCs w:val="21"/>
              </w:rPr>
              <w:t xml:space="preserve">What to do</w:t>
            </w:r>
          </w:p>
        </w:tc>
      </w:tr>
      <w:tr>
        <w:tc>
          <w:tcPr>
            <w:tcW w:type="dxa" w:w="230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bCs/>
                <w:color w:val="1E9E73"/>
                <w:sz w:val="22"/>
                <w:szCs w:val="22"/>
              </w:rPr>
              <w:t xml:space="preserve">Green</w:t>
            </w:r>
            <w:r>
              <w:rPr>
                <w:color w:val="1B2336"/>
                <w:sz w:val="22"/>
                <w:szCs w:val="22"/>
              </w:rPr>
              <w:t xml:space="preserve">, under 0.10</w:t>
            </w:r>
          </w:p>
        </w:tc>
        <w:tc>
          <w:tcPr>
            <w:tcW w:type="dxa" w:w="376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val="false"/>
                <w:bCs w:val="false"/>
                <w:color w:val="1B2336"/>
                <w:sz w:val="21"/>
                <w:szCs w:val="21"/>
              </w:rPr>
              <w:t xml:space="preserve">Your judgments hold together.</w:t>
            </w:r>
          </w:p>
        </w:tc>
        <w:tc>
          <w:tcPr>
            <w:tcW w:type="dxa" w:w="330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val="false"/>
                <w:bCs w:val="false"/>
                <w:color w:val="1B2336"/>
                <w:sz w:val="21"/>
                <w:szCs w:val="21"/>
              </w:rPr>
              <w:t xml:space="preserve">Trust the result.</w:t>
            </w:r>
          </w:p>
        </w:tc>
      </w:tr>
      <w:tr>
        <w:tc>
          <w:tcPr>
            <w:tcW w:type="dxa" w:w="230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bCs/>
                <w:color w:val="B3790E"/>
                <w:sz w:val="22"/>
                <w:szCs w:val="22"/>
              </w:rPr>
              <w:t xml:space="preserve">Amber</w:t>
            </w:r>
            <w:r>
              <w:rPr>
                <w:color w:val="1B2336"/>
                <w:sz w:val="22"/>
                <w:szCs w:val="22"/>
              </w:rPr>
              <w:t xml:space="preserve">, 0.10 to 0.20</w:t>
            </w:r>
          </w:p>
        </w:tc>
        <w:tc>
          <w:tcPr>
            <w:tcW w:type="dxa" w:w="376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val="false"/>
                <w:bCs w:val="false"/>
                <w:color w:val="1B2336"/>
                <w:sz w:val="21"/>
                <w:szCs w:val="21"/>
              </w:rPr>
              <w:t xml:space="preserve">The result is usable but worth a look.</w:t>
            </w:r>
          </w:p>
        </w:tc>
        <w:tc>
          <w:tcPr>
            <w:tcW w:type="dxa" w:w="330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val="false"/>
                <w:bCs w:val="false"/>
                <w:color w:val="1B2336"/>
                <w:sz w:val="21"/>
                <w:szCs w:val="21"/>
              </w:rPr>
              <w:t xml:space="preserve">Review the comparison the tool flags.</w:t>
            </w:r>
          </w:p>
        </w:tc>
      </w:tr>
      <w:tr>
        <w:tc>
          <w:tcPr>
            <w:tcW w:type="dxa" w:w="230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bCs/>
                <w:color w:val="C0392B"/>
                <w:sz w:val="22"/>
                <w:szCs w:val="22"/>
              </w:rPr>
              <w:t xml:space="preserve">Red</w:t>
            </w:r>
            <w:r>
              <w:rPr>
                <w:color w:val="1B2336"/>
                <w:sz w:val="22"/>
                <w:szCs w:val="22"/>
              </w:rPr>
              <w:t xml:space="preserve">, over 0.20</w:t>
            </w:r>
          </w:p>
        </w:tc>
        <w:tc>
          <w:tcPr>
            <w:tcW w:type="dxa" w:w="376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val="false"/>
                <w:bCs w:val="false"/>
                <w:color w:val="1B2336"/>
                <w:sz w:val="21"/>
                <w:szCs w:val="21"/>
              </w:rPr>
              <w:t xml:space="preserve">Your judgments contradict each other.</w:t>
            </w:r>
          </w:p>
        </w:tc>
        <w:tc>
          <w:tcPr>
            <w:tcW w:type="dxa" w:w="330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val="false"/>
                <w:bCs w:val="false"/>
                <w:color w:val="1B2336"/>
                <w:sz w:val="21"/>
                <w:szCs w:val="21"/>
              </w:rPr>
              <w:t xml:space="preserve">Fix the flagged comparison before you rely on the result.</w:t>
            </w:r>
          </w:p>
        </w:tc>
      </w:tr>
    </w:tbl>
    <w:p>
      <w:pPr>
        <w:spacing w:after="120" w:before="0" w:line="276"/>
      </w:pPr>
      <w:r>
        <w:rPr>
          <w:color w:val="1B2336"/>
          <w:sz w:val="22"/>
          <w:szCs w:val="22"/>
        </w:rPr>
        <w:t xml:space="preserve">When a reading is high, the tool does more than show a colour. It names the single comparison most responsible and shows the value your other judgments imply, with one click to adopt it. Treat that as the start of a conversation, because a high reading usually points to a real disagreement or a criterion that means different things to different people.</w:t>
      </w:r>
    </w:p>
    <w:p>
      <w:pPr>
        <w:pStyle w:val="Heading1"/>
      </w:pPr>
      <w:r>
        <w:t xml:space="preserve">The 3-D decision space</w:t>
      </w:r>
    </w:p>
    <w:p>
      <w:pPr>
        <w:spacing w:after="120" w:before="0" w:line="276"/>
      </w:pPr>
      <w:r>
        <w:rPr>
          <w:color w:val="1B2336"/>
          <w:sz w:val="22"/>
          <w:szCs w:val="22"/>
        </w:rPr>
        <w:t xml:space="preserve">Beside your work the tool shows the decision in three dimensions. This view gives the model its name, and it shows you things a plain list cannot.</w:t>
      </w:r>
    </w:p>
    <w:p>
      <w:pPr>
        <w:pStyle w:val="ListParagraph"/>
        <w:numPr>
          <w:ilvl w:val="0"/>
          <w:numId w:val="2"/>
        </w:numPr>
        <w:spacing w:after="90" w:line="270"/>
      </w:pPr>
      <w:r>
        <w:rPr>
          <w:b/>
          <w:bCs/>
          <w:color w:val="1B2336"/>
          <w:sz w:val="22"/>
          <w:szCs w:val="22"/>
        </w:rPr>
        <w:t xml:space="preserve">Height is the overall priority. </w:t>
      </w:r>
      <w:r>
        <w:rPr>
          <w:color w:val="1B2336"/>
          <w:sz w:val="22"/>
          <w:szCs w:val="22"/>
        </w:rPr>
        <w:t xml:space="preserve">The tallest pillar is the winner, and the winner carries a brass ring.</w:t>
      </w:r>
    </w:p>
    <w:p>
      <w:pPr>
        <w:pStyle w:val="ListParagraph"/>
        <w:numPr>
          <w:ilvl w:val="0"/>
          <w:numId w:val="2"/>
        </w:numPr>
        <w:spacing w:after="90" w:line="270"/>
      </w:pPr>
      <w:r>
        <w:rPr>
          <w:b/>
          <w:bCs/>
          <w:color w:val="1B2336"/>
          <w:sz w:val="22"/>
          <w:szCs w:val="22"/>
        </w:rPr>
        <w:t xml:space="preserve">The floor is two criteria of your choice. </w:t>
      </w:r>
      <w:r>
        <w:rPr>
          <w:color w:val="1B2336"/>
          <w:sz w:val="22"/>
          <w:szCs w:val="22"/>
        </w:rPr>
        <w:t xml:space="preserve">Two small menus, labelled Across and Depth, let you pick which two criteria form the floor. An option’s position on the floor shows its trade-off between those two.</w:t>
      </w:r>
    </w:p>
    <w:p>
      <w:pPr>
        <w:pStyle w:val="ListParagraph"/>
        <w:numPr>
          <w:ilvl w:val="0"/>
          <w:numId w:val="2"/>
        </w:numPr>
        <w:spacing w:after="90" w:line="270"/>
      </w:pPr>
      <w:r>
        <w:rPr>
          <w:b/>
          <w:bCs/>
          <w:color w:val="1B2336"/>
          <w:sz w:val="22"/>
          <w:szCs w:val="22"/>
        </w:rPr>
        <w:t xml:space="preserve">Distance and height together show dominance. </w:t>
      </w:r>
      <w:r>
        <w:rPr>
          <w:color w:val="1B2336"/>
          <w:sz w:val="22"/>
          <w:szCs w:val="22"/>
        </w:rPr>
        <w:t xml:space="preserve">An option that sits further out and stands taller simply beats another.</w:t>
      </w:r>
    </w:p>
    <w:p>
      <w:pPr>
        <w:spacing w:after="120" w:before="0" w:line="276"/>
      </w:pPr>
      <w:r>
        <w:rPr>
          <w:color w:val="1B2336"/>
          <w:sz w:val="22"/>
          <w:szCs w:val="22"/>
        </w:rPr>
        <w:t xml:space="preserve">You can switch the view between </w:t>
      </w:r>
      <w:r>
        <w:rPr>
          <w:b/>
          <w:bCs/>
          <w:color w:val="1B2336"/>
          <w:sz w:val="22"/>
          <w:szCs w:val="22"/>
        </w:rPr>
        <w:t xml:space="preserve">Decision space</w:t>
      </w:r>
      <w:r>
        <w:rPr>
          <w:color w:val="1B2336"/>
          <w:sz w:val="22"/>
          <w:szCs w:val="22"/>
        </w:rPr>
        <w:t xml:space="preserve"> and </w:t>
      </w:r>
      <w:r>
        <w:rPr>
          <w:b/>
          <w:bCs/>
          <w:color w:val="1B2336"/>
          <w:sz w:val="22"/>
          <w:szCs w:val="22"/>
        </w:rPr>
        <w:t xml:space="preserve">Hierarchy</w:t>
      </w:r>
      <w:r>
        <w:rPr>
          <w:color w:val="1B2336"/>
          <w:sz w:val="22"/>
          <w:szCs w:val="22"/>
        </w:rPr>
        <w:t xml:space="preserve"> using the control in the corner. The decision space is the default. The hierarchy view draws the goal, the criteria, and the options as a simple tree.</w:t>
      </w:r>
    </w:p>
    <w:p>
      <w:pPr>
        <w:pStyle w:val="Heading1"/>
      </w:pPr>
      <w:r>
        <w:t xml:space="preserve">Stress-testing the winner</w:t>
      </w:r>
    </w:p>
    <w:p>
      <w:pPr>
        <w:spacing w:after="120" w:before="0" w:line="276"/>
      </w:pPr>
      <w:r>
        <w:rPr>
          <w:color w:val="1B2336"/>
          <w:sz w:val="22"/>
          <w:szCs w:val="22"/>
        </w:rPr>
        <w:t xml:space="preserve">The Results tab includes sensitivity sliders, one for each criterion. Drag a slider to change how much that criterion matters, and watch the ranking respond at once. This answers a single question. If the winner holds when priorities shift by a reasonable amount, you can commit with confidence. If a small change flips the result, the decision is genuinely close and deserves more discussion.</w:t>
      </w:r>
    </w:p>
    <w:p>
      <w:pPr>
        <w:spacing w:after="120" w:before="0" w:line="276"/>
      </w:pPr>
      <w:r>
        <w:rPr>
          <w:color w:val="1B2336"/>
          <w:sz w:val="22"/>
          <w:szCs w:val="22"/>
        </w:rPr>
        <w:t xml:space="preserve">The sliders behave exactly. The criterion you drag holds the value you set, the others adjust in proportion, and the total always stays at one hundred percent. When you are done, the button to reset to the derived weights returns the sliders to the result the tool calculated.</w:t>
      </w:r>
    </w:p>
    <w:p>
      <w:pPr>
        <w:pStyle w:val="Heading1"/>
      </w:pPr>
      <w:r>
        <w:t xml:space="preserve">Running a session with a group</w:t>
      </w:r>
    </w:p>
    <w:p>
      <w:pPr>
        <w:spacing w:after="120" w:before="0" w:line="276"/>
      </w:pPr>
      <w:r>
        <w:rPr>
          <w:color w:val="1B2336"/>
          <w:sz w:val="22"/>
          <w:szCs w:val="22"/>
        </w:rPr>
        <w:t xml:space="preserve">The tool is built to be run live with a team, and the Facilitation tab holds a full script. The points below are the ones that matter most.</w:t>
      </w:r>
    </w:p>
    <w:p>
      <w:pPr>
        <w:pStyle w:val="ListParagraph"/>
        <w:numPr>
          <w:ilvl w:val="0"/>
          <w:numId w:val="2"/>
        </w:numPr>
        <w:spacing w:after="90" w:line="270"/>
      </w:pPr>
      <w:r>
        <w:rPr>
          <w:color w:val="1B2336"/>
          <w:sz w:val="22"/>
          <w:szCs w:val="22"/>
        </w:rPr>
        <w:t xml:space="preserve">Prepare the structure before the room arrives. Agree the goal, the criteria, and the options with the sponsor in advance, so you do not spend the first part of the meeting on wording.</w:t>
      </w:r>
    </w:p>
    <w:p>
      <w:pPr>
        <w:pStyle w:val="ListParagraph"/>
        <w:numPr>
          <w:ilvl w:val="0"/>
          <w:numId w:val="2"/>
        </w:numPr>
        <w:spacing w:after="90" w:line="270"/>
      </w:pPr>
      <w:r>
        <w:rPr>
          <w:color w:val="1B2336"/>
          <w:sz w:val="22"/>
          <w:szCs w:val="22"/>
        </w:rPr>
        <w:t xml:space="preserve">Ask each comparison out loud in plain language. Gather the room, agree a judgment, and enter it once.</w:t>
      </w:r>
    </w:p>
    <w:p>
      <w:pPr>
        <w:pStyle w:val="ListParagraph"/>
        <w:numPr>
          <w:ilvl w:val="0"/>
          <w:numId w:val="2"/>
        </w:numPr>
        <w:spacing w:after="90" w:line="270"/>
      </w:pPr>
      <w:r>
        <w:rPr>
          <w:color w:val="1B2336"/>
          <w:sz w:val="22"/>
          <w:szCs w:val="22"/>
        </w:rPr>
        <w:t xml:space="preserve">Watch the consistency reading and pause when it turns red. Read the flagged pair aloud and discuss it, rather than clicking the suggested fix without thought.</w:t>
      </w:r>
    </w:p>
    <w:p>
      <w:pPr>
        <w:pStyle w:val="ListParagraph"/>
        <w:numPr>
          <w:ilvl w:val="0"/>
          <w:numId w:val="2"/>
        </w:numPr>
        <w:spacing w:after="90" w:line="270"/>
      </w:pPr>
      <w:r>
        <w:rPr>
          <w:b/>
          <w:bCs/>
          <w:color w:val="1B2336"/>
          <w:sz w:val="22"/>
          <w:szCs w:val="22"/>
        </w:rPr>
        <w:t xml:space="preserve">Combine several people’s judgments with the geometric mean. </w:t>
      </w:r>
      <w:r>
        <w:rPr>
          <w:color w:val="1B2336"/>
          <w:sz w:val="22"/>
          <w:szCs w:val="22"/>
        </w:rPr>
        <w:t xml:space="preserve">You multiply their numbers together and take the root, then round to the nearest point on the scale. This is the sound way to merge judgments, and it stops the most senior voice from setting the number on its own.</w:t>
      </w:r>
    </w:p>
    <w:p>
      <w:pPr>
        <w:pStyle w:val="ListParagraph"/>
        <w:numPr>
          <w:ilvl w:val="0"/>
          <w:numId w:val="2"/>
        </w:numPr>
        <w:spacing w:after="90" w:line="270"/>
      </w:pPr>
      <w:r>
        <w:rPr>
          <w:color w:val="1B2336"/>
          <w:sz w:val="22"/>
          <w:szCs w:val="22"/>
        </w:rPr>
        <w:t xml:space="preserve">Reveal the result near the end. Walk the criteria weights first, so the group sees why the winner won, then run the sensitivity sliders live to show how firm the result is.</w:t>
      </w:r>
    </w:p>
    <w:p>
      <w:pPr>
        <w:spacing w:after="120" w:before="0" w:line="276"/>
      </w:pPr>
      <w:r>
        <w:rPr>
          <w:color w:val="1B2336"/>
          <w:sz w:val="22"/>
          <w:szCs w:val="22"/>
        </w:rPr>
        <w:t xml:space="preserve">A full session fits in about ninety minutes. The tool lays out the timing on the Facilitation tab.</w:t>
      </w:r>
    </w:p>
    <w:p>
      <w:pPr>
        <w:pStyle w:val="Heading1"/>
      </w:pPr>
      <w:r>
        <w:t xml:space="preserve">Tips for a good result</w:t>
      </w:r>
    </w:p>
    <w:p>
      <w:pPr>
        <w:pStyle w:val="ListParagraph"/>
        <w:numPr>
          <w:ilvl w:val="0"/>
          <w:numId w:val="2"/>
        </w:numPr>
        <w:spacing w:after="90" w:line="270"/>
      </w:pPr>
      <w:r>
        <w:rPr>
          <w:color w:val="1B2336"/>
          <w:sz w:val="22"/>
          <w:szCs w:val="22"/>
        </w:rPr>
        <w:t xml:space="preserve">Keep your criteria independent, so the tool does not count the same thing twice.</w:t>
      </w:r>
    </w:p>
    <w:p>
      <w:pPr>
        <w:pStyle w:val="ListParagraph"/>
        <w:numPr>
          <w:ilvl w:val="0"/>
          <w:numId w:val="2"/>
        </w:numPr>
        <w:spacing w:after="90" w:line="270"/>
      </w:pPr>
      <w:r>
        <w:rPr>
          <w:color w:val="1B2336"/>
          <w:sz w:val="22"/>
          <w:szCs w:val="22"/>
        </w:rPr>
        <w:t xml:space="preserve">Keep each list to roughly three to seven items, so every comparison set stays small enough to judge well.</w:t>
      </w:r>
    </w:p>
    <w:p>
      <w:pPr>
        <w:pStyle w:val="ListParagraph"/>
        <w:numPr>
          <w:ilvl w:val="0"/>
          <w:numId w:val="2"/>
        </w:numPr>
        <w:spacing w:after="90" w:line="270"/>
      </w:pPr>
      <w:r>
        <w:rPr>
          <w:color w:val="1B2336"/>
          <w:sz w:val="22"/>
          <w:szCs w:val="22"/>
        </w:rPr>
        <w:t xml:space="preserve">Use the scale loosely. A judgment of moderate, strong, or extreme is enough, and fine shades add little.</w:t>
      </w:r>
    </w:p>
    <w:p>
      <w:pPr>
        <w:pStyle w:val="ListParagraph"/>
        <w:numPr>
          <w:ilvl w:val="0"/>
          <w:numId w:val="2"/>
        </w:numPr>
        <w:spacing w:after="90" w:line="270"/>
      </w:pPr>
      <w:r>
        <w:rPr>
          <w:color w:val="1B2336"/>
          <w:sz w:val="22"/>
          <w:szCs w:val="22"/>
        </w:rPr>
        <w:t xml:space="preserve">Bring evidence to the option scores. A fact behind a strong tilt is worth more than a gut feeling.</w:t>
      </w:r>
    </w:p>
    <w:p>
      <w:pPr>
        <w:pStyle w:val="ListParagraph"/>
        <w:numPr>
          <w:ilvl w:val="0"/>
          <w:numId w:val="2"/>
        </w:numPr>
        <w:spacing w:after="90" w:line="270"/>
      </w:pPr>
      <w:r>
        <w:rPr>
          <w:color w:val="1B2336"/>
          <w:sz w:val="22"/>
          <w:szCs w:val="22"/>
        </w:rPr>
        <w:t xml:space="preserve">Record the result before you close the page, because the tool does not save your work to a file.</w:t>
      </w:r>
    </w:p>
    <w:p>
      <w:pPr>
        <w:pStyle w:val="Heading1"/>
      </w:pPr>
      <w:r>
        <w:t xml:space="preserve">Common questions and fixes</w:t>
      </w:r>
    </w:p>
    <w:p>
      <w:pPr>
        <w:pStyle w:val="Heading2"/>
      </w:pPr>
      <w:r>
        <w:t xml:space="preserve">The assistant button does nothing</w:t>
      </w:r>
    </w:p>
    <w:p>
      <w:pPr>
        <w:spacing w:after="120" w:before="0" w:line="276"/>
      </w:pPr>
      <w:r>
        <w:rPr>
          <w:color w:val="1B2336"/>
          <w:sz w:val="22"/>
          <w:szCs w:val="22"/>
        </w:rPr>
        <w:t xml:space="preserve">The assistant works only when the file is opened inside Claude. If you opened the file straight from your computer, use a template or build the structure by hand. Both always work without the assistant.</w:t>
      </w:r>
    </w:p>
    <w:p>
      <w:pPr>
        <w:pStyle w:val="Heading2"/>
      </w:pPr>
      <w:r>
        <w:t xml:space="preserve">The consistency reading stays red</w:t>
      </w:r>
    </w:p>
    <w:p>
      <w:pPr>
        <w:spacing w:after="120" w:before="0" w:line="276"/>
      </w:pPr>
      <w:r>
        <w:rPr>
          <w:color w:val="1B2336"/>
          <w:sz w:val="22"/>
          <w:szCs w:val="22"/>
        </w:rPr>
        <w:t xml:space="preserve">Open the comparison the tool flags and look at it again. A red reading almost always means two of your judgments disagree, or a criterion means different things to different people. Adjust the flagged pair, or rename the fuzzy criterion, rather than forcing the number down.</w:t>
      </w:r>
    </w:p>
    <w:p>
      <w:pPr>
        <w:pStyle w:val="Heading2"/>
      </w:pPr>
      <w:r>
        <w:t xml:space="preserve">The tool picked an answer I did not expect</w:t>
      </w:r>
    </w:p>
    <w:p>
      <w:pPr>
        <w:spacing w:after="120" w:before="0" w:line="276"/>
      </w:pPr>
      <w:r>
        <w:rPr>
          <w:color w:val="1B2336"/>
          <w:sz w:val="22"/>
          <w:szCs w:val="22"/>
        </w:rPr>
        <w:t xml:space="preserve">That reaction is useful information. Either a judgment does not reflect what you truly believe, in which case fix the judgment, or a criterion that matters is missing, in which case add it. Change the inputs rather than overriding the result by hand.</w:t>
      </w:r>
    </w:p>
    <w:p>
      <w:pPr>
        <w:pStyle w:val="Heading2"/>
      </w:pPr>
      <w:r>
        <w:t xml:space="preserve">Can I save or export my work</w:t>
      </w:r>
    </w:p>
    <w:p>
      <w:pPr>
        <w:spacing w:after="120" w:before="0" w:line="276"/>
      </w:pPr>
      <w:r>
        <w:rPr>
          <w:color w:val="1B2336"/>
          <w:sz w:val="22"/>
          <w:szCs w:val="22"/>
        </w:rPr>
        <w:t xml:space="preserve">The tool does not save to a file at this time. Your work stays while the page is open. Capture the Results screen with a screenshot, or write down the weights and the ranking, before you close the page.</w:t>
      </w:r>
    </w:p>
    <w:p>
      <w:pPr>
        <w:pStyle w:val="Heading2"/>
      </w:pPr>
      <w:r>
        <w:t xml:space="preserve">How do I start over</w:t>
      </w:r>
    </w:p>
    <w:p>
      <w:pPr>
        <w:spacing w:after="120" w:before="0" w:line="276"/>
      </w:pPr>
      <w:r>
        <w:rPr>
          <w:color w:val="1B2336"/>
          <w:sz w:val="22"/>
          <w:szCs w:val="22"/>
        </w:rPr>
        <w:t xml:space="preserve">Use the reset controls. The control to reset to neutral returns every comparison to equal so you can begin again. The control to reset to the derived weights clears a sensitivity test and returns to the calculated result.</w:t>
      </w:r>
    </w:p>
    <w:p>
      <w:pPr>
        <w:pStyle w:val="Heading1"/>
      </w:pPr>
      <w:r>
        <w:t xml:space="preserve">A short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0DC" w:sz="1"/>
              <w:left w:val="single" w:color="C9D0DC" w:sz="1"/>
              <w:bottom w:val="single" w:color="C9D0DC" w:sz="1"/>
              <w:right w:val="single" w:color="C9D0DC" w:sz="1"/>
            </w:tcBorders>
            <w:shd w:fill="1B2336" w:val="clear"/>
            <w:tcMar>
              <w:top w:type="dxa" w:w="70"/>
              <w:left w:type="dxa" w:w="120"/>
              <w:bottom w:type="dxa" w:w="70"/>
              <w:right w:type="dxa" w:w="120"/>
            </w:tcMar>
            <w:vAlign w:val="center"/>
          </w:tcPr>
          <w:p>
            <w:pPr>
              <w:spacing w:after="0" w:line="264"/>
              <w:jc w:val="left"/>
            </w:pPr>
            <w:r>
              <w:rPr>
                <w:b/>
                <w:bCs/>
                <w:color w:val="FFFFFF"/>
                <w:sz w:val="21"/>
                <w:szCs w:val="21"/>
              </w:rPr>
              <w:t xml:space="preserve">Term</w:t>
            </w:r>
          </w:p>
        </w:tc>
        <w:tc>
          <w:tcPr>
            <w:tcW w:type="dxa" w:w="6660"/>
            <w:tcBorders>
              <w:top w:val="single" w:color="C9D0DC" w:sz="1"/>
              <w:left w:val="single" w:color="C9D0DC" w:sz="1"/>
              <w:bottom w:val="single" w:color="C9D0DC" w:sz="1"/>
              <w:right w:val="single" w:color="C9D0DC" w:sz="1"/>
            </w:tcBorders>
            <w:shd w:fill="1B2336" w:val="clear"/>
            <w:tcMar>
              <w:top w:type="dxa" w:w="70"/>
              <w:left w:type="dxa" w:w="120"/>
              <w:bottom w:type="dxa" w:w="70"/>
              <w:right w:type="dxa" w:w="120"/>
            </w:tcMar>
            <w:vAlign w:val="center"/>
          </w:tcPr>
          <w:p>
            <w:pPr>
              <w:spacing w:after="0" w:line="264"/>
              <w:jc w:val="left"/>
            </w:pPr>
            <w:r>
              <w:rPr>
                <w:b/>
                <w:bCs/>
                <w:color w:val="FFFFFF"/>
                <w:sz w:val="21"/>
                <w:szCs w:val="21"/>
              </w:rPr>
              <w:t xml:space="preserve">Plain meaning</w:t>
            </w:r>
          </w:p>
        </w:tc>
      </w:tr>
      <w:tr>
        <w:tc>
          <w:tcPr>
            <w:tcW w:type="dxa" w:w="270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bCs/>
                <w:color w:val="1B2336"/>
                <w:sz w:val="21"/>
                <w:szCs w:val="21"/>
              </w:rPr>
              <w:t xml:space="preserve">Goal</w:t>
            </w:r>
          </w:p>
        </w:tc>
        <w:tc>
          <w:tcPr>
            <w:tcW w:type="dxa" w:w="666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val="false"/>
                <w:bCs w:val="false"/>
                <w:color w:val="1B2336"/>
                <w:sz w:val="21"/>
                <w:szCs w:val="21"/>
              </w:rPr>
              <w:t xml:space="preserve">The single question the decision answers.</w:t>
            </w:r>
          </w:p>
        </w:tc>
      </w:tr>
      <w:tr>
        <w:tc>
          <w:tcPr>
            <w:tcW w:type="dxa" w:w="270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bCs/>
                <w:color w:val="1B2336"/>
                <w:sz w:val="21"/>
                <w:szCs w:val="21"/>
              </w:rPr>
              <w:t xml:space="preserve">Criterion</w:t>
            </w:r>
          </w:p>
        </w:tc>
        <w:tc>
          <w:tcPr>
            <w:tcW w:type="dxa" w:w="666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val="false"/>
                <w:bCs w:val="false"/>
                <w:color w:val="1B2336"/>
                <w:sz w:val="21"/>
                <w:szCs w:val="21"/>
              </w:rPr>
              <w:t xml:space="preserve">A factor that matters for the decision, such as cost or quality.</w:t>
            </w:r>
          </w:p>
        </w:tc>
      </w:tr>
      <w:tr>
        <w:tc>
          <w:tcPr>
            <w:tcW w:type="dxa" w:w="270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bCs/>
                <w:color w:val="1B2336"/>
                <w:sz w:val="21"/>
                <w:szCs w:val="21"/>
              </w:rPr>
              <w:t xml:space="preserve">Option</w:t>
            </w:r>
          </w:p>
        </w:tc>
        <w:tc>
          <w:tcPr>
            <w:tcW w:type="dxa" w:w="666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val="false"/>
                <w:bCs w:val="false"/>
                <w:color w:val="1B2336"/>
                <w:sz w:val="21"/>
                <w:szCs w:val="21"/>
              </w:rPr>
              <w:t xml:space="preserve">A candidate you are choosing between.</w:t>
            </w:r>
          </w:p>
        </w:tc>
      </w:tr>
      <w:tr>
        <w:tc>
          <w:tcPr>
            <w:tcW w:type="dxa" w:w="270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bCs/>
                <w:color w:val="1B2336"/>
                <w:sz w:val="21"/>
                <w:szCs w:val="21"/>
              </w:rPr>
              <w:t xml:space="preserve">Pairwise comparison</w:t>
            </w:r>
          </w:p>
        </w:tc>
        <w:tc>
          <w:tcPr>
            <w:tcW w:type="dxa" w:w="666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val="false"/>
                <w:bCs w:val="false"/>
                <w:color w:val="1B2336"/>
                <w:sz w:val="21"/>
                <w:szCs w:val="21"/>
              </w:rPr>
              <w:t xml:space="preserve">A judgment between exactly two things at a time.</w:t>
            </w:r>
          </w:p>
        </w:tc>
      </w:tr>
      <w:tr>
        <w:tc>
          <w:tcPr>
            <w:tcW w:type="dxa" w:w="270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bCs/>
                <w:color w:val="1B2336"/>
                <w:sz w:val="21"/>
                <w:szCs w:val="21"/>
              </w:rPr>
              <w:t xml:space="preserve">Weight</w:t>
            </w:r>
          </w:p>
        </w:tc>
        <w:tc>
          <w:tcPr>
            <w:tcW w:type="dxa" w:w="666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val="false"/>
                <w:bCs w:val="false"/>
                <w:color w:val="1B2336"/>
                <w:sz w:val="21"/>
                <w:szCs w:val="21"/>
              </w:rPr>
              <w:t xml:space="preserve">How much a criterion matters, shown as a share of the whole.</w:t>
            </w:r>
          </w:p>
        </w:tc>
      </w:tr>
      <w:tr>
        <w:tc>
          <w:tcPr>
            <w:tcW w:type="dxa" w:w="270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bCs/>
                <w:color w:val="1B2336"/>
                <w:sz w:val="21"/>
                <w:szCs w:val="21"/>
              </w:rPr>
              <w:t xml:space="preserve">Consistency reading</w:t>
            </w:r>
          </w:p>
        </w:tc>
        <w:tc>
          <w:tcPr>
            <w:tcW w:type="dxa" w:w="666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val="false"/>
                <w:bCs w:val="false"/>
                <w:color w:val="1B2336"/>
                <w:sz w:val="21"/>
                <w:szCs w:val="21"/>
              </w:rPr>
              <w:t xml:space="preserve">A check of whether your judgments hold together.</w:t>
            </w:r>
          </w:p>
        </w:tc>
      </w:tr>
      <w:tr>
        <w:tc>
          <w:tcPr>
            <w:tcW w:type="dxa" w:w="270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bCs/>
                <w:color w:val="1B2336"/>
                <w:sz w:val="21"/>
                <w:szCs w:val="21"/>
              </w:rPr>
              <w:t xml:space="preserve">Overall priority</w:t>
            </w:r>
          </w:p>
        </w:tc>
        <w:tc>
          <w:tcPr>
            <w:tcW w:type="dxa" w:w="666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val="false"/>
                <w:bCs w:val="false"/>
                <w:color w:val="1B2336"/>
                <w:sz w:val="21"/>
                <w:szCs w:val="21"/>
              </w:rPr>
              <w:t xml:space="preserve">The combined score for an option across all criteria.</w:t>
            </w:r>
          </w:p>
        </w:tc>
      </w:tr>
      <w:tr>
        <w:tc>
          <w:tcPr>
            <w:tcW w:type="dxa" w:w="270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bCs/>
                <w:color w:val="1B2336"/>
                <w:sz w:val="21"/>
                <w:szCs w:val="21"/>
              </w:rPr>
              <w:t xml:space="preserve">Sensitivity</w:t>
            </w:r>
          </w:p>
        </w:tc>
        <w:tc>
          <w:tcPr>
            <w:tcW w:type="dxa" w:w="666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val="false"/>
                <w:bCs w:val="false"/>
                <w:color w:val="1B2336"/>
                <w:sz w:val="21"/>
                <w:szCs w:val="21"/>
              </w:rPr>
              <w:t xml:space="preserve">A test of whether the winner holds when priorities change.</w:t>
            </w:r>
          </w:p>
        </w:tc>
      </w:tr>
      <w:tr>
        <w:tc>
          <w:tcPr>
            <w:tcW w:type="dxa" w:w="270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bCs/>
                <w:color w:val="1B2336"/>
                <w:sz w:val="21"/>
                <w:szCs w:val="21"/>
              </w:rPr>
              <w:t xml:space="preserve">AHP</w:t>
            </w:r>
          </w:p>
        </w:tc>
        <w:tc>
          <w:tcPr>
            <w:tcW w:type="dxa" w:w="6660"/>
            <w:tcBorders>
              <w:top w:val="single" w:color="C9D0DC" w:sz="1"/>
              <w:left w:val="single" w:color="C9D0DC" w:sz="1"/>
              <w:bottom w:val="single" w:color="C9D0DC" w:sz="1"/>
              <w:right w:val="single" w:color="C9D0DC" w:sz="1"/>
            </w:tcBorders>
            <w:shd w:fill="FFFFFF" w:val="clear"/>
            <w:tcMar>
              <w:top w:type="dxa" w:w="70"/>
              <w:left w:type="dxa" w:w="120"/>
              <w:bottom w:type="dxa" w:w="70"/>
              <w:right w:type="dxa" w:w="120"/>
            </w:tcMar>
            <w:vAlign w:val="center"/>
          </w:tcPr>
          <w:p>
            <w:pPr>
              <w:spacing w:after="0" w:line="264"/>
            </w:pPr>
            <w:r>
              <w:rPr>
                <w:b w:val="false"/>
                <w:bCs w:val="false"/>
                <w:color w:val="1B2336"/>
                <w:sz w:val="21"/>
                <w:szCs w:val="21"/>
              </w:rPr>
              <w:t xml:space="preserve">The Analytic Hierarchy Process, the method this tool uses.</w:t>
            </w:r>
          </w:p>
        </w:tc>
      </w:tr>
      <w:tr>
        <w:tc>
          <w:tcPr>
            <w:tcW w:type="dxa" w:w="270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bCs/>
                <w:color w:val="1B2336"/>
                <w:sz w:val="21"/>
                <w:szCs w:val="21"/>
              </w:rPr>
              <w:t xml:space="preserve">ANP</w:t>
            </w:r>
          </w:p>
        </w:tc>
        <w:tc>
          <w:tcPr>
            <w:tcW w:type="dxa" w:w="6660"/>
            <w:tcBorders>
              <w:top w:val="single" w:color="C9D0DC" w:sz="1"/>
              <w:left w:val="single" w:color="C9D0DC" w:sz="1"/>
              <w:bottom w:val="single" w:color="C9D0DC" w:sz="1"/>
              <w:right w:val="single" w:color="C9D0DC" w:sz="1"/>
            </w:tcBorders>
            <w:shd w:fill="F6F8FB" w:val="clear"/>
            <w:tcMar>
              <w:top w:type="dxa" w:w="70"/>
              <w:left w:type="dxa" w:w="120"/>
              <w:bottom w:type="dxa" w:w="70"/>
              <w:right w:type="dxa" w:w="120"/>
            </w:tcMar>
            <w:vAlign w:val="center"/>
          </w:tcPr>
          <w:p>
            <w:pPr>
              <w:spacing w:after="0" w:line="264"/>
            </w:pPr>
            <w:r>
              <w:rPr>
                <w:b w:val="false"/>
                <w:bCs w:val="false"/>
                <w:color w:val="1B2336"/>
                <w:sz w:val="21"/>
                <w:szCs w:val="21"/>
              </w:rPr>
              <w:t xml:space="preserve">A more advanced method for decisions where criteria affect each other.</w:t>
            </w:r>
          </w:p>
        </w:tc>
      </w:tr>
    </w:tbl>
    <w:p>
      <w:r>
        <w:br w:type="page"/>
      </w:r>
    </w:p>
    <w:p>
      <w:pPr>
        <w:pStyle w:val="Heading1"/>
      </w:pPr>
      <w:r>
        <w:t xml:space="preserve">The whole flow on one page</w:t>
      </w:r>
    </w:p>
    <w:p>
      <w:pPr>
        <w:spacing w:after="120" w:before="0" w:line="276"/>
      </w:pPr>
      <w:r>
        <w:rPr>
          <w:color w:val="1B2336"/>
          <w:sz w:val="22"/>
          <w:szCs w:val="22"/>
        </w:rPr>
        <w:t xml:space="preserve">Keep this page beside you the first few times you use the tool.</w:t>
      </w:r>
    </w:p>
    <w:p>
      <w:pPr>
        <w:pStyle w:val="ListParagraph"/>
        <w:numPr>
          <w:ilvl w:val="0"/>
          <w:numId w:val="4"/>
        </w:numPr>
        <w:spacing w:after="110" w:line="272"/>
      </w:pPr>
      <w:r>
        <w:rPr>
          <w:color w:val="1B2336"/>
          <w:sz w:val="22"/>
          <w:szCs w:val="22"/>
        </w:rPr>
        <w:t xml:space="preserve">Open the file in any modern web browser.</w:t>
      </w:r>
    </w:p>
    <w:p>
      <w:pPr>
        <w:pStyle w:val="ListParagraph"/>
        <w:numPr>
          <w:ilvl w:val="0"/>
          <w:numId w:val="4"/>
        </w:numPr>
        <w:spacing w:after="110" w:line="272"/>
      </w:pPr>
      <w:r>
        <w:rPr>
          <w:color w:val="1B2336"/>
          <w:sz w:val="22"/>
          <w:szCs w:val="22"/>
        </w:rPr>
        <w:t xml:space="preserve">On Structure, set your goal, list your criteria, and list your options. Use a template for a head start if you want one.</w:t>
      </w:r>
    </w:p>
    <w:p>
      <w:pPr>
        <w:pStyle w:val="ListParagraph"/>
        <w:numPr>
          <w:ilvl w:val="0"/>
          <w:numId w:val="4"/>
        </w:numPr>
        <w:spacing w:after="110" w:line="272"/>
      </w:pPr>
      <w:r>
        <w:rPr>
          <w:color w:val="1B2336"/>
          <w:sz w:val="22"/>
          <w:szCs w:val="22"/>
        </w:rPr>
        <w:t xml:space="preserve">On Weigh criteria, compare the criteria two at a time and tip the beam toward the one that matters more.</w:t>
      </w:r>
    </w:p>
    <w:p>
      <w:pPr>
        <w:pStyle w:val="ListParagraph"/>
        <w:numPr>
          <w:ilvl w:val="0"/>
          <w:numId w:val="4"/>
        </w:numPr>
        <w:spacing w:after="110" w:line="272"/>
      </w:pPr>
      <w:r>
        <w:rPr>
          <w:color w:val="1B2336"/>
          <w:sz w:val="22"/>
          <w:szCs w:val="22"/>
        </w:rPr>
        <w:t xml:space="preserve">On Score options, pick one criterion and compare the options on that criterion alone, then repeat for each criterion.</w:t>
      </w:r>
    </w:p>
    <w:p>
      <w:pPr>
        <w:pStyle w:val="ListParagraph"/>
        <w:numPr>
          <w:ilvl w:val="0"/>
          <w:numId w:val="4"/>
        </w:numPr>
        <w:spacing w:after="110" w:line="272"/>
      </w:pPr>
      <w:r>
        <w:rPr>
          <w:color w:val="1B2336"/>
          <w:sz w:val="22"/>
          <w:szCs w:val="22"/>
        </w:rPr>
        <w:t xml:space="preserve">On Results, read the ranking and check that the consistency readings are green.</w:t>
      </w:r>
    </w:p>
    <w:p>
      <w:pPr>
        <w:pStyle w:val="ListParagraph"/>
        <w:numPr>
          <w:ilvl w:val="0"/>
          <w:numId w:val="4"/>
        </w:numPr>
        <w:spacing w:after="110" w:line="272"/>
      </w:pPr>
      <w:r>
        <w:rPr>
          <w:color w:val="1B2336"/>
          <w:sz w:val="22"/>
          <w:szCs w:val="22"/>
        </w:rPr>
        <w:t xml:space="preserve">Drag the sensitivity sliders to see whether the winner holds when priorities change.</w:t>
      </w:r>
    </w:p>
    <w:p>
      <w:pPr>
        <w:pStyle w:val="ListParagraph"/>
        <w:numPr>
          <w:ilvl w:val="0"/>
          <w:numId w:val="4"/>
        </w:numPr>
        <w:spacing w:after="110" w:line="272"/>
      </w:pPr>
      <w:r>
        <w:rPr>
          <w:color w:val="1B2336"/>
          <w:sz w:val="22"/>
          <w:szCs w:val="22"/>
        </w:rPr>
        <w:t xml:space="preserve">Read the 3-D space to see why the winner stands where it does.</w:t>
      </w:r>
    </w:p>
    <w:p>
      <w:pPr>
        <w:spacing w:after="160"/>
      </w:pPr>
    </w:p>
    <w:tbl>
      <w:tblPr>
        <w:tblW w:type="dxa" w:w="9360"/>
        <w:tblBorders>
          <w:top w:val="single" w:color="EEF1F6" w:sz="2"/>
          <w:left w:val="single" w:color="0E8C7C" w:sz="18"/>
          <w:bottom w:val="single" w:color="EEF1F6" w:sz="2"/>
          <w:right w:val="single" w:color="EEF1F6" w:sz="2"/>
          <w:insideH w:val="none"/>
          <w:insideV w:val="none"/>
        </w:tblBorders>
      </w:tblPr>
      <w:tblGrid>
        <w:gridCol w:w="9360"/>
      </w:tblGrid>
      <w:tr>
        <w:trPr>
          <w:cantSplit/>
        </w:trPr>
        <w:tc>
          <w:tcPr>
            <w:tcW w:type="dxa" w:w="9360"/>
            <w:shd w:fill="EEF1F6" w:val="clear"/>
            <w:tcMar>
              <w:top w:type="dxa" w:w="120"/>
              <w:left w:type="dxa" w:w="200"/>
              <w:bottom w:type="dxa" w:w="120"/>
              <w:right w:type="dxa" w:w="160"/>
            </w:tcMar>
          </w:tcPr>
          <w:p>
            <w:pPr>
              <w:spacing w:after="0" w:line="272"/>
            </w:pPr>
            <w:r>
              <w:rPr>
                <w:b/>
                <w:bCs/>
                <w:color w:val="0E8C7C"/>
                <w:sz w:val="22"/>
                <w:szCs w:val="22"/>
              </w:rPr>
              <w:t xml:space="preserve">Remember.  </w:t>
            </w:r>
            <w:r>
              <w:rPr>
                <w:color w:val="1B2336"/>
                <w:sz w:val="22"/>
                <w:szCs w:val="22"/>
              </w:rPr>
              <w:t xml:space="preserve">You answer the easy questions, two things at a time. The tool does the arithmetic and shows you the trade-offs. Record the result before you close the page.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0DC" w:sz="4" w:space="6"/>
      </w:pBdr>
      <w:tabs>
        <w:tab w:val="right" w:pos="9360"/>
      </w:tabs>
    </w:pPr>
    <w:r>
      <w:rPr>
        <w:color w:val="55617A"/>
        <w:sz w:val="16"/>
        <w:szCs w:val="16"/>
      </w:rPr>
      <w:t xml:space="preserve">Interactive AHP Model in 3-D Space  ·  User’s Guide</w:t>
    </w:r>
    <w:r>
      <w:rPr>
        <w:color w:val="55617A"/>
        <w:sz w:val="16"/>
        <w:szCs w:val="16"/>
      </w:rPr>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A06D14"/>
      </w:rPr>
    </w:lvl>
  </w:abstractNum>
  <w:abstractNum w:abstractNumId="3" w15:restartNumberingAfterBreak="0">
    <w:multiLevelType w:val="hybridMultilevel"/>
    <w:lvl w:ilvl="0" w15:tentative="1">
      <w:start w:val="1"/>
      <w:numFmt w:val="decimal"/>
      <w:lvlText w:val="%1."/>
      <w:lvlJc w:val="left"/>
      <w:pPr>
        <w:ind w:left="460" w:hanging="300"/>
      </w:pPr>
      <w:rPr>
        <w:b/>
        <w:bCs/>
        <w:color w:val="A06D14"/>
      </w:rPr>
    </w:lvl>
  </w:abstractNum>
  <w:abstractNum w:abstractNumId="4" w15:restartNumberingAfterBreak="0">
    <w:multiLevelType w:val="hybridMultilevel"/>
    <w:lvl w:ilvl="0" w15:tentative="1">
      <w:start w:val="1"/>
      <w:numFmt w:val="decimal"/>
      <w:lvlText w:val="%1."/>
      <w:lvlJc w:val="left"/>
      <w:pPr>
        <w:ind w:left="460" w:hanging="300"/>
      </w:pPr>
      <w:rPr>
        <w:b/>
        <w:bCs/>
        <w:color w:val="A06D14"/>
      </w:rPr>
    </w:lvl>
  </w:abstractNum>
  <w:abstractNum w:abstractNumId="5" w15:restartNumberingAfterBreak="0">
    <w:multiLevelType w:val="hybridMultilevel"/>
    <w:lvl w:ilvl="0" w15:tentative="1">
      <w:start w:val="1"/>
      <w:numFmt w:val="decimal"/>
      <w:lvlText w:val="%1."/>
      <w:lvlJc w:val="left"/>
      <w:pPr>
        <w:ind w:left="460" w:hanging="300"/>
      </w:pPr>
      <w:rPr>
        <w:b/>
        <w:bCs/>
        <w:color w:val="A06D14"/>
      </w:rPr>
    </w:lvl>
  </w:abstractNum>
  <w:abstractNum w:abstractNumId="6" w15:restartNumberingAfterBreak="0">
    <w:multiLevelType w:val="hybridMultilevel"/>
    <w:lvl w:ilvl="0" w15:tentative="1">
      <w:start w:val="1"/>
      <w:numFmt w:val="decimal"/>
      <w:lvlText w:val="%1."/>
      <w:lvlJc w:val="left"/>
      <w:pPr>
        <w:ind w:left="460" w:hanging="300"/>
      </w:pPr>
      <w:rPr>
        <w:b/>
        <w:bCs/>
        <w:color w:val="A06D14"/>
      </w:rPr>
    </w:lvl>
  </w:abstractNum>
  <w:abstractNum w:abstractNumId="7" w15:restartNumberingAfterBreak="0">
    <w:multiLevelType w:val="hybridMultilevel"/>
    <w:lvl w:ilvl="0" w15:tentative="1">
      <w:start w:val="1"/>
      <w:numFmt w:val="decimal"/>
      <w:lvlText w:val="%1."/>
      <w:lvlJc w:val="left"/>
      <w:pPr>
        <w:ind w:left="460" w:hanging="300"/>
      </w:pPr>
      <w:rPr>
        <w:b/>
        <w:bCs/>
        <w:color w:val="A06D1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3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B2336"/>
      <w:sz w:val="52"/>
      <w:szCs w:val="52"/>
    </w:rPr>
  </w:style>
  <w:style w:type="paragraph" w:styleId="Heading1">
    <w:name w:val="Heading 1"/>
    <w:basedOn w:val="Normal"/>
    <w:next w:val="Normal"/>
    <w:qFormat/>
    <w:pPr>
      <w:pBdr>
        <w:bottom w:val="single" w:color="A06D14" w:sz="8" w:space="4"/>
      </w:pBdr>
      <w:spacing w:after="140" w:before="300"/>
      <w:outlineLvl w:val="0"/>
    </w:pPr>
    <w:rPr>
      <w:rFonts w:ascii="Arial" w:cs="Arial" w:eastAsia="Arial" w:hAnsi="Arial"/>
      <w:b/>
      <w:bCs/>
      <w:color w:val="1B2336"/>
      <w:sz w:val="30"/>
      <w:szCs w:val="30"/>
    </w:rPr>
  </w:style>
  <w:style w:type="paragraph" w:styleId="Heading2">
    <w:name w:val="Heading 2"/>
    <w:basedOn w:val="Normal"/>
    <w:next w:val="Normal"/>
    <w:qFormat/>
    <w:pPr>
      <w:spacing w:after="90" w:before="200"/>
      <w:outlineLvl w:val="1"/>
    </w:pPr>
    <w:rPr>
      <w:rFonts w:ascii="Arial" w:cs="Arial" w:eastAsia="Arial" w:hAnsi="Arial"/>
      <w:b/>
      <w:bCs/>
      <w:color w:val="0E8C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AHP Model in 3-D Space — User's Guide</dc:title>
  <dc:creator>Interactive AHP Model</dc:creator>
  <cp:lastModifiedBy>Un-named</cp:lastModifiedBy>
  <cp:revision>1</cp:revision>
  <dcterms:created xsi:type="dcterms:W3CDTF">2026-06-23T23:28:53.957Z</dcterms:created>
  <dcterms:modified xsi:type="dcterms:W3CDTF">2026-06-23T23:28:53.958Z</dcterms:modified>
</cp:coreProperties>
</file>

<file path=docProps/custom.xml><?xml version="1.0" encoding="utf-8"?>
<Properties xmlns="http://schemas.openxmlformats.org/officeDocument/2006/custom-properties" xmlns:vt="http://schemas.openxmlformats.org/officeDocument/2006/docPropsVTypes"/>
</file>