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Georgia" w:cs="Georgia" w:eastAsia="Georgia" w:hAnsi="Georgia"/>
          <w:b/>
          <w:bCs/>
          <w:color w:val="1c1917"/>
          <w:sz w:val="52"/>
          <w:szCs w:val="52"/>
        </w:rPr>
        <w:t xml:space="preserve">THE WISDOM BOND</w:t>
      </w:r>
    </w:p>
    <w:p>
      <w:pPr>
        <w:spacing w:after="80"/>
        <w:jc w:val="center"/>
      </w:pPr>
      <w:r>
        <w:rPr>
          <w:rFonts w:ascii="Georgia" w:cs="Georgia" w:eastAsia="Georgia" w:hAnsi="Georgia"/>
          <w:color w:val="6d5a3a"/>
          <w:sz w:val="28"/>
          <w:szCs w:val="28"/>
        </w:rPr>
        <w:t xml:space="preserve">User Manual</w:t>
      </w:r>
    </w:p>
    <w:p>
      <w:pPr>
        <w:pBdr>
          <w:bottom w:val="single" w:color="a3895e" w:sz="1" w:space="12"/>
        </w:pBdr>
        <w:spacing w:after="400"/>
        <w:jc w:val="center"/>
      </w:pPr>
      <w:r>
        <w:rPr>
          <w:rFonts w:ascii="Calibri" w:cs="Calibri" w:eastAsia="Calibri" w:hAnsi="Calibri"/>
          <w:color w:val="78716c"/>
          <w:sz w:val="22"/>
          <w:szCs w:val="22"/>
        </w:rPr>
        <w:t xml:space="preserve">An Adaptive Advisory Agent</w:t>
      </w:r>
    </w:p>
    <w:p>
      <w:pPr>
        <w:spacing w:after="80"/>
      </w:pPr>
    </w:p>
    <w:p>
      <w:pPr>
        <w:spacing w:after="80"/>
      </w:pPr>
    </w:p>
    <w:p>
      <w:pPr>
        <w:spacing w:after="80"/>
        <w:jc w:val="center"/>
      </w:pPr>
      <w:r>
        <w:rPr>
          <w:rFonts w:ascii="Calibri" w:cs="Calibri" w:eastAsia="Calibri" w:hAnsi="Calibri"/>
          <w:i/>
          <w:iCs/>
          <w:color w:val="44403c"/>
          <w:sz w:val="22"/>
          <w:szCs w:val="22"/>
        </w:rPr>
        <w:t xml:space="preserve">The experience should feel less like consulting a tool</w:t>
      </w:r>
    </w:p>
    <w:p>
      <w:pPr>
        <w:spacing w:after="200"/>
        <w:jc w:val="center"/>
      </w:pPr>
      <w:r>
        <w:rPr>
          <w:rFonts w:ascii="Calibri" w:cs="Calibri" w:eastAsia="Calibri" w:hAnsi="Calibri"/>
          <w:i/>
          <w:iCs/>
          <w:color w:val="44403c"/>
          <w:sz w:val="22"/>
          <w:szCs w:val="22"/>
        </w:rPr>
        <w:t xml:space="preserve">and more like sitting across from someone who has been paying attention.</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Calibri" w:cs="Calibri" w:eastAsia="Calibri" w:hAnsi="Calibri"/>
          <w:color w:val="78716c"/>
          <w:sz w:val="20"/>
          <w:szCs w:val="20"/>
        </w:rPr>
        <w:t xml:space="preserve">Version 1.0  |  April 2026</w:t>
      </w:r>
    </w:p>
    <w:p>
      <w:r>
        <w:br w:type="page"/>
      </w:r>
    </w:p>
    <w:p>
      <w:pPr>
        <w:pStyle w:val="Heading1"/>
        <w:spacing w:after="200" w:before="360"/>
      </w:pPr>
      <w:r>
        <w:rPr>
          <w:rFonts w:ascii="Georgia" w:cs="Georgia" w:eastAsia="Georgia" w:hAnsi="Georgia"/>
          <w:b/>
          <w:bCs/>
          <w:color w:val="1c1917"/>
          <w:sz w:val="32"/>
          <w:szCs w:val="32"/>
        </w:rPr>
        <w:t xml:space="preserve">Table of Contents</w:t>
      </w:r>
    </w:p>
    <w:p>
      <w:pPr>
        <w:spacing w:after="80"/>
      </w:pPr>
    </w:p>
    <w:p>
      <w:pPr>
        <w:spacing w:after="160" w:line="320"/>
      </w:pPr>
      <w:r>
        <w:rPr>
          <w:rFonts w:ascii="Calibri" w:cs="Calibri" w:eastAsia="Calibri" w:hAnsi="Calibri"/>
          <w:color w:val="44403c"/>
          <w:sz w:val="22"/>
          <w:szCs w:val="22"/>
        </w:rPr>
        <w:t xml:space="preserve">1. What Is The Wisdom Bond</w:t>
      </w:r>
    </w:p>
    <w:p>
      <w:pPr>
        <w:spacing w:after="160" w:line="320"/>
      </w:pPr>
      <w:r>
        <w:rPr>
          <w:rFonts w:ascii="Calibri" w:cs="Calibri" w:eastAsia="Calibri" w:hAnsi="Calibri"/>
          <w:color w:val="44403c"/>
          <w:sz w:val="22"/>
          <w:szCs w:val="22"/>
        </w:rPr>
        <w:t xml:space="preserve">2. Getting Started</w:t>
      </w:r>
    </w:p>
    <w:p>
      <w:pPr>
        <w:spacing w:after="160" w:line="320"/>
      </w:pPr>
      <w:r>
        <w:rPr>
          <w:rFonts w:ascii="Calibri" w:cs="Calibri" w:eastAsia="Calibri" w:hAnsi="Calibri"/>
          <w:color w:val="44403c"/>
          <w:sz w:val="22"/>
          <w:szCs w:val="22"/>
        </w:rPr>
        <w:t xml:space="preserve">3. The Five Advisory Modes</w:t>
      </w:r>
    </w:p>
    <w:p>
      <w:pPr>
        <w:spacing w:after="160" w:line="320"/>
      </w:pPr>
      <w:r>
        <w:rPr>
          <w:rFonts w:ascii="Calibri" w:cs="Calibri" w:eastAsia="Calibri" w:hAnsi="Calibri"/>
          <w:color w:val="44403c"/>
          <w:sz w:val="22"/>
          <w:szCs w:val="22"/>
        </w:rPr>
        <w:t xml:space="preserve">    3.1 Counsel</w:t>
      </w:r>
    </w:p>
    <w:p>
      <w:pPr>
        <w:spacing w:after="160" w:line="320"/>
      </w:pPr>
      <w:r>
        <w:rPr>
          <w:rFonts w:ascii="Calibri" w:cs="Calibri" w:eastAsia="Calibri" w:hAnsi="Calibri"/>
          <w:color w:val="44403c"/>
          <w:sz w:val="22"/>
          <w:szCs w:val="22"/>
        </w:rPr>
        <w:t xml:space="preserve">    3.2 Challenge</w:t>
      </w:r>
    </w:p>
    <w:p>
      <w:pPr>
        <w:spacing w:after="160" w:line="320"/>
      </w:pPr>
      <w:r>
        <w:rPr>
          <w:rFonts w:ascii="Calibri" w:cs="Calibri" w:eastAsia="Calibri" w:hAnsi="Calibri"/>
          <w:color w:val="44403c"/>
          <w:sz w:val="22"/>
          <w:szCs w:val="22"/>
        </w:rPr>
        <w:t xml:space="preserve">    3.3 Mirror</w:t>
      </w:r>
    </w:p>
    <w:p>
      <w:pPr>
        <w:spacing w:after="160" w:line="320"/>
      </w:pPr>
      <w:r>
        <w:rPr>
          <w:rFonts w:ascii="Calibri" w:cs="Calibri" w:eastAsia="Calibri" w:hAnsi="Calibri"/>
          <w:color w:val="44403c"/>
          <w:sz w:val="22"/>
          <w:szCs w:val="22"/>
        </w:rPr>
        <w:t xml:space="preserve">    3.4 Strategic</w:t>
      </w:r>
    </w:p>
    <w:p>
      <w:pPr>
        <w:spacing w:after="160" w:line="320"/>
      </w:pPr>
      <w:r>
        <w:rPr>
          <w:rFonts w:ascii="Calibri" w:cs="Calibri" w:eastAsia="Calibri" w:hAnsi="Calibri"/>
          <w:color w:val="44403c"/>
          <w:sz w:val="22"/>
          <w:szCs w:val="22"/>
        </w:rPr>
        <w:t xml:space="preserve">    3.5 Somatic</w:t>
      </w:r>
    </w:p>
    <w:p>
      <w:pPr>
        <w:spacing w:after="160" w:line="320"/>
      </w:pPr>
      <w:r>
        <w:rPr>
          <w:rFonts w:ascii="Calibri" w:cs="Calibri" w:eastAsia="Calibri" w:hAnsi="Calibri"/>
          <w:color w:val="44403c"/>
          <w:sz w:val="22"/>
          <w:szCs w:val="22"/>
        </w:rPr>
        <w:t xml:space="preserve">4. The Bond Map</w:t>
      </w:r>
    </w:p>
    <w:p>
      <w:pPr>
        <w:spacing w:after="160" w:line="320"/>
      </w:pPr>
      <w:r>
        <w:rPr>
          <w:rFonts w:ascii="Calibri" w:cs="Calibri" w:eastAsia="Calibri" w:hAnsi="Calibri"/>
          <w:color w:val="44403c"/>
          <w:sz w:val="22"/>
          <w:szCs w:val="22"/>
        </w:rPr>
        <w:t xml:space="preserve">    4.1 Constellation Canvas</w:t>
      </w:r>
    </w:p>
    <w:p>
      <w:pPr>
        <w:spacing w:after="160" w:line="320"/>
      </w:pPr>
      <w:r>
        <w:rPr>
          <w:rFonts w:ascii="Calibri" w:cs="Calibri" w:eastAsia="Calibri" w:hAnsi="Calibri"/>
          <w:color w:val="44403c"/>
          <w:sz w:val="22"/>
          <w:szCs w:val="22"/>
        </w:rPr>
        <w:t xml:space="preserve">    4.2 Bond Strength</w:t>
      </w:r>
    </w:p>
    <w:p>
      <w:pPr>
        <w:spacing w:after="160" w:line="320"/>
      </w:pPr>
      <w:r>
        <w:rPr>
          <w:rFonts w:ascii="Calibri" w:cs="Calibri" w:eastAsia="Calibri" w:hAnsi="Calibri"/>
          <w:color w:val="44403c"/>
          <w:sz w:val="22"/>
          <w:szCs w:val="22"/>
        </w:rPr>
        <w:t xml:space="preserve">    4.3 Decision Traits</w:t>
      </w:r>
    </w:p>
    <w:p>
      <w:pPr>
        <w:spacing w:after="160" w:line="320"/>
      </w:pPr>
      <w:r>
        <w:rPr>
          <w:rFonts w:ascii="Calibri" w:cs="Calibri" w:eastAsia="Calibri" w:hAnsi="Calibri"/>
          <w:color w:val="44403c"/>
          <w:sz w:val="22"/>
          <w:szCs w:val="22"/>
        </w:rPr>
        <w:t xml:space="preserve">    4.4 Emerging Values</w:t>
      </w:r>
    </w:p>
    <w:p>
      <w:pPr>
        <w:spacing w:after="160" w:line="320"/>
      </w:pPr>
      <w:r>
        <w:rPr>
          <w:rFonts w:ascii="Calibri" w:cs="Calibri" w:eastAsia="Calibri" w:hAnsi="Calibri"/>
          <w:color w:val="44403c"/>
          <w:sz w:val="22"/>
          <w:szCs w:val="22"/>
        </w:rPr>
        <w:t xml:space="preserve">    4.5 Pattern Journal</w:t>
      </w:r>
    </w:p>
    <w:p>
      <w:pPr>
        <w:spacing w:after="160" w:line="320"/>
      </w:pPr>
      <w:r>
        <w:rPr>
          <w:rFonts w:ascii="Calibri" w:cs="Calibri" w:eastAsia="Calibri" w:hAnsi="Calibri"/>
          <w:color w:val="44403c"/>
          <w:sz w:val="22"/>
          <w:szCs w:val="22"/>
        </w:rPr>
        <w:t xml:space="preserve">5. Tips for Deepening the Bond</w:t>
      </w:r>
    </w:p>
    <w:p>
      <w:pPr>
        <w:spacing w:after="160" w:line="320"/>
      </w:pPr>
      <w:r>
        <w:rPr>
          <w:rFonts w:ascii="Calibri" w:cs="Calibri" w:eastAsia="Calibri" w:hAnsi="Calibri"/>
          <w:color w:val="44403c"/>
          <w:sz w:val="22"/>
          <w:szCs w:val="22"/>
        </w:rPr>
        <w:t xml:space="preserve">6. Privacy and Security</w:t>
      </w:r>
    </w:p>
    <w:p>
      <w:pPr>
        <w:spacing w:after="160" w:line="320"/>
      </w:pPr>
      <w:r>
        <w:rPr>
          <w:rFonts w:ascii="Calibri" w:cs="Calibri" w:eastAsia="Calibri" w:hAnsi="Calibri"/>
          <w:color w:val="44403c"/>
          <w:sz w:val="22"/>
          <w:szCs w:val="22"/>
        </w:rPr>
        <w:t xml:space="preserve">7. Troubleshooting</w:t>
      </w:r>
    </w:p>
    <w:p>
      <w:r>
        <w:br w:type="page"/>
      </w:r>
    </w:p>
    <w:p>
      <w:pPr>
        <w:pStyle w:val="Heading1"/>
        <w:spacing w:after="200" w:before="360"/>
      </w:pPr>
      <w:r>
        <w:rPr>
          <w:rFonts w:ascii="Georgia" w:cs="Georgia" w:eastAsia="Georgia" w:hAnsi="Georgia"/>
          <w:b/>
          <w:bCs/>
          <w:color w:val="1c1917"/>
          <w:sz w:val="32"/>
          <w:szCs w:val="32"/>
        </w:rPr>
        <w:t xml:space="preserve">1. What Is The Wisdom Bond</w:t>
      </w:r>
    </w:p>
    <w:p>
      <w:pPr>
        <w:spacing w:after="160" w:line="320"/>
      </w:pPr>
      <w:r>
        <w:rPr>
          <w:rFonts w:ascii="Calibri" w:cs="Calibri" w:eastAsia="Calibri" w:hAnsi="Calibri"/>
          <w:color w:val="44403c"/>
          <w:sz w:val="22"/>
          <w:szCs w:val="22"/>
        </w:rPr>
        <w:t xml:space="preserve">The Wisdom Bond is a personal advisory agent powered by Claude (Anthropic). Unlike a standard AI chatbot, it builds a living understanding of who you are as a decision-maker through every conversation exchange.</w:t>
      </w:r>
    </w:p>
    <w:p>
      <w:pPr>
        <w:spacing w:after="160" w:line="320"/>
      </w:pPr>
      <w:r>
        <w:rPr>
          <w:rFonts w:ascii="Calibri" w:cs="Calibri" w:eastAsia="Calibri" w:hAnsi="Calibri"/>
          <w:color w:val="44403c"/>
          <w:sz w:val="22"/>
          <w:szCs w:val="22"/>
        </w:rPr>
        <w:t xml:space="preserve">Three systems work together to create this experience:</w:t>
      </w:r>
    </w:p>
    <w:p>
      <w:pPr>
        <w:spacing w:after="80"/>
      </w:pPr>
    </w:p>
    <w:p>
      <w:pPr>
        <w:spacing w:after="160" w:line="320"/>
      </w:pPr>
      <w:r>
        <w:rPr>
          <w:rFonts w:ascii="Calibri" w:cs="Calibri" w:eastAsia="Calibri" w:hAnsi="Calibri"/>
          <w:b/>
          <w:bCs/>
          <w:color w:val="1c1917"/>
          <w:sz w:val="22"/>
          <w:szCs w:val="22"/>
        </w:rPr>
        <w:t xml:space="preserve">Context Portrait: </w:t>
      </w:r>
      <w:r>
        <w:rPr>
          <w:rFonts w:ascii="Calibri" w:cs="Calibri" w:eastAsia="Calibri" w:hAnsi="Calibri"/>
          <w:color w:val="44403c"/>
          <w:sz w:val="22"/>
          <w:szCs w:val="22"/>
        </w:rPr>
        <w:t xml:space="preserve">As you share decisions and dilemmas, the agent tracks your decision traits, emerging values, recurring tensions, and growth edges. This understanding accumulates within the conversation and feeds into every response.</w:t>
      </w:r>
    </w:p>
    <w:p>
      <w:pPr>
        <w:spacing w:after="160" w:line="320"/>
      </w:pPr>
      <w:r>
        <w:rPr>
          <w:rFonts w:ascii="Calibri" w:cs="Calibri" w:eastAsia="Calibri" w:hAnsi="Calibri"/>
          <w:b/>
          <w:bCs/>
          <w:color w:val="1c1917"/>
          <w:sz w:val="22"/>
          <w:szCs w:val="22"/>
        </w:rPr>
        <w:t xml:space="preserve">Visual Bond Map: </w:t>
      </w:r>
      <w:r>
        <w:rPr>
          <w:rFonts w:ascii="Calibri" w:cs="Calibri" w:eastAsia="Calibri" w:hAnsi="Calibri"/>
          <w:color w:val="44403c"/>
          <w:sz w:val="22"/>
          <w:szCs w:val="22"/>
        </w:rPr>
        <w:t xml:space="preserve">A dynamic side panel that visualizes your decision-making profile. It includes a constellation diagram, trait bars, a values cloud, and a pattern journal. All of these evolve in real time as the conversation deepens.</w:t>
      </w:r>
    </w:p>
    <w:p>
      <w:pPr>
        <w:spacing w:after="160" w:line="320"/>
      </w:pPr>
      <w:r>
        <w:rPr>
          <w:rFonts w:ascii="Calibri" w:cs="Calibri" w:eastAsia="Calibri" w:hAnsi="Calibri"/>
          <w:b/>
          <w:bCs/>
          <w:color w:val="1c1917"/>
          <w:sz w:val="22"/>
          <w:szCs w:val="22"/>
        </w:rPr>
        <w:t xml:space="preserve">Adaptive Counsel: </w:t>
      </w:r>
      <w:r>
        <w:rPr>
          <w:rFonts w:ascii="Calibri" w:cs="Calibri" w:eastAsia="Calibri" w:hAnsi="Calibri"/>
          <w:color w:val="44403c"/>
          <w:sz w:val="22"/>
          <w:szCs w:val="22"/>
        </w:rPr>
        <w:t xml:space="preserve">The agent does not simply switch between personas. It calibrates its approach based on what it has learned about you. It names the patterns it sees, references your tendencies, and adapts its tone and depth accordingly.</w:t>
      </w:r>
    </w:p>
    <w:p>
      <w:r>
        <w:br w:type="page"/>
      </w:r>
    </w:p>
    <w:p>
      <w:pPr>
        <w:pStyle w:val="Heading1"/>
        <w:spacing w:after="200" w:before="360"/>
      </w:pPr>
      <w:r>
        <w:rPr>
          <w:rFonts w:ascii="Georgia" w:cs="Georgia" w:eastAsia="Georgia" w:hAnsi="Georgia"/>
          <w:b/>
          <w:bCs/>
          <w:color w:val="1c1917"/>
          <w:sz w:val="32"/>
          <w:szCs w:val="32"/>
        </w:rPr>
        <w:t xml:space="preserve">2. Getting Started</w:t>
      </w:r>
    </w:p>
    <w:p>
      <w:pPr>
        <w:pStyle w:val="Heading2"/>
        <w:spacing w:after="160" w:before="280"/>
      </w:pPr>
      <w:r>
        <w:rPr>
          <w:rFonts w:ascii="Georgia" w:cs="Georgia" w:eastAsia="Georgia" w:hAnsi="Georgia"/>
          <w:b/>
          <w:bCs/>
          <w:color w:val="6d5a3a"/>
          <w:sz w:val="26"/>
          <w:szCs w:val="26"/>
        </w:rPr>
        <w:t xml:space="preserve">Prerequisites</w:t>
      </w:r>
    </w:p>
    <w:p>
      <w:pPr>
        <w:spacing w:after="160" w:line="320"/>
      </w:pPr>
      <w:r>
        <w:rPr>
          <w:rFonts w:ascii="Calibri" w:cs="Calibri" w:eastAsia="Calibri" w:hAnsi="Calibri"/>
          <w:color w:val="44403c"/>
          <w:sz w:val="22"/>
          <w:szCs w:val="22"/>
        </w:rPr>
        <w:t xml:space="preserve">You need an Anthropic API key. Visit console.anthropic.com/settings/keys to create one. The key starts with sk-ant- and is used only to communicate directly with the Anthropic API from your browser.</w:t>
      </w:r>
    </w:p>
    <w:p>
      <w:pPr>
        <w:pStyle w:val="Heading2"/>
        <w:spacing w:after="160" w:before="280"/>
      </w:pPr>
      <w:r>
        <w:rPr>
          <w:rFonts w:ascii="Georgia" w:cs="Georgia" w:eastAsia="Georgia" w:hAnsi="Georgia"/>
          <w:b/>
          <w:bCs/>
          <w:color w:val="6d5a3a"/>
          <w:sz w:val="26"/>
          <w:szCs w:val="26"/>
        </w:rPr>
        <w:t xml:space="preserve">Opening The Wisdom Bond</w:t>
      </w:r>
    </w:p>
    <w:p>
      <w:pPr>
        <w:spacing w:after="160" w:line="320"/>
      </w:pPr>
      <w:r>
        <w:rPr>
          <w:rFonts w:ascii="Calibri" w:cs="Calibri" w:eastAsia="Calibri" w:hAnsi="Calibri"/>
          <w:color w:val="44403c"/>
          <w:sz w:val="22"/>
          <w:szCs w:val="22"/>
        </w:rPr>
        <w:t xml:space="preserve">Open the-wisdom-bond.html in any modern browser (Chrome, Firefox, Safari, or Edge). You will see the setup screen.</w:t>
      </w:r>
    </w:p>
    <w:p>
      <w:pPr>
        <w:spacing w:after="120" w:before="200"/>
      </w:pPr>
      <w:r>
        <w:rPr>
          <w:rFonts w:ascii="Georgia" w:cs="Georgia" w:eastAsia="Georgia" w:hAnsi="Georgia"/>
          <w:b/>
          <w:bCs/>
          <w:color w:val="44403c"/>
          <w:sz w:val="22"/>
          <w:szCs w:val="22"/>
        </w:rPr>
        <w:t xml:space="preserve">Step 1: Enter Your Name</w:t>
      </w:r>
    </w:p>
    <w:p>
      <w:pPr>
        <w:spacing w:after="160" w:line="320"/>
      </w:pPr>
      <w:r>
        <w:rPr>
          <w:rFonts w:ascii="Calibri" w:cs="Calibri" w:eastAsia="Calibri" w:hAnsi="Calibri"/>
          <w:color w:val="44403c"/>
          <w:sz w:val="22"/>
          <w:szCs w:val="22"/>
        </w:rPr>
        <w:t xml:space="preserve">Type the name you would like the advisor to use when addressing you. This personalizes every response and appears in the Bond Map.</w:t>
      </w:r>
    </w:p>
    <w:p>
      <w:pPr>
        <w:spacing w:after="120" w:before="200"/>
      </w:pPr>
      <w:r>
        <w:rPr>
          <w:rFonts w:ascii="Georgia" w:cs="Georgia" w:eastAsia="Georgia" w:hAnsi="Georgia"/>
          <w:b/>
          <w:bCs/>
          <w:color w:val="44403c"/>
          <w:sz w:val="22"/>
          <w:szCs w:val="22"/>
        </w:rPr>
        <w:t xml:space="preserve">Step 2: Enter Your API Key</w:t>
      </w:r>
    </w:p>
    <w:p>
      <w:pPr>
        <w:spacing w:after="160" w:line="320"/>
      </w:pPr>
      <w:r>
        <w:rPr>
          <w:rFonts w:ascii="Calibri" w:cs="Calibri" w:eastAsia="Calibri" w:hAnsi="Calibri"/>
          <w:color w:val="44403c"/>
          <w:sz w:val="22"/>
          <w:szCs w:val="22"/>
        </w:rPr>
        <w:t xml:space="preserve">Paste your Anthropic API key. It is stored only in your browser tab's memory and is never transmitted anywhere except directly to the Anthropic API.</w:t>
      </w:r>
    </w:p>
    <w:p>
      <w:pPr>
        <w:spacing w:after="120" w:before="200"/>
      </w:pPr>
      <w:r>
        <w:rPr>
          <w:rFonts w:ascii="Georgia" w:cs="Georgia" w:eastAsia="Georgia" w:hAnsi="Georgia"/>
          <w:b/>
          <w:bCs/>
          <w:color w:val="44403c"/>
          <w:sz w:val="22"/>
          <w:szCs w:val="22"/>
        </w:rPr>
        <w:t xml:space="preserve">Step 3: Click "Begin the Bond"</w:t>
      </w:r>
    </w:p>
    <w:p>
      <w:pPr>
        <w:spacing w:after="160" w:line="320"/>
      </w:pPr>
      <w:r>
        <w:rPr>
          <w:rFonts w:ascii="Calibri" w:cs="Calibri" w:eastAsia="Calibri" w:hAnsi="Calibri"/>
          <w:color w:val="44403c"/>
          <w:sz w:val="22"/>
          <w:szCs w:val="22"/>
        </w:rPr>
        <w:t xml:space="preserve">The main interface will appear. You will see the chat area on the left and the Bond Map panel on the right. Four starter prompts are available to help you begin, or you can type your own situation directly.</w:t>
      </w:r>
    </w:p>
    <w:p>
      <w:r>
        <w:br w:type="page"/>
      </w:r>
    </w:p>
    <w:p>
      <w:pPr>
        <w:pStyle w:val="Heading1"/>
        <w:spacing w:after="200" w:before="360"/>
      </w:pPr>
      <w:r>
        <w:rPr>
          <w:rFonts w:ascii="Georgia" w:cs="Georgia" w:eastAsia="Georgia" w:hAnsi="Georgia"/>
          <w:b/>
          <w:bCs/>
          <w:color w:val="1c1917"/>
          <w:sz w:val="32"/>
          <w:szCs w:val="32"/>
        </w:rPr>
        <w:t xml:space="preserve">3. The Five Advisory Modes</w:t>
      </w:r>
    </w:p>
    <w:p>
      <w:pPr>
        <w:spacing w:after="160" w:line="320"/>
      </w:pPr>
      <w:r>
        <w:rPr>
          <w:rFonts w:ascii="Calibri" w:cs="Calibri" w:eastAsia="Calibri" w:hAnsi="Calibri"/>
          <w:color w:val="44403c"/>
          <w:sz w:val="22"/>
          <w:szCs w:val="22"/>
        </w:rPr>
        <w:t xml:space="preserve">The Wisdom Bond offers five distinct advisory modes, each designed for a different kind of thinking. You can switch modes at any time using the tabs in the header bar. The conversation history carries forward, so the new mode inherits everything the agent has already learned about you.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120"/>
            </w:tcMar>
          </w:tcPr>
          <w:p>
            <w:r>
              <w:rPr>
                <w:rFonts w:ascii="Georgia" w:cs="Georgia" w:eastAsia="Georgia" w:hAnsi="Georgia"/>
                <w:b/>
                <w:bCs/>
                <w:color w:val="FFFFFF"/>
                <w:sz w:val="20"/>
                <w:szCs w:val="20"/>
              </w:rPr>
              <w:t xml:space="preserve">Mode</w:t>
            </w:r>
          </w:p>
        </w:tc>
        <w:tc>
          <w:tcPr>
            <w:tcW w:type="dxa" w:w="7360"/>
            <w:tcBorders>
              <w:top w:val="single" w:color="E7E5E4" w:sz="1"/>
              <w:left w:val="single" w:color="E7E5E4" w:sz="1"/>
              <w:bottom w:val="single" w:color="E7E5E4" w:sz="1"/>
              <w:right w:val="single" w:color="E7E5E4" w:sz="1"/>
            </w:tcBorders>
            <w:shd w:fill="1c1917" w:val="clear"/>
            <w:tcMar>
              <w:top w:type="dxa" w:w="80"/>
              <w:left w:type="dxa" w:w="120"/>
              <w:bottom w:type="dxa" w:w="80"/>
              <w:right w:type="dxa" w:w="120"/>
            </w:tcMar>
          </w:tcPr>
          <w:p>
            <w:r>
              <w:rPr>
                <w:rFonts w:ascii="Georgia" w:cs="Georgia" w:eastAsia="Georgia" w:hAnsi="Georgia"/>
                <w:b/>
                <w:bCs/>
                <w:color w:val="FFFFFF"/>
                <w:sz w:val="20"/>
                <w:szCs w:val="20"/>
              </w:rPr>
              <w:t xml:space="preserve">What It Does</w:t>
            </w:r>
          </w:p>
        </w:tc>
      </w:tr>
      <w:tr>
        <w:tc>
          <w:tcPr>
            <w:tcW w:type="dxa" w:w="2000"/>
            <w:tcBorders>
              <w:top w:val="single" w:color="E7E5E4" w:sz="1"/>
              <w:left w:val="single" w:color="E7E5E4" w:sz="1"/>
              <w:bottom w:val="single" w:color="E7E5E4" w:sz="1"/>
              <w:right w:val="single" w:color="E7E5E4" w:sz="1"/>
            </w:tcBorders>
            <w:shd w:fill="F7F4EF" w:val="clear"/>
            <w:tcMar>
              <w:top w:type="dxa" w:w="80"/>
              <w:left w:type="dxa" w:w="120"/>
              <w:bottom w:type="dxa" w:w="80"/>
              <w:right w:type="dxa" w:w="120"/>
            </w:tcMar>
          </w:tcPr>
          <w:p>
            <w:r>
              <w:rPr>
                <w:rFonts w:ascii="Georgia" w:cs="Georgia" w:eastAsia="Georgia" w:hAnsi="Georgia"/>
                <w:b/>
                <w:bCs/>
                <w:color w:val="6d5a3a"/>
                <w:sz w:val="20"/>
                <w:szCs w:val="20"/>
              </w:rPr>
              <w:t xml:space="preserve">Counsel</w:t>
            </w:r>
          </w:p>
        </w:tc>
        <w:tc>
          <w:tcPr>
            <w:tcW w:type="dxa" w:w="7360"/>
            <w:tcBorders>
              <w:top w:val="single" w:color="E7E5E4" w:sz="1"/>
              <w:left w:val="single" w:color="E7E5E4" w:sz="1"/>
              <w:bottom w:val="single" w:color="E7E5E4" w:sz="1"/>
              <w:right w:val="single" w:color="E7E5E4" w:sz="1"/>
            </w:tcBorders>
            <w:shd w:fill="F7F4EF" w:val="clear"/>
            <w:tcMar>
              <w:top w:type="dxa" w:w="80"/>
              <w:left w:type="dxa" w:w="120"/>
              <w:bottom w:type="dxa" w:w="80"/>
              <w:right w:type="dxa" w:w="120"/>
            </w:tcMar>
          </w:tcPr>
          <w:p>
            <w:pPr>
              <w:spacing w:line="300"/>
            </w:pPr>
            <w:r>
              <w:rPr>
                <w:rFonts w:ascii="Calibri" w:cs="Calibri" w:eastAsia="Calibri" w:hAnsi="Calibri"/>
                <w:color w:val="44403c"/>
                <w:sz w:val="20"/>
                <w:szCs w:val="20"/>
              </w:rPr>
              <w:t xml:space="preserve">Balanced, multi-perspective advisory. Offers alternative viewpoints and ends with a clarifying question.</w:t>
            </w:r>
          </w:p>
        </w:tc>
      </w:tr>
      <w:tr>
        <w:tc>
          <w:tcPr>
            <w:tcW w:type="dxa" w:w="2000"/>
            <w:tcBorders>
              <w:top w:val="single" w:color="E7E5E4" w:sz="1"/>
              <w:left w:val="single" w:color="E7E5E4" w:sz="1"/>
              <w:bottom w:val="single" w:color="E7E5E4" w:sz="1"/>
              <w:right w:val="single" w:color="E7E5E4" w:sz="1"/>
            </w:tcBorders>
            <w:shd w:fill="FFFFFF" w:val="clear"/>
            <w:tcMar>
              <w:top w:type="dxa" w:w="80"/>
              <w:left w:type="dxa" w:w="120"/>
              <w:bottom w:type="dxa" w:w="80"/>
              <w:right w:type="dxa" w:w="120"/>
            </w:tcMar>
          </w:tcPr>
          <w:p>
            <w:r>
              <w:rPr>
                <w:rFonts w:ascii="Georgia" w:cs="Georgia" w:eastAsia="Georgia" w:hAnsi="Georgia"/>
                <w:b/>
                <w:bCs/>
                <w:color w:val="9e5c3a"/>
                <w:sz w:val="20"/>
                <w:szCs w:val="20"/>
              </w:rPr>
              <w:t xml:space="preserve">Challenge</w:t>
            </w:r>
          </w:p>
        </w:tc>
        <w:tc>
          <w:tcPr>
            <w:tcW w:type="dxa" w:w="7360"/>
            <w:tcBorders>
              <w:top w:val="single" w:color="E7E5E4" w:sz="1"/>
              <w:left w:val="single" w:color="E7E5E4" w:sz="1"/>
              <w:bottom w:val="single" w:color="E7E5E4" w:sz="1"/>
              <w:right w:val="single" w:color="E7E5E4" w:sz="1"/>
            </w:tcBorders>
            <w:shd w:fill="FFFFFF" w:val="clear"/>
            <w:tcMar>
              <w:top w:type="dxa" w:w="80"/>
              <w:left w:type="dxa" w:w="120"/>
              <w:bottom w:type="dxa" w:w="80"/>
              <w:right w:type="dxa" w:w="120"/>
            </w:tcMar>
          </w:tcPr>
          <w:p>
            <w:pPr>
              <w:spacing w:line="300"/>
            </w:pPr>
            <w:r>
              <w:rPr>
                <w:rFonts w:ascii="Calibri" w:cs="Calibri" w:eastAsia="Calibri" w:hAnsi="Calibri"/>
                <w:color w:val="44403c"/>
                <w:sz w:val="20"/>
                <w:szCs w:val="20"/>
              </w:rPr>
              <w:t xml:space="preserve">Surfaces blind spots and tests assumptions. States the strongest case against your inclination.</w:t>
            </w:r>
          </w:p>
        </w:tc>
      </w:tr>
      <w:tr>
        <w:tc>
          <w:tcPr>
            <w:tcW w:type="dxa" w:w="2000"/>
            <w:tcBorders>
              <w:top w:val="single" w:color="E7E5E4" w:sz="1"/>
              <w:left w:val="single" w:color="E7E5E4" w:sz="1"/>
              <w:bottom w:val="single" w:color="E7E5E4" w:sz="1"/>
              <w:right w:val="single" w:color="E7E5E4" w:sz="1"/>
            </w:tcBorders>
            <w:shd w:fill="F7F4EF" w:val="clear"/>
            <w:tcMar>
              <w:top w:type="dxa" w:w="80"/>
              <w:left w:type="dxa" w:w="120"/>
              <w:bottom w:type="dxa" w:w="80"/>
              <w:right w:type="dxa" w:w="120"/>
            </w:tcMar>
          </w:tcPr>
          <w:p>
            <w:r>
              <w:rPr>
                <w:rFonts w:ascii="Georgia" w:cs="Georgia" w:eastAsia="Georgia" w:hAnsi="Georgia"/>
                <w:b/>
                <w:bCs/>
                <w:color w:val="4a6a8a"/>
                <w:sz w:val="20"/>
                <w:szCs w:val="20"/>
              </w:rPr>
              <w:t xml:space="preserve">Mirror</w:t>
            </w:r>
          </w:p>
        </w:tc>
        <w:tc>
          <w:tcPr>
            <w:tcW w:type="dxa" w:w="7360"/>
            <w:tcBorders>
              <w:top w:val="single" w:color="E7E5E4" w:sz="1"/>
              <w:left w:val="single" w:color="E7E5E4" w:sz="1"/>
              <w:bottom w:val="single" w:color="E7E5E4" w:sz="1"/>
              <w:right w:val="single" w:color="E7E5E4" w:sz="1"/>
            </w:tcBorders>
            <w:shd w:fill="F7F4EF" w:val="clear"/>
            <w:tcMar>
              <w:top w:type="dxa" w:w="80"/>
              <w:left w:type="dxa" w:w="120"/>
              <w:bottom w:type="dxa" w:w="80"/>
              <w:right w:type="dxa" w:w="120"/>
            </w:tcMar>
          </w:tcPr>
          <w:p>
            <w:pPr>
              <w:spacing w:line="300"/>
            </w:pPr>
            <w:r>
              <w:rPr>
                <w:rFonts w:ascii="Calibri" w:cs="Calibri" w:eastAsia="Calibri" w:hAnsi="Calibri"/>
                <w:color w:val="44403c"/>
                <w:sz w:val="20"/>
                <w:szCs w:val="20"/>
              </w:rPr>
              <w:t xml:space="preserve">Reflects your patterns, emotions, and decision tendencies back to you with clarity and compassion.</w:t>
            </w:r>
          </w:p>
        </w:tc>
      </w:tr>
      <w:tr>
        <w:tc>
          <w:tcPr>
            <w:tcW w:type="dxa" w:w="2000"/>
            <w:tcBorders>
              <w:top w:val="single" w:color="E7E5E4" w:sz="1"/>
              <w:left w:val="single" w:color="E7E5E4" w:sz="1"/>
              <w:bottom w:val="single" w:color="E7E5E4" w:sz="1"/>
              <w:right w:val="single" w:color="E7E5E4" w:sz="1"/>
            </w:tcBorders>
            <w:shd w:fill="FFFFFF" w:val="clear"/>
            <w:tcMar>
              <w:top w:type="dxa" w:w="80"/>
              <w:left w:type="dxa" w:w="120"/>
              <w:bottom w:type="dxa" w:w="80"/>
              <w:right w:type="dxa" w:w="120"/>
            </w:tcMar>
          </w:tcPr>
          <w:p>
            <w:r>
              <w:rPr>
                <w:rFonts w:ascii="Georgia" w:cs="Georgia" w:eastAsia="Georgia" w:hAnsi="Georgia"/>
                <w:b/>
                <w:bCs/>
                <w:color w:val="4a7c59"/>
                <w:sz w:val="20"/>
                <w:szCs w:val="20"/>
              </w:rPr>
              <w:t xml:space="preserve">Strategic</w:t>
            </w:r>
          </w:p>
        </w:tc>
        <w:tc>
          <w:tcPr>
            <w:tcW w:type="dxa" w:w="7360"/>
            <w:tcBorders>
              <w:top w:val="single" w:color="E7E5E4" w:sz="1"/>
              <w:left w:val="single" w:color="E7E5E4" w:sz="1"/>
              <w:bottom w:val="single" w:color="E7E5E4" w:sz="1"/>
              <w:right w:val="single" w:color="E7E5E4" w:sz="1"/>
            </w:tcBorders>
            <w:shd w:fill="FFFFFF" w:val="clear"/>
            <w:tcMar>
              <w:top w:type="dxa" w:w="80"/>
              <w:left w:type="dxa" w:w="120"/>
              <w:bottom w:type="dxa" w:w="80"/>
              <w:right w:type="dxa" w:w="120"/>
            </w:tcMar>
          </w:tcPr>
          <w:p>
            <w:pPr>
              <w:spacing w:line="300"/>
            </w:pPr>
            <w:r>
              <w:rPr>
                <w:rFonts w:ascii="Calibri" w:cs="Calibri" w:eastAsia="Calibri" w:hAnsi="Calibri"/>
                <w:color w:val="44403c"/>
                <w:sz w:val="20"/>
                <w:szCs w:val="20"/>
              </w:rPr>
              <w:t xml:space="preserve">Maps systems, incentives, and trade-offs. Identifies the move that creates the most optionality.</w:t>
            </w:r>
          </w:p>
        </w:tc>
      </w:tr>
      <w:tr>
        <w:tc>
          <w:tcPr>
            <w:tcW w:type="dxa" w:w="2000"/>
            <w:tcBorders>
              <w:top w:val="single" w:color="E7E5E4" w:sz="1"/>
              <w:left w:val="single" w:color="E7E5E4" w:sz="1"/>
              <w:bottom w:val="single" w:color="E7E5E4" w:sz="1"/>
              <w:right w:val="single" w:color="E7E5E4" w:sz="1"/>
            </w:tcBorders>
            <w:shd w:fill="F7F4EF" w:val="clear"/>
            <w:tcMar>
              <w:top w:type="dxa" w:w="80"/>
              <w:left w:type="dxa" w:w="120"/>
              <w:bottom w:type="dxa" w:w="80"/>
              <w:right w:type="dxa" w:w="120"/>
            </w:tcMar>
          </w:tcPr>
          <w:p>
            <w:r>
              <w:rPr>
                <w:rFonts w:ascii="Georgia" w:cs="Georgia" w:eastAsia="Georgia" w:hAnsi="Georgia"/>
                <w:b/>
                <w:bCs/>
                <w:color w:val="7a6a8a"/>
                <w:sz w:val="20"/>
                <w:szCs w:val="20"/>
              </w:rPr>
              <w:t xml:space="preserve">Somatic</w:t>
            </w:r>
          </w:p>
        </w:tc>
        <w:tc>
          <w:tcPr>
            <w:tcW w:type="dxa" w:w="7360"/>
            <w:tcBorders>
              <w:top w:val="single" w:color="E7E5E4" w:sz="1"/>
              <w:left w:val="single" w:color="E7E5E4" w:sz="1"/>
              <w:bottom w:val="single" w:color="E7E5E4" w:sz="1"/>
              <w:right w:val="single" w:color="E7E5E4" w:sz="1"/>
            </w:tcBorders>
            <w:shd w:fill="F7F4EF" w:val="clear"/>
            <w:tcMar>
              <w:top w:type="dxa" w:w="80"/>
              <w:left w:type="dxa" w:w="120"/>
              <w:bottom w:type="dxa" w:w="80"/>
              <w:right w:type="dxa" w:w="120"/>
            </w:tcMar>
          </w:tcPr>
          <w:p>
            <w:pPr>
              <w:spacing w:line="300"/>
            </w:pPr>
            <w:r>
              <w:rPr>
                <w:rFonts w:ascii="Calibri" w:cs="Calibri" w:eastAsia="Calibri" w:hAnsi="Calibri"/>
                <w:color w:val="44403c"/>
                <w:sz w:val="20"/>
                <w:szCs w:val="20"/>
              </w:rPr>
              <w:t xml:space="preserve">Checks in with your body and instincts. Helps distinguish fear-based from wisdom-based resistance.</w:t>
            </w:r>
          </w:p>
        </w:tc>
      </w:tr>
    </w:tbl>
    <w:p>
      <w:pPr>
        <w:spacing w:after="80"/>
      </w:pPr>
    </w:p>
    <w:p>
      <w:pPr>
        <w:pStyle w:val="Heading2"/>
        <w:spacing w:after="160" w:before="280"/>
      </w:pPr>
      <w:r>
        <w:rPr>
          <w:rFonts w:ascii="Georgia" w:cs="Georgia" w:eastAsia="Georgia" w:hAnsi="Georgia"/>
          <w:b/>
          <w:bCs/>
          <w:color w:val="6d5a3a"/>
          <w:sz w:val="26"/>
          <w:szCs w:val="26"/>
        </w:rPr>
        <w:t xml:space="preserve">3.1 Counsel</w:t>
      </w:r>
    </w:p>
    <w:p>
      <w:pPr>
        <w:spacing w:after="160" w:line="320"/>
      </w:pPr>
      <w:r>
        <w:rPr>
          <w:rFonts w:ascii="Calibri" w:cs="Calibri" w:eastAsia="Calibri" w:hAnsi="Calibri"/>
          <w:color w:val="44403c"/>
          <w:sz w:val="22"/>
          <w:szCs w:val="22"/>
        </w:rPr>
        <w:t xml:space="preserve">This is the default mode. The Counsel provides balanced, warm, direct advisory. When you share a situation, it will offer a clear perspective, present two or three alternative viewpoints you may not have considered, name the deeper principle at work, and close with a clarifying question. This mode is best for general decision-making, when you want perspective rather than pressure.</w:t>
      </w:r>
    </w:p>
    <w:p>
      <w:pPr>
        <w:pStyle w:val="Heading2"/>
        <w:spacing w:after="160" w:before="280"/>
      </w:pPr>
      <w:r>
        <w:rPr>
          <w:rFonts w:ascii="Georgia" w:cs="Georgia" w:eastAsia="Georgia" w:hAnsi="Georgia"/>
          <w:b/>
          <w:bCs/>
          <w:color w:val="6d5a3a"/>
          <w:sz w:val="26"/>
          <w:szCs w:val="26"/>
        </w:rPr>
        <w:t xml:space="preserve">3.2 Challenge</w:t>
      </w:r>
    </w:p>
    <w:p>
      <w:pPr>
        <w:spacing w:after="160" w:line="320"/>
      </w:pPr>
      <w:r>
        <w:rPr>
          <w:rFonts w:ascii="Calibri" w:cs="Calibri" w:eastAsia="Calibri" w:hAnsi="Calibri"/>
          <w:color w:val="44403c"/>
          <w:sz w:val="22"/>
          <w:szCs w:val="22"/>
        </w:rPr>
        <w:t xml:space="preserve">The Challenger exists to surface what you might not want to see. It will state the strongest case against your inclination, name the assumptions that could be wrong, describe a realistic worst-case scenario, and offer a reframe that changes the entire picture. Use this mode when you suspect you are rationalizing, when you need someone to push back, or when the stakes are high enough that blind spots could be costly.</w:t>
      </w:r>
    </w:p>
    <w:p>
      <w:pPr>
        <w:pStyle w:val="Heading2"/>
        <w:spacing w:after="160" w:before="280"/>
      </w:pPr>
      <w:r>
        <w:rPr>
          <w:rFonts w:ascii="Georgia" w:cs="Georgia" w:eastAsia="Georgia" w:hAnsi="Georgia"/>
          <w:b/>
          <w:bCs/>
          <w:color w:val="6d5a3a"/>
          <w:sz w:val="26"/>
          <w:szCs w:val="26"/>
        </w:rPr>
        <w:t xml:space="preserve">3.3 Mirror</w:t>
      </w:r>
    </w:p>
    <w:p>
      <w:pPr>
        <w:spacing w:after="160" w:line="320"/>
      </w:pPr>
      <w:r>
        <w:rPr>
          <w:rFonts w:ascii="Calibri" w:cs="Calibri" w:eastAsia="Calibri" w:hAnsi="Calibri"/>
          <w:color w:val="44403c"/>
          <w:sz w:val="22"/>
          <w:szCs w:val="22"/>
        </w:rPr>
        <w:t xml:space="preserve">The Mirror is not about solving the problem. It is about seeing yourself. This mode reflects back what your words reveal about what you truly want, names the emotions underneath the surface question, and identifies the patterns in how you approach decisions. Use this mode when you feel stuck and suspect the issue is not the situation itself but something inside you.</w:t>
      </w:r>
    </w:p>
    <w:p>
      <w:pPr>
        <w:pStyle w:val="Heading2"/>
        <w:spacing w:after="160" w:before="280"/>
      </w:pPr>
      <w:r>
        <w:rPr>
          <w:rFonts w:ascii="Georgia" w:cs="Georgia" w:eastAsia="Georgia" w:hAnsi="Georgia"/>
          <w:b/>
          <w:bCs/>
          <w:color w:val="6d5a3a"/>
          <w:sz w:val="26"/>
          <w:szCs w:val="26"/>
        </w:rPr>
        <w:t xml:space="preserve">3.4 Strategic</w:t>
      </w:r>
    </w:p>
    <w:p>
      <w:pPr>
        <w:spacing w:after="160" w:line="320"/>
      </w:pPr>
      <w:r>
        <w:rPr>
          <w:rFonts w:ascii="Calibri" w:cs="Calibri" w:eastAsia="Calibri" w:hAnsi="Calibri"/>
          <w:color w:val="44403c"/>
          <w:sz w:val="22"/>
          <w:szCs w:val="22"/>
        </w:rPr>
        <w:t xml:space="preserve">The Strategist thinks in systems, incentives, and leverage. It will identify the real decision at stake (which may not be what you think), map the key trade-offs, identify stakeholders and their interests, and offer the move that creates the most optionality. Use this mode for career decisions, organizational dynamics, negotiations, or any situation where multiple parties and competing interests are in play.</w:t>
      </w:r>
    </w:p>
    <w:p>
      <w:pPr>
        <w:pStyle w:val="Heading2"/>
        <w:spacing w:after="160" w:before="280"/>
      </w:pPr>
      <w:r>
        <w:rPr>
          <w:rFonts w:ascii="Georgia" w:cs="Georgia" w:eastAsia="Georgia" w:hAnsi="Georgia"/>
          <w:b/>
          <w:bCs/>
          <w:color w:val="6d5a3a"/>
          <w:sz w:val="26"/>
          <w:szCs w:val="26"/>
        </w:rPr>
        <w:t xml:space="preserve">3.5 Somatic</w:t>
      </w:r>
    </w:p>
    <w:p>
      <w:pPr>
        <w:spacing w:after="160" w:line="320"/>
      </w:pPr>
      <w:r>
        <w:rPr>
          <w:rFonts w:ascii="Calibri" w:cs="Calibri" w:eastAsia="Calibri" w:hAnsi="Calibri"/>
          <w:color w:val="44403c"/>
          <w:sz w:val="22"/>
          <w:szCs w:val="22"/>
        </w:rPr>
        <w:t xml:space="preserve">The Grounding Voice is the most unusual mode. It asks you to check in with your whole self, not just your analytical mind. It will ask what you feel in your body when you consider each option, help you distinguish between fear-based and wisdom-based resistance, and offer awareness practices. Use this mode when you have analyzed the situation thoroughly but still feel uncertain, or when you sense that your body knows something your mind has not caught up with.</w:t>
      </w:r>
    </w:p>
    <w:p>
      <w:r>
        <w:br w:type="page"/>
      </w:r>
    </w:p>
    <w:p>
      <w:pPr>
        <w:pStyle w:val="Heading1"/>
        <w:spacing w:after="200" w:before="360"/>
      </w:pPr>
      <w:r>
        <w:rPr>
          <w:rFonts w:ascii="Georgia" w:cs="Georgia" w:eastAsia="Georgia" w:hAnsi="Georgia"/>
          <w:b/>
          <w:bCs/>
          <w:color w:val="1c1917"/>
          <w:sz w:val="32"/>
          <w:szCs w:val="32"/>
        </w:rPr>
        <w:t xml:space="preserve">4. The Bond Map</w:t>
      </w:r>
    </w:p>
    <w:p>
      <w:pPr>
        <w:spacing w:after="160" w:line="320"/>
      </w:pPr>
      <w:r>
        <w:rPr>
          <w:rFonts w:ascii="Calibri" w:cs="Calibri" w:eastAsia="Calibri" w:hAnsi="Calibri"/>
          <w:color w:val="44403c"/>
          <w:sz w:val="22"/>
          <w:szCs w:val="22"/>
        </w:rPr>
        <w:t xml:space="preserve">The Bond Map is the right-side panel that visualizes your evolving relationship with the agent. It is not decorative. Every element updates in real time based on what the agent learns about you through conversation.</w:t>
      </w:r>
    </w:p>
    <w:p>
      <w:pPr>
        <w:spacing w:after="160" w:line="320"/>
      </w:pPr>
      <w:r>
        <w:rPr>
          <w:rFonts w:ascii="Calibri" w:cs="Calibri" w:eastAsia="Calibri" w:hAnsi="Calibri"/>
          <w:color w:val="44403c"/>
          <w:sz w:val="22"/>
          <w:szCs w:val="22"/>
        </w:rPr>
        <w:t xml:space="preserve">You can toggle the Bond Map open or closed using the "Bond Map" button in the header bar.</w:t>
      </w:r>
    </w:p>
    <w:p>
      <w:pPr>
        <w:pStyle w:val="Heading2"/>
        <w:spacing w:after="160" w:before="280"/>
      </w:pPr>
      <w:r>
        <w:rPr>
          <w:rFonts w:ascii="Georgia" w:cs="Georgia" w:eastAsia="Georgia" w:hAnsi="Georgia"/>
          <w:b/>
          <w:bCs/>
          <w:color w:val="6d5a3a"/>
          <w:sz w:val="26"/>
          <w:szCs w:val="26"/>
        </w:rPr>
        <w:t xml:space="preserve">4.1 Constellation Canvas</w:t>
      </w:r>
    </w:p>
    <w:p>
      <w:pPr>
        <w:spacing w:after="160" w:line="320"/>
      </w:pPr>
      <w:r>
        <w:rPr>
          <w:rFonts w:ascii="Calibri" w:cs="Calibri" w:eastAsia="Calibri" w:hAnsi="Calibri"/>
          <w:color w:val="44403c"/>
          <w:sz w:val="22"/>
          <w:szCs w:val="22"/>
        </w:rPr>
        <w:t xml:space="preserve">The top section of the Bond Map displays a circular constellation diagram. At the center is a node representing the bond itself. Radiating outward are four trait nodes (Analytical, Intuitive, Risk-open, People-first) that move farther from center as those traits strengthen. Value words orbit the constellation based on how frequently they appear. Connection lines form between strong traits and the center, creating a visual fingerprint of your decision-making profile.</w:t>
      </w:r>
    </w:p>
    <w:p>
      <w:pPr>
        <w:spacing w:after="160" w:line="320"/>
      </w:pPr>
      <w:r>
        <w:rPr>
          <w:rFonts w:ascii="Calibri" w:cs="Calibri" w:eastAsia="Calibri" w:hAnsi="Calibri"/>
          <w:color w:val="44403c"/>
          <w:sz w:val="22"/>
          <w:szCs w:val="22"/>
        </w:rPr>
        <w:t xml:space="preserve">The constellation is sparse at first. After three or four exchanges, patterns begin to emerge. After eight to ten exchanges, the constellation becomes a rich, personalized map.</w:t>
      </w:r>
    </w:p>
    <w:p>
      <w:pPr>
        <w:pStyle w:val="Heading2"/>
        <w:spacing w:after="160" w:before="280"/>
      </w:pPr>
      <w:r>
        <w:rPr>
          <w:rFonts w:ascii="Georgia" w:cs="Georgia" w:eastAsia="Georgia" w:hAnsi="Georgia"/>
          <w:b/>
          <w:bCs/>
          <w:color w:val="6d5a3a"/>
          <w:sz w:val="26"/>
          <w:szCs w:val="26"/>
        </w:rPr>
        <w:t xml:space="preserve">4.2 Bond Strength</w:t>
      </w:r>
    </w:p>
    <w:p>
      <w:pPr>
        <w:spacing w:after="160" w:line="320"/>
      </w:pPr>
      <w:r>
        <w:rPr>
          <w:rFonts w:ascii="Calibri" w:cs="Calibri" w:eastAsia="Calibri" w:hAnsi="Calibri"/>
          <w:color w:val="44403c"/>
          <w:sz w:val="22"/>
          <w:szCs w:val="22"/>
        </w:rPr>
        <w:t xml:space="preserve">A ring meter shows the overall bond strength as a percentage (0 to 100%). This composite metric increases based on the number of exchanges, the number of values surfaced, the number of patterns observed, and the strength of your decision traits.</w:t>
      </w:r>
    </w:p>
    <w:p>
      <w:pPr>
        <w:spacing w:after="160" w:line="320"/>
      </w:pPr>
      <w:r>
        <w:rPr>
          <w:rFonts w:ascii="Calibri" w:cs="Calibri" w:eastAsia="Calibri" w:hAnsi="Calibri"/>
          <w:color w:val="44403c"/>
          <w:sz w:val="22"/>
          <w:szCs w:val="22"/>
        </w:rPr>
        <w:t xml:space="preserve">The bond moves through five named stages: Beginning (0 to 19%), Forming (20 to 39%), Deepening (40 to 59%), Connected (60 to 79%), and Attuned (80 to 100%).</w:t>
      </w:r>
    </w:p>
    <w:p>
      <w:pPr>
        <w:pStyle w:val="Heading2"/>
        <w:spacing w:after="160" w:before="280"/>
      </w:pPr>
      <w:r>
        <w:rPr>
          <w:rFonts w:ascii="Georgia" w:cs="Georgia" w:eastAsia="Georgia" w:hAnsi="Georgia"/>
          <w:b/>
          <w:bCs/>
          <w:color w:val="6d5a3a"/>
          <w:sz w:val="26"/>
          <w:szCs w:val="26"/>
        </w:rPr>
        <w:t xml:space="preserve">4.3 Decision Traits</w:t>
      </w:r>
    </w:p>
    <w:p>
      <w:pPr>
        <w:spacing w:after="160" w:line="320"/>
      </w:pPr>
      <w:r>
        <w:rPr>
          <w:rFonts w:ascii="Calibri" w:cs="Calibri" w:eastAsia="Calibri" w:hAnsi="Calibri"/>
          <w:color w:val="44403c"/>
          <w:sz w:val="22"/>
          <w:szCs w:val="22"/>
        </w:rPr>
        <w:t xml:space="preserve">Four horizontal bar charts track your decision-making tendencies on a scale of 0 to 10:</w:t>
      </w:r>
    </w:p>
    <w:p>
      <w:pPr>
        <w:spacing w:after="80"/>
      </w:pPr>
    </w:p>
    <w:p>
      <w:pPr>
        <w:spacing w:after="160" w:line="320"/>
      </w:pPr>
      <w:r>
        <w:rPr>
          <w:rFonts w:ascii="Calibri" w:cs="Calibri" w:eastAsia="Calibri" w:hAnsi="Calibri"/>
          <w:b/>
          <w:bCs/>
          <w:color w:val="1c1917"/>
          <w:sz w:val="22"/>
          <w:szCs w:val="22"/>
        </w:rPr>
        <w:t xml:space="preserve">Analytical: </w:t>
      </w:r>
      <w:r>
        <w:rPr>
          <w:rFonts w:ascii="Calibri" w:cs="Calibri" w:eastAsia="Calibri" w:hAnsi="Calibri"/>
          <w:color w:val="44403c"/>
          <w:sz w:val="22"/>
          <w:szCs w:val="22"/>
        </w:rPr>
        <w:t xml:space="preserve">Your preference for logic, data, structured reasoning, and evidence-based thinking.</w:t>
      </w:r>
    </w:p>
    <w:p>
      <w:pPr>
        <w:spacing w:after="160" w:line="320"/>
      </w:pPr>
      <w:r>
        <w:rPr>
          <w:rFonts w:ascii="Calibri" w:cs="Calibri" w:eastAsia="Calibri" w:hAnsi="Calibri"/>
          <w:b/>
          <w:bCs/>
          <w:color w:val="1c1917"/>
          <w:sz w:val="22"/>
          <w:szCs w:val="22"/>
        </w:rPr>
        <w:t xml:space="preserve">Intuitive: </w:t>
      </w:r>
      <w:r>
        <w:rPr>
          <w:rFonts w:ascii="Calibri" w:cs="Calibri" w:eastAsia="Calibri" w:hAnsi="Calibri"/>
          <w:color w:val="44403c"/>
          <w:sz w:val="22"/>
          <w:szCs w:val="22"/>
        </w:rPr>
        <w:t xml:space="preserve">Your reliance on gut feeling, instinct, emotion, and pattern recognition.</w:t>
      </w:r>
    </w:p>
    <w:p>
      <w:pPr>
        <w:spacing w:after="160" w:line="320"/>
      </w:pPr>
      <w:r>
        <w:rPr>
          <w:rFonts w:ascii="Calibri" w:cs="Calibri" w:eastAsia="Calibri" w:hAnsi="Calibri"/>
          <w:b/>
          <w:bCs/>
          <w:color w:val="1c1917"/>
          <w:sz w:val="22"/>
          <w:szCs w:val="22"/>
        </w:rPr>
        <w:t xml:space="preserve">Risk-open: </w:t>
      </w:r>
      <w:r>
        <w:rPr>
          <w:rFonts w:ascii="Calibri" w:cs="Calibri" w:eastAsia="Calibri" w:hAnsi="Calibri"/>
          <w:color w:val="44403c"/>
          <w:sz w:val="22"/>
          <w:szCs w:val="22"/>
        </w:rPr>
        <w:t xml:space="preserve">Your openness to uncertainty, bold moves, and stepping into the unknown.</w:t>
      </w:r>
    </w:p>
    <w:p>
      <w:pPr>
        <w:spacing w:after="160" w:line="320"/>
      </w:pPr>
      <w:r>
        <w:rPr>
          <w:rFonts w:ascii="Calibri" w:cs="Calibri" w:eastAsia="Calibri" w:hAnsi="Calibri"/>
          <w:b/>
          <w:bCs/>
          <w:color w:val="1c1917"/>
          <w:sz w:val="22"/>
          <w:szCs w:val="22"/>
        </w:rPr>
        <w:t xml:space="preserve">People-first: </w:t>
      </w:r>
      <w:r>
        <w:rPr>
          <w:rFonts w:ascii="Calibri" w:cs="Calibri" w:eastAsia="Calibri" w:hAnsi="Calibri"/>
          <w:color w:val="44403c"/>
          <w:sz w:val="22"/>
          <w:szCs w:val="22"/>
        </w:rPr>
        <w:t xml:space="preserve">Your tendency to prioritize relationships, others' needs, and relational impact in decisions.</w:t>
      </w:r>
    </w:p>
    <w:p>
      <w:pPr>
        <w:spacing w:after="80"/>
      </w:pPr>
    </w:p>
    <w:p>
      <w:pPr>
        <w:spacing w:after="160" w:line="320"/>
      </w:pPr>
      <w:r>
        <w:rPr>
          <w:rFonts w:ascii="Calibri" w:cs="Calibri" w:eastAsia="Calibri" w:hAnsi="Calibri"/>
          <w:color w:val="44403c"/>
          <w:sz w:val="22"/>
          <w:szCs w:val="22"/>
        </w:rPr>
        <w:t xml:space="preserve">These scores are cumulative. They shift as new evidence appears across multiple exchanges, not based on any single message.</w:t>
      </w:r>
    </w:p>
    <w:p>
      <w:pPr>
        <w:pStyle w:val="Heading2"/>
        <w:spacing w:after="160" w:before="280"/>
      </w:pPr>
      <w:r>
        <w:rPr>
          <w:rFonts w:ascii="Georgia" w:cs="Georgia" w:eastAsia="Georgia" w:hAnsi="Georgia"/>
          <w:b/>
          <w:bCs/>
          <w:color w:val="6d5a3a"/>
          <w:sz w:val="26"/>
          <w:szCs w:val="26"/>
        </w:rPr>
        <w:t xml:space="preserve">4.4 Emerging Values</w:t>
      </w:r>
    </w:p>
    <w:p>
      <w:pPr>
        <w:spacing w:after="160" w:line="320"/>
      </w:pPr>
      <w:r>
        <w:rPr>
          <w:rFonts w:ascii="Calibri" w:cs="Calibri" w:eastAsia="Calibri" w:hAnsi="Calibri"/>
          <w:color w:val="44403c"/>
          <w:sz w:val="22"/>
          <w:szCs w:val="22"/>
        </w:rPr>
        <w:t xml:space="preserve">A cloud of single-word value chips appears as the agent identifies values expressed in your messages. Examples include words like integrity, freedom, family, security, autonomy, or growth. Values that appear repeatedly are highlighted with a stronger visual treatment. This cloud gives you a mirror of what you care about most, as revealed through your own words.</w:t>
      </w:r>
    </w:p>
    <w:p>
      <w:pPr>
        <w:pStyle w:val="Heading2"/>
        <w:spacing w:after="160" w:before="280"/>
      </w:pPr>
      <w:r>
        <w:rPr>
          <w:rFonts w:ascii="Georgia" w:cs="Georgia" w:eastAsia="Georgia" w:hAnsi="Georgia"/>
          <w:b/>
          <w:bCs/>
          <w:color w:val="6d5a3a"/>
          <w:sz w:val="26"/>
          <w:szCs w:val="26"/>
        </w:rPr>
        <w:t xml:space="preserve">4.5 Pattern Journal</w:t>
      </w:r>
    </w:p>
    <w:p>
      <w:pPr>
        <w:spacing w:after="160" w:line="320"/>
      </w:pPr>
      <w:r>
        <w:rPr>
          <w:rFonts w:ascii="Calibri" w:cs="Calibri" w:eastAsia="Calibri" w:hAnsi="Calibri"/>
          <w:color w:val="44403c"/>
          <w:sz w:val="22"/>
          <w:szCs w:val="22"/>
        </w:rPr>
        <w:t xml:space="preserve">The bottom section of the Bond Map logs observations the agent makes about your decision-making behavior. Each entry is color-coded by type:</w:t>
      </w:r>
    </w:p>
    <w:p>
      <w:pPr>
        <w:spacing w:after="80"/>
      </w:pPr>
    </w:p>
    <w:p>
      <w:pPr>
        <w:spacing w:after="160" w:line="320"/>
      </w:pPr>
      <w:r>
        <w:rPr>
          <w:rFonts w:ascii="Calibri" w:cs="Calibri" w:eastAsia="Calibri" w:hAnsi="Calibri"/>
          <w:b/>
          <w:bCs/>
          <w:color w:val="1c1917"/>
          <w:sz w:val="22"/>
          <w:szCs w:val="22"/>
        </w:rPr>
        <w:t xml:space="preserve">Pattern (amber): </w:t>
      </w:r>
      <w:r>
        <w:rPr>
          <w:rFonts w:ascii="Calibri" w:cs="Calibri" w:eastAsia="Calibri" w:hAnsi="Calibri"/>
          <w:color w:val="44403c"/>
          <w:sz w:val="22"/>
          <w:szCs w:val="22"/>
        </w:rPr>
        <w:t xml:space="preserve">A recurring tendency or habit the agent notices across your decisions.</w:t>
      </w:r>
    </w:p>
    <w:p>
      <w:pPr>
        <w:spacing w:after="160" w:line="320"/>
      </w:pPr>
      <w:r>
        <w:rPr>
          <w:rFonts w:ascii="Calibri" w:cs="Calibri" w:eastAsia="Calibri" w:hAnsi="Calibri"/>
          <w:b/>
          <w:bCs/>
          <w:color w:val="1c1917"/>
          <w:sz w:val="22"/>
          <w:szCs w:val="22"/>
        </w:rPr>
        <w:t xml:space="preserve">Growth (green): </w:t>
      </w:r>
      <w:r>
        <w:rPr>
          <w:rFonts w:ascii="Calibri" w:cs="Calibri" w:eastAsia="Calibri" w:hAnsi="Calibri"/>
          <w:color w:val="44403c"/>
          <w:sz w:val="22"/>
          <w:szCs w:val="22"/>
        </w:rPr>
        <w:t xml:space="preserve">An area where the agent sees you stretching, evolving, or moving toward something new.</w:t>
      </w:r>
    </w:p>
    <w:p>
      <w:pPr>
        <w:spacing w:after="160" w:line="320"/>
      </w:pPr>
      <w:r>
        <w:rPr>
          <w:rFonts w:ascii="Calibri" w:cs="Calibri" w:eastAsia="Calibri" w:hAnsi="Calibri"/>
          <w:b/>
          <w:bCs/>
          <w:color w:val="1c1917"/>
          <w:sz w:val="22"/>
          <w:szCs w:val="22"/>
        </w:rPr>
        <w:t xml:space="preserve">Tension (terra cotta): </w:t>
      </w:r>
      <w:r>
        <w:rPr>
          <w:rFonts w:ascii="Calibri" w:cs="Calibri" w:eastAsia="Calibri" w:hAnsi="Calibri"/>
          <w:color w:val="44403c"/>
          <w:sz w:val="22"/>
          <w:szCs w:val="22"/>
        </w:rPr>
        <w:t xml:space="preserve">A conflict or contradiction the agent notices in your values or behavior.</w:t>
      </w:r>
    </w:p>
    <w:p>
      <w:pPr>
        <w:spacing w:after="160" w:line="320"/>
      </w:pPr>
      <w:r>
        <w:rPr>
          <w:rFonts w:ascii="Calibri" w:cs="Calibri" w:eastAsia="Calibri" w:hAnsi="Calibri"/>
          <w:b/>
          <w:bCs/>
          <w:color w:val="1c1917"/>
          <w:sz w:val="22"/>
          <w:szCs w:val="22"/>
        </w:rPr>
        <w:t xml:space="preserve">Reflection (blue): </w:t>
      </w:r>
      <w:r>
        <w:rPr>
          <w:rFonts w:ascii="Calibri" w:cs="Calibri" w:eastAsia="Calibri" w:hAnsi="Calibri"/>
          <w:color w:val="44403c"/>
          <w:sz w:val="22"/>
          <w:szCs w:val="22"/>
        </w:rPr>
        <w:t xml:space="preserve">A moment of self-awareness or insight the agent wants to note.</w:t>
      </w:r>
    </w:p>
    <w:p>
      <w:pPr>
        <w:spacing w:after="80"/>
      </w:pPr>
    </w:p>
    <w:p>
      <w:pPr>
        <w:spacing w:after="160" w:line="320"/>
      </w:pPr>
      <w:r>
        <w:rPr>
          <w:rFonts w:ascii="Calibri" w:cs="Calibri" w:eastAsia="Calibri" w:hAnsi="Calibri"/>
          <w:color w:val="44403c"/>
          <w:sz w:val="22"/>
          <w:szCs w:val="22"/>
        </w:rPr>
        <w:t xml:space="preserve">These observations also appear inline within the conversation as small insight cards attached to the agent's responses.</w:t>
      </w:r>
    </w:p>
    <w:p>
      <w:r>
        <w:br w:type="page"/>
      </w:r>
    </w:p>
    <w:p>
      <w:pPr>
        <w:pStyle w:val="Heading1"/>
        <w:spacing w:after="200" w:before="360"/>
      </w:pPr>
      <w:r>
        <w:rPr>
          <w:rFonts w:ascii="Georgia" w:cs="Georgia" w:eastAsia="Georgia" w:hAnsi="Georgia"/>
          <w:b/>
          <w:bCs/>
          <w:color w:val="1c1917"/>
          <w:sz w:val="32"/>
          <w:szCs w:val="32"/>
        </w:rPr>
        <w:t xml:space="preserve">5. Tips for Deepening the Bond</w:t>
      </w:r>
    </w:p>
    <w:p>
      <w:pPr>
        <w:spacing w:after="160" w:line="320"/>
      </w:pPr>
      <w:r>
        <w:rPr>
          <w:rFonts w:ascii="Calibri" w:cs="Calibri" w:eastAsia="Calibri" w:hAnsi="Calibri"/>
          <w:color w:val="44403c"/>
          <w:sz w:val="22"/>
          <w:szCs w:val="22"/>
        </w:rPr>
        <w:t xml:space="preserve">The Wisdom Bond becomes more useful the more you share. Here are practices that help the bond deepen faster:</w:t>
      </w:r>
    </w:p>
    <w:p>
      <w:pPr>
        <w:spacing w:after="80"/>
      </w:pPr>
    </w:p>
    <w:p>
      <w:pPr>
        <w:spacing w:after="160" w:line="320"/>
      </w:pPr>
      <w:r>
        <w:rPr>
          <w:rFonts w:ascii="Calibri" w:cs="Calibri" w:eastAsia="Calibri" w:hAnsi="Calibri"/>
          <w:b/>
          <w:bCs/>
          <w:color w:val="1c1917"/>
          <w:sz w:val="22"/>
          <w:szCs w:val="22"/>
        </w:rPr>
        <w:t xml:space="preserve">Be specific. </w:t>
      </w:r>
      <w:r>
        <w:rPr>
          <w:rFonts w:ascii="Calibri" w:cs="Calibri" w:eastAsia="Calibri" w:hAnsi="Calibri"/>
          <w:color w:val="44403c"/>
          <w:sz w:val="22"/>
          <w:szCs w:val="22"/>
        </w:rPr>
        <w:t xml:space="preserve">"I have a decision to make" gives the agent little to work with. "My manager offered me a promotion that would double my team size but move me away from the work I love" gives it a rich situation to engage with.</w:t>
      </w:r>
    </w:p>
    <w:p>
      <w:pPr>
        <w:spacing w:after="160" w:line="320"/>
      </w:pPr>
      <w:r>
        <w:rPr>
          <w:rFonts w:ascii="Calibri" w:cs="Calibri" w:eastAsia="Calibri" w:hAnsi="Calibri"/>
          <w:b/>
          <w:bCs/>
          <w:color w:val="1c1917"/>
          <w:sz w:val="22"/>
          <w:szCs w:val="22"/>
        </w:rPr>
        <w:t xml:space="preserve">Share the stakes. </w:t>
      </w:r>
      <w:r>
        <w:rPr>
          <w:rFonts w:ascii="Calibri" w:cs="Calibri" w:eastAsia="Calibri" w:hAnsi="Calibri"/>
          <w:color w:val="44403c"/>
          <w:sz w:val="22"/>
          <w:szCs w:val="22"/>
        </w:rPr>
        <w:t xml:space="preserve">Tell the agent what you stand to gain or lose. Tell it who else is affected. Tell it what scares you about the decision.</w:t>
      </w:r>
    </w:p>
    <w:p>
      <w:pPr>
        <w:spacing w:after="160" w:line="320"/>
      </w:pPr>
      <w:r>
        <w:rPr>
          <w:rFonts w:ascii="Calibri" w:cs="Calibri" w:eastAsia="Calibri" w:hAnsi="Calibri"/>
          <w:b/>
          <w:bCs/>
          <w:color w:val="1c1917"/>
          <w:sz w:val="22"/>
          <w:szCs w:val="22"/>
        </w:rPr>
        <w:t xml:space="preserve">Try multiple modes on the same situation. </w:t>
      </w:r>
      <w:r>
        <w:rPr>
          <w:rFonts w:ascii="Calibri" w:cs="Calibri" w:eastAsia="Calibri" w:hAnsi="Calibri"/>
          <w:color w:val="44403c"/>
          <w:sz w:val="22"/>
          <w:szCs w:val="22"/>
        </w:rPr>
        <w:t xml:space="preserve">Share a dilemma in Counsel mode, then switch to Challenge to stress-test your thinking, then try Mirror to see what the situation reveals about you.</w:t>
      </w:r>
    </w:p>
    <w:p>
      <w:pPr>
        <w:spacing w:after="160" w:line="320"/>
      </w:pPr>
      <w:r>
        <w:rPr>
          <w:rFonts w:ascii="Calibri" w:cs="Calibri" w:eastAsia="Calibri" w:hAnsi="Calibri"/>
          <w:b/>
          <w:bCs/>
          <w:color w:val="1c1917"/>
          <w:sz w:val="22"/>
          <w:szCs w:val="22"/>
        </w:rPr>
        <w:t xml:space="preserve">Come back to unresolved situations. </w:t>
      </w:r>
      <w:r>
        <w:rPr>
          <w:rFonts w:ascii="Calibri" w:cs="Calibri" w:eastAsia="Calibri" w:hAnsi="Calibri"/>
          <w:color w:val="44403c"/>
          <w:sz w:val="22"/>
          <w:szCs w:val="22"/>
        </w:rPr>
        <w:t xml:space="preserve">If you shared a dilemma in a previous session, bring it up again. The agent will not remember the prior session, but re-engaging with the same theme builds the bond quickly.</w:t>
      </w:r>
    </w:p>
    <w:p>
      <w:pPr>
        <w:spacing w:after="160" w:line="320"/>
      </w:pPr>
      <w:r>
        <w:rPr>
          <w:rFonts w:ascii="Calibri" w:cs="Calibri" w:eastAsia="Calibri" w:hAnsi="Calibri"/>
          <w:b/>
          <w:bCs/>
          <w:color w:val="1c1917"/>
          <w:sz w:val="22"/>
          <w:szCs w:val="22"/>
        </w:rPr>
        <w:t xml:space="preserve">Watch the Bond Map. </w:t>
      </w:r>
      <w:r>
        <w:rPr>
          <w:rFonts w:ascii="Calibri" w:cs="Calibri" w:eastAsia="Calibri" w:hAnsi="Calibri"/>
          <w:color w:val="44403c"/>
          <w:sz w:val="22"/>
          <w:szCs w:val="22"/>
        </w:rPr>
        <w:t xml:space="preserve">Pay attention to which traits are strongest, which values keep appearing, and what patterns the agent is logging. These observations are often more valuable than the advice itself.</w:t>
      </w:r>
    </w:p>
    <w:p>
      <w:r>
        <w:br w:type="page"/>
      </w:r>
    </w:p>
    <w:p>
      <w:pPr>
        <w:pStyle w:val="Heading1"/>
        <w:spacing w:after="200" w:before="360"/>
      </w:pPr>
      <w:r>
        <w:rPr>
          <w:rFonts w:ascii="Georgia" w:cs="Georgia" w:eastAsia="Georgia" w:hAnsi="Georgia"/>
          <w:b/>
          <w:bCs/>
          <w:color w:val="1c1917"/>
          <w:sz w:val="32"/>
          <w:szCs w:val="32"/>
        </w:rPr>
        <w:t xml:space="preserve">6. Privacy and Security</w:t>
      </w:r>
    </w:p>
    <w:p>
      <w:pPr>
        <w:spacing w:after="160" w:line="320"/>
      </w:pPr>
      <w:r>
        <w:rPr>
          <w:rFonts w:ascii="Calibri" w:cs="Calibri" w:eastAsia="Calibri" w:hAnsi="Calibri"/>
          <w:color w:val="44403c"/>
          <w:sz w:val="22"/>
          <w:szCs w:val="22"/>
        </w:rPr>
        <w:t xml:space="preserve">The Wisdom Bond is designed for privacy by default:</w:t>
      </w:r>
    </w:p>
    <w:p>
      <w:pPr>
        <w:spacing w:after="80"/>
      </w:pPr>
    </w:p>
    <w:p>
      <w:pPr>
        <w:spacing w:after="160" w:line="320"/>
      </w:pPr>
      <w:r>
        <w:rPr>
          <w:rFonts w:ascii="Calibri" w:cs="Calibri" w:eastAsia="Calibri" w:hAnsi="Calibri"/>
          <w:b/>
          <w:bCs/>
          <w:color w:val="1c1917"/>
          <w:sz w:val="22"/>
          <w:szCs w:val="22"/>
        </w:rPr>
        <w:t xml:space="preserve">API key: </w:t>
      </w:r>
      <w:r>
        <w:rPr>
          <w:rFonts w:ascii="Calibri" w:cs="Calibri" w:eastAsia="Calibri" w:hAnsi="Calibri"/>
          <w:color w:val="44403c"/>
          <w:sz w:val="22"/>
          <w:szCs w:val="22"/>
        </w:rPr>
        <w:t xml:space="preserve">Stored only in the browser tab's JavaScript memory. Never written to disk, cookies, or local storage. Lost when you close the tab.</w:t>
      </w:r>
    </w:p>
    <w:p>
      <w:pPr>
        <w:spacing w:after="160" w:line="320"/>
      </w:pPr>
      <w:r>
        <w:rPr>
          <w:rFonts w:ascii="Calibri" w:cs="Calibri" w:eastAsia="Calibri" w:hAnsi="Calibri"/>
          <w:b/>
          <w:bCs/>
          <w:color w:val="1c1917"/>
          <w:sz w:val="22"/>
          <w:szCs w:val="22"/>
        </w:rPr>
        <w:t xml:space="preserve">Conversations: </w:t>
      </w:r>
      <w:r>
        <w:rPr>
          <w:rFonts w:ascii="Calibri" w:cs="Calibri" w:eastAsia="Calibri" w:hAnsi="Calibri"/>
          <w:color w:val="44403c"/>
          <w:sz w:val="22"/>
          <w:szCs w:val="22"/>
        </w:rPr>
        <w:t xml:space="preserve">Sent directly from your browser to the Anthropic API over HTTPS. No intermediary server. No logging on the application side.</w:t>
      </w:r>
    </w:p>
    <w:p>
      <w:pPr>
        <w:spacing w:after="160" w:line="320"/>
      </w:pPr>
      <w:r>
        <w:rPr>
          <w:rFonts w:ascii="Calibri" w:cs="Calibri" w:eastAsia="Calibri" w:hAnsi="Calibri"/>
          <w:b/>
          <w:bCs/>
          <w:color w:val="1c1917"/>
          <w:sz w:val="22"/>
          <w:szCs w:val="22"/>
        </w:rPr>
        <w:t xml:space="preserve">Bond data: </w:t>
      </w:r>
      <w:r>
        <w:rPr>
          <w:rFonts w:ascii="Calibri" w:cs="Calibri" w:eastAsia="Calibri" w:hAnsi="Calibri"/>
          <w:color w:val="44403c"/>
          <w:sz w:val="22"/>
          <w:szCs w:val="22"/>
        </w:rPr>
        <w:t xml:space="preserve">Your decision traits, values, and pattern journal exist only in the browser tab's memory. Nothing persists after you close the tab.</w:t>
      </w:r>
    </w:p>
    <w:p>
      <w:pPr>
        <w:spacing w:after="160" w:line="320"/>
      </w:pPr>
      <w:r>
        <w:rPr>
          <w:rFonts w:ascii="Calibri" w:cs="Calibri" w:eastAsia="Calibri" w:hAnsi="Calibri"/>
          <w:b/>
          <w:bCs/>
          <w:color w:val="1c1917"/>
          <w:sz w:val="22"/>
          <w:szCs w:val="22"/>
        </w:rPr>
        <w:t xml:space="preserve">No tracking: </w:t>
      </w:r>
      <w:r>
        <w:rPr>
          <w:rFonts w:ascii="Calibri" w:cs="Calibri" w:eastAsia="Calibri" w:hAnsi="Calibri"/>
          <w:color w:val="44403c"/>
          <w:sz w:val="22"/>
          <w:szCs w:val="22"/>
        </w:rPr>
        <w:t xml:space="preserve">No analytics, no telemetry, no cookies, no third-party scripts.</w:t>
      </w:r>
    </w:p>
    <w:p>
      <w:r>
        <w:br w:type="page"/>
      </w:r>
    </w:p>
    <w:p>
      <w:pPr>
        <w:pStyle w:val="Heading1"/>
        <w:spacing w:after="200" w:before="360"/>
      </w:pPr>
      <w:r>
        <w:rPr>
          <w:rFonts w:ascii="Georgia" w:cs="Georgia" w:eastAsia="Georgia" w:hAnsi="Georgia"/>
          <w:b/>
          <w:bCs/>
          <w:color w:val="1c1917"/>
          <w:sz w:val="32"/>
          <w:szCs w:val="32"/>
        </w:rPr>
        <w:t xml:space="preserve">7. Troubleshooting</w:t>
      </w:r>
    </w:p>
    <w:p>
      <w:pPr>
        <w:spacing w:after="80"/>
      </w:pPr>
    </w:p>
    <w:p>
      <w:pPr>
        <w:spacing w:after="160" w:line="320"/>
      </w:pPr>
      <w:r>
        <w:rPr>
          <w:rFonts w:ascii="Calibri" w:cs="Calibri" w:eastAsia="Calibri" w:hAnsi="Calibri"/>
          <w:b/>
          <w:bCs/>
          <w:color w:val="1c1917"/>
          <w:sz w:val="22"/>
          <w:szCs w:val="22"/>
        </w:rPr>
        <w:t xml:space="preserve">"API error" message: </w:t>
      </w:r>
      <w:r>
        <w:rPr>
          <w:rFonts w:ascii="Calibri" w:cs="Calibri" w:eastAsia="Calibri" w:hAnsi="Calibri"/>
          <w:color w:val="44403c"/>
          <w:sz w:val="22"/>
          <w:szCs w:val="22"/>
        </w:rPr>
        <w:t xml:space="preserve">Check that your API key is correct and that your Anthropic account has available credits. The key should start with sk-ant-.</w:t>
      </w:r>
    </w:p>
    <w:p>
      <w:pPr>
        <w:spacing w:after="160" w:line="320"/>
      </w:pPr>
      <w:r>
        <w:rPr>
          <w:rFonts w:ascii="Calibri" w:cs="Calibri" w:eastAsia="Calibri" w:hAnsi="Calibri"/>
          <w:b/>
          <w:bCs/>
          <w:color w:val="1c1917"/>
          <w:sz w:val="22"/>
          <w:szCs w:val="22"/>
        </w:rPr>
        <w:t xml:space="preserve">Bond Map not updating: </w:t>
      </w:r>
      <w:r>
        <w:rPr>
          <w:rFonts w:ascii="Calibri" w:cs="Calibri" w:eastAsia="Calibri" w:hAnsi="Calibri"/>
          <w:color w:val="44403c"/>
          <w:sz w:val="22"/>
          <w:szCs w:val="22"/>
        </w:rPr>
        <w:t xml:space="preserve">The Bond Map updates after each agent response. If it remains static, the agent may not have returned the structured analysis block. Try rephrasing your situation with more detail.</w:t>
      </w:r>
    </w:p>
    <w:p>
      <w:pPr>
        <w:spacing w:after="160" w:line="320"/>
      </w:pPr>
      <w:r>
        <w:rPr>
          <w:rFonts w:ascii="Calibri" w:cs="Calibri" w:eastAsia="Calibri" w:hAnsi="Calibri"/>
          <w:b/>
          <w:bCs/>
          <w:color w:val="1c1917"/>
          <w:sz w:val="22"/>
          <w:szCs w:val="22"/>
        </w:rPr>
        <w:t xml:space="preserve">Responses are generic: </w:t>
      </w:r>
      <w:r>
        <w:rPr>
          <w:rFonts w:ascii="Calibri" w:cs="Calibri" w:eastAsia="Calibri" w:hAnsi="Calibri"/>
          <w:color w:val="44403c"/>
          <w:sz w:val="22"/>
          <w:szCs w:val="22"/>
        </w:rPr>
        <w:t xml:space="preserve">Share more context. The agent adapts based on what you give it. Short, abstract questions produce generic responses. Specific situations with real stakes produce personalized counsel.</w:t>
      </w:r>
    </w:p>
    <w:p>
      <w:pPr>
        <w:spacing w:after="160" w:line="320"/>
      </w:pPr>
      <w:r>
        <w:rPr>
          <w:rFonts w:ascii="Calibri" w:cs="Calibri" w:eastAsia="Calibri" w:hAnsi="Calibri"/>
          <w:b/>
          <w:bCs/>
          <w:color w:val="1c1917"/>
          <w:sz w:val="22"/>
          <w:szCs w:val="22"/>
        </w:rPr>
        <w:t xml:space="preserve">Bond Map panel is missing: </w:t>
      </w:r>
      <w:r>
        <w:rPr>
          <w:rFonts w:ascii="Calibri" w:cs="Calibri" w:eastAsia="Calibri" w:hAnsi="Calibri"/>
          <w:color w:val="44403c"/>
          <w:sz w:val="22"/>
          <w:szCs w:val="22"/>
        </w:rPr>
        <w:t xml:space="preserve">Click the "Bond Map" button in the header bar to toggle it open. On narrow screens (under 900px), the panel is hidden by default.</w:t>
      </w:r>
    </w:p>
    <w:p>
      <w:pPr>
        <w:spacing w:after="160" w:line="320"/>
      </w:pPr>
      <w:r>
        <w:rPr>
          <w:rFonts w:ascii="Calibri" w:cs="Calibri" w:eastAsia="Calibri" w:hAnsi="Calibri"/>
          <w:b/>
          <w:bCs/>
          <w:color w:val="1c1917"/>
          <w:sz w:val="22"/>
          <w:szCs w:val="22"/>
        </w:rPr>
        <w:t xml:space="preserve">Want to start fresh: </w:t>
      </w:r>
      <w:r>
        <w:rPr>
          <w:rFonts w:ascii="Calibri" w:cs="Calibri" w:eastAsia="Calibri" w:hAnsi="Calibri"/>
          <w:color w:val="44403c"/>
          <w:sz w:val="22"/>
          <w:szCs w:val="22"/>
        </w:rPr>
        <w:t xml:space="preserve">Click the "New" button in the header bar or the "Clear" link below the input area. This resets the conversation and all bond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8716c"/>
        <w:sz w:val="18"/>
        <w:szCs w:val="18"/>
      </w:rPr>
      <w:t xml:space="preserve">Page </w:t>
    </w:r>
    <w:r>
      <w:rPr>
        <w:rFonts w:ascii="Calibri" w:cs="Calibri" w:eastAsia="Calibri" w:hAnsi="Calibri"/>
        <w:color w:val="7871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8716c"/>
        <w:sz w:val="18"/>
        <w:szCs w:val="18"/>
      </w:rPr>
      <w:t xml:space="preserve">The Wisdom Bond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c1917"/>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6d5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2026-04-25T22:50:28.995Z</dcterms:created>
  <dcterms:modified xsi:type="dcterms:W3CDTF">2026-04-25T22:50:28.996Z</dcterms:modified>
</cp:coreProperties>
</file>

<file path=docProps/custom.xml><?xml version="1.0" encoding="utf-8"?>
<Properties xmlns="http://schemas.openxmlformats.org/officeDocument/2006/custom-properties" xmlns:vt="http://schemas.openxmlformats.org/officeDocument/2006/docPropsVTypes"/>
</file>