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 w:before="4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F3864"/>
          <w:sz w:val="42"/>
          <w:szCs w:val="42"/>
        </w:rPr>
        <w:t>Reinforcement Learning for Stock Trading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1. Problem and Environment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This project models a simplified stock-trading problem as a finite-horizon, finite-state Markov decision process (MDP). The environment parameters are fixed as follows: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Time horizon: H = 20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Initial stock price: S₀ = 100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Up factor: u = 1.1 (with probability p = 0.5)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Down factor: d = 0.9 (with probability 1 − p = 0.5)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Discount factor: γ = 1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State Representation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state is represented in code as a tuple: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s_t = (t, k, h)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where t is the current time step (0 ≤ t ≤ H), k is the number of upward price moves so far (0 ≤ k ≤ t), and h ∈ {0, 1} is the holding status (0 = cash, 1 = stock). Since the stock price follows a binomial tree, the current price is fully determined by (t, k):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S_t = S₀ × u^k × d^(t−k)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so the price does not need to be stored separately in the state.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Actions and Validity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action set is A = {buy, hold, sell}. Invalid actions are never allowed: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If h = 0 (cash): valid actions are hold and buy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If h = 1 (stock): valid actions are hold and sell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This constraint is enforced in both value iteration and Q-learning. In particular, random exploration samples uniformly from valid actions only.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Reward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action is chosen at time t before the price moves to t+1. The reward is determined by the resulting holding position and the realized price movement: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r = log(u) ≈ 0.0953  if holding stock and price moves up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r = log(d) ≈ −0.1054  if holding stock and price moves down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r = 0  if holding cash</w:t>
      </w:r>
    </w:p>
    <w:p>
      <w:pPr>
        <w:spacing w:after="120"/>
        <w:rPr>
          <w:lang w:eastAsia="ko-KR"/>
          <w:rFonts w:hint="eastAsia"/>
          <w:sz w:val="34"/>
          <w:szCs w:val="34"/>
          <w:rtl w:val="off"/>
        </w:rPr>
      </w:pPr>
      <w:r>
        <w:rPr>
          <w:sz w:val="20"/>
          <w:szCs w:val="20"/>
        </w:rPr>
        <w:t>Equivalently, the reward is the one-step log-return of the portfolio. Episodes terminate when t = H; no further reward is received.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2. Exact Solution by Value Iteration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Because this is a finite-horizon MDP, the exact benchmark is computed by backward dynamic programming. The terminal value is initialized as V_H(s) = 0 for all states. Then, for t = H-1, H-2, ..., 0, the Q-function is computed over valid actions only:</w:t>
      </w:r>
    </w:p>
    <w:p>
      <w:pPr>
        <w:rPr>
          <w:sz w:val="20"/>
          <w:szCs w:val="20"/>
        </w:rPr>
      </w:pP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Q*(s, a) = Σ_{s'} P(s' | s, a) × [r(s, a, s') + γ × V*(s')]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V*(s)  = max_a Q*(s, a)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π*(s)  = argmax_a Q*(s, a)</w:t>
      </w:r>
    </w:p>
    <w:p>
      <w:pPr>
        <w:rPr>
          <w:sz w:val="20"/>
          <w:szCs w:val="20"/>
        </w:rPr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When multiple actions tie, ties are broken in the fixed order: hold &gt; buy &gt; sell. This same tie-breaking rule is used in Q-learning policy extraction so that policy mismatch is measured consistently.</w:t>
      </w:r>
    </w:p>
    <w:p>
      <w:pPr>
        <w:pStyle w:val="Heading2"/>
        <w:rPr>
          <w:lang w:eastAsia="ko-KR"/>
          <w:rFonts w:hint="eastAsia"/>
          <w:sz w:val="26"/>
          <w:szCs w:val="26"/>
          <w:rtl w:val="off"/>
        </w:rPr>
      </w:pPr>
      <w:r>
        <w:rPr>
          <w:sz w:val="26"/>
          <w:szCs w:val="26"/>
        </w:rPr>
        <w:t>Optimal Value Function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An important observation is that V*(s) = 0 for every non-terminal state in this problem. This is not a bug but a direct mathematical consequence of the environment parameters.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one-step expected reward of holding stock is: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hAnsi="Courier New"/>
          <w:sz w:val="18"/>
          <w:szCs w:val="20"/>
        </w:rPr>
        <w:t>E[r] = p·log(u) + (1−p)·log(d)</w:t>
      </w: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hAnsi="Courier New"/>
          <w:sz w:val="18"/>
          <w:szCs w:val="20"/>
        </w:rPr>
        <w:t xml:space="preserve">     = 0.5 × log(1.1) + 0.5 × log(0.9)</w:t>
      </w:r>
    </w:p>
    <w:p>
      <w:pPr>
        <w:ind w:left="720"/>
        <w:spacing w:after="120"/>
        <w:rPr>
          <w:sz w:val="20"/>
          <w:szCs w:val="20"/>
        </w:rPr>
      </w:pPr>
      <w:r>
        <w:rPr>
          <w:rFonts w:ascii="Courier New" w:hAnsi="Courier New"/>
          <w:sz w:val="18"/>
          <w:szCs w:val="20"/>
        </w:rPr>
        <w:t xml:space="preserve">     = 0.5 × 0.0953 + 0.5 × (−0.1054) = −0.0025 &lt; 0</w:t>
      </w:r>
    </w:p>
    <w:p>
      <w:pPr>
        <w:pStyle w:val="a1"/>
        <w:rPr>
          <w:sz w:val="20"/>
          <w:szCs w:val="20"/>
        </w:rPr>
      </w:pPr>
      <w:r>
        <w:rPr>
          <w:sz w:val="20"/>
          <w:szCs w:val="20"/>
        </w:rPr>
        <w:t>This is negative because u × d = 1.1 × 0.9 = 0.99 &lt; 1: the geometric mean of the stock price is slightly decreasing at every step. Holding stock therefore has a negative expected log-return per step, while holding cash always yields exactly 0. Since 0 &gt; −0.0025, the optimal strategy is to never buy the stock at all, and the maximum achievable expected cumulative reward is 0. Backward dynamic programming confirms this: the optimal value function is V*(s) = 0 for every non-terminal state, and the optimal policy is to hold cash (H) in all states where h = 0. Figure 1 shows the optimal value function in a compact side-by-side layout. Since every optimal value equals 0, the figure emphasizes that the value function is uniform across cash and stock states.</w:t>
      </w:r>
    </w:p>
    <w:p>
      <w:pPr>
        <w:pStyle w:val="Heading2"/>
        <w:jc w:val="center"/>
        <w:rPr>
          <w:lang/>
          <w:sz w:val="26"/>
          <w:szCs w:val="26"/>
          <w:rtl w:val="off"/>
        </w:rPr>
      </w:pPr>
      <w:r>
        <w:rPr>
          <w:sz w:val="26"/>
          <w:szCs w:val="26"/>
        </w:rPr>
        <w:drawing>
          <wp:inline distT="0" distB="0" distL="180" distR="180">
            <wp:extent cx="3166597" cy="1675255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6597" cy="167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lang w:eastAsia="ko-KR"/>
          <w:rFonts w:hint="eastAsia"/>
          <w:sz w:val="26"/>
          <w:szCs w:val="26"/>
          <w:rtl w:val="off"/>
        </w:rPr>
      </w:pPr>
      <w:r>
        <w:rPr>
          <w:sz w:val="20"/>
          <w:szCs w:val="20"/>
        </w:rPr>
        <w:t>Figure 1: Optimal value function V*(s). Left panel: h=0 (cash). Right panel: h=1 (stock).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Optimal Policy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Figure 2 shows the optimal policy. Blue (B) = buy, green (H) = hold, red (S) = sell.</w:t>
      </w:r>
    </w:p>
    <w:p>
      <w:pPr>
        <w:rPr>
          <w:sz w:val="20"/>
          <w:szCs w:val="20"/>
        </w:rPr>
      </w:pPr>
    </w:p>
    <w:p>
      <w:pPr>
        <w:jc w:val="center"/>
        <w:spacing w:after="200" w:before="12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3333675" cy="1656963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675" cy="165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20"/>
          <w:szCs w:val="20"/>
        </w:rPr>
      </w:pPr>
      <w:r>
        <w:rPr>
          <w:sz w:val="20"/>
          <w:szCs w:val="20"/>
        </w:rPr>
        <w:t>Figure 2: Optimal policy pi*(s). Left panel: h=0 (cash). Right panel: h=1 (stock).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3. Tabular Q-learning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Q-learning implementation uses a tabular array Q(s, a) initialized to zero for all state-action pairs. Since the time index t is already embedded in the state tuple, no separate time-dependent table is required.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Update Rule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At each non-terminal state, the agent selects an action using ε-greedy exploration over valid actions only. The update rule is:</w:t>
      </w:r>
    </w:p>
    <w:p>
      <w:pPr>
        <w:rPr>
          <w:sz w:val="20"/>
          <w:szCs w:val="20"/>
        </w:rPr>
      </w:pPr>
    </w:p>
    <w:p>
      <w:pPr>
        <w:ind w:left="720"/>
        <w:spacing w:after="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Q(s, a) ← Q(s, a) + α × [r + max_{a'} Q(s', a') − Q(s, a)]</w:t>
      </w:r>
    </w:p>
    <w:p>
      <w:pPr>
        <w:rPr>
          <w:sz w:val="20"/>
          <w:szCs w:val="20"/>
        </w:rPr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maximization over a’ uses only valid actions at the next state s’. If s’ is terminal (t = H), the bootstrap term is zero.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Handling Valid/Invalid Actions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Both during exploration and policy extraction, the implementation strictly restricts action selection to the valid action set determined by the holding status h. Specifically: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Exploration: random action is sampled uniformly from valid actions only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Greedy action: argmax is taken over valid actions only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Bootstrap target: max Q(s’, a’) is computed over valid actions at s’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4. Experimental Setup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experiment tests 3 exploration schedules × 3 learning-rate schedules = 9 total combinations. Each combination is evaluated with 50 random seeds (0 through 49) and up to 5,000 episodes per seed. The same code supports 100,000 episodes via --episodes 100000.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Exploration Schedules (ε)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eps_linear_1_to_001: </w:t>
      </w:r>
      <w:r>
        <w:rPr>
          <w:sz w:val="20"/>
          <w:szCs w:val="20"/>
        </w:rPr>
        <w:t>linear decay from ε = 1.0 to ε = 0.01 over all episodes.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eps_exp_slow: </w:t>
      </w:r>
      <w:r>
        <w:rPr>
          <w:sz w:val="20"/>
          <w:szCs w:val="20"/>
        </w:rPr>
        <w:t>exponential decay from 1.0 to 0.01 with rate λ = 3×10⁻⁵.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eps_exp_fast: </w:t>
      </w:r>
      <w:r>
        <w:rPr>
          <w:sz w:val="20"/>
          <w:szCs w:val="20"/>
        </w:rPr>
        <w:t>exponential decay from 1.0 to 0.01 with rate λ = 2×10⁻⁴.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Learning-rate Schedules (α)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alpha_const_01: </w:t>
      </w:r>
      <w:r>
        <w:rPr>
          <w:sz w:val="20"/>
          <w:szCs w:val="20"/>
        </w:rPr>
        <w:t>constant α = 0.1.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alpha_sqrt: </w:t>
      </w:r>
      <w:r>
        <w:rPr>
          <w:sz w:val="20"/>
          <w:szCs w:val="20"/>
        </w:rPr>
        <w:t>αₙ = 0.7 / √(1 + n), where n is the state-action visit count.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alpha_harmonic: </w:t>
      </w:r>
      <w:r>
        <w:rPr>
          <w:sz w:val="20"/>
          <w:szCs w:val="20"/>
        </w:rPr>
        <w:t>αₙ = 1.0 / (10 + n).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Evaluation Metrics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For each final Q-table, three metrics are computed against the value-iteration benchmark: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Q-function error: </w:t>
      </w:r>
      <w:r>
        <w:rPr>
          <w:sz w:val="20"/>
          <w:szCs w:val="20"/>
        </w:rPr>
        <w:t>max_{s,a} |Q_VI(s,a) − Q_QL(s,a)|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Value-function error: </w:t>
      </w:r>
      <w:r>
        <w:rPr>
          <w:sz w:val="20"/>
          <w:szCs w:val="20"/>
        </w:rPr>
        <w:t>max_s |V_VI(s) − V_QL(s)| where V_QL(s) = max_a Q_QL(s,a)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Policy mismatch ratio: </w:t>
      </w:r>
      <w:r>
        <w:rPr>
          <w:sz w:val="20"/>
          <w:szCs w:val="20"/>
        </w:rPr>
        <w:t>fraction of non-terminal states where π_VI(s) ≠ π_QL(s)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Mean and standard deviation are reported over the 50 seeds.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5. Results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Best Configuration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best setting by mean Q-error was eps_linear_1_to_001__alpha_harmonic:</w:t>
      </w:r>
    </w:p>
    <w:p>
      <w:pPr>
        <w:rPr>
          <w:sz w:val="20"/>
          <w:szCs w:val="20"/>
        </w:rPr>
      </w:pP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Q-error mean / std: 0.040756 / 0.005026</w:t>
      </w:r>
    </w:p>
    <w:p>
      <w:pPr>
        <w:pStyle w:val="af1"/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sz w:val="20"/>
          <w:szCs w:val="20"/>
        </w:rPr>
        <w:t>Value-error mean / std: 0.035183 / 0.005590</w:t>
      </w:r>
    </w:p>
    <w:p>
      <w:pPr>
        <w:pStyle w:val="af1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Policy mismatch mean / std: 0.224619 / 0.018911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Full Summary Table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Table 1 shows all 9 settings sorted by mean Q-error (best to worst). Results are averaged over 50 seeds.</w:t>
      </w:r>
    </w:p>
    <w:p>
      <w:pPr>
        <w:rPr>
          <w:sz w:val="20"/>
          <w:szCs w:val="20"/>
        </w:rPr>
      </w:pPr>
    </w:p>
    <w:tbl>
      <w:tblPr>
        <w:tblW w:w="9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1080"/>
        <w:gridCol w:w="1080"/>
        <w:gridCol w:w="1080"/>
        <w:gridCol w:w="1080"/>
        <w:gridCol w:w="1080"/>
        <w:gridCol w:w="1148"/>
      </w:tblGrid>
      <w:tr>
        <w:trPr>
          <w:tblHeader/>
        </w:trPr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Setting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Q-err mean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Q-err std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V-err mean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V-err std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Mismatch mean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Mismatch std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eps_linear + alpha_harmonic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0.0408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0.0050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0.0352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0.0056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0.2246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0.0189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eps_exp_fast + alpha_harmonic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0.0415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0.0043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0.0361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0.0046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0.2594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0.0196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eps_exp_slow + alpha_harmonic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0.0432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0.0061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0.0379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0.0063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0.3290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0.0241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eps_linear + alpha_const_0.1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0.0745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0.0124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0.0693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0.1727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0.0145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eps_exp_fast + alpha_const_0.1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0.0961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0.0132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0.0912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0.0130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0.2403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0.0173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eps_linear + alpha_sqrt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0.1276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0.0169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0.1228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0.0166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0.2061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0.0163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eps_exp_fast + alpha_sqrt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0.1331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0.0140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0.1282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0.0139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0.2618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0.0181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eps_exp_slow + alpha_const_0.1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0.1479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0.0136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0.1430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0.0136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0.3925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0.0244</w:t>
            </w:r>
          </w:p>
        </w:tc>
      </w:tr>
      <w:tr>
        <w:trPr/>
        <w:tc>
          <w:tcPr>
            <w:tcW w:w="2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eps_exp_slow + alpha_sqrt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0.1492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0.0109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0.1441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0.0109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0.3872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16"/>
                <w:szCs w:val="16"/>
              </w:rPr>
              <w:t>0.0259</w:t>
            </w:r>
          </w:p>
        </w:tc>
      </w:tr>
    </w:tbl>
    <w:p>
      <w:pPr>
        <w:jc w:val="center"/>
        <w:spacing w:after="240" w:before="120"/>
        <w:rPr>
          <w:sz w:val="20"/>
          <w:szCs w:val="20"/>
        </w:rPr>
      </w:pPr>
      <w:r>
        <w:rPr>
          <w:i/>
          <w:iCs/>
          <w:color w:val="555555"/>
          <w:sz w:val="16"/>
          <w:szCs w:val="16"/>
        </w:rPr>
        <w:t>Table 1: Experiment summary — all 9 hyperparameter combinations, sorted by Q-error mean.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Learning Curves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Figure 3 shows the Q-error versus number of training episodes for the top 5 settings using a compact log-scale episode axis. The harmonic learning-rate variants converge to much lower final errors than the constant learning-rate variants.</w:t>
      </w:r>
    </w:p>
    <w:p>
      <w:pPr>
        <w:rPr>
          <w:sz w:val="20"/>
          <w:szCs w:val="20"/>
        </w:rPr>
      </w:pPr>
    </w:p>
    <w:p>
      <w:pPr>
        <w:jc w:val="center"/>
        <w:spacing w:after="200" w:before="12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3611434" cy="206372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434" cy="20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20"/>
          <w:szCs w:val="20"/>
        </w:rPr>
      </w:pPr>
      <w:r>
        <w:rPr>
          <w:i/>
          <w:iCs/>
          <w:color w:val="555555"/>
          <w:sz w:val="16"/>
          <w:szCs w:val="16"/>
        </w:rPr>
        <w:t>Figure 3: Mean max Q-error vs. episodes for the top 5 configurations (50 seeds).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Policy Comparison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Figure 4 compares the optimal policy from value iteration with the policy extracted from the best Q-learning run. Thick black borders mark states where the two policies disagree.</w:t>
      </w:r>
    </w:p>
    <w:p>
      <w:pPr>
        <w:rPr>
          <w:sz w:val="20"/>
          <w:szCs w:val="20"/>
        </w:rPr>
      </w:pPr>
    </w:p>
    <w:p>
      <w:pPr>
        <w:jc w:val="center"/>
        <w:spacing w:after="200" w:before="12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3797301" cy="198120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1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20"/>
          <w:szCs w:val="20"/>
        </w:rPr>
      </w:pPr>
      <w:r>
        <w:rPr>
          <w:i/>
          <w:iCs/>
          <w:color w:val="555555"/>
          <w:sz w:val="16"/>
          <w:szCs w:val="16"/>
        </w:rPr>
        <w:t>Figure 4: VI policy with thick borders marking mismatches with best Q-learning (eps_linear + alpha_harmonic).</w:t>
      </w:r>
    </w:p>
    <w:p>
      <w:pPr>
        <w:pStyle w:val="Heading1"/>
        <w:rPr>
          <w:sz w:val="34"/>
          <w:szCs w:val="34"/>
        </w:rPr>
      </w:pPr>
      <w:r>
        <w:rPr>
          <w:sz w:val="34"/>
          <w:szCs w:val="34"/>
        </w:rPr>
        <w:t>6. Analysis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Why Harmonic Learning Rate Works Best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harmonic learning-rate schedule (alpha_n = 1/(10+n)) gave the smallest Q-function approximation errors across all three exploration schedules. This schedule updates aggressively early in training when visit counts n are small, but becomes increasingly conservative as more samples are collected. In a finite tabular MDP where the exact optimal Q-values are stable targets, this reduction in step size helps stabilize estimates once they are close to the dynamic-programming benchmark. The classical Robbins-Monro conditions for Q-learning convergence require Σα = ∞ and Σα² &lt; ∞; the harmonic schedule satisfies both.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Constant vs. Sqrt Learning Rate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constant learning rate (alpha = 0.1) sometimes produced a lower policy mismatch ratio than the harmonic schedule, particularly with linear epsilon decay. However, its Q-error and value-error were significantly larger. This means the greedy action was often correct, but the Q-values themselves remained numerically inaccurate. Since the project goal is approximation of the value-iteration solution (not just behavioral matching), Q-error and value-error are the more informative metrics, and the harmonic schedule dominates on both.</w:t>
      </w:r>
    </w:p>
    <w:p>
      <w:pPr>
        <w:rPr>
          <w:sz w:val="20"/>
          <w:szCs w:val="20"/>
        </w:rPr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square-root schedule (alpha_n = 0.7/sqrt(1+n)) performed worse than harmonic in these experiments. Its step size decays more slowly, so Q-estimates continue to shift substantially even after many visits. In a small finite MDP where optimal Q-values are well-defined constants, this slower decay leads to noisier final estimates.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Effect of Epsilon Schedule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slow exponential exploration schedule performed poorly regardless of learning rate. With only 5,000 episodes and a low decay rate (λ = 3×10⁻⁵), epsilon remains near 1.0 for the majority of training, so the agent continues taking many random actions late in the learning phase. This slows convergence of both the Q-values and the greedy policy.</w:t>
      </w:r>
    </w:p>
    <w:p>
      <w:pPr>
        <w:rPr>
          <w:sz w:val="20"/>
          <w:szCs w:val="20"/>
        </w:rPr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fast exponential schedule (λ = 2×10⁻⁴) performed better than the slow one, but still slightly worse than linear decay when paired with harmonic learning rates. Linear decay provides a more predictable trade-off between exploration and exploitation, which appears to be beneficial in this structured finite MDP.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Overall Conclusion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>The best-performing configuration was linear epsilon decay combined with harmonic state-action learning rates (eps_linear_1_to_001__alpha_harmonic). It achieved a mean Q-error of 0.0408 and a mean value-function error of 0.0352 over 50 seeds. This combination balanced sufficient early exploration with effective exploitation later, and reduced the learning rate enough for the final Q-table to closely approximate the value-iteration benchmark.</w:t>
      </w:r>
    </w:p>
    <w:sectPr>
      <w:pgSz w:w="12240" w:h="15840"/>
      <w:pgMar w:top="1080" w:right="1080" w:bottom="108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Courier New">
    <w:panose1 w:val="02070309020205020404"/>
    <w:charset w:val="00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numbering" w:styleId="a4">
    <w:name w:val="No List"/>
    <w:semiHidden/>
    <w:unhideWhenUsed/>
  </w:style>
  <w:style w:type="paragraph" w:styleId="ab">
    <w:name w:val="Strong"/>
    <w:basedOn w:val="a1"/>
    <w:next w:val="a1"/>
    <w:qFormat/>
    <w:rPr>
      <w:b/>
      <w:bCs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qFormat/>
    <w:rPr>
      <w:sz w:val="56"/>
      <w:szCs w:val="56"/>
    </w:rPr>
  </w:style>
  <w:style w:type="paragraph" w:styleId="af1">
    <w:name w:val="List Paragraph"/>
    <w:basedOn w:val="a1"/>
    <w:qFormat/>
  </w:style>
  <w:style w:type="paragraph" w:styleId="af2">
    <w:name w:val="caption"/>
    <w:basedOn w:val="a1"/>
    <w:next w:val="a1"/>
    <w:qFormat/>
    <w:rPr>
      <w:b/>
      <w:bCs/>
      <w:szCs w:val="20"/>
    </w:rPr>
  </w:style>
  <w:style w:type="paragraph" w:styleId="af4">
    <w:name w:val="footnote text"/>
    <w:basedOn w:val="a1"/>
    <w:link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af5">
    <w:name w:val="footnote reference"/>
    <w:basedOn w:val="a1"/>
    <w:semiHidden/>
    <w:unhideWhenUsed/>
    <w:rPr>
      <w:vertAlign w:val="superscript"/>
    </w:r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styleId="a2">
    <w:name w:val="Default Paragraph Font"/>
    <w:semiHidden/>
    <w:unhideWhenUsed/>
  </w:style>
  <w:style w:type="character" w:styleId="aff6">
    <w:name w:val="endnote reference"/>
    <w:basedOn w:val="a1"/>
    <w:semiHidden/>
    <w:unhideWhenUsed/>
    <w:rPr>
      <w:vertAlign w:val="superscript"/>
    </w:rPr>
  </w:style>
  <w:style w:type="paragraph" w:styleId="aff7">
    <w:name w:val="endnote text"/>
    <w:basedOn w:val="a1"/>
    <w:link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afffa">
    <w:name w:val="Hyperlink"/>
    <w:basedOn w:val="a1"/>
    <w:unhideWhenUsed/>
    <w:rPr>
      <w:color w:val="0563C1"/>
      <w:u w:val="single" w:color="auto"/>
    </w:rPr>
  </w:style>
  <w:style w:type="character" w:styleId="FootnoteTextChar">
    <w:name w:val="Footnote Text Char"/>
    <w:basedOn w:val="a1"/>
    <w:link w:val="Normal"/>
    <w:semiHidden/>
    <w:unhideWhenUsed/>
    <w:rPr>
      <w:sz w:val="20"/>
      <w:szCs w:val="20"/>
    </w:rPr>
  </w:style>
  <w:style w:type="paragraph" w:styleId="Heading4">
    <w:name w:val="Heading 4"/>
    <w:basedOn w:val="a1"/>
    <w:next w:val="a1"/>
    <w:qFormat/>
    <w:rPr>
      <w:i/>
      <w:iCs/>
      <w:color w:val="2E74B5"/>
    </w:rPr>
  </w:style>
  <w:style w:type="paragraph" w:styleId="Heading5">
    <w:name w:val="Heading 5"/>
    <w:basedOn w:val="a1"/>
    <w:next w:val="a1"/>
    <w:qFormat/>
    <w:rPr>
      <w:color w:val="2E74B5"/>
    </w:rPr>
  </w:style>
  <w:style w:type="paragraph" w:styleId="Heading1">
    <w:name w:val="Heading 1"/>
    <w:basedOn w:val="a1"/>
    <w:next w:val="a1"/>
    <w:qFormat/>
    <w:pPr>
      <w:outlineLvl w:val="0"/>
      <w:spacing w:after="180" w:before="360"/>
    </w:pPr>
    <w:rPr>
      <w:rFonts w:ascii="Arial" w:eastAsia="Arial" w:hAnsi="Arial" w:cs="Arial"/>
      <w:b/>
      <w:bCs/>
      <w:color w:val="1F3864"/>
      <w:sz w:val="36"/>
      <w:szCs w:val="36"/>
    </w:rPr>
  </w:style>
  <w:style w:type="paragraph" w:styleId="Heading3">
    <w:name w:val="Heading 3"/>
    <w:basedOn w:val="a1"/>
    <w:next w:val="a1"/>
    <w:qFormat/>
    <w:rPr>
      <w:color w:val="1F4D78"/>
      <w:sz w:val="24"/>
      <w:szCs w:val="24"/>
    </w:rPr>
  </w:style>
  <w:style w:type="paragraph" w:styleId="Heading6">
    <w:name w:val="Heading 6"/>
    <w:basedOn w:val="a1"/>
    <w:next w:val="a1"/>
    <w:qFormat/>
    <w:rPr>
      <w:color w:val="1F4D78"/>
    </w:rPr>
  </w:style>
  <w:style w:type="paragraph" w:styleId="Heading2">
    <w:name w:val="Heading 2"/>
    <w:basedOn w:val="a1"/>
    <w:next w:val="a1"/>
    <w:qFormat/>
    <w:pPr>
      <w:outlineLvl w:val="1"/>
      <w:spacing w:after="120" w:before="240"/>
    </w:pPr>
    <w:rPr>
      <w:rFonts w:ascii="Arial" w:eastAsia="Arial" w:hAnsi="Arial" w:cs="Arial"/>
      <w:b/>
      <w:bCs/>
      <w:color w:val="2E5FA3"/>
      <w:sz w:val="28"/>
      <w:szCs w:val="28"/>
    </w:rPr>
  </w:style>
  <w:style w:type="character" w:styleId="EndnoteTextChar">
    <w:name w:val="Endnote Text Char"/>
    <w:basedOn w:val="a1"/>
    <w:link w:val="Normal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2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jwy02</dc:creator>
  <cp:keywords/>
  <dc:description/>
  <cp:lastModifiedBy>jwy02</cp:lastModifiedBy>
  <cp:revision>1</cp:revision>
  <dcterms:modified xsi:type="dcterms:W3CDTF">2026-04-29T07:18:22Z</dcterms:modified>
  <cp:version>0900.0001.01</cp:version>
</cp:coreProperties>
</file>