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4B23D" w14:textId="12770CCD" w:rsidR="00A62545" w:rsidRDefault="00B57CB6">
      <w:pPr>
        <w:rPr>
          <w:b/>
          <w:bCs/>
        </w:rPr>
      </w:pPr>
      <w:r w:rsidRPr="00B57CB6">
        <w:rPr>
          <w:b/>
          <w:bCs/>
        </w:rPr>
        <w:t>Global Temperature vs San Francisco’s Temperature</w:t>
      </w:r>
    </w:p>
    <w:p w14:paraId="7C32BF8E" w14:textId="41EB956F" w:rsidR="00B57CB6" w:rsidRDefault="00B57CB6">
      <w:pPr>
        <w:rPr>
          <w:b/>
          <w:bCs/>
        </w:rPr>
      </w:pPr>
    </w:p>
    <w:p w14:paraId="05D09E11" w14:textId="1FC8A052" w:rsidR="00B57CB6" w:rsidRDefault="00B57CB6" w:rsidP="00B57CB6">
      <w:pPr>
        <w:pStyle w:val="ListParagraph"/>
        <w:numPr>
          <w:ilvl w:val="0"/>
          <w:numId w:val="2"/>
        </w:numPr>
      </w:pPr>
      <w:r>
        <w:t>Overview</w:t>
      </w:r>
    </w:p>
    <w:p w14:paraId="6EBB3936" w14:textId="4774F31F" w:rsidR="00B57CB6" w:rsidRDefault="00B57CB6" w:rsidP="00B57CB6">
      <w:pPr>
        <w:pStyle w:val="ListParagraph"/>
        <w:numPr>
          <w:ilvl w:val="1"/>
          <w:numId w:val="2"/>
        </w:numPr>
      </w:pPr>
      <w:r>
        <w:t>The analysis and visualization in this write-up are done in EXCEL with data extracted using SQL.</w:t>
      </w:r>
    </w:p>
    <w:p w14:paraId="6C9FCCD8" w14:textId="7CC973EF" w:rsidR="00B57CB6" w:rsidRDefault="00B57CB6" w:rsidP="00B57CB6">
      <w:pPr>
        <w:pStyle w:val="ListParagraph"/>
        <w:numPr>
          <w:ilvl w:val="1"/>
          <w:numId w:val="2"/>
        </w:numPr>
      </w:pPr>
      <w:r>
        <w:t xml:space="preserve">Moving average is calculated using Excel’s Data Analysis </w:t>
      </w:r>
      <w:r>
        <w:rPr>
          <w:rFonts w:hint="eastAsia"/>
        </w:rPr>
        <w:t>add</w:t>
      </w:r>
      <w:r>
        <w:t>-on</w:t>
      </w:r>
    </w:p>
    <w:p w14:paraId="57718120" w14:textId="68DDFDEF" w:rsidR="00B57CB6" w:rsidRDefault="00B57CB6" w:rsidP="00B57CB6">
      <w:pPr>
        <w:pStyle w:val="ListParagraph"/>
        <w:numPr>
          <w:ilvl w:val="1"/>
          <w:numId w:val="2"/>
        </w:numPr>
      </w:pPr>
      <w:r>
        <w:t>Major concern here is to choose the window of calculating moving average. I started by using 5 years and eventually decided to use 10 years, because temperature could be changing at tiny paces over the years and a wider window such as 10 years helps to visualize the trend more clearly. In addition, two plots are plotted within the same timeframe.</w:t>
      </w:r>
    </w:p>
    <w:p w14:paraId="2763B921" w14:textId="005FE114" w:rsidR="00F418B3" w:rsidRDefault="00F418B3" w:rsidP="00F418B3">
      <w:pPr>
        <w:pStyle w:val="ListParagraph"/>
        <w:numPr>
          <w:ilvl w:val="0"/>
          <w:numId w:val="2"/>
        </w:numPr>
      </w:pPr>
      <w:r>
        <w:t>SQL</w:t>
      </w:r>
    </w:p>
    <w:p w14:paraId="630F0AB4" w14:textId="77777777" w:rsidR="00F418B3" w:rsidRDefault="00F418B3" w:rsidP="00F418B3">
      <w:pPr>
        <w:pStyle w:val="ListParagraph"/>
        <w:numPr>
          <w:ilvl w:val="1"/>
          <w:numId w:val="2"/>
        </w:numPr>
      </w:pPr>
      <w:r>
        <w:t>Extracting Global data</w:t>
      </w:r>
    </w:p>
    <w:p w14:paraId="794A7DE6" w14:textId="4732D064" w:rsidR="00F418B3" w:rsidRDefault="00F418B3" w:rsidP="00F418B3">
      <w:pPr>
        <w:ind w:left="720" w:firstLine="720"/>
      </w:pPr>
      <w:r>
        <w:t xml:space="preserve">SELECT * FROM </w:t>
      </w:r>
      <w:proofErr w:type="spellStart"/>
      <w:r>
        <w:t>global_data</w:t>
      </w:r>
      <w:proofErr w:type="spellEnd"/>
    </w:p>
    <w:p w14:paraId="0371789B" w14:textId="0DA26F4F" w:rsidR="00F418B3" w:rsidRDefault="00F418B3" w:rsidP="00F418B3">
      <w:pPr>
        <w:pStyle w:val="ListParagraph"/>
        <w:numPr>
          <w:ilvl w:val="1"/>
          <w:numId w:val="2"/>
        </w:numPr>
      </w:pPr>
      <w:r>
        <w:t>Extracting city data</w:t>
      </w:r>
    </w:p>
    <w:p w14:paraId="6454E991" w14:textId="5D47C2FB" w:rsidR="00F418B3" w:rsidRDefault="00F418B3" w:rsidP="00F418B3">
      <w:pPr>
        <w:pStyle w:val="ListParagraph"/>
        <w:ind w:left="1440"/>
        <w:rPr>
          <w:rFonts w:hint="eastAsia"/>
        </w:rPr>
      </w:pPr>
      <w:r>
        <w:t xml:space="preserve">SELECT </w:t>
      </w:r>
      <w:r>
        <w:rPr>
          <w:rFonts w:hint="eastAsia"/>
        </w:rPr>
        <w:t>year,</w:t>
      </w:r>
      <w:r>
        <w:t xml:space="preserve"> </w:t>
      </w:r>
      <w:proofErr w:type="spellStart"/>
      <w:r>
        <w:t>avg_temp</w:t>
      </w:r>
      <w:proofErr w:type="spellEnd"/>
      <w:r>
        <w:t xml:space="preserve"> FROM </w:t>
      </w:r>
      <w:proofErr w:type="spellStart"/>
      <w:r>
        <w:t>city_list</w:t>
      </w:r>
      <w:proofErr w:type="spellEnd"/>
      <w:r>
        <w:t xml:space="preserve"> WHERE city=”San Francisco”</w:t>
      </w:r>
    </w:p>
    <w:p w14:paraId="34B270E0" w14:textId="74973A6F" w:rsidR="00B57CB6" w:rsidRPr="00B57CB6" w:rsidRDefault="00B57CB6" w:rsidP="00B57CB6">
      <w:pPr>
        <w:pStyle w:val="ListParagraph"/>
        <w:numPr>
          <w:ilvl w:val="0"/>
          <w:numId w:val="2"/>
        </w:numPr>
      </w:pPr>
      <w:r>
        <w:t xml:space="preserve">Plots of temperature trends. </w:t>
      </w:r>
    </w:p>
    <w:p w14:paraId="6C26A020" w14:textId="20D9CB29" w:rsidR="00B57CB6" w:rsidRDefault="00B57CB6"/>
    <w:p w14:paraId="4AD71ADA" w14:textId="77777777" w:rsidR="00B57CB6" w:rsidRDefault="00B57CB6" w:rsidP="00B57CB6">
      <w:pPr>
        <w:keepNext/>
      </w:pPr>
      <w:r>
        <w:rPr>
          <w:noProof/>
        </w:rPr>
        <w:drawing>
          <wp:inline distT="0" distB="0" distL="0" distR="0" wp14:anchorId="4AA69BAE" wp14:editId="0EA185BB">
            <wp:extent cx="5634681" cy="3707027"/>
            <wp:effectExtent l="0" t="0" r="17145" b="14605"/>
            <wp:docPr id="1" name="Chart 1">
              <a:extLst xmlns:a="http://schemas.openxmlformats.org/drawingml/2006/main">
                <a:ext uri="{FF2B5EF4-FFF2-40B4-BE49-F238E27FC236}">
                  <a16:creationId xmlns:a16="http://schemas.microsoft.com/office/drawing/2014/main" id="{37C89311-E65C-9044-B52B-6CD608649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53AE26" w14:textId="1FCAD131" w:rsidR="00B57CB6" w:rsidRDefault="00B57CB6" w:rsidP="00B57CB6">
      <w:pPr>
        <w:pStyle w:val="Caption"/>
      </w:pPr>
      <w:r>
        <w:t xml:space="preserve">Figure </w:t>
      </w:r>
      <w:r w:rsidR="00F418B3">
        <w:fldChar w:fldCharType="begin"/>
      </w:r>
      <w:r w:rsidR="00F418B3">
        <w:instrText xml:space="preserve"> SEQ Figure \* ARABIC </w:instrText>
      </w:r>
      <w:r w:rsidR="00F418B3">
        <w:fldChar w:fldCharType="separate"/>
      </w:r>
      <w:r>
        <w:rPr>
          <w:noProof/>
        </w:rPr>
        <w:t>1</w:t>
      </w:r>
      <w:r w:rsidR="00F418B3">
        <w:rPr>
          <w:noProof/>
        </w:rPr>
        <w:fldChar w:fldCharType="end"/>
      </w:r>
      <w:r>
        <w:t>. Global Temperature with 10 Year Moving Average</w:t>
      </w:r>
    </w:p>
    <w:p w14:paraId="5371A2B6" w14:textId="497BF2C3" w:rsidR="00B57CB6" w:rsidRDefault="00B57CB6" w:rsidP="00B57CB6"/>
    <w:p w14:paraId="3F9E31A2" w14:textId="77777777" w:rsidR="00B57CB6" w:rsidRDefault="00B57CB6" w:rsidP="00B57CB6">
      <w:pPr>
        <w:keepNext/>
      </w:pPr>
      <w:r>
        <w:rPr>
          <w:noProof/>
        </w:rPr>
        <w:lastRenderedPageBreak/>
        <w:drawing>
          <wp:inline distT="0" distB="0" distL="0" distR="0" wp14:anchorId="29408697" wp14:editId="7B2E077E">
            <wp:extent cx="5634355" cy="3077089"/>
            <wp:effectExtent l="0" t="0" r="17145" b="9525"/>
            <wp:docPr id="2" name="Chart 2">
              <a:extLst xmlns:a="http://schemas.openxmlformats.org/drawingml/2006/main">
                <a:ext uri="{FF2B5EF4-FFF2-40B4-BE49-F238E27FC236}">
                  <a16:creationId xmlns:a16="http://schemas.microsoft.com/office/drawing/2014/main" id="{6BA8437A-99EE-6C43-B1D0-5DE812CD34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1D0A18" w14:textId="2FE26110" w:rsidR="00B57CB6" w:rsidRDefault="00B57CB6" w:rsidP="00B57CB6">
      <w:pPr>
        <w:pStyle w:val="Caption"/>
      </w:pPr>
      <w:r>
        <w:t xml:space="preserve">Figure </w:t>
      </w:r>
      <w:r w:rsidR="00F418B3">
        <w:fldChar w:fldCharType="begin"/>
      </w:r>
      <w:r w:rsidR="00F418B3">
        <w:instrText xml:space="preserve"> SEQ Figure \* ARABIC </w:instrText>
      </w:r>
      <w:r w:rsidR="00F418B3">
        <w:fldChar w:fldCharType="separate"/>
      </w:r>
      <w:r>
        <w:rPr>
          <w:noProof/>
        </w:rPr>
        <w:t>2</w:t>
      </w:r>
      <w:r w:rsidR="00F418B3">
        <w:rPr>
          <w:noProof/>
        </w:rPr>
        <w:fldChar w:fldCharType="end"/>
      </w:r>
      <w:r>
        <w:t>. San Francisco's Temperature with 10 Year Moving Average</w:t>
      </w:r>
    </w:p>
    <w:p w14:paraId="1AB2790F" w14:textId="4BDAEA8C" w:rsidR="00B57CB6" w:rsidRDefault="00B57CB6" w:rsidP="00B57CB6"/>
    <w:p w14:paraId="2864DC3F" w14:textId="7F2390CD" w:rsidR="00B57CB6" w:rsidRDefault="00B57CB6" w:rsidP="00B57CB6">
      <w:r>
        <w:t>Observations:</w:t>
      </w:r>
    </w:p>
    <w:p w14:paraId="12D19116" w14:textId="05C7EB62" w:rsidR="00B57CB6" w:rsidRDefault="00B57CB6" w:rsidP="00B57CB6">
      <w:pPr>
        <w:pStyle w:val="ListParagraph"/>
        <w:numPr>
          <w:ilvl w:val="0"/>
          <w:numId w:val="1"/>
        </w:numPr>
      </w:pPr>
      <w:r>
        <w:t>Comparing to global temperature, San Francisco is hotter than the global average. Such difference of roughly 5 to 6 degrees is consistent over the last 200 years.</w:t>
      </w:r>
    </w:p>
    <w:p w14:paraId="619DB14B" w14:textId="4EEAFD78" w:rsidR="00B57CB6" w:rsidRDefault="00972AFB" w:rsidP="00B57CB6">
      <w:pPr>
        <w:pStyle w:val="ListParagraph"/>
        <w:numPr>
          <w:ilvl w:val="0"/>
          <w:numId w:val="1"/>
        </w:numPr>
      </w:pPr>
      <w:r>
        <w:t>Looking at the overall trend over years, both San Francisco’s temperature and global temperature is rising. It seems like the global warming is happening. Noticeably, the global temperature is consistently rising, while San Francisco’s temperature is dropping in the late 1800s.</w:t>
      </w:r>
    </w:p>
    <w:p w14:paraId="280AC57A" w14:textId="3B129699" w:rsidR="00972AFB" w:rsidRDefault="00972AFB" w:rsidP="00B57CB6">
      <w:pPr>
        <w:pStyle w:val="ListParagraph"/>
        <w:numPr>
          <w:ilvl w:val="0"/>
          <w:numId w:val="1"/>
        </w:numPr>
      </w:pPr>
      <w:r>
        <w:t>Since 1970s, San Francisco’s temperature has been rising up quickly and showing less fluctuations compared to previous decades.</w:t>
      </w:r>
    </w:p>
    <w:p w14:paraId="53283F93" w14:textId="2206F878" w:rsidR="00972AFB" w:rsidRDefault="00972AFB" w:rsidP="00B57CB6">
      <w:pPr>
        <w:pStyle w:val="ListParagraph"/>
        <w:numPr>
          <w:ilvl w:val="0"/>
          <w:numId w:val="1"/>
        </w:numPr>
      </w:pPr>
      <w:r>
        <w:t>Similarly, the global temperature seems to increase faster since 1970s.</w:t>
      </w:r>
    </w:p>
    <w:p w14:paraId="0076D217" w14:textId="71978686" w:rsidR="00595FC2" w:rsidRPr="00B57CB6" w:rsidRDefault="00595FC2" w:rsidP="00595FC2"/>
    <w:sectPr w:rsidR="00595FC2" w:rsidRPr="00B57CB6" w:rsidSect="00550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78CC"/>
    <w:multiLevelType w:val="hybridMultilevel"/>
    <w:tmpl w:val="D4E29CD4"/>
    <w:lvl w:ilvl="0" w:tplc="4C2A4AE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F79E2"/>
    <w:multiLevelType w:val="hybridMultilevel"/>
    <w:tmpl w:val="57E8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B6"/>
    <w:rsid w:val="00550C81"/>
    <w:rsid w:val="00595FC2"/>
    <w:rsid w:val="00972AFB"/>
    <w:rsid w:val="00A62545"/>
    <w:rsid w:val="00B57CB6"/>
    <w:rsid w:val="00F41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31D6"/>
  <w15:chartTrackingRefBased/>
  <w15:docId w15:val="{D28C8B36-EED6-5C49-9C77-594442ED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57CB6"/>
    <w:pPr>
      <w:spacing w:after="200"/>
    </w:pPr>
    <w:rPr>
      <w:i/>
      <w:iCs/>
      <w:color w:val="44546A" w:themeColor="text2"/>
      <w:sz w:val="18"/>
      <w:szCs w:val="18"/>
    </w:rPr>
  </w:style>
  <w:style w:type="paragraph" w:styleId="ListParagraph">
    <w:name w:val="List Paragraph"/>
    <w:basedOn w:val="Normal"/>
    <w:uiPriority w:val="34"/>
    <w:qFormat/>
    <w:rsid w:val="00B57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ianxing/Desktop/udacity/GlobalTemperature/GLB_TE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ianxing/Desktop/udacity/GlobalTemperature/GLB_TEMP.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10 Year MA (Global)</c:v>
                </c:pt>
              </c:strCache>
            </c:strRef>
          </c:tx>
          <c:spPr>
            <a:ln w="28575" cap="rnd">
              <a:solidFill>
                <a:schemeClr val="accent1"/>
              </a:solidFill>
              <a:round/>
            </a:ln>
            <a:effectLst/>
          </c:spPr>
          <c:marker>
            <c:symbol val="none"/>
          </c:marker>
          <c:cat>
            <c:numRef>
              <c:f>Sheet1!$A$110:$A$267</c:f>
              <c:numCache>
                <c:formatCode>General</c:formatCode>
                <c:ptCount val="158"/>
                <c:pt idx="0">
                  <c:v>1858</c:v>
                </c:pt>
                <c:pt idx="1">
                  <c:v>1859</c:v>
                </c:pt>
                <c:pt idx="2">
                  <c:v>1860</c:v>
                </c:pt>
                <c:pt idx="3">
                  <c:v>1861</c:v>
                </c:pt>
                <c:pt idx="4">
                  <c:v>1862</c:v>
                </c:pt>
                <c:pt idx="5">
                  <c:v>1863</c:v>
                </c:pt>
                <c:pt idx="6">
                  <c:v>1864</c:v>
                </c:pt>
                <c:pt idx="7">
                  <c:v>1865</c:v>
                </c:pt>
                <c:pt idx="8">
                  <c:v>1866</c:v>
                </c:pt>
                <c:pt idx="9">
                  <c:v>1867</c:v>
                </c:pt>
                <c:pt idx="10">
                  <c:v>1868</c:v>
                </c:pt>
                <c:pt idx="11">
                  <c:v>1869</c:v>
                </c:pt>
                <c:pt idx="12">
                  <c:v>1870</c:v>
                </c:pt>
                <c:pt idx="13">
                  <c:v>1871</c:v>
                </c:pt>
                <c:pt idx="14">
                  <c:v>1872</c:v>
                </c:pt>
                <c:pt idx="15">
                  <c:v>1873</c:v>
                </c:pt>
                <c:pt idx="16">
                  <c:v>1874</c:v>
                </c:pt>
                <c:pt idx="17">
                  <c:v>1875</c:v>
                </c:pt>
                <c:pt idx="18">
                  <c:v>1876</c:v>
                </c:pt>
                <c:pt idx="19">
                  <c:v>1877</c:v>
                </c:pt>
                <c:pt idx="20">
                  <c:v>1878</c:v>
                </c:pt>
                <c:pt idx="21">
                  <c:v>1879</c:v>
                </c:pt>
                <c:pt idx="22">
                  <c:v>1880</c:v>
                </c:pt>
                <c:pt idx="23">
                  <c:v>1881</c:v>
                </c:pt>
                <c:pt idx="24">
                  <c:v>1882</c:v>
                </c:pt>
                <c:pt idx="25">
                  <c:v>1883</c:v>
                </c:pt>
                <c:pt idx="26">
                  <c:v>1884</c:v>
                </c:pt>
                <c:pt idx="27">
                  <c:v>1885</c:v>
                </c:pt>
                <c:pt idx="28">
                  <c:v>1886</c:v>
                </c:pt>
                <c:pt idx="29">
                  <c:v>1887</c:v>
                </c:pt>
                <c:pt idx="30">
                  <c:v>1888</c:v>
                </c:pt>
                <c:pt idx="31">
                  <c:v>1889</c:v>
                </c:pt>
                <c:pt idx="32">
                  <c:v>1890</c:v>
                </c:pt>
                <c:pt idx="33">
                  <c:v>1891</c:v>
                </c:pt>
                <c:pt idx="34">
                  <c:v>1892</c:v>
                </c:pt>
                <c:pt idx="35">
                  <c:v>1893</c:v>
                </c:pt>
                <c:pt idx="36">
                  <c:v>1894</c:v>
                </c:pt>
                <c:pt idx="37">
                  <c:v>1895</c:v>
                </c:pt>
                <c:pt idx="38">
                  <c:v>1896</c:v>
                </c:pt>
                <c:pt idx="39">
                  <c:v>1897</c:v>
                </c:pt>
                <c:pt idx="40">
                  <c:v>1898</c:v>
                </c:pt>
                <c:pt idx="41">
                  <c:v>1899</c:v>
                </c:pt>
                <c:pt idx="42">
                  <c:v>1900</c:v>
                </c:pt>
                <c:pt idx="43">
                  <c:v>1901</c:v>
                </c:pt>
                <c:pt idx="44">
                  <c:v>1902</c:v>
                </c:pt>
                <c:pt idx="45">
                  <c:v>1903</c:v>
                </c:pt>
                <c:pt idx="46">
                  <c:v>1904</c:v>
                </c:pt>
                <c:pt idx="47">
                  <c:v>1905</c:v>
                </c:pt>
                <c:pt idx="48">
                  <c:v>1906</c:v>
                </c:pt>
                <c:pt idx="49">
                  <c:v>1907</c:v>
                </c:pt>
                <c:pt idx="50">
                  <c:v>1908</c:v>
                </c:pt>
                <c:pt idx="51">
                  <c:v>1909</c:v>
                </c:pt>
                <c:pt idx="52">
                  <c:v>1910</c:v>
                </c:pt>
                <c:pt idx="53">
                  <c:v>1911</c:v>
                </c:pt>
                <c:pt idx="54">
                  <c:v>1912</c:v>
                </c:pt>
                <c:pt idx="55">
                  <c:v>1913</c:v>
                </c:pt>
                <c:pt idx="56">
                  <c:v>1914</c:v>
                </c:pt>
                <c:pt idx="57">
                  <c:v>1915</c:v>
                </c:pt>
                <c:pt idx="58">
                  <c:v>1916</c:v>
                </c:pt>
                <c:pt idx="59">
                  <c:v>1917</c:v>
                </c:pt>
                <c:pt idx="60">
                  <c:v>1918</c:v>
                </c:pt>
                <c:pt idx="61">
                  <c:v>1919</c:v>
                </c:pt>
                <c:pt idx="62">
                  <c:v>1920</c:v>
                </c:pt>
                <c:pt idx="63">
                  <c:v>1921</c:v>
                </c:pt>
                <c:pt idx="64">
                  <c:v>1922</c:v>
                </c:pt>
                <c:pt idx="65">
                  <c:v>1923</c:v>
                </c:pt>
                <c:pt idx="66">
                  <c:v>1924</c:v>
                </c:pt>
                <c:pt idx="67">
                  <c:v>1925</c:v>
                </c:pt>
                <c:pt idx="68">
                  <c:v>1926</c:v>
                </c:pt>
                <c:pt idx="69">
                  <c:v>1927</c:v>
                </c:pt>
                <c:pt idx="70">
                  <c:v>1928</c:v>
                </c:pt>
                <c:pt idx="71">
                  <c:v>1929</c:v>
                </c:pt>
                <c:pt idx="72">
                  <c:v>1930</c:v>
                </c:pt>
                <c:pt idx="73">
                  <c:v>1931</c:v>
                </c:pt>
                <c:pt idx="74">
                  <c:v>1932</c:v>
                </c:pt>
                <c:pt idx="75">
                  <c:v>1933</c:v>
                </c:pt>
                <c:pt idx="76">
                  <c:v>1934</c:v>
                </c:pt>
                <c:pt idx="77">
                  <c:v>1935</c:v>
                </c:pt>
                <c:pt idx="78">
                  <c:v>1936</c:v>
                </c:pt>
                <c:pt idx="79">
                  <c:v>1937</c:v>
                </c:pt>
                <c:pt idx="80">
                  <c:v>1938</c:v>
                </c:pt>
                <c:pt idx="81">
                  <c:v>1939</c:v>
                </c:pt>
                <c:pt idx="82">
                  <c:v>1940</c:v>
                </c:pt>
                <c:pt idx="83">
                  <c:v>1941</c:v>
                </c:pt>
                <c:pt idx="84">
                  <c:v>1942</c:v>
                </c:pt>
                <c:pt idx="85">
                  <c:v>1943</c:v>
                </c:pt>
                <c:pt idx="86">
                  <c:v>1944</c:v>
                </c:pt>
                <c:pt idx="87">
                  <c:v>1945</c:v>
                </c:pt>
                <c:pt idx="88">
                  <c:v>1946</c:v>
                </c:pt>
                <c:pt idx="89">
                  <c:v>1947</c:v>
                </c:pt>
                <c:pt idx="90">
                  <c:v>1948</c:v>
                </c:pt>
                <c:pt idx="91">
                  <c:v>1949</c:v>
                </c:pt>
                <c:pt idx="92">
                  <c:v>1950</c:v>
                </c:pt>
                <c:pt idx="93">
                  <c:v>1951</c:v>
                </c:pt>
                <c:pt idx="94">
                  <c:v>1952</c:v>
                </c:pt>
                <c:pt idx="95">
                  <c:v>1953</c:v>
                </c:pt>
                <c:pt idx="96">
                  <c:v>1954</c:v>
                </c:pt>
                <c:pt idx="97">
                  <c:v>1955</c:v>
                </c:pt>
                <c:pt idx="98">
                  <c:v>1956</c:v>
                </c:pt>
                <c:pt idx="99">
                  <c:v>1957</c:v>
                </c:pt>
                <c:pt idx="100">
                  <c:v>1958</c:v>
                </c:pt>
                <c:pt idx="101">
                  <c:v>1959</c:v>
                </c:pt>
                <c:pt idx="102">
                  <c:v>1960</c:v>
                </c:pt>
                <c:pt idx="103">
                  <c:v>1961</c:v>
                </c:pt>
                <c:pt idx="104">
                  <c:v>1962</c:v>
                </c:pt>
                <c:pt idx="105">
                  <c:v>1963</c:v>
                </c:pt>
                <c:pt idx="106">
                  <c:v>1964</c:v>
                </c:pt>
                <c:pt idx="107">
                  <c:v>1965</c:v>
                </c:pt>
                <c:pt idx="108">
                  <c:v>1966</c:v>
                </c:pt>
                <c:pt idx="109">
                  <c:v>1967</c:v>
                </c:pt>
                <c:pt idx="110">
                  <c:v>1968</c:v>
                </c:pt>
                <c:pt idx="111">
                  <c:v>1969</c:v>
                </c:pt>
                <c:pt idx="112">
                  <c:v>1970</c:v>
                </c:pt>
                <c:pt idx="113">
                  <c:v>1971</c:v>
                </c:pt>
                <c:pt idx="114">
                  <c:v>1972</c:v>
                </c:pt>
                <c:pt idx="115">
                  <c:v>1973</c:v>
                </c:pt>
                <c:pt idx="116">
                  <c:v>1974</c:v>
                </c:pt>
                <c:pt idx="117">
                  <c:v>1975</c:v>
                </c:pt>
                <c:pt idx="118">
                  <c:v>1976</c:v>
                </c:pt>
                <c:pt idx="119">
                  <c:v>1977</c:v>
                </c:pt>
                <c:pt idx="120">
                  <c:v>1978</c:v>
                </c:pt>
                <c:pt idx="121">
                  <c:v>1979</c:v>
                </c:pt>
                <c:pt idx="122">
                  <c:v>1980</c:v>
                </c:pt>
                <c:pt idx="123">
                  <c:v>1981</c:v>
                </c:pt>
                <c:pt idx="124">
                  <c:v>1982</c:v>
                </c:pt>
                <c:pt idx="125">
                  <c:v>1983</c:v>
                </c:pt>
                <c:pt idx="126">
                  <c:v>1984</c:v>
                </c:pt>
                <c:pt idx="127">
                  <c:v>1985</c:v>
                </c:pt>
                <c:pt idx="128">
                  <c:v>1986</c:v>
                </c:pt>
                <c:pt idx="129">
                  <c:v>1987</c:v>
                </c:pt>
                <c:pt idx="130">
                  <c:v>1988</c:v>
                </c:pt>
                <c:pt idx="131">
                  <c:v>1989</c:v>
                </c:pt>
                <c:pt idx="132">
                  <c:v>1990</c:v>
                </c:pt>
                <c:pt idx="133">
                  <c:v>1991</c:v>
                </c:pt>
                <c:pt idx="134">
                  <c:v>1992</c:v>
                </c:pt>
                <c:pt idx="135">
                  <c:v>1993</c:v>
                </c:pt>
                <c:pt idx="136">
                  <c:v>1994</c:v>
                </c:pt>
                <c:pt idx="137">
                  <c:v>1995</c:v>
                </c:pt>
                <c:pt idx="138">
                  <c:v>1996</c:v>
                </c:pt>
                <c:pt idx="139">
                  <c:v>1997</c:v>
                </c:pt>
                <c:pt idx="140">
                  <c:v>1998</c:v>
                </c:pt>
                <c:pt idx="141">
                  <c:v>1999</c:v>
                </c:pt>
                <c:pt idx="142">
                  <c:v>2000</c:v>
                </c:pt>
                <c:pt idx="143">
                  <c:v>2001</c:v>
                </c:pt>
                <c:pt idx="144">
                  <c:v>2002</c:v>
                </c:pt>
                <c:pt idx="145">
                  <c:v>2003</c:v>
                </c:pt>
                <c:pt idx="146">
                  <c:v>2004</c:v>
                </c:pt>
                <c:pt idx="147">
                  <c:v>2005</c:v>
                </c:pt>
                <c:pt idx="148">
                  <c:v>2006</c:v>
                </c:pt>
                <c:pt idx="149">
                  <c:v>2007</c:v>
                </c:pt>
                <c:pt idx="150">
                  <c:v>2008</c:v>
                </c:pt>
                <c:pt idx="151">
                  <c:v>2009</c:v>
                </c:pt>
                <c:pt idx="152">
                  <c:v>2010</c:v>
                </c:pt>
                <c:pt idx="153">
                  <c:v>2011</c:v>
                </c:pt>
                <c:pt idx="154">
                  <c:v>2012</c:v>
                </c:pt>
                <c:pt idx="155">
                  <c:v>2013</c:v>
                </c:pt>
                <c:pt idx="156">
                  <c:v>2014</c:v>
                </c:pt>
                <c:pt idx="157">
                  <c:v>2015</c:v>
                </c:pt>
              </c:numCache>
            </c:numRef>
          </c:cat>
          <c:val>
            <c:numRef>
              <c:f>Sheet1!$C$110:$C$267</c:f>
              <c:numCache>
                <c:formatCode>General</c:formatCode>
                <c:ptCount val="158"/>
                <c:pt idx="0">
                  <c:v>8.0380000000000003</c:v>
                </c:pt>
                <c:pt idx="1">
                  <c:v>8.0649999999999995</c:v>
                </c:pt>
                <c:pt idx="2">
                  <c:v>8.0709999999999997</c:v>
                </c:pt>
                <c:pt idx="3">
                  <c:v>8.0379999999999985</c:v>
                </c:pt>
                <c:pt idx="4">
                  <c:v>7.9839999999999991</c:v>
                </c:pt>
                <c:pt idx="5">
                  <c:v>7.9909999999999997</c:v>
                </c:pt>
                <c:pt idx="6">
                  <c:v>7.9680000000000009</c:v>
                </c:pt>
                <c:pt idx="7">
                  <c:v>7.9749999999999996</c:v>
                </c:pt>
                <c:pt idx="8">
                  <c:v>8.0039999999999996</c:v>
                </c:pt>
                <c:pt idx="9">
                  <c:v>8.0719999999999992</c:v>
                </c:pt>
                <c:pt idx="10">
                  <c:v>8.0869999999999997</c:v>
                </c:pt>
                <c:pt idx="11">
                  <c:v>8.1049999999999986</c:v>
                </c:pt>
                <c:pt idx="12">
                  <c:v>8.1290000000000013</c:v>
                </c:pt>
                <c:pt idx="13">
                  <c:v>8.1560000000000006</c:v>
                </c:pt>
                <c:pt idx="14">
                  <c:v>8.2189999999999994</c:v>
                </c:pt>
                <c:pt idx="15">
                  <c:v>8.2429999999999986</c:v>
                </c:pt>
                <c:pt idx="16">
                  <c:v>8.2880000000000003</c:v>
                </c:pt>
                <c:pt idx="17">
                  <c:v>8.2559999999999985</c:v>
                </c:pt>
                <c:pt idx="18">
                  <c:v>8.2349999999999994</c:v>
                </c:pt>
                <c:pt idx="19">
                  <c:v>8.2449999999999992</c:v>
                </c:pt>
                <c:pt idx="20">
                  <c:v>8.302999999999999</c:v>
                </c:pt>
                <c:pt idx="21">
                  <c:v>8.2769999999999992</c:v>
                </c:pt>
                <c:pt idx="22">
                  <c:v>8.2690000000000001</c:v>
                </c:pt>
                <c:pt idx="23">
                  <c:v>8.2839999999999989</c:v>
                </c:pt>
                <c:pt idx="24">
                  <c:v>8.2779999999999987</c:v>
                </c:pt>
                <c:pt idx="25">
                  <c:v>8.2409999999999997</c:v>
                </c:pt>
                <c:pt idx="26">
                  <c:v>8.1750000000000007</c:v>
                </c:pt>
                <c:pt idx="27">
                  <c:v>8.1809999999999992</c:v>
                </c:pt>
                <c:pt idx="28">
                  <c:v>8.1679999999999993</c:v>
                </c:pt>
                <c:pt idx="29">
                  <c:v>8.1050000000000004</c:v>
                </c:pt>
                <c:pt idx="30">
                  <c:v>8.0310000000000006</c:v>
                </c:pt>
                <c:pt idx="31">
                  <c:v>8.0460000000000012</c:v>
                </c:pt>
                <c:pt idx="32">
                  <c:v>8.0310000000000006</c:v>
                </c:pt>
                <c:pt idx="33">
                  <c:v>8.0059999999999985</c:v>
                </c:pt>
                <c:pt idx="34">
                  <c:v>8</c:v>
                </c:pt>
                <c:pt idx="35">
                  <c:v>8.0080000000000009</c:v>
                </c:pt>
                <c:pt idx="36">
                  <c:v>8.0470000000000006</c:v>
                </c:pt>
                <c:pt idx="37">
                  <c:v>8.0699999999999985</c:v>
                </c:pt>
                <c:pt idx="38">
                  <c:v>8.0960000000000001</c:v>
                </c:pt>
                <c:pt idx="39">
                  <c:v>8.1340000000000003</c:v>
                </c:pt>
                <c:pt idx="40">
                  <c:v>8.1430000000000007</c:v>
                </c:pt>
                <c:pt idx="41">
                  <c:v>8.1510000000000016</c:v>
                </c:pt>
                <c:pt idx="42">
                  <c:v>8.2040000000000006</c:v>
                </c:pt>
                <c:pt idx="43">
                  <c:v>8.2560000000000002</c:v>
                </c:pt>
                <c:pt idx="44">
                  <c:v>8.2789999999999981</c:v>
                </c:pt>
                <c:pt idx="45">
                  <c:v>8.2949999999999999</c:v>
                </c:pt>
                <c:pt idx="46">
                  <c:v>8.2880000000000003</c:v>
                </c:pt>
                <c:pt idx="47">
                  <c:v>8.2960000000000012</c:v>
                </c:pt>
                <c:pt idx="48">
                  <c:v>8.3129999999999988</c:v>
                </c:pt>
                <c:pt idx="49">
                  <c:v>8.2789999999999999</c:v>
                </c:pt>
                <c:pt idx="50">
                  <c:v>8.2799999999999994</c:v>
                </c:pt>
                <c:pt idx="51">
                  <c:v>8.2580000000000009</c:v>
                </c:pt>
                <c:pt idx="52">
                  <c:v>8.23</c:v>
                </c:pt>
                <c:pt idx="53">
                  <c:v>8.1939999999999991</c:v>
                </c:pt>
                <c:pt idx="54">
                  <c:v>8.1810000000000009</c:v>
                </c:pt>
                <c:pt idx="55">
                  <c:v>8.1890000000000001</c:v>
                </c:pt>
                <c:pt idx="56">
                  <c:v>8.2390000000000008</c:v>
                </c:pt>
                <c:pt idx="57">
                  <c:v>8.2750000000000021</c:v>
                </c:pt>
                <c:pt idx="58">
                  <c:v>8.2600000000000016</c:v>
                </c:pt>
                <c:pt idx="59">
                  <c:v>8.2669999999999995</c:v>
                </c:pt>
                <c:pt idx="60">
                  <c:v>8.2609999999999992</c:v>
                </c:pt>
                <c:pt idx="61">
                  <c:v>8.2810000000000006</c:v>
                </c:pt>
                <c:pt idx="62">
                  <c:v>8.2949999999999982</c:v>
                </c:pt>
                <c:pt idx="63">
                  <c:v>8.3339999999999996</c:v>
                </c:pt>
                <c:pt idx="64">
                  <c:v>8.3580000000000005</c:v>
                </c:pt>
                <c:pt idx="65">
                  <c:v>8.370000000000001</c:v>
                </c:pt>
                <c:pt idx="66">
                  <c:v>8.3620000000000001</c:v>
                </c:pt>
                <c:pt idx="67">
                  <c:v>8.3560000000000016</c:v>
                </c:pt>
                <c:pt idx="68">
                  <c:v>8.4060000000000024</c:v>
                </c:pt>
                <c:pt idx="69">
                  <c:v>8.4559999999999995</c:v>
                </c:pt>
                <c:pt idx="70">
                  <c:v>8.5059999999999985</c:v>
                </c:pt>
                <c:pt idx="71">
                  <c:v>8.4919999999999991</c:v>
                </c:pt>
                <c:pt idx="72">
                  <c:v>8.5189999999999984</c:v>
                </c:pt>
                <c:pt idx="73">
                  <c:v>8.5339999999999989</c:v>
                </c:pt>
                <c:pt idx="74">
                  <c:v>8.5639999999999983</c:v>
                </c:pt>
                <c:pt idx="75">
                  <c:v>8.5560000000000009</c:v>
                </c:pt>
                <c:pt idx="76">
                  <c:v>8.5680000000000014</c:v>
                </c:pt>
                <c:pt idx="77">
                  <c:v>8.5670000000000002</c:v>
                </c:pt>
                <c:pt idx="78">
                  <c:v>8.5489999999999995</c:v>
                </c:pt>
                <c:pt idx="79">
                  <c:v>8.5670000000000002</c:v>
                </c:pt>
                <c:pt idx="80">
                  <c:v>8.59</c:v>
                </c:pt>
                <c:pt idx="81">
                  <c:v>8.6420000000000012</c:v>
                </c:pt>
                <c:pt idx="82">
                  <c:v>8.6550000000000011</c:v>
                </c:pt>
                <c:pt idx="83">
                  <c:v>8.66</c:v>
                </c:pt>
                <c:pt idx="84">
                  <c:v>8.661999999999999</c:v>
                </c:pt>
                <c:pt idx="85">
                  <c:v>8.7040000000000006</c:v>
                </c:pt>
                <c:pt idx="86">
                  <c:v>8.7259999999999991</c:v>
                </c:pt>
                <c:pt idx="87">
                  <c:v>8.7319999999999993</c:v>
                </c:pt>
                <c:pt idx="88">
                  <c:v>8.7449999999999992</c:v>
                </c:pt>
                <c:pt idx="89">
                  <c:v>8.754999999999999</c:v>
                </c:pt>
                <c:pt idx="90">
                  <c:v>8.743999999999998</c:v>
                </c:pt>
                <c:pt idx="91">
                  <c:v>8.7270000000000003</c:v>
                </c:pt>
                <c:pt idx="92">
                  <c:v>8.6880000000000006</c:v>
                </c:pt>
                <c:pt idx="93">
                  <c:v>8.6740000000000013</c:v>
                </c:pt>
                <c:pt idx="94">
                  <c:v>8.6650000000000009</c:v>
                </c:pt>
                <c:pt idx="95">
                  <c:v>8.6760000000000002</c:v>
                </c:pt>
                <c:pt idx="96">
                  <c:v>8.647000000000002</c:v>
                </c:pt>
                <c:pt idx="97">
                  <c:v>8.6519999999999992</c:v>
                </c:pt>
                <c:pt idx="98">
                  <c:v>8.6119999999999983</c:v>
                </c:pt>
                <c:pt idx="99">
                  <c:v>8.6050000000000004</c:v>
                </c:pt>
                <c:pt idx="100">
                  <c:v>8.6070000000000011</c:v>
                </c:pt>
                <c:pt idx="101">
                  <c:v>8.6210000000000004</c:v>
                </c:pt>
                <c:pt idx="102">
                  <c:v>8.6419999999999995</c:v>
                </c:pt>
                <c:pt idx="103">
                  <c:v>8.6590000000000007</c:v>
                </c:pt>
                <c:pt idx="104">
                  <c:v>8.67</c:v>
                </c:pt>
                <c:pt idx="105">
                  <c:v>8.6690000000000005</c:v>
                </c:pt>
                <c:pt idx="106">
                  <c:v>8.6539999999999999</c:v>
                </c:pt>
                <c:pt idx="107">
                  <c:v>8.6440000000000001</c:v>
                </c:pt>
                <c:pt idx="108">
                  <c:v>8.6759999999999984</c:v>
                </c:pt>
                <c:pt idx="109">
                  <c:v>8.6729999999999983</c:v>
                </c:pt>
                <c:pt idx="110">
                  <c:v>8.6479999999999997</c:v>
                </c:pt>
                <c:pt idx="111">
                  <c:v>8.6349999999999998</c:v>
                </c:pt>
                <c:pt idx="112">
                  <c:v>8.6470000000000002</c:v>
                </c:pt>
                <c:pt idx="113">
                  <c:v>8.6269999999999989</c:v>
                </c:pt>
                <c:pt idx="114">
                  <c:v>8.6019999999999985</c:v>
                </c:pt>
                <c:pt idx="115">
                  <c:v>8.6109999999999989</c:v>
                </c:pt>
                <c:pt idx="116">
                  <c:v>8.6170000000000009</c:v>
                </c:pt>
                <c:pt idx="117">
                  <c:v>8.6379999999999981</c:v>
                </c:pt>
                <c:pt idx="118">
                  <c:v>8.6129999999999978</c:v>
                </c:pt>
                <c:pt idx="119">
                  <c:v>8.6279999999999966</c:v>
                </c:pt>
                <c:pt idx="120">
                  <c:v>8.6449999999999996</c:v>
                </c:pt>
                <c:pt idx="121">
                  <c:v>8.6579999999999995</c:v>
                </c:pt>
                <c:pt idx="122">
                  <c:v>8.6860000000000017</c:v>
                </c:pt>
                <c:pt idx="123">
                  <c:v>8.7430000000000003</c:v>
                </c:pt>
                <c:pt idx="124">
                  <c:v>8.7570000000000014</c:v>
                </c:pt>
                <c:pt idx="125">
                  <c:v>8.7650000000000006</c:v>
                </c:pt>
                <c:pt idx="126">
                  <c:v>8.7870000000000008</c:v>
                </c:pt>
                <c:pt idx="127">
                  <c:v>8.7789999999999999</c:v>
                </c:pt>
                <c:pt idx="128">
                  <c:v>8.827</c:v>
                </c:pt>
                <c:pt idx="129">
                  <c:v>8.8409999999999993</c:v>
                </c:pt>
                <c:pt idx="130">
                  <c:v>8.8919999999999995</c:v>
                </c:pt>
                <c:pt idx="131">
                  <c:v>8.9109999999999996</c:v>
                </c:pt>
                <c:pt idx="132">
                  <c:v>8.9359999999999999</c:v>
                </c:pt>
                <c:pt idx="133">
                  <c:v>8.9370000000000012</c:v>
                </c:pt>
                <c:pt idx="134">
                  <c:v>8.9570000000000025</c:v>
                </c:pt>
                <c:pt idx="135">
                  <c:v>8.9410000000000025</c:v>
                </c:pt>
                <c:pt idx="136">
                  <c:v>8.9760000000000026</c:v>
                </c:pt>
                <c:pt idx="137">
                  <c:v>9.0449999999999982</c:v>
                </c:pt>
                <c:pt idx="138">
                  <c:v>9.0659999999999989</c:v>
                </c:pt>
                <c:pt idx="139">
                  <c:v>9.0869999999999997</c:v>
                </c:pt>
                <c:pt idx="140">
                  <c:v>9.1189999999999998</c:v>
                </c:pt>
                <c:pt idx="141">
                  <c:v>9.1560000000000006</c:v>
                </c:pt>
                <c:pt idx="142">
                  <c:v>9.1529999999999987</c:v>
                </c:pt>
                <c:pt idx="143">
                  <c:v>9.1760000000000002</c:v>
                </c:pt>
                <c:pt idx="144">
                  <c:v>9.2490000000000006</c:v>
                </c:pt>
                <c:pt idx="145">
                  <c:v>9.3149999999999977</c:v>
                </c:pt>
                <c:pt idx="146">
                  <c:v>9.3429999999999982</c:v>
                </c:pt>
                <c:pt idx="147">
                  <c:v>9.3779999999999983</c:v>
                </c:pt>
                <c:pt idx="148">
                  <c:v>9.4269999999999996</c:v>
                </c:pt>
                <c:pt idx="149">
                  <c:v>9.48</c:v>
                </c:pt>
                <c:pt idx="150">
                  <c:v>9.4710000000000001</c:v>
                </c:pt>
                <c:pt idx="151">
                  <c:v>9.4930000000000021</c:v>
                </c:pt>
                <c:pt idx="152">
                  <c:v>9.543000000000001</c:v>
                </c:pt>
                <c:pt idx="153">
                  <c:v>9.5540000000000003</c:v>
                </c:pt>
                <c:pt idx="154">
                  <c:v>9.548</c:v>
                </c:pt>
                <c:pt idx="155">
                  <c:v>9.5560000000000009</c:v>
                </c:pt>
                <c:pt idx="156">
                  <c:v>9.5809999999999995</c:v>
                </c:pt>
                <c:pt idx="157">
                  <c:v>9.5939999999999976</c:v>
                </c:pt>
              </c:numCache>
            </c:numRef>
          </c:val>
          <c:smooth val="0"/>
          <c:extLst>
            <c:ext xmlns:c16="http://schemas.microsoft.com/office/drawing/2014/chart" uri="{C3380CC4-5D6E-409C-BE32-E72D297353CC}">
              <c16:uniqueId val="{00000000-B8C1-2146-83DB-CC1558C0597B}"/>
            </c:ext>
          </c:extLst>
        </c:ser>
        <c:dLbls>
          <c:showLegendKey val="0"/>
          <c:showVal val="0"/>
          <c:showCatName val="0"/>
          <c:showSerName val="0"/>
          <c:showPercent val="0"/>
          <c:showBubbleSize val="0"/>
        </c:dLbls>
        <c:smooth val="0"/>
        <c:axId val="1631135136"/>
        <c:axId val="1631136768"/>
      </c:lineChart>
      <c:catAx>
        <c:axId val="163113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136768"/>
        <c:crosses val="autoZero"/>
        <c:auto val="1"/>
        <c:lblAlgn val="ctr"/>
        <c:lblOffset val="100"/>
        <c:noMultiLvlLbl val="0"/>
      </c:catAx>
      <c:valAx>
        <c:axId val="163113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135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Sheet3!$E$1</c:f>
              <c:strCache>
                <c:ptCount val="1"/>
                <c:pt idx="0">
                  <c:v>10 Year MA (San Francisco)</c:v>
                </c:pt>
              </c:strCache>
            </c:strRef>
          </c:tx>
          <c:spPr>
            <a:ln w="28575" cap="rnd">
              <a:solidFill>
                <a:schemeClr val="accent1"/>
              </a:solidFill>
              <a:round/>
            </a:ln>
            <a:effectLst/>
          </c:spPr>
          <c:marker>
            <c:symbol val="none"/>
          </c:marker>
          <c:cat>
            <c:numRef>
              <c:f>Sheet3!$A$11:$A$166</c:f>
              <c:numCache>
                <c:formatCode>General</c:formatCode>
                <c:ptCount val="156"/>
                <c:pt idx="0">
                  <c:v>1858</c:v>
                </c:pt>
                <c:pt idx="1">
                  <c:v>1859</c:v>
                </c:pt>
                <c:pt idx="2">
                  <c:v>1860</c:v>
                </c:pt>
                <c:pt idx="3">
                  <c:v>1861</c:v>
                </c:pt>
                <c:pt idx="4">
                  <c:v>1862</c:v>
                </c:pt>
                <c:pt idx="5">
                  <c:v>1863</c:v>
                </c:pt>
                <c:pt idx="6">
                  <c:v>1864</c:v>
                </c:pt>
                <c:pt idx="7">
                  <c:v>1865</c:v>
                </c:pt>
                <c:pt idx="8">
                  <c:v>1866</c:v>
                </c:pt>
                <c:pt idx="9">
                  <c:v>1867</c:v>
                </c:pt>
                <c:pt idx="10">
                  <c:v>1868</c:v>
                </c:pt>
                <c:pt idx="11">
                  <c:v>1869</c:v>
                </c:pt>
                <c:pt idx="12">
                  <c:v>1870</c:v>
                </c:pt>
                <c:pt idx="13">
                  <c:v>1871</c:v>
                </c:pt>
                <c:pt idx="14">
                  <c:v>1872</c:v>
                </c:pt>
                <c:pt idx="15">
                  <c:v>1873</c:v>
                </c:pt>
                <c:pt idx="16">
                  <c:v>1874</c:v>
                </c:pt>
                <c:pt idx="17">
                  <c:v>1875</c:v>
                </c:pt>
                <c:pt idx="18">
                  <c:v>1876</c:v>
                </c:pt>
                <c:pt idx="19">
                  <c:v>1877</c:v>
                </c:pt>
                <c:pt idx="20">
                  <c:v>1878</c:v>
                </c:pt>
                <c:pt idx="21">
                  <c:v>1879</c:v>
                </c:pt>
                <c:pt idx="22">
                  <c:v>1880</c:v>
                </c:pt>
                <c:pt idx="23">
                  <c:v>1881</c:v>
                </c:pt>
                <c:pt idx="24">
                  <c:v>1882</c:v>
                </c:pt>
                <c:pt idx="25">
                  <c:v>1883</c:v>
                </c:pt>
                <c:pt idx="26">
                  <c:v>1884</c:v>
                </c:pt>
                <c:pt idx="27">
                  <c:v>1885</c:v>
                </c:pt>
                <c:pt idx="28">
                  <c:v>1886</c:v>
                </c:pt>
                <c:pt idx="29">
                  <c:v>1887</c:v>
                </c:pt>
                <c:pt idx="30">
                  <c:v>1888</c:v>
                </c:pt>
                <c:pt idx="31">
                  <c:v>1889</c:v>
                </c:pt>
                <c:pt idx="32">
                  <c:v>1890</c:v>
                </c:pt>
                <c:pt idx="33">
                  <c:v>1891</c:v>
                </c:pt>
                <c:pt idx="34">
                  <c:v>1892</c:v>
                </c:pt>
                <c:pt idx="35">
                  <c:v>1893</c:v>
                </c:pt>
                <c:pt idx="36">
                  <c:v>1894</c:v>
                </c:pt>
                <c:pt idx="37">
                  <c:v>1895</c:v>
                </c:pt>
                <c:pt idx="38">
                  <c:v>1896</c:v>
                </c:pt>
                <c:pt idx="39">
                  <c:v>1897</c:v>
                </c:pt>
                <c:pt idx="40">
                  <c:v>1898</c:v>
                </c:pt>
                <c:pt idx="41">
                  <c:v>1899</c:v>
                </c:pt>
                <c:pt idx="42">
                  <c:v>1900</c:v>
                </c:pt>
                <c:pt idx="43">
                  <c:v>1901</c:v>
                </c:pt>
                <c:pt idx="44">
                  <c:v>1902</c:v>
                </c:pt>
                <c:pt idx="45">
                  <c:v>1903</c:v>
                </c:pt>
                <c:pt idx="46">
                  <c:v>1904</c:v>
                </c:pt>
                <c:pt idx="47">
                  <c:v>1905</c:v>
                </c:pt>
                <c:pt idx="48">
                  <c:v>1906</c:v>
                </c:pt>
                <c:pt idx="49">
                  <c:v>1907</c:v>
                </c:pt>
                <c:pt idx="50">
                  <c:v>1908</c:v>
                </c:pt>
                <c:pt idx="51">
                  <c:v>1909</c:v>
                </c:pt>
                <c:pt idx="52">
                  <c:v>1910</c:v>
                </c:pt>
                <c:pt idx="53">
                  <c:v>1911</c:v>
                </c:pt>
                <c:pt idx="54">
                  <c:v>1912</c:v>
                </c:pt>
                <c:pt idx="55">
                  <c:v>1913</c:v>
                </c:pt>
                <c:pt idx="56">
                  <c:v>1914</c:v>
                </c:pt>
                <c:pt idx="57">
                  <c:v>1915</c:v>
                </c:pt>
                <c:pt idx="58">
                  <c:v>1916</c:v>
                </c:pt>
                <c:pt idx="59">
                  <c:v>1917</c:v>
                </c:pt>
                <c:pt idx="60">
                  <c:v>1918</c:v>
                </c:pt>
                <c:pt idx="61">
                  <c:v>1919</c:v>
                </c:pt>
                <c:pt idx="62">
                  <c:v>1920</c:v>
                </c:pt>
                <c:pt idx="63">
                  <c:v>1921</c:v>
                </c:pt>
                <c:pt idx="64">
                  <c:v>1922</c:v>
                </c:pt>
                <c:pt idx="65">
                  <c:v>1923</c:v>
                </c:pt>
                <c:pt idx="66">
                  <c:v>1924</c:v>
                </c:pt>
                <c:pt idx="67">
                  <c:v>1925</c:v>
                </c:pt>
                <c:pt idx="68">
                  <c:v>1926</c:v>
                </c:pt>
                <c:pt idx="69">
                  <c:v>1927</c:v>
                </c:pt>
                <c:pt idx="70">
                  <c:v>1928</c:v>
                </c:pt>
                <c:pt idx="71">
                  <c:v>1929</c:v>
                </c:pt>
                <c:pt idx="72">
                  <c:v>1930</c:v>
                </c:pt>
                <c:pt idx="73">
                  <c:v>1931</c:v>
                </c:pt>
                <c:pt idx="74">
                  <c:v>1932</c:v>
                </c:pt>
                <c:pt idx="75">
                  <c:v>1933</c:v>
                </c:pt>
                <c:pt idx="76">
                  <c:v>1934</c:v>
                </c:pt>
                <c:pt idx="77">
                  <c:v>1935</c:v>
                </c:pt>
                <c:pt idx="78">
                  <c:v>1936</c:v>
                </c:pt>
                <c:pt idx="79">
                  <c:v>1937</c:v>
                </c:pt>
                <c:pt idx="80">
                  <c:v>1938</c:v>
                </c:pt>
                <c:pt idx="81">
                  <c:v>1939</c:v>
                </c:pt>
                <c:pt idx="82">
                  <c:v>1940</c:v>
                </c:pt>
                <c:pt idx="83">
                  <c:v>1941</c:v>
                </c:pt>
                <c:pt idx="84">
                  <c:v>1942</c:v>
                </c:pt>
                <c:pt idx="85">
                  <c:v>1943</c:v>
                </c:pt>
                <c:pt idx="86">
                  <c:v>1944</c:v>
                </c:pt>
                <c:pt idx="87">
                  <c:v>1945</c:v>
                </c:pt>
                <c:pt idx="88">
                  <c:v>1946</c:v>
                </c:pt>
                <c:pt idx="89">
                  <c:v>1947</c:v>
                </c:pt>
                <c:pt idx="90">
                  <c:v>1948</c:v>
                </c:pt>
                <c:pt idx="91">
                  <c:v>1949</c:v>
                </c:pt>
                <c:pt idx="92">
                  <c:v>1950</c:v>
                </c:pt>
                <c:pt idx="93">
                  <c:v>1951</c:v>
                </c:pt>
                <c:pt idx="94">
                  <c:v>1952</c:v>
                </c:pt>
                <c:pt idx="95">
                  <c:v>1953</c:v>
                </c:pt>
                <c:pt idx="96">
                  <c:v>1954</c:v>
                </c:pt>
                <c:pt idx="97">
                  <c:v>1955</c:v>
                </c:pt>
                <c:pt idx="98">
                  <c:v>1956</c:v>
                </c:pt>
                <c:pt idx="99">
                  <c:v>1957</c:v>
                </c:pt>
                <c:pt idx="100">
                  <c:v>1958</c:v>
                </c:pt>
                <c:pt idx="101">
                  <c:v>1959</c:v>
                </c:pt>
                <c:pt idx="102">
                  <c:v>1960</c:v>
                </c:pt>
                <c:pt idx="103">
                  <c:v>1961</c:v>
                </c:pt>
                <c:pt idx="104">
                  <c:v>1962</c:v>
                </c:pt>
                <c:pt idx="105">
                  <c:v>1963</c:v>
                </c:pt>
                <c:pt idx="106">
                  <c:v>1964</c:v>
                </c:pt>
                <c:pt idx="107">
                  <c:v>1965</c:v>
                </c:pt>
                <c:pt idx="108">
                  <c:v>1966</c:v>
                </c:pt>
                <c:pt idx="109">
                  <c:v>1967</c:v>
                </c:pt>
                <c:pt idx="110">
                  <c:v>1968</c:v>
                </c:pt>
                <c:pt idx="111">
                  <c:v>1969</c:v>
                </c:pt>
                <c:pt idx="112">
                  <c:v>1970</c:v>
                </c:pt>
                <c:pt idx="113">
                  <c:v>1971</c:v>
                </c:pt>
                <c:pt idx="114">
                  <c:v>1972</c:v>
                </c:pt>
                <c:pt idx="115">
                  <c:v>1973</c:v>
                </c:pt>
                <c:pt idx="116">
                  <c:v>1974</c:v>
                </c:pt>
                <c:pt idx="117">
                  <c:v>1975</c:v>
                </c:pt>
                <c:pt idx="118">
                  <c:v>1976</c:v>
                </c:pt>
                <c:pt idx="119">
                  <c:v>1977</c:v>
                </c:pt>
                <c:pt idx="120">
                  <c:v>1978</c:v>
                </c:pt>
                <c:pt idx="121">
                  <c:v>1979</c:v>
                </c:pt>
                <c:pt idx="122">
                  <c:v>1980</c:v>
                </c:pt>
                <c:pt idx="123">
                  <c:v>1981</c:v>
                </c:pt>
                <c:pt idx="124">
                  <c:v>1982</c:v>
                </c:pt>
                <c:pt idx="125">
                  <c:v>1983</c:v>
                </c:pt>
                <c:pt idx="126">
                  <c:v>1984</c:v>
                </c:pt>
                <c:pt idx="127">
                  <c:v>1985</c:v>
                </c:pt>
                <c:pt idx="128">
                  <c:v>1986</c:v>
                </c:pt>
                <c:pt idx="129">
                  <c:v>1987</c:v>
                </c:pt>
                <c:pt idx="130">
                  <c:v>1988</c:v>
                </c:pt>
                <c:pt idx="131">
                  <c:v>1989</c:v>
                </c:pt>
                <c:pt idx="132">
                  <c:v>1990</c:v>
                </c:pt>
                <c:pt idx="133">
                  <c:v>1991</c:v>
                </c:pt>
                <c:pt idx="134">
                  <c:v>1992</c:v>
                </c:pt>
                <c:pt idx="135">
                  <c:v>1993</c:v>
                </c:pt>
                <c:pt idx="136">
                  <c:v>1994</c:v>
                </c:pt>
                <c:pt idx="137">
                  <c:v>1995</c:v>
                </c:pt>
                <c:pt idx="138">
                  <c:v>1996</c:v>
                </c:pt>
                <c:pt idx="139">
                  <c:v>1997</c:v>
                </c:pt>
                <c:pt idx="140">
                  <c:v>1998</c:v>
                </c:pt>
                <c:pt idx="141">
                  <c:v>1999</c:v>
                </c:pt>
                <c:pt idx="142">
                  <c:v>2000</c:v>
                </c:pt>
                <c:pt idx="143">
                  <c:v>2001</c:v>
                </c:pt>
                <c:pt idx="144">
                  <c:v>2002</c:v>
                </c:pt>
                <c:pt idx="145">
                  <c:v>2003</c:v>
                </c:pt>
                <c:pt idx="146">
                  <c:v>2004</c:v>
                </c:pt>
                <c:pt idx="147">
                  <c:v>2005</c:v>
                </c:pt>
                <c:pt idx="148">
                  <c:v>2006</c:v>
                </c:pt>
                <c:pt idx="149">
                  <c:v>2007</c:v>
                </c:pt>
                <c:pt idx="150">
                  <c:v>2008</c:v>
                </c:pt>
                <c:pt idx="151">
                  <c:v>2009</c:v>
                </c:pt>
                <c:pt idx="152">
                  <c:v>2010</c:v>
                </c:pt>
                <c:pt idx="153">
                  <c:v>2011</c:v>
                </c:pt>
                <c:pt idx="154">
                  <c:v>2012</c:v>
                </c:pt>
                <c:pt idx="155">
                  <c:v>2013</c:v>
                </c:pt>
              </c:numCache>
            </c:numRef>
          </c:cat>
          <c:val>
            <c:numRef>
              <c:f>Sheet3!$E$11:$E$166</c:f>
              <c:numCache>
                <c:formatCode>General</c:formatCode>
                <c:ptCount val="156"/>
                <c:pt idx="0">
                  <c:v>14.177000000000001</c:v>
                </c:pt>
                <c:pt idx="1">
                  <c:v>14.135999999999999</c:v>
                </c:pt>
                <c:pt idx="2">
                  <c:v>14.137</c:v>
                </c:pt>
                <c:pt idx="3">
                  <c:v>14.185999999999998</c:v>
                </c:pt>
                <c:pt idx="4">
                  <c:v>14.247999999999999</c:v>
                </c:pt>
                <c:pt idx="5">
                  <c:v>14.251000000000001</c:v>
                </c:pt>
                <c:pt idx="6">
                  <c:v>14.371</c:v>
                </c:pt>
                <c:pt idx="7">
                  <c:v>14.383000000000001</c:v>
                </c:pt>
                <c:pt idx="8">
                  <c:v>14.440000000000001</c:v>
                </c:pt>
                <c:pt idx="9">
                  <c:v>14.408000000000001</c:v>
                </c:pt>
                <c:pt idx="10">
                  <c:v>14.413999999999998</c:v>
                </c:pt>
                <c:pt idx="11">
                  <c:v>14.5</c:v>
                </c:pt>
                <c:pt idx="12">
                  <c:v>14.538</c:v>
                </c:pt>
                <c:pt idx="13">
                  <c:v>14.484</c:v>
                </c:pt>
                <c:pt idx="14">
                  <c:v>14.504</c:v>
                </c:pt>
                <c:pt idx="15">
                  <c:v>14.507</c:v>
                </c:pt>
                <c:pt idx="16">
                  <c:v>14.398000000000001</c:v>
                </c:pt>
                <c:pt idx="17">
                  <c:v>14.441999999999998</c:v>
                </c:pt>
                <c:pt idx="18">
                  <c:v>14.419</c:v>
                </c:pt>
                <c:pt idx="19">
                  <c:v>14.476000000000003</c:v>
                </c:pt>
                <c:pt idx="20">
                  <c:v>14.488</c:v>
                </c:pt>
                <c:pt idx="21">
                  <c:v>14.450999999999999</c:v>
                </c:pt>
                <c:pt idx="22">
                  <c:v>14.353999999999999</c:v>
                </c:pt>
                <c:pt idx="23">
                  <c:v>14.359000000000004</c:v>
                </c:pt>
                <c:pt idx="24">
                  <c:v>14.254000000000001</c:v>
                </c:pt>
                <c:pt idx="25">
                  <c:v>14.201000000000002</c:v>
                </c:pt>
                <c:pt idx="26">
                  <c:v>14.196999999999999</c:v>
                </c:pt>
                <c:pt idx="27">
                  <c:v>14.225999999999999</c:v>
                </c:pt>
                <c:pt idx="28">
                  <c:v>14.24</c:v>
                </c:pt>
                <c:pt idx="29">
                  <c:v>14.175000000000001</c:v>
                </c:pt>
                <c:pt idx="30">
                  <c:v>14.207999999999998</c:v>
                </c:pt>
                <c:pt idx="31">
                  <c:v>14.269</c:v>
                </c:pt>
                <c:pt idx="32">
                  <c:v>14.352</c:v>
                </c:pt>
                <c:pt idx="33">
                  <c:v>14.359</c:v>
                </c:pt>
                <c:pt idx="34">
                  <c:v>14.406000000000001</c:v>
                </c:pt>
                <c:pt idx="35">
                  <c:v>14.353000000000003</c:v>
                </c:pt>
                <c:pt idx="36">
                  <c:v>14.327999999999999</c:v>
                </c:pt>
                <c:pt idx="37">
                  <c:v>14.217999999999998</c:v>
                </c:pt>
                <c:pt idx="38">
                  <c:v>14.182000000000002</c:v>
                </c:pt>
                <c:pt idx="39">
                  <c:v>14.125</c:v>
                </c:pt>
                <c:pt idx="40">
                  <c:v>14.032000000000002</c:v>
                </c:pt>
                <c:pt idx="41">
                  <c:v>13.955000000000002</c:v>
                </c:pt>
                <c:pt idx="42">
                  <c:v>14.013999999999999</c:v>
                </c:pt>
                <c:pt idx="43">
                  <c:v>14.001999999999999</c:v>
                </c:pt>
                <c:pt idx="44">
                  <c:v>14.004000000000001</c:v>
                </c:pt>
                <c:pt idx="45">
                  <c:v>14.076000000000002</c:v>
                </c:pt>
                <c:pt idx="46">
                  <c:v>14.146000000000001</c:v>
                </c:pt>
                <c:pt idx="47">
                  <c:v>14.189999999999998</c:v>
                </c:pt>
                <c:pt idx="48">
                  <c:v>14.248999999999999</c:v>
                </c:pt>
                <c:pt idx="49">
                  <c:v>14.302000000000001</c:v>
                </c:pt>
                <c:pt idx="50">
                  <c:v>14.325999999999999</c:v>
                </c:pt>
                <c:pt idx="51">
                  <c:v>14.327000000000002</c:v>
                </c:pt>
                <c:pt idx="52">
                  <c:v>14.280000000000001</c:v>
                </c:pt>
                <c:pt idx="53">
                  <c:v>14.192000000000002</c:v>
                </c:pt>
                <c:pt idx="54">
                  <c:v>14.179999999999998</c:v>
                </c:pt>
                <c:pt idx="55">
                  <c:v>14.206000000000003</c:v>
                </c:pt>
                <c:pt idx="56">
                  <c:v>14.189000000000002</c:v>
                </c:pt>
                <c:pt idx="57">
                  <c:v>14.180000000000001</c:v>
                </c:pt>
                <c:pt idx="58">
                  <c:v>14.059999999999999</c:v>
                </c:pt>
                <c:pt idx="59">
                  <c:v>14.032</c:v>
                </c:pt>
                <c:pt idx="60">
                  <c:v>14.044999999999998</c:v>
                </c:pt>
                <c:pt idx="61">
                  <c:v>14</c:v>
                </c:pt>
                <c:pt idx="62">
                  <c:v>13.955000000000002</c:v>
                </c:pt>
                <c:pt idx="63">
                  <c:v>14.032999999999998</c:v>
                </c:pt>
                <c:pt idx="64">
                  <c:v>13.999000000000001</c:v>
                </c:pt>
                <c:pt idx="65">
                  <c:v>13.973999999999998</c:v>
                </c:pt>
                <c:pt idx="66">
                  <c:v>13.950999999999999</c:v>
                </c:pt>
                <c:pt idx="67">
                  <c:v>13.954999999999998</c:v>
                </c:pt>
                <c:pt idx="68">
                  <c:v>14.107999999999999</c:v>
                </c:pt>
                <c:pt idx="69">
                  <c:v>14.125999999999999</c:v>
                </c:pt>
                <c:pt idx="70">
                  <c:v>14.144</c:v>
                </c:pt>
                <c:pt idx="71">
                  <c:v>14.209</c:v>
                </c:pt>
                <c:pt idx="72">
                  <c:v>14.262</c:v>
                </c:pt>
                <c:pt idx="73">
                  <c:v>14.331</c:v>
                </c:pt>
                <c:pt idx="74">
                  <c:v>14.394000000000002</c:v>
                </c:pt>
                <c:pt idx="75">
                  <c:v>14.374000000000001</c:v>
                </c:pt>
                <c:pt idx="76">
                  <c:v>14.494999999999999</c:v>
                </c:pt>
                <c:pt idx="77">
                  <c:v>14.472999999999999</c:v>
                </c:pt>
                <c:pt idx="78">
                  <c:v>14.472</c:v>
                </c:pt>
                <c:pt idx="79">
                  <c:v>14.483999999999998</c:v>
                </c:pt>
                <c:pt idx="80">
                  <c:v>14.486999999999998</c:v>
                </c:pt>
                <c:pt idx="81">
                  <c:v>14.543000000000001</c:v>
                </c:pt>
                <c:pt idx="82">
                  <c:v>14.629999999999999</c:v>
                </c:pt>
                <c:pt idx="83">
                  <c:v>14.635</c:v>
                </c:pt>
                <c:pt idx="84">
                  <c:v>14.630999999999997</c:v>
                </c:pt>
                <c:pt idx="85">
                  <c:v>14.709999999999999</c:v>
                </c:pt>
                <c:pt idx="86">
                  <c:v>14.596</c:v>
                </c:pt>
                <c:pt idx="87">
                  <c:v>14.625</c:v>
                </c:pt>
                <c:pt idx="88">
                  <c:v>14.495000000000001</c:v>
                </c:pt>
                <c:pt idx="89">
                  <c:v>14.51</c:v>
                </c:pt>
                <c:pt idx="90">
                  <c:v>14.440000000000001</c:v>
                </c:pt>
                <c:pt idx="91">
                  <c:v>14.349</c:v>
                </c:pt>
                <c:pt idx="92">
                  <c:v>14.303000000000001</c:v>
                </c:pt>
                <c:pt idx="93">
                  <c:v>14.211000000000002</c:v>
                </c:pt>
                <c:pt idx="94">
                  <c:v>14.202000000000002</c:v>
                </c:pt>
                <c:pt idx="95">
                  <c:v>14.172000000000001</c:v>
                </c:pt>
                <c:pt idx="96">
                  <c:v>14.172999999999998</c:v>
                </c:pt>
                <c:pt idx="97">
                  <c:v>14.106</c:v>
                </c:pt>
                <c:pt idx="98">
                  <c:v>14.131</c:v>
                </c:pt>
                <c:pt idx="99">
                  <c:v>14.138999999999999</c:v>
                </c:pt>
                <c:pt idx="100">
                  <c:v>14.315000000000001</c:v>
                </c:pt>
                <c:pt idx="101">
                  <c:v>14.463999999999999</c:v>
                </c:pt>
                <c:pt idx="102">
                  <c:v>14.457000000000003</c:v>
                </c:pt>
                <c:pt idx="103">
                  <c:v>14.516</c:v>
                </c:pt>
                <c:pt idx="104">
                  <c:v>14.527000000000001</c:v>
                </c:pt>
                <c:pt idx="105">
                  <c:v>14.504000000000001</c:v>
                </c:pt>
                <c:pt idx="106">
                  <c:v>14.510000000000002</c:v>
                </c:pt>
                <c:pt idx="107">
                  <c:v>14.55</c:v>
                </c:pt>
                <c:pt idx="108">
                  <c:v>14.616000000000003</c:v>
                </c:pt>
                <c:pt idx="109">
                  <c:v>14.606999999999999</c:v>
                </c:pt>
                <c:pt idx="110">
                  <c:v>14.532</c:v>
                </c:pt>
                <c:pt idx="111">
                  <c:v>14.443999999999999</c:v>
                </c:pt>
                <c:pt idx="112">
                  <c:v>14.460999999999999</c:v>
                </c:pt>
                <c:pt idx="113">
                  <c:v>14.385000000000002</c:v>
                </c:pt>
                <c:pt idx="114">
                  <c:v>14.388</c:v>
                </c:pt>
                <c:pt idx="115">
                  <c:v>14.427000000000001</c:v>
                </c:pt>
                <c:pt idx="116">
                  <c:v>14.444000000000003</c:v>
                </c:pt>
                <c:pt idx="117">
                  <c:v>14.412000000000001</c:v>
                </c:pt>
                <c:pt idx="118">
                  <c:v>14.41</c:v>
                </c:pt>
                <c:pt idx="119">
                  <c:v>14.422999999999998</c:v>
                </c:pt>
                <c:pt idx="120">
                  <c:v>14.452999999999999</c:v>
                </c:pt>
                <c:pt idx="121">
                  <c:v>14.501000000000001</c:v>
                </c:pt>
                <c:pt idx="122">
                  <c:v>14.499000000000001</c:v>
                </c:pt>
                <c:pt idx="123">
                  <c:v>14.632</c:v>
                </c:pt>
                <c:pt idx="124">
                  <c:v>14.606999999999999</c:v>
                </c:pt>
                <c:pt idx="125">
                  <c:v>14.656000000000001</c:v>
                </c:pt>
                <c:pt idx="126">
                  <c:v>14.712</c:v>
                </c:pt>
                <c:pt idx="127">
                  <c:v>14.753</c:v>
                </c:pt>
                <c:pt idx="128">
                  <c:v>14.781000000000001</c:v>
                </c:pt>
                <c:pt idx="129">
                  <c:v>14.812999999999999</c:v>
                </c:pt>
                <c:pt idx="130">
                  <c:v>14.825000000000003</c:v>
                </c:pt>
                <c:pt idx="131">
                  <c:v>14.771000000000001</c:v>
                </c:pt>
                <c:pt idx="132">
                  <c:v>14.77</c:v>
                </c:pt>
                <c:pt idx="133">
                  <c:v>14.697999999999999</c:v>
                </c:pt>
                <c:pt idx="134">
                  <c:v>14.851000000000003</c:v>
                </c:pt>
                <c:pt idx="135">
                  <c:v>14.840999999999999</c:v>
                </c:pt>
                <c:pt idx="136">
                  <c:v>14.765000000000001</c:v>
                </c:pt>
                <c:pt idx="137">
                  <c:v>14.873000000000001</c:v>
                </c:pt>
                <c:pt idx="138">
                  <c:v>14.929000000000002</c:v>
                </c:pt>
                <c:pt idx="139">
                  <c:v>15.009</c:v>
                </c:pt>
                <c:pt idx="140">
                  <c:v>14.939000000000002</c:v>
                </c:pt>
                <c:pt idx="141">
                  <c:v>14.934999999999999</c:v>
                </c:pt>
                <c:pt idx="142">
                  <c:v>14.964000000000002</c:v>
                </c:pt>
                <c:pt idx="143">
                  <c:v>15.038999999999998</c:v>
                </c:pt>
                <c:pt idx="144">
                  <c:v>14.986000000000001</c:v>
                </c:pt>
                <c:pt idx="145">
                  <c:v>15.032</c:v>
                </c:pt>
                <c:pt idx="146">
                  <c:v>15.148000000000001</c:v>
                </c:pt>
                <c:pt idx="147">
                  <c:v>15.134</c:v>
                </c:pt>
                <c:pt idx="148">
                  <c:v>15.080000000000002</c:v>
                </c:pt>
                <c:pt idx="149">
                  <c:v>14.999000000000001</c:v>
                </c:pt>
                <c:pt idx="150">
                  <c:v>15.066000000000003</c:v>
                </c:pt>
                <c:pt idx="151">
                  <c:v>15.127000000000001</c:v>
                </c:pt>
                <c:pt idx="152">
                  <c:v>15.091999999999999</c:v>
                </c:pt>
                <c:pt idx="153">
                  <c:v>15.016999999999999</c:v>
                </c:pt>
                <c:pt idx="154">
                  <c:v>15.022</c:v>
                </c:pt>
                <c:pt idx="155">
                  <c:v>15.101999999999999</c:v>
                </c:pt>
              </c:numCache>
            </c:numRef>
          </c:val>
          <c:smooth val="0"/>
          <c:extLst>
            <c:ext xmlns:c16="http://schemas.microsoft.com/office/drawing/2014/chart" uri="{C3380CC4-5D6E-409C-BE32-E72D297353CC}">
              <c16:uniqueId val="{00000000-76DA-2249-AC12-A4F9FE04782C}"/>
            </c:ext>
          </c:extLst>
        </c:ser>
        <c:dLbls>
          <c:showLegendKey val="0"/>
          <c:showVal val="0"/>
          <c:showCatName val="0"/>
          <c:showSerName val="0"/>
          <c:showPercent val="0"/>
          <c:showBubbleSize val="0"/>
        </c:dLbls>
        <c:smooth val="0"/>
        <c:axId val="1153197808"/>
        <c:axId val="1153314176"/>
      </c:lineChart>
      <c:catAx>
        <c:axId val="115319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314176"/>
        <c:crosses val="autoZero"/>
        <c:auto val="1"/>
        <c:lblAlgn val="ctr"/>
        <c:lblOffset val="100"/>
        <c:noMultiLvlLbl val="0"/>
      </c:catAx>
      <c:valAx>
        <c:axId val="115331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197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cp:revision>
  <dcterms:created xsi:type="dcterms:W3CDTF">2020-07-10T06:23:00Z</dcterms:created>
  <dcterms:modified xsi:type="dcterms:W3CDTF">2020-08-06T06:50:00Z</dcterms:modified>
</cp:coreProperties>
</file>