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pPr>
      <w:r>
        <w:t>Midterm Draft — Team 6: AlphaWealth AI</w:t>
      </w:r>
    </w:p>
    <w:p>
      <w:r>
        <w:rPr>
          <w:b/>
        </w:rPr>
        <w:t>Course:</w:t>
      </w:r>
      <w:r>
        <w:rPr>
          <w:b w:val="0"/>
        </w:rPr>
        <w:t xml:space="preserve"> Quantitative Wealth and Investment Management (QWIM) </w:t>
      </w:r>
      <w:r>
        <w:rPr>
          <w:b/>
        </w:rPr>
        <w:t>Project:</w:t>
      </w:r>
      <w:r>
        <w:rPr>
          <w:b w:val="0"/>
        </w:rPr>
        <w:t xml:space="preserve"> Personalized Wealth Portfolios — Personalized Investing + LLMs </w:t>
      </w:r>
      <w:r>
        <w:rPr>
          <w:b/>
        </w:rPr>
        <w:t>Team Members:</w:t>
      </w:r>
      <w:r>
        <w:rPr>
          <w:b w:val="0"/>
        </w:rPr>
        <w:t xml:space="preserve">  Ziqian Zhu,Junyang Xu, Lei Zhao </w:t>
      </w:r>
      <w:r>
        <w:rPr>
          <w:b/>
        </w:rPr>
        <w:t>Date:</w:t>
      </w:r>
      <w:r>
        <w:rPr>
          <w:b w:val="0"/>
        </w:rPr>
        <w:t xml:space="preserve"> June 2026</w:t>
      </w:r>
    </w:p>
    <w:p>
      <w:pPr>
        <w:pStyle w:val="Heading1"/>
      </w:pPr>
      <w:r>
        <w:t>1. Introduction</w:t>
      </w:r>
    </w:p>
    <w:p>
      <w:r>
        <w:rPr>
          <w:b w:val="0"/>
        </w:rPr>
        <w:t>The wealth management industry is undergoing a structural transformation driven by two largely independent but increasingly intersecting forces. On one side, quantitative portfolio construction techniques that were once the exclusive domain of institutional investors have become broadly accessible through advances in computational infrastructure, open-source software, and the proliferation of low-cost exchange-traded products. On the other side, artificial intelligence, and particularly large language models, has reached a level of capability that makes natural-language interaction with sophisticated analytical systems not merely a research curiosity but a practical engineering possibility. The convergence of these two forces raises a fundamental question for both academic research and industry practice: can quantitative portfolio models be made genuinely responsive to the individual circumstances, goals, and preferences of retail and mass-affluent investors, rather than treating them as interchangeable inputs to a one-size-fits-all optimization?</w:t>
      </w:r>
    </w:p>
    <w:p>
      <w:r>
        <w:rPr>
          <w:b w:val="0"/>
        </w:rPr>
        <w:t>Classical portfolio theory, rooted in the mean-variance framework of Markowitz (1952), provides an elegant mathematical solution to the asset allocation problem but implicitly assumes that all investors can be fully characterized by a single risk tolerance parameter. In practice, individual investors hold multiple financial objectives simultaneously, retirement savings, children's education funding, home acquisition, legacy planning, each with its own time horizon, priority ranking, and acceptable probability of achievement. A thirty-year-old software engineer accumulating toward both a five-year home down payment and a thirty-year retirement faces a qualitatively different optimization problem than a sixty-year-old physician focused primarily on sustainable income generation through the decumulation phase. Moreover, investors differ not only in the structure of their goals but also in their behavioral responses to market fluctuations, their tax circumstances, their existing asset holdings outside the managed portfolio, and their capacity to absorb and act upon quantitative recommendations. Traditional frameworks, while mathematically rigorous, do not natively accommodate this multi-dimensional heterogeneity.</w:t>
      </w:r>
    </w:p>
    <w:p>
      <w:r>
        <w:rPr>
          <w:b w:val="0"/>
        </w:rPr>
        <w:t>This project investigates how the gap between quantitative rigor and genuine personalization can be narrowed. Our team, AlphaWealth AI (Group 6), approaches the problem from multiple complementary angles. Each team member independently selects and implements a distinct quantitative model chosen to address a different facet of the personalization challenge, while the team shares common infrastructure for data ingestion, benchmark construction, performance evaluation, and Shiny-based interactive visualization. This design ensures that the final report offers not a single monolithic proposal but a comparative study of how different quantitative frameworks, goals-based wealth management, AI-powered direct indexing, and robust portfolio optimization with smart rebalancing, each contribute to the broader personalization objective. Across all models, we explore the role of large language models as a bridging layer between quantitative outputs and human-understandable investment advice, examining their utility in goal elicitation, thematic universe construction, preference interpretation, and strategy explanation. This midterm draft presents the overall report structure, the preliminary literature analysis completed to date, and the detailed implementation plans for the models selected so far.</w:t>
      </w:r>
    </w:p>
    <w:p>
      <w:pPr>
        <w:pStyle w:val="Heading1"/>
      </w:pPr>
      <w:r>
        <w:t>2. Literature Review and Analysis</w:t>
      </w:r>
    </w:p>
    <w:p>
      <w:pPr>
        <w:pStyle w:val="Heading2"/>
      </w:pPr>
      <w:r>
        <w:t>2.1 Goals-Based Wealth Management</w:t>
      </w:r>
    </w:p>
    <w:p>
      <w:r>
        <w:rPr>
          <w:b w:val="0"/>
        </w:rPr>
        <w:t>The goals-based wealth management framework, formalized by Das, Evans, and Ashvin (2020, 2022), decomposes the investor's overall portfolio into independent "mental accounts," each corresponding to a specific financial goal. The theoretical justification draws on Thaler's (1985) mental accounting concept from behavioral economics. Under conditions proven by Das et al., the multi-goal optimization problem separates into independent single-goal sub-problems, each employing an S-shaped utility function inspired by Kahneman and Tversky's Prospect Theory, where investors exhibit risk-seeking behavior below the target amount and risk-averse behavior above it. This behavioral realism distinguishes GBWM from conventional frameworks and makes it particularly suitable for personalized wealth management, directly mirroring the advisory approach used at Bank of America and Merrill Lynch. The literature search followed the staged filtering methodology recommended by our mentor: an initial pass based on abstracts, followed by reading introductions, numerical results, and conclusions of retained papers, and finally assessing the availability of open-source implementations. Through this process, the Das et al. series emerged as the most directly relevant reference.</w:t>
      </w:r>
    </w:p>
    <w:p>
      <w:pPr>
        <w:pStyle w:val="Heading2"/>
      </w:pPr>
      <w:r>
        <w:t>2.2 Robust Covariance Estimation, Direct Indexing, and Smart Rebalancing</w:t>
      </w:r>
    </w:p>
    <w:p>
      <w:pPr>
        <w:pStyle w:val="Heading2"/>
      </w:pPr>
      <w:r>
        <w:t>2.3 Large Language Models in Financial Applications</w:t>
      </w:r>
    </w:p>
    <w:p>
      <w:r>
        <w:rPr>
          <w:b w:val="0"/>
        </w:rPr>
        <w:t>The potential role of large language models in personalized wealth management extends well beyond simple question-answering. Lo and Ross (2024), in "Can ChatGPT Plan Your Retirement?", conducted one of the earliest empirical studies of LLM capability in financial planning, finding that GPT-4 could generate retirement plans comparable to those of certified financial planners on dimensions of completeness and coherence, though with weaknesses in tax-specific advice and individualized numerical precision. This finding is directly relevant to our project because it suggests that LLMs can credibly participate in the goal-elicitation layer of an advisory system, translating investors' informal natural-language descriptions of life objectives into the structured parameters required by quantitative models, while simultaneously exposing the boundary at which LLMs must hand off to specialized optimization engines for numerically precise computation. Takayanagi et al. (2025) investigated generative AI agents as personalized financial advisors, testing various prompting strategies and retrieval-augmented generation configurations, and found that LLM-based agents excel at information synthesis, explanation generation, and multi-turn goal clarification, precisely the interaction patterns that dominate the early stages of a wealth management engagement, but struggle with complex numerical optimization and long-horizon stochastic projection. This asymmetry of capability provides the core architectural motivation for the hybrid approach adopted across our team's models: LLMs serve as the intelligent interface and interpretive layer, while quantitative engines (GBWM, direct indexing via tracking error minimization, or robust covariance-based optimization) retain responsibility for the numerical core. Oehler and Horn (2024) compared ChatGPT's financial advice quality against established robo-advisory platforms, finding that while LLMs produced more readable and contextually aware explanations, the underlying portfolio recommendations were less diversified than those of purpose-built algorithms, reinforcing the lesson that LLMs should augment rather than replace quantitative optimization. For our project specifically, these results inform a shared design principle adopted by all team members: LLMs are integrated at the interaction boundary (goal parsing, risk-profiling dialogue, strategy narration, and macro-text signal extraction) but never as the primary decision engine for portfolio weights. The literature collectively suggests that the marginal value of LLM integration will be most visible in investor comprehension, engagement quality, and the fidelity of goal specification, rather than in raw risk-adjusted return, a hypothesis that shapes the evaluation framework described in Sections 4 and 5.</w:t>
      </w:r>
    </w:p>
    <w:p>
      <w:pPr>
        <w:pStyle w:val="Heading1"/>
      </w:pPr>
      <w:r>
        <w:t>3. Description of Selected Models</w:t>
      </w:r>
    </w:p>
    <w:p>
      <w:pPr>
        <w:pStyle w:val="Heading2"/>
      </w:pPr>
      <w:r>
        <w:t>3.1 Goals-Based Wealth Management with LLM Integration (Junyang Xu)</w:t>
      </w:r>
    </w:p>
    <w:p>
      <w:r>
        <w:rPr>
          <w:b w:val="0"/>
        </w:rPr>
        <w:t>The GBWM framework is selected for its direct alignment with personalized investing. Unlike single-period frameworks such as Black-Litterman or Risk Parity, GBWM is inherently multi-period and goal-driven, decomposing the investor's portfolio into independent mental accounts optimized to maximize goal achievement probability.</w:t>
      </w:r>
    </w:p>
    <w:p>
      <w:r>
        <w:rPr>
          <w:b w:val="0"/>
        </w:rPr>
        <w:t>Each sub-problem is formulated as a stochastic optimal control problem with an S-shaped utility function. The decomposition property proven by Das et al. (2020) allows the multi-goal problem to be solved as independent single-goal sub-problems via Monte Carlo simulation with 10,000 paths, supplemented by the analytical approximations from their work for validation.</w:t>
      </w:r>
    </w:p>
    <w:p>
      <w:r>
        <w:rPr>
          <w:b w:val="0"/>
        </w:rPr>
        <w:t>The LLM integration operates at three levels. First, at goal elicitation, the LLM translates investors' natural language descriptions into structured parameters (time horizons, target amounts, priority weights, achievement probability thresholds) through prompts constrained by JSON Schema and Pydantic validation. Second, at market signal extraction, the LLM processes FOMC statements and economic reports to generate auxiliary inputs for updating market parameter estimates within each sub-portfolio. Third, at result explanation, the LLM generates investor-friendly narratives for portfolio weights, achievement probabilities, and rebalancing recommendations.</w:t>
      </w:r>
    </w:p>
    <w:p>
      <w:r>
        <w:rPr>
          <w:b w:val="0"/>
        </w:rPr>
        <w:t>The asset universe consists of twelve ETFs: SPY, QQQ, IWM, AGG, TLT, LQD, GLD, USO, VNQ, EMB, TIP, and SHY, covering equities, fixed income, commodities, and real estate. Daily adjusted close prices are obtained via yfinance spanning January 2010 to present. Macroeconomic indicators (federal funds rate, CPI, GDP growth) are sourced from FRED via the fredapi package. Data processing uses Polars: missing values from market holidays are forward-filled, daily log returns are computed, and Winsorization at the 1st and 99th percentiles is applied to mitigate outlier influence. The signal layer uses LightGBM for short-term return and volatility forecasts as dynamic parameter updates, preserving GBWM's theoretical integrity while allowing data-driven refinement. The codebase follows the project's coding standards including Polars for tabular data, Pydantic for validation, and pytest coverage targeting 90 percent.</w:t>
      </w:r>
    </w:p>
    <w:p>
      <w:r>
        <w:rPr>
          <w:b w:val="0"/>
        </w:rPr>
        <w:t>Evaluation uses goal achievement probability as the primary GBWM-specific metric, supplemented by Sharpe ratio, maximum drawdown, and Sortino ratio. Benchmarks include the 60/40 portfolio, equal-weight allocation, risk parity, and target-date fund glide paths. Performance is assessed across bull, bear, and high-volatility regimes with an ablation study to quantify the marginal contribution of LLM components.</w:t>
      </w:r>
    </w:p>
    <w:p>
      <w:pPr>
        <w:pStyle w:val="Heading2"/>
      </w:pPr>
      <w:r>
        <w:t>3.2 AI-Powered Direct Indexing with LLM Integration (Lei Zhao)</w:t>
      </w:r>
    </w:p>
    <w:p>
      <w:pPr>
        <w:pStyle w:val="Heading2"/>
      </w:pPr>
      <w:r>
        <w:t>3.3 LLM-Assisted Personalized Robust Portfolio Optimization with Smart Rebalancing (Ziqian Zhu)</w:t>
      </w:r>
    </w:p>
    <w:p>
      <w:pPr>
        <w:pStyle w:val="Heading1"/>
      </w:pPr>
      <w:r>
        <w:t>4. Numerical Results</w:t>
      </w:r>
    </w:p>
    <w:p>
      <w:pPr>
        <w:pStyle w:val="Heading2"/>
      </w:pPr>
      <w:r>
        <w:t>4.1 Experimental Design and Performance Metrics</w:t>
      </w:r>
    </w:p>
    <w:p>
      <w:r>
        <w:rPr>
          <w:b w:val="0"/>
        </w:rPr>
        <w:t>The numerical evaluation follows a structured design applied uniformly across all team members' models to ensure comparability. The backtesting period spans from January 2010 to the present, covering multiple distinct market regimes: the post-crisis recovery (2010-2017), the late-cycle expansion (2018-2019), the COVID-19 shock and recovery (2020), the inflation surge and Fed tightening cycle (2021-2022), and the subsequent stabilization period (2023-2025). The training and testing split follows strict chronological ordering to prevent look-ahead bias: data from 2010 through 2017 is used for initial calibration, 2018 through 2020 for validation, and 2021 through the present for out-of-sample evaluation. Each model uses its own estimation and simulation procedure as described in Section 3, but all models draw from the same underlying data pipeline and face the same temporal constraints. Standard risk-return metrics apply across the board: annualized return, volatility, Sharpe ratio, maximum drawdown, Sortino ratio, and Calmar ratio. In addition, each model reports the metric most native to its own framework (for GBWM, goal achievement probability; for the direct indexing model, tracking error against the benchmark; for the robust optimization model, risk-adjusted return net of transaction costs). Benchmark strategies include the classic 60/40 portfolio (rebalanced quarterly), equal-weight allocation (rebalanced monthly), risk parity via inverse-volatility weighting, and a target-date fund glide path.</w:t>
      </w:r>
    </w:p>
    <w:p>
      <w:pPr>
        <w:pStyle w:val="Heading2"/>
      </w:pPr>
      <w:r>
        <w:t>4.2 Cross-Model Regime and Ablation Analysis</w:t>
      </w:r>
    </w:p>
    <w:p>
      <w:r>
        <w:rPr>
          <w:b w:val="0"/>
        </w:rPr>
        <w:t>Performance for all team members' models is reported conditionally on the same market regime taxonomy, identified through a combination of return-based and volatility-based criteria. Bull markets are defined as rolling twelve-month windows with positive cumulative returns and realized volatility below the historical median; bear markets as windows with negative cumulative returns; and high-volatility periods as windows where realized twenty-day volatility exceeds the 80th percentile of the historical distribution. This unified regime classification is applied identically across GBWM, AI-powered direct indexing, and robust portfolio optimization with smart rebalancing, which makes it possible to compare how each framework responds to the same macroeconomic environments and to identify complementarities among them. For instance, one model may prove more responsive to sustained regime shifts, another may better protect near-term objectives during volatile periods, and a third may be more effective at translating market developments into investor-understandable guidance. The cross-model comparison therefore evaluates not only which model performs best on average but which model contributes most to which aspect of the personalization objective under which conditions. Alongside the regime analysis, each team member conducts an ablation study isolating the marginal contribution of the LLM-integrated components in their own model. These ablation results are then aggregated at the team level to assess whether the value added by LLM integration is consistent across modeling approaches or concentrated in specific layers such as goal elicitation, signal extraction, or narrative generation.</w:t>
      </w:r>
    </w:p>
    <w:p>
      <w:pPr>
        <w:pStyle w:val="Heading2"/>
      </w:pPr>
      <w:r>
        <w:t>4.3 Dashboard Visualization</w:t>
      </w:r>
    </w:p>
    <w:p>
      <w:r>
        <w:rPr>
          <w:b w:val="0"/>
        </w:rPr>
        <w:t>All numerical results are presented through the team's shared interactive Shiny Dashboard, which serves as both the primary deliverable and the analytical interface. The Dashboard is organized into several modules. The Clients module, provided by our mentor, captures investor profile information through form inputs and natural language text fields. Each team member's model occupies an independent Tab containing Sub-tabs for parameter configuration, allocation visualization, performance tracking, and benchmark comparison. Within each model Tab, investors can review the inputs that define their specific scenario, examine how the model allocates capital across the asset universe, track performance over time, and compare results against the shared benchmark set using interactive Plotly charts with hover tooltips and zoom functionality. A shared Model Comparison Tab aggregates results across all models into comparison tables and radar charts, allowing users to evaluate trade-offs between approaches on multiple performance dimensions simultaneously. The Dashboard is built with Shiny for Python and uses reactive programming so that any input change triggers immediate recomputation and visualization update without requiring a page refresh.</w:t>
      </w:r>
    </w:p>
    <w:p>
      <w:pPr>
        <w:pStyle w:val="Heading1"/>
      </w:pPr>
      <w:r>
        <w:t>5. Analysis of Results Including Narratives</w:t>
      </w:r>
    </w:p>
    <w:p>
      <w:pPr>
        <w:pStyle w:val="Heading2"/>
      </w:pPr>
      <w:r>
        <w:t>5.1 Integrated Cross-Model Interpretation</w:t>
      </w:r>
    </w:p>
    <w:p>
      <w:r>
        <w:rPr>
          <w:b w:val="0"/>
        </w:rPr>
        <w:t>The numerical results from Section 4 will be analyzed as an integrated whole rather than as three independent model reports. A key question the analysis hopes to address is how the three selected frameworks might complement one another across different dimensions of the personalization objective and different market environments. Each framework is likely to exhibit a distinctive behavioral signature, though the specifics remain to be confirmed by the data. The analysis will attempt to trace these signatures side by side across the full range of market conditions observed in the 2010-2025 backtest, including expansions, contractions, low-volatility trending regimes, and high-volatility transitions, with the aim of identifying the conditions under which each framework's design choices prove most valuable. Particular attention will be paid to how the models interact with the shared benchmark set (60/40, equal-weight, risk parity, glide path). Where all three models happen to outperform a given benchmark on the same metric, the result may suggest a broad advantage of the personalization approach itself. Where they diverge, the divergence may point to specific structural features worth investigating further. At this stage, no definitive claims can be made about which model will perform best under which conditions; the analysis is designed to let the evidence speak rather than to confirm predetermined hypotheses.</w:t>
      </w:r>
    </w:p>
    <w:p>
      <w:pPr>
        <w:pStyle w:val="Heading2"/>
      </w:pPr>
      <w:r>
        <w:t>5.2 LLM Integration Impact and Practical Considerations</w:t>
      </w:r>
    </w:p>
    <w:p>
      <w:r>
        <w:rPr>
          <w:b w:val="0"/>
        </w:rPr>
        <w:t>A second cross-cutting theme of the analysis concerns the marginal contribution of the LLM layer, which we plan to assess both within each model and across the team as a whole. Within each model, the ablation results from Section 4.2 will be interpreted against the hypothesis developed in Section 2.3, namely that LLM integration may add most value at the interaction boundary (goal elicitation, risk-profiling dialogue, strategy explanation) rather than in the numerical optimization core. Whether this hypothesis holds in practice, and whether it holds equally across all three models, is an open question that the data will help clarify. Across models, we will examine whether the same LLM-derived inputs (for example, sentiment extracted from FOMC statements, or structured goal parameters parsed from investor dialogue) produce consistent directional effects when fed into different quantitative engines. If they do, that would speak to the robustness of the LLM signal itself independent of the downstream model; if they do not, the divergence would itself be informative about how model architecture mediates the value of textual information. The Dashboard-based analysis is expected to supplement the quantitative ablation with qualitative evaluation: a small-scale user study, if feasible within the project timeline, may provide preliminary evidence on whether investors interacting with LLM-generated explanations report higher comprehension and engagement than those receiving numerical-only reporting. The narrative analysis will also address practical deployment considerations that apply across all three models, including transaction cost modeling assumptions, the scope of the shared twelve-ETF asset universe relative to the broader investable set available to real advisory clients, return distribution assumptions that may understate tail behavior, and LLM-specific concerns around API cost, latency, and hallucination risk. These limitations will be discussed as boundary conditions defining the scope within which the team's findings are most applicable, and as concrete directions for future extension.</w:t>
      </w:r>
    </w:p>
    <w:p>
      <w:pPr>
        <w:pStyle w:val="Heading1"/>
      </w:pPr>
      <w:r>
        <w:t>6. Conclusion</w:t>
      </w:r>
    </w:p>
    <w:p>
      <w:r>
        <w:rPr>
          <w:b w:val="0"/>
        </w:rPr>
        <w:t>This section will synthesize findings across all team members' models and draw overarching conclusions about the feasibility, effectiveness, and practical implications of integrating quantitative portfolio optimization with large language models for personalized wealth management. The conclusion is expected to address several key questions that the numerical analysis aims to answer. First, to what extent do different quantitative frameworks serve distinct dimensions of personalization, and does any single approach demonstrate broad superiority or do models complement each other across different investor profiles and market conditions? Second, does the LLM integration produce measurable value beyond what traditional quantitative models achieve on their own, and if so, which components of the LLM architecture (goal elicitation, signal extraction, or result explanation) contribute most to this incremental value? Third, how does the interactive Dashboard and natural language explanation capability affect investor engagement and comprehension compared to conventional reporting formats?</w:t>
      </w:r>
    </w:p>
    <w:p>
      <w:r>
        <w:rPr>
          <w:b w:val="0"/>
        </w:rPr>
        <w:t>The conclusion will also discuss the broader implications for the wealth management industry, examining whether the hybrid architecture demonstrated in this project, in which LLMs serve as intelligent interfaces while specialized engines handle optimization, represents a viable path toward AI-enhanced advisory systems. This discussion will reference the robo-advisory literature (Lehner 2025) on trust-building and explanation gaps, and assess whether our findings support or challenge existing conclusions. Finally, the section will identify specific limitations of the current work, including the scope of the asset universe, return distribution assumptions, and the preliminary nature of the user study, and will propose directions for future research such as extending to alternative investments, incorporating regime-switching return models, exploring fine-tuned financial LLMs, and conducting larger-scale behavioral studies on probability-based goal tracking.</w:t>
      </w:r>
    </w:p>
    <w:p>
      <w:pPr>
        <w:pStyle w:val="Heading1"/>
      </w:pPr>
      <w:r>
        <w:t>7. List of References</w:t>
      </w:r>
    </w:p>
    <w:p>
      <w:r>
        <w:rPr>
          <w:b w:val="0"/>
        </w:rPr>
        <w:t>Das, S. R., Evans, P., &amp; Ashvin, V. (2020). Goals-Based Investing: Goal Direction and the Architecture of the Mind. Journal of Wealth Management.</w:t>
      </w:r>
    </w:p>
    <w:p>
      <w:r>
        <w:rPr>
          <w:b w:val="0"/>
        </w:rPr>
        <w:t>Das, S. R., Evans, P., &amp; Ashvin, V. (2022). Dynamic Goals-Based Wealth Management: Extensions and Applications. Journal of Portfolio Management.</w:t>
      </w:r>
    </w:p>
    <w:p>
      <w:r>
        <w:rPr>
          <w:b w:val="0"/>
        </w:rPr>
        <w:t>Golts, M., &amp; Jones, D. (2025). Goal Parity: Integrating Risk Parity with Goals-Based Investing.</w:t>
      </w:r>
    </w:p>
    <w:p>
      <w:r>
        <w:rPr>
          <w:b w:val="0"/>
        </w:rPr>
        <w:t>Kahneman, D., &amp; Tversky, A. (1979). Prospect Theory: An Analysis of Decision under Risk. Econometrica, 47(2), 263-291.</w:t>
      </w:r>
    </w:p>
    <w:p>
      <w:r>
        <w:rPr>
          <w:b w:val="0"/>
        </w:rPr>
        <w:t>Lo, A. W., &amp; Ross, S. (2024). Can ChatGPT Plan Your Retirement? MIT Sloan Working Paper.</w:t>
      </w:r>
    </w:p>
    <w:p>
      <w:r>
        <w:rPr>
          <w:b w:val="0"/>
        </w:rPr>
        <w:t>Markowitz, H. (1952). Portfolio Selection. The Journal of Finance, 7(1), 77-91.</w:t>
      </w:r>
    </w:p>
    <w:p>
      <w:r>
        <w:rPr>
          <w:b w:val="0"/>
        </w:rPr>
        <w:t>Oehler, A., &amp; Horn, C. (2024). Does ChatGPT Provide Better Advice than Robo-Advisors? Finance Research Letters.</w:t>
      </w:r>
    </w:p>
    <w:p>
      <w:r>
        <w:rPr>
          <w:b w:val="0"/>
        </w:rPr>
        <w:t>Takayanagi, K., Uchida, S., et al. (2025). Are Generative AI Agents Effective Personalized Financial Advisors?</w:t>
      </w:r>
    </w:p>
    <w:p>
      <w:r>
        <w:rPr>
          <w:b w:val="0"/>
        </w:rPr>
        <w:t>Thaler, R. H. (1985). Mental Accounting and Consumer Choice. Marketing Science, 4(3), 199-214.</w:t>
      </w:r>
    </w:p>
    <w:p>
      <w:r>
        <w:rPr>
          <w:b w:val="0"/>
        </w:rPr>
        <w:t>[Additional references to be added by team members for their respective model sections.]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4788"/>
      <w:sz w:val="28"/>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F478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pPr>
      <w:spacing w:after="120"/>
      <w:jc w:val="center"/>
    </w:pPr>
    <w:rPr>
      <w:rFonts w:ascii="Calibri" w:hAnsi="Calibri"/>
      <w:b/>
      <w:color w:val="1F4788"/>
      <w:sz w:val="3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