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r>
        <w:rPr>
          <w:rFonts w:ascii="微软雅黑" w:hAnsi="微软雅黑" w:eastAsia="微软雅黑"/>
          <w:b/>
        </w:rPr>
        <w:t>待办</w:t>
      </w:r>
      <w:r>
        <w:rPr>
          <w:rFonts w:ascii="微软雅黑" w:hAnsi="微软雅黑" w:eastAsia="微软雅黑"/>
        </w:rPr>
        <w:t>：把排挤判据改为基于「近期对该目标做过敌对行为的人数」（需新增一张 N×N 的</w:t>
      </w:r>
    </w:p>
    <w:p>
      <w:r>
        <w:rPr>
          <w:rFonts w:ascii="微软雅黑" w:hAnsi="微软雅黑" w:eastAsia="微软雅黑"/>
        </w:rPr>
        <w:t xml:space="preserve">「最近损害行为」计数/时间戳，与 §10.22 的 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同层）。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