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</w:tbl>
    <w:p/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人围观，且发起者对目标好感 ≥40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当前状态（待标定）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默认 `stress_k = 0`（只观测、不生效）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作为环境类行为触发偏频（每 tick 6%、持续 30 tick），</w:t>
      </w:r>
    </w:p>
    <w:p>
      <w:r>
        <w:rPr>
          <w:rFonts w:ascii="微软雅黑" w:hAnsi="微软雅黑" w:eastAsia="微软雅黑"/>
        </w:rPr>
        <w:t>实测</w:t>
      </w:r>
      <w:r>
        <w:rPr>
          <w:rFonts w:ascii="微软雅黑" w:hAnsi="微软雅黑" w:eastAsia="微软雅黑"/>
          <w:b/>
        </w:rPr>
        <w:t>同时约 17 人在聊</w:t>
      </w:r>
      <w:r>
        <w:rPr>
          <w:rFonts w:ascii="微软雅黑" w:hAnsi="微软雅黑" w:eastAsia="微软雅黑"/>
        </w:rPr>
        <w:t xml:space="preserve"> → 音量长期饱和在 ~98，失去「安静段 vs 吵闹段」的对比。</w:t>
      </w:r>
    </w:p>
    <w:p>
      <w:r>
        <w:rPr>
          <w:rFonts w:ascii="微软雅黑" w:hAnsi="微软雅黑" w:eastAsia="微软雅黑"/>
        </w:rPr>
        <w:t>要让它真正工作，需要</w:t>
      </w:r>
      <w:r>
        <w:rPr>
          <w:rFonts w:ascii="微软雅黑" w:hAnsi="微软雅黑" w:eastAsia="微软雅黑"/>
          <w:b/>
        </w:rPr>
        <w:t>与行为频率一起标定</w:t>
      </w:r>
      <w:r>
        <w:rPr>
          <w:rFonts w:ascii="微软雅黑" w:hAnsi="微软雅黑" w:eastAsia="微软雅黑"/>
        </w:rPr>
        <w:t xml:space="preserve"> —— 注意改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频率会同时影响好感标定（见 §3.4.1 耦合表）；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§10.18、§10.20）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 A[i][j] ≥ 40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