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微软雅黑" w:hAnsi="微软雅黑"/>
          <w:rFonts w:eastAsia="微软雅黑"/>
          <w:b/>
          <w:color w:val="1B365D"/>
          <w:sz w:val="40"/>
        </w:rPr>
        <w:t>安全生产违章情况深度分析与改进建议报告</w:t>
      </w:r>
    </w:p>
    <w:p>
      <w:pPr>
        <w:spacing w:after="480"/>
        <w:jc w:val="center"/>
      </w:pPr>
      <w:r>
        <w:rPr>
          <w:rFonts w:ascii="微软雅黑" w:hAnsi="微软雅黑"/>
          <w:rFonts w:eastAsia="微软雅黑"/>
          <w:b w:val="0"/>
          <w:color w:val="787878"/>
          <w:sz w:val="20"/>
        </w:rPr>
        <w:t>报告日期：2026年05月19日   |   数据周期：2026-05-01 至 2026-05-15</w:t>
        <w:br/>
        <w:t>数据口径：共 7 条有效违章记录，剔除“已删除”记录；累计扣分约 44 分，A类/重大违章 3 起（占比 42.9%）。</w:t>
      </w:r>
    </w:p>
    <w:p>
      <w:pPr>
        <w:keepNext/>
        <w:spacing w:before="360" w:after="160"/>
      </w:pPr>
      <w:r>
        <w:rPr>
          <w:rFonts w:ascii="微软雅黑" w:hAnsi="微软雅黑"/>
          <w:rFonts w:eastAsia="微软雅黑"/>
          <w:b/>
          <w:color w:val="1B365D"/>
          <w:sz w:val="28"/>
        </w:rPr>
        <w:t>一、总体概况与核心判断</w:t>
      </w:r>
    </w:p>
    <w:p>
      <w:pPr>
        <w:spacing w:after="120" w:line="300" w:lineRule="auto"/>
        <w:ind w:firstLine="432"/>
      </w:pPr>
      <w:r>
        <w:rPr>
          <w:rFonts w:ascii="微软雅黑" w:hAnsi="微软雅黑"/>
          <w:rFonts w:eastAsia="微软雅黑"/>
          <w:b w:val="0"/>
          <w:sz w:val="21"/>
        </w:rPr>
        <w:t>本次分析共识别 7 条有效违章记录，累计记分约 44 分。A类或重大违章约 3 起，占比 42.9%。数据表明，安全风险不是单点偶发，而是在人员行为、现场执行、协力单位管理和作业许可链条中呈现重复发生特征。</w:t>
      </w:r>
    </w:p>
    <w:p>
      <w:pPr>
        <w:spacing w:after="120" w:line="300" w:lineRule="auto"/>
        <w:ind w:firstLine="432"/>
      </w:pPr>
      <w:r>
        <w:rPr>
          <w:rFonts w:ascii="微软雅黑" w:hAnsi="微软雅黑"/>
          <w:rFonts w:eastAsia="微软雅黑"/>
          <w:b w:val="0"/>
          <w:sz w:val="21"/>
        </w:rPr>
        <w:t>从级别结构看，A类违章 数量最高；从专题归类看，个体防护/PPE 是最突出的高频问题。建议把高频且高后果的专题纳入厂级专项治理。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04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_week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0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09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sh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097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违章级别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数量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占比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A类违章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42.9%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B类违章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28.6%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C类违章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28.6%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微软雅黑" w:hAnsi="微软雅黑"/>
          <w:rFonts w:eastAsia="微软雅黑"/>
          <w:b/>
          <w:color w:val="1B365D"/>
          <w:sz w:val="28"/>
        </w:rPr>
        <w:t>二、高频违章与重点区域画像</w:t>
      </w:r>
    </w:p>
    <w:p>
      <w:pPr>
        <w:spacing w:after="120" w:line="300" w:lineRule="auto"/>
        <w:ind w:firstLine="432"/>
      </w:pPr>
      <w:r>
        <w:rPr>
          <w:rFonts w:ascii="微软雅黑" w:hAnsi="微软雅黑"/>
          <w:rFonts w:eastAsia="微软雅黑"/>
          <w:b w:val="0"/>
          <w:sz w:val="21"/>
        </w:rPr>
        <w:t>TOP 专题显示，个体防护/PPE、挂牌/能量隔离 等问题重复出现，通常对应制度执行弱化、班组日常纠偏不足和现场监督穿透力不足。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615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top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6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_top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微软雅黑" w:hAnsi="微软雅黑"/>
          <w:rFonts w:eastAsia="微软雅黑"/>
          <w:b/>
          <w:color w:val="1B365D"/>
          <w:sz w:val="24"/>
        </w:rPr>
        <w:t>高频违章专题 TOP10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违章专题</w:t>
            </w:r>
          </w:p>
        </w:tc>
        <w:tc>
          <w:tcPr>
            <w:tcW w:type="dxa" w:w="18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数量</w:t>
            </w:r>
          </w:p>
        </w:tc>
        <w:tc>
          <w:tcPr>
            <w:tcW w:type="dxa" w:w="18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占比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个体防护/PPE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3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42.9%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挂牌/能量隔离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2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28.6%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起重吊装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14.3%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动火/消防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14.3%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微软雅黑" w:hAnsi="微软雅黑"/>
          <w:rFonts w:eastAsia="微软雅黑"/>
          <w:b/>
          <w:color w:val="1B365D"/>
          <w:sz w:val="24"/>
        </w:rPr>
        <w:t>重点区域/组织 TOP10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区域/组织</w:t>
            </w:r>
          </w:p>
        </w:tc>
        <w:tc>
          <w:tcPr>
            <w:tcW w:type="dxa" w:w="18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数量</w:t>
            </w:r>
          </w:p>
        </w:tc>
        <w:tc>
          <w:tcPr>
            <w:tcW w:type="dxa" w:w="18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占比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一分厂/炼钢区/钢包台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14.3%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二分厂/精炼区/LF炉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14.3%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一分厂/轧钢区/加热炉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14.3%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三分厂/动力区/配电间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14.3%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一分厂/炼钢区/出钢位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14.3%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三分厂/运输区/道路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14.3%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一分厂/轧钢区/精轧机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14.3%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微软雅黑" w:hAnsi="微软雅黑"/>
          <w:rFonts w:eastAsia="微软雅黑"/>
          <w:b/>
          <w:color w:val="1B365D"/>
          <w:sz w:val="28"/>
        </w:rPr>
        <w:t>三、人员性质、协力单位与数据来源分析</w:t>
      </w:r>
    </w:p>
    <w:p>
      <w:pPr>
        <w:spacing w:after="120" w:line="300" w:lineRule="auto"/>
        <w:ind w:firstLine="432"/>
      </w:pPr>
      <w:r>
        <w:rPr>
          <w:rFonts w:ascii="微软雅黑" w:hAnsi="微软雅黑"/>
          <w:rFonts w:eastAsia="微软雅黑"/>
          <w:b w:val="0"/>
          <w:sz w:val="21"/>
        </w:rPr>
        <w:t>人员性质分布显示，正式员工 违章数量最高，占比 42.9%。若协力人员占比较高，应重点审视准入培训、作业交底、甲方监护和合同考核闭环。</w:t>
      </w:r>
    </w:p>
    <w:p>
      <w:pPr>
        <w:spacing w:after="120" w:line="300" w:lineRule="auto"/>
        <w:ind w:firstLine="432"/>
      </w:pPr>
      <w:r>
        <w:rPr>
          <w:rFonts w:ascii="微软雅黑" w:hAnsi="微软雅黑"/>
          <w:rFonts w:eastAsia="微软雅黑"/>
          <w:b w:val="0"/>
          <w:sz w:val="21"/>
        </w:rPr>
        <w:t>数据来源中，现场巡查 占比最高。若行为观察/视频回看占比较高，说明技术监督有效，但也反映现场管理者事中制止不足，需提升现场巡查质量。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114800" cy="4069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_sh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69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844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sh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4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0" w:after="160"/>
      </w:pPr>
      <w:r>
        <w:rPr>
          <w:rFonts w:ascii="微软雅黑" w:hAnsi="微软雅黑"/>
          <w:rFonts w:eastAsia="微软雅黑"/>
          <w:b/>
          <w:color w:val="1B365D"/>
          <w:sz w:val="28"/>
        </w:rPr>
        <w:t>四、管理体系短板与根因诊断</w:t>
      </w:r>
    </w:p>
    <w:p>
      <w:pPr>
        <w:spacing w:after="80"/>
        <w:ind w:left="360"/>
      </w:pPr>
      <w:r>
        <w:rPr>
          <w:rFonts w:ascii="微软雅黑" w:hAnsi="微软雅黑"/>
          <w:rFonts w:eastAsia="微软雅黑"/>
          <w:b w:val="0"/>
          <w:sz w:val="21"/>
        </w:rPr>
        <w:t>1. 风险预控与安全交底流于形式：作业前危险源辨识不充分，交底内容模板化，工票或许可签发未形成真实约束。</w:t>
      </w:r>
    </w:p>
    <w:p>
      <w:pPr>
        <w:spacing w:after="80"/>
        <w:ind w:left="360"/>
      </w:pPr>
      <w:r>
        <w:rPr>
          <w:rFonts w:ascii="微软雅黑" w:hAnsi="微软雅黑"/>
          <w:rFonts w:eastAsia="微软雅黑"/>
          <w:b w:val="0"/>
          <w:sz w:val="21"/>
        </w:rPr>
        <w:t>2. 核心制度执行衰减：挂牌、联锁、PPE 等低技术门槛要求反复失守，说明班组日常纠偏和管理问责不足。</w:t>
      </w:r>
    </w:p>
    <w:p>
      <w:pPr>
        <w:spacing w:after="80"/>
        <w:ind w:left="360"/>
      </w:pPr>
      <w:r>
        <w:rPr>
          <w:rFonts w:ascii="微软雅黑" w:hAnsi="微软雅黑"/>
          <w:rFonts w:eastAsia="微软雅黑"/>
          <w:b w:val="0"/>
          <w:sz w:val="21"/>
        </w:rPr>
        <w:t>3. 高风险作业升级管控不足：动火、高处、起重、设备检修等作业未做到许可、确认、监护、复盘闭环。</w:t>
      </w:r>
    </w:p>
    <w:p>
      <w:pPr>
        <w:spacing w:after="80"/>
        <w:ind w:left="360"/>
      </w:pPr>
      <w:r>
        <w:rPr>
          <w:rFonts w:ascii="微软雅黑" w:hAnsi="微软雅黑"/>
          <w:rFonts w:eastAsia="微软雅黑"/>
          <w:b w:val="0"/>
          <w:sz w:val="21"/>
        </w:rPr>
        <w:t>4. 协力单位穿透式管理不足：甲方对协力队伍的准入、交底、过程监督和绩效联动不足，易形成“以包代管”。</w:t>
      </w:r>
    </w:p>
    <w:p>
      <w:pPr>
        <w:spacing w:after="80"/>
        <w:ind w:left="360"/>
      </w:pPr>
      <w:r>
        <w:rPr>
          <w:rFonts w:ascii="微软雅黑" w:hAnsi="微软雅黑"/>
          <w:rFonts w:eastAsia="微软雅黑"/>
          <w:b w:val="0"/>
          <w:sz w:val="21"/>
        </w:rPr>
        <w:t>5. 安全培训未转化为行为习惯：员工知道制度但未敬畏风险，说明培训缺少场景化、体验式和实操验证。</w:t>
      </w:r>
    </w:p>
    <w:p>
      <w:pPr>
        <w:keepNext/>
        <w:spacing w:before="360" w:after="160"/>
      </w:pPr>
      <w:r>
        <w:rPr>
          <w:rFonts w:ascii="微软雅黑" w:hAnsi="微软雅黑"/>
          <w:rFonts w:eastAsia="微软雅黑"/>
          <w:b/>
          <w:color w:val="1B365D"/>
          <w:sz w:val="28"/>
        </w:rPr>
        <w:t>五、改进建议与行动清单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措施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主要做法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责任主体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/>
                <w:color w:val="1B365D"/>
                <w:sz w:val="20"/>
              </w:rPr>
              <w:t>验证指标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立即开展高频问题专项整治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围绕挂牌/能量隔离、PPE、动火、高处、起重等专题开展 1-3 个月专项行动，执行零容忍停工整改。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厂部/分厂/作业区/协力单位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违章数下降、A类清零、重复违章减少、闭环率100%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重构高风险作业许可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许可签发人、作业负责人、监护人必须现场逐项确认并拍照留痕；关键风险点使用清单化确认。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厂部/分厂/作业区/协力单位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许可执行率提升、违规作业显著下降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强化管理人员履职量化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建立班组长、作业长、分厂管理者安全履职清单，将制止违章、现场巡查、交底审核与绩效挂钩。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厂部/分厂/作业区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现场纠偏频次提升、重复问题下降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实施协力单位等同管理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协力人员参加同等培训和班前会；月度发布协力单位安全积分，并与合同结算、清退机制联动。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厂部/采购/协力单位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协力违章占比下降、准入合规率提升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推进工程技术防呆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对钢包、剪切、步进梁、小车运行区等高风险点推广硬隔离、联锁、权限钥匙和感应停机。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设备/工艺/安全部门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同类机械伤害风险下降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建立数据驱动闭环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每周更新违章看板，每月组织跨部门复盘，针对异常升高专题形成整改责任书并跟踪验证。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安全管理部门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rFonts w:eastAsia="微软雅黑"/>
                <w:b w:val="0"/>
                <w:sz w:val="19"/>
              </w:rPr>
              <w:t>整改按期完成率提升、异常专题响应时效缩短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微软雅黑" w:hAnsi="微软雅黑"/>
          <w:rFonts w:eastAsia="微软雅黑"/>
          <w:b/>
          <w:color w:val="1B365D"/>
          <w:sz w:val="28"/>
        </w:rPr>
        <w:t>六、附录：数据字段与口径提示</w:t>
      </w:r>
    </w:p>
    <w:p>
      <w:pPr>
        <w:spacing w:after="120" w:line="300" w:lineRule="auto"/>
        <w:ind w:firstLine="432"/>
      </w:pPr>
      <w:r>
        <w:rPr>
          <w:rFonts w:ascii="微软雅黑" w:hAnsi="微软雅黑"/>
          <w:rFonts w:eastAsia="微软雅黑"/>
          <w:b w:val="0"/>
          <w:sz w:val="21"/>
        </w:rPr>
        <w:t>本报告由 Excel 字段自动统计生成。若源数据含有更细的责任链条、连带记分、隐患编号或整改闭环字段，可进一步扩展为责任追溯、隐患闭环率和整改有效性分析。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