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008824A0"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w:t>
      </w:r>
      <w:r w:rsidR="00097D00" w:rsidRPr="00A14AC2">
        <w:rPr>
          <w:rFonts w:ascii="Arial" w:hAnsi="Arial" w:cs="Arial"/>
          <w:sz w:val="21"/>
          <w:szCs w:val="21"/>
        </w:rPr>
        <w:t xml:space="preserve"> 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Additionally, given that PQs are recorded behaviour, they provide unique and exact insight into parliamentarians’ concerns, </w:t>
      </w:r>
      <w:r w:rsidR="007A7EB0">
        <w:rPr>
          <w:rFonts w:ascii="Arial" w:hAnsi="Arial" w:cs="Arial"/>
          <w:sz w:val="21"/>
          <w:szCs w:val="21"/>
        </w:rPr>
        <w:t xml:space="preserve">and </w:t>
      </w:r>
      <w:r w:rsidR="00E465C7" w:rsidRPr="00A14AC2">
        <w:rPr>
          <w:rFonts w:ascii="Arial" w:hAnsi="Arial" w:cs="Arial"/>
          <w:sz w:val="21"/>
          <w:szCs w:val="21"/>
        </w:rPr>
        <w:t xml:space="preserve">measure their activeness </w:t>
      </w:r>
      <w:r w:rsidR="002244C9">
        <w:rPr>
          <w:rFonts w:ascii="Arial" w:hAnsi="Arial" w:cs="Arial"/>
          <w:sz w:val="21"/>
          <w:szCs w:val="21"/>
        </w:rPr>
        <w:t xml:space="preserve">and contributions </w:t>
      </w:r>
      <w:r w:rsidR="00E465C7" w:rsidRPr="00A14AC2">
        <w:rPr>
          <w:rFonts w:ascii="Arial" w:hAnsi="Arial" w:cs="Arial"/>
          <w:sz w:val="21"/>
          <w:szCs w:val="21"/>
        </w:rPr>
        <w:t>in Parliament</w:t>
      </w:r>
      <w:r w:rsidR="002244C9">
        <w:rPr>
          <w:rFonts w:ascii="Arial" w:hAnsi="Arial" w:cs="Arial"/>
          <w:sz w:val="21"/>
          <w:szCs w:val="21"/>
        </w:rPr>
        <w:t>.</w:t>
      </w:r>
    </w:p>
    <w:p w14:paraId="71DF6102" w14:textId="13EEFBBB"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Analysing PQs in this manner also elucidates nuances about political group dynamics</w:t>
      </w:r>
      <w:r w:rsidR="002244C9">
        <w:rPr>
          <w:rFonts w:ascii="Arial" w:hAnsi="Arial" w:cs="Arial"/>
          <w:sz w:val="21"/>
          <w:szCs w:val="21"/>
        </w:rPr>
        <w:t>, which has both empirical and practical benefit</w:t>
      </w:r>
      <w:r w:rsidR="008D4DF1">
        <w:rPr>
          <w:rFonts w:ascii="Arial" w:hAnsi="Arial" w:cs="Arial"/>
          <w:sz w:val="21"/>
          <w:szCs w:val="21"/>
        </w:rPr>
        <w:t>s.</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35D65A91"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Firstly,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 xml:space="preserve">the </w:t>
      </w:r>
      <w:r w:rsidR="00F607B9">
        <w:rPr>
          <w:rFonts w:ascii="Arial" w:hAnsi="Arial" w:cs="Arial"/>
          <w:sz w:val="21"/>
          <w:szCs w:val="21"/>
        </w:rPr>
        <w:t xml:space="preserve">political </w:t>
      </w:r>
      <w:r w:rsidR="0015487C">
        <w:rPr>
          <w:rFonts w:ascii="Arial" w:hAnsi="Arial" w:cs="Arial"/>
          <w:sz w:val="21"/>
          <w:szCs w:val="21"/>
        </w:rPr>
        <w:t>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5F49A559"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w:t>
      </w:r>
      <w:r w:rsidR="00BC1426">
        <w:rPr>
          <w:rFonts w:ascii="Arial" w:hAnsi="Arial" w:cs="Arial"/>
          <w:sz w:val="21"/>
          <w:szCs w:val="21"/>
        </w:rPr>
        <w:t>project</w:t>
      </w:r>
      <w:r w:rsidRPr="00A14AC2">
        <w:rPr>
          <w:rFonts w:ascii="Arial" w:hAnsi="Arial" w:cs="Arial"/>
          <w:sz w:val="21"/>
          <w:szCs w:val="21"/>
        </w:rPr>
        <w:t xml:space="preserve">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w:t>
      </w:r>
      <w:r w:rsidR="00DF48D5">
        <w:rPr>
          <w:rFonts w:ascii="Arial" w:hAnsi="Arial" w:cs="Arial"/>
          <w:sz w:val="21"/>
          <w:szCs w:val="21"/>
        </w:rPr>
        <w:t>MPs</w:t>
      </w:r>
      <w:r w:rsidRPr="00A14AC2">
        <w:rPr>
          <w:rFonts w:ascii="Arial" w:hAnsi="Arial" w:cs="Arial"/>
          <w:sz w:val="21"/>
          <w:szCs w:val="21"/>
        </w:rPr>
        <w:t xml:space="preserve">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39C9F300" w14:textId="4EB4006A" w:rsidR="00BD6B26" w:rsidRPr="00BC1426" w:rsidRDefault="006B214D" w:rsidP="00BD6B26">
      <w:pPr>
        <w:spacing w:line="240" w:lineRule="auto"/>
        <w:ind w:firstLine="720"/>
        <w:rPr>
          <w:rFonts w:ascii="Arial" w:hAnsi="Arial" w:cs="Arial"/>
          <w:sz w:val="21"/>
          <w:szCs w:val="21"/>
        </w:rPr>
      </w:pPr>
      <w:r w:rsidRPr="00A14AC2">
        <w:rPr>
          <w:rFonts w:ascii="Arial" w:hAnsi="Arial" w:cs="Arial"/>
          <w:sz w:val="21"/>
          <w:szCs w:val="21"/>
        </w:rPr>
        <w:t xml:space="preserve">Lastly, this </w:t>
      </w:r>
      <w:r w:rsidR="00BC1426">
        <w:rPr>
          <w:rFonts w:ascii="Arial" w:hAnsi="Arial" w:cs="Arial"/>
          <w:sz w:val="21"/>
          <w:szCs w:val="21"/>
        </w:rPr>
        <w:t>project</w:t>
      </w:r>
      <w:r w:rsidRPr="00A14AC2">
        <w:rPr>
          <w:rFonts w:ascii="Arial" w:hAnsi="Arial" w:cs="Arial"/>
          <w:sz w:val="21"/>
          <w:szCs w:val="21"/>
        </w:rPr>
        <w:t xml:space="preserve">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The theoretical basis would be that only three subgroups should exist if all parties had such beliefs (Buddy &amp; Hankert, 2007)</w:t>
      </w:r>
      <w:r w:rsidR="000A6C7D">
        <w:rPr>
          <w:rFonts w:ascii="Arial" w:hAnsi="Arial" w:cs="Arial"/>
          <w:sz w:val="21"/>
          <w:szCs w:val="21"/>
        </w:rPr>
        <w:t xml:space="preserve"> as each party has different political stances.</w:t>
      </w:r>
      <w:r w:rsidR="004B10D0">
        <w:rPr>
          <w:rFonts w:ascii="Arial" w:hAnsi="Arial" w:cs="Arial"/>
          <w:sz w:val="21"/>
          <w:szCs w:val="21"/>
        </w:rPr>
        <w:t xml:space="preserve">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523BE663"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24171BBD" w:rsidR="002A42E7" w:rsidRPr="00A14AC2" w:rsidRDefault="002A42E7" w:rsidP="009D4E30">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w:t>
      </w:r>
      <w:r w:rsidR="005A069F">
        <w:rPr>
          <w:rFonts w:ascii="Arial" w:hAnsi="Arial" w:cs="Arial"/>
          <w:sz w:val="21"/>
          <w:szCs w:val="21"/>
        </w:rPr>
        <w:t xml:space="preserve">.  </w:t>
      </w:r>
      <w:r w:rsidR="005F48A1">
        <w:rPr>
          <w:rFonts w:ascii="Arial" w:hAnsi="Arial" w:cs="Arial"/>
          <w:sz w:val="21"/>
          <w:szCs w:val="21"/>
        </w:rPr>
        <w:t xml:space="preserve">For instance, </w:t>
      </w:r>
      <w:r w:rsidRPr="00A14AC2">
        <w:rPr>
          <w:rFonts w:ascii="Arial" w:hAnsi="Arial" w:cs="Arial"/>
          <w:sz w:val="21"/>
          <w:szCs w:val="21"/>
        </w:rPr>
        <w:t>Minister Ong Ye Kung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w:t>
      </w:r>
      <w:proofErr w:type="spellStart"/>
      <w:r w:rsidRPr="00A14AC2">
        <w:rPr>
          <w:rFonts w:ascii="Arial" w:hAnsi="Arial" w:cs="Arial"/>
          <w:sz w:val="21"/>
          <w:szCs w:val="21"/>
        </w:rPr>
        <w:t>i</w:t>
      </w:r>
      <w:proofErr w:type="spellEnd"/>
      <w:r w:rsidRPr="00A14AC2">
        <w:rPr>
          <w:rFonts w:ascii="Arial" w:hAnsi="Arial" w:cs="Arial"/>
          <w:sz w:val="21"/>
          <w:szCs w:val="21"/>
        </w:rPr>
        <w:t>)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membership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 xml:space="preserve">The </w:t>
      </w:r>
      <w:proofErr w:type="spellStart"/>
      <w:r w:rsidRPr="0071634B">
        <w:rPr>
          <w:rFonts w:ascii="Arial" w:hAnsi="Arial" w:cs="Arial"/>
          <w:i/>
          <w:iCs/>
        </w:rPr>
        <w:t>american</w:t>
      </w:r>
      <w:proofErr w:type="spellEnd"/>
      <w:r w:rsidRPr="0071634B">
        <w:rPr>
          <w:rFonts w:ascii="Arial" w:hAnsi="Arial" w:cs="Arial"/>
          <w:i/>
          <w:iCs/>
        </w:rPr>
        <w:t xml:space="preserve">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258FF91A" w:rsidR="0071634B" w:rsidRDefault="0071634B" w:rsidP="0071634B">
      <w:pPr>
        <w:spacing w:line="360" w:lineRule="auto"/>
        <w:ind w:left="720" w:hanging="720"/>
        <w:rPr>
          <w:rFonts w:ascii="Arial" w:hAnsi="Arial" w:cs="Arial"/>
        </w:rPr>
      </w:pPr>
      <w:r w:rsidRPr="0071634B">
        <w:rPr>
          <w:rFonts w:ascii="Arial" w:hAnsi="Arial" w:cs="Arial"/>
        </w:rPr>
        <w:t xml:space="preserve">Staerklé, C. (2015). Political psychology. </w:t>
      </w:r>
      <w:r w:rsidRPr="0071634B">
        <w:rPr>
          <w:rFonts w:ascii="Arial" w:hAnsi="Arial" w:cs="Arial"/>
          <w:i/>
          <w:iCs/>
        </w:rPr>
        <w:t xml:space="preserve">International </w:t>
      </w:r>
      <w:proofErr w:type="spellStart"/>
      <w:r w:rsidRPr="0071634B">
        <w:rPr>
          <w:rFonts w:ascii="Arial" w:hAnsi="Arial" w:cs="Arial"/>
          <w:i/>
          <w:iCs/>
        </w:rPr>
        <w:t>Encyclopedia</w:t>
      </w:r>
      <w:proofErr w:type="spellEnd"/>
      <w:r w:rsidRPr="0071634B">
        <w:rPr>
          <w:rFonts w:ascii="Arial" w:hAnsi="Arial" w:cs="Arial"/>
          <w:i/>
          <w:iCs/>
        </w:rPr>
        <w:t xml:space="preserve"> of Social and </w:t>
      </w:r>
      <w:proofErr w:type="spellStart"/>
      <w:r w:rsidRPr="0071634B">
        <w:rPr>
          <w:rFonts w:ascii="Arial" w:hAnsi="Arial" w:cs="Arial"/>
          <w:i/>
          <w:iCs/>
        </w:rPr>
        <w:t>Behavioral</w:t>
      </w:r>
      <w:proofErr w:type="spellEnd"/>
      <w:r w:rsidRPr="0071634B">
        <w:rPr>
          <w:rFonts w:ascii="Arial" w:hAnsi="Arial" w:cs="Arial"/>
          <w:i/>
          <w:iCs/>
        </w:rPr>
        <w:t xml:space="preserve"> Sciences, 18,</w:t>
      </w:r>
      <w:r w:rsidRPr="0071634B">
        <w:rPr>
          <w:rFonts w:ascii="Arial" w:hAnsi="Arial" w:cs="Arial"/>
        </w:rPr>
        <w:t xml:space="preserve"> 427-433.</w:t>
      </w:r>
    </w:p>
    <w:p w14:paraId="1F543350" w14:textId="7C4147DF" w:rsidR="009D4E30" w:rsidRDefault="009D4E30" w:rsidP="0071634B">
      <w:pPr>
        <w:spacing w:line="360" w:lineRule="auto"/>
        <w:ind w:left="720" w:hanging="720"/>
        <w:rPr>
          <w:rFonts w:ascii="Arial" w:hAnsi="Arial" w:cs="Arial"/>
        </w:rPr>
      </w:pPr>
    </w:p>
    <w:p w14:paraId="6F6F1E9C" w14:textId="14F63665" w:rsidR="009D4E30" w:rsidRDefault="009D4E30" w:rsidP="0071634B">
      <w:pPr>
        <w:spacing w:line="360" w:lineRule="auto"/>
        <w:ind w:left="720" w:hanging="720"/>
        <w:rPr>
          <w:rFonts w:ascii="Arial" w:hAnsi="Arial" w:cs="Arial"/>
        </w:rPr>
      </w:pPr>
    </w:p>
    <w:p w14:paraId="44916D93" w14:textId="1A2572AD" w:rsidR="009D4E30" w:rsidRDefault="009D4E30" w:rsidP="0071634B">
      <w:pPr>
        <w:spacing w:line="360" w:lineRule="auto"/>
        <w:ind w:left="720" w:hanging="720"/>
        <w:rPr>
          <w:rFonts w:ascii="Arial" w:hAnsi="Arial" w:cs="Arial"/>
        </w:rPr>
      </w:pPr>
    </w:p>
    <w:p w14:paraId="29AD1B42" w14:textId="70FB8698" w:rsidR="009D4E30" w:rsidRDefault="009D4E30" w:rsidP="0071634B">
      <w:pPr>
        <w:spacing w:line="360" w:lineRule="auto"/>
        <w:ind w:left="720" w:hanging="720"/>
        <w:rPr>
          <w:rFonts w:ascii="Arial" w:hAnsi="Arial" w:cs="Arial"/>
        </w:rPr>
      </w:pPr>
    </w:p>
    <w:p w14:paraId="7C676A54" w14:textId="26671520" w:rsidR="009D4E30" w:rsidRDefault="009D4E30" w:rsidP="0071634B">
      <w:pPr>
        <w:spacing w:line="360" w:lineRule="auto"/>
        <w:ind w:left="720" w:hanging="720"/>
        <w:rPr>
          <w:rFonts w:ascii="Arial" w:hAnsi="Arial" w:cs="Arial"/>
        </w:rPr>
      </w:pPr>
    </w:p>
    <w:p w14:paraId="5BA222CC" w14:textId="761DD275" w:rsidR="009D4E30" w:rsidRDefault="009D4E30" w:rsidP="0071634B">
      <w:pPr>
        <w:spacing w:line="360" w:lineRule="auto"/>
        <w:ind w:left="720" w:hanging="720"/>
        <w:rPr>
          <w:rFonts w:ascii="Arial" w:hAnsi="Arial" w:cs="Arial"/>
        </w:rPr>
      </w:pPr>
    </w:p>
    <w:p w14:paraId="711FD759" w14:textId="6D95737B" w:rsidR="009D4E30" w:rsidRDefault="009D4E30" w:rsidP="0071634B">
      <w:pPr>
        <w:spacing w:line="360" w:lineRule="auto"/>
        <w:ind w:left="720" w:hanging="720"/>
        <w:rPr>
          <w:rFonts w:ascii="Arial" w:hAnsi="Arial" w:cs="Arial"/>
        </w:rPr>
      </w:pPr>
    </w:p>
    <w:p w14:paraId="197C2328" w14:textId="4A5D778B" w:rsidR="009D4E30" w:rsidRDefault="009D4E30" w:rsidP="0071634B">
      <w:pPr>
        <w:spacing w:line="360" w:lineRule="auto"/>
        <w:ind w:left="720" w:hanging="720"/>
        <w:rPr>
          <w:rFonts w:ascii="Arial" w:hAnsi="Arial" w:cs="Arial"/>
        </w:rPr>
      </w:pPr>
    </w:p>
    <w:p w14:paraId="7EBFEA4E" w14:textId="238CB83C" w:rsidR="009D4E30" w:rsidRDefault="009D4E30" w:rsidP="0071634B">
      <w:pPr>
        <w:spacing w:line="360" w:lineRule="auto"/>
        <w:ind w:left="720" w:hanging="720"/>
        <w:rPr>
          <w:rFonts w:ascii="Arial" w:hAnsi="Arial" w:cs="Arial"/>
        </w:rPr>
      </w:pPr>
    </w:p>
    <w:p w14:paraId="6884A00C" w14:textId="42FCECC9" w:rsidR="009D4E30" w:rsidRDefault="009D4E30" w:rsidP="0071634B">
      <w:pPr>
        <w:spacing w:line="360" w:lineRule="auto"/>
        <w:ind w:left="720" w:hanging="720"/>
        <w:rPr>
          <w:rFonts w:ascii="Arial" w:hAnsi="Arial" w:cs="Arial"/>
        </w:rPr>
      </w:pPr>
    </w:p>
    <w:p w14:paraId="7C14C198" w14:textId="4353D79C" w:rsidR="009D4E30" w:rsidRDefault="009D4E30" w:rsidP="0071634B">
      <w:pPr>
        <w:spacing w:line="360" w:lineRule="auto"/>
        <w:ind w:left="720" w:hanging="720"/>
        <w:rPr>
          <w:rFonts w:ascii="Arial" w:hAnsi="Arial" w:cs="Arial"/>
        </w:rPr>
      </w:pPr>
    </w:p>
    <w:p w14:paraId="02834B06" w14:textId="01E1E65F" w:rsidR="009D4E30" w:rsidRDefault="009D4E30" w:rsidP="0071634B">
      <w:pPr>
        <w:spacing w:line="360" w:lineRule="auto"/>
        <w:ind w:left="720" w:hanging="720"/>
        <w:rPr>
          <w:rFonts w:ascii="Arial" w:hAnsi="Arial" w:cs="Arial"/>
        </w:rPr>
      </w:pPr>
    </w:p>
    <w:p w14:paraId="524F7F0A" w14:textId="4EC979C5" w:rsidR="009D4E30" w:rsidRDefault="009D4E30" w:rsidP="0071634B">
      <w:pPr>
        <w:spacing w:line="360" w:lineRule="auto"/>
        <w:ind w:left="720" w:hanging="720"/>
        <w:rPr>
          <w:rFonts w:ascii="Arial" w:hAnsi="Arial" w:cs="Arial"/>
        </w:rPr>
      </w:pPr>
    </w:p>
    <w:p w14:paraId="22515648" w14:textId="2567C839" w:rsidR="009D4E30" w:rsidRDefault="009D4E30" w:rsidP="0071634B">
      <w:pPr>
        <w:spacing w:line="360" w:lineRule="auto"/>
        <w:ind w:left="720" w:hanging="720"/>
        <w:rPr>
          <w:rFonts w:ascii="Arial" w:hAnsi="Arial" w:cs="Arial"/>
        </w:rPr>
      </w:pPr>
    </w:p>
    <w:p w14:paraId="1978F1CD" w14:textId="4FE0F6B3" w:rsidR="009D4E30" w:rsidRDefault="009D4E30" w:rsidP="0071634B">
      <w:pPr>
        <w:spacing w:line="360" w:lineRule="auto"/>
        <w:ind w:left="720" w:hanging="720"/>
        <w:rPr>
          <w:rFonts w:ascii="Arial" w:hAnsi="Arial" w:cs="Arial"/>
        </w:rPr>
      </w:pPr>
    </w:p>
    <w:p w14:paraId="046517D5" w14:textId="355001F3" w:rsidR="009D4E30" w:rsidRDefault="009D4E30" w:rsidP="0071634B">
      <w:pPr>
        <w:spacing w:line="360" w:lineRule="auto"/>
        <w:ind w:left="720" w:hanging="720"/>
        <w:rPr>
          <w:rFonts w:ascii="Arial" w:hAnsi="Arial" w:cs="Arial"/>
        </w:rPr>
      </w:pPr>
    </w:p>
    <w:p w14:paraId="59678A43" w14:textId="74301503" w:rsidR="009D4E30" w:rsidRDefault="009D4E30" w:rsidP="0071634B">
      <w:pPr>
        <w:spacing w:line="360" w:lineRule="auto"/>
        <w:ind w:left="720" w:hanging="720"/>
        <w:rPr>
          <w:rFonts w:ascii="Arial" w:hAnsi="Arial" w:cs="Arial"/>
        </w:rPr>
      </w:pPr>
    </w:p>
    <w:p w14:paraId="7DA72D01" w14:textId="77777777" w:rsidR="009D4E30" w:rsidRDefault="009D4E30" w:rsidP="009D4E30">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A43DA54" wp14:editId="781BB801">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Pr>
          <w:rFonts w:ascii="Arial" w:hAnsi="Arial" w:cs="Arial"/>
          <w:b/>
          <w:bCs/>
        </w:rPr>
        <w:t xml:space="preserve"> A</w:t>
      </w:r>
    </w:p>
    <w:p w14:paraId="11767993" w14:textId="77777777" w:rsidR="009D4E30" w:rsidRPr="00EE188E" w:rsidRDefault="009D4E30" w:rsidP="009D4E30">
      <w:pPr>
        <w:spacing w:line="480" w:lineRule="auto"/>
        <w:ind w:left="720" w:hanging="720"/>
        <w:jc w:val="center"/>
        <w:rPr>
          <w:rFonts w:ascii="Arial" w:hAnsi="Arial" w:cs="Arial"/>
          <w:b/>
          <w:bCs/>
        </w:rPr>
      </w:pPr>
    </w:p>
    <w:p w14:paraId="0922B9C6" w14:textId="77777777" w:rsidR="009D4E30" w:rsidRDefault="009D4E30" w:rsidP="009D4E30">
      <w:pPr>
        <w:spacing w:line="480" w:lineRule="auto"/>
        <w:ind w:left="720" w:hanging="720"/>
        <w:rPr>
          <w:rFonts w:ascii="Arial" w:hAnsi="Arial" w:cs="Arial"/>
        </w:rPr>
      </w:pPr>
    </w:p>
    <w:p w14:paraId="143D8B58" w14:textId="77777777" w:rsidR="009D4E30" w:rsidRDefault="009D4E30" w:rsidP="009D4E30">
      <w:pPr>
        <w:spacing w:line="480" w:lineRule="auto"/>
        <w:ind w:left="720" w:hanging="720"/>
        <w:rPr>
          <w:rFonts w:ascii="Arial" w:hAnsi="Arial" w:cs="Arial"/>
        </w:rPr>
      </w:pPr>
    </w:p>
    <w:p w14:paraId="18175B1B" w14:textId="77777777" w:rsidR="009D4E30" w:rsidRDefault="009D4E30" w:rsidP="009D4E30">
      <w:pPr>
        <w:spacing w:line="480" w:lineRule="auto"/>
        <w:ind w:left="720" w:hanging="720"/>
        <w:rPr>
          <w:rFonts w:ascii="Arial" w:hAnsi="Arial" w:cs="Arial"/>
        </w:rPr>
      </w:pPr>
    </w:p>
    <w:p w14:paraId="530ECDC2" w14:textId="77777777" w:rsidR="009D4E30" w:rsidRDefault="009D4E30" w:rsidP="009D4E30">
      <w:pPr>
        <w:spacing w:line="480" w:lineRule="auto"/>
        <w:ind w:left="720" w:hanging="720"/>
        <w:rPr>
          <w:rFonts w:ascii="Arial" w:hAnsi="Arial" w:cs="Arial"/>
        </w:rPr>
      </w:pPr>
    </w:p>
    <w:p w14:paraId="79F87918" w14:textId="77777777" w:rsidR="009D4E30" w:rsidRDefault="009D4E30" w:rsidP="009D4E30">
      <w:pPr>
        <w:spacing w:line="480" w:lineRule="auto"/>
        <w:ind w:left="720" w:hanging="720"/>
        <w:rPr>
          <w:rFonts w:ascii="Arial" w:hAnsi="Arial" w:cs="Arial"/>
        </w:rPr>
      </w:pPr>
    </w:p>
    <w:p w14:paraId="4C4A83F5" w14:textId="77777777" w:rsidR="009D4E30" w:rsidRDefault="009D4E30" w:rsidP="009D4E30">
      <w:pPr>
        <w:spacing w:line="480" w:lineRule="auto"/>
        <w:ind w:left="720" w:hanging="720"/>
        <w:rPr>
          <w:rFonts w:ascii="Arial" w:hAnsi="Arial" w:cs="Arial"/>
        </w:rPr>
      </w:pPr>
    </w:p>
    <w:p w14:paraId="61B519C1" w14:textId="77777777" w:rsidR="009D4E30" w:rsidRDefault="009D4E30" w:rsidP="009D4E30">
      <w:pPr>
        <w:spacing w:line="480" w:lineRule="auto"/>
        <w:ind w:left="720" w:hanging="720"/>
        <w:rPr>
          <w:rFonts w:ascii="Arial" w:hAnsi="Arial" w:cs="Arial"/>
        </w:rPr>
      </w:pPr>
    </w:p>
    <w:p w14:paraId="7BA9F373" w14:textId="77777777" w:rsidR="009D4E30" w:rsidRDefault="009D4E30" w:rsidP="009D4E30">
      <w:pPr>
        <w:spacing w:line="480" w:lineRule="auto"/>
        <w:ind w:left="720" w:hanging="720"/>
        <w:rPr>
          <w:rFonts w:ascii="Arial" w:hAnsi="Arial" w:cs="Arial"/>
        </w:rPr>
      </w:pPr>
    </w:p>
    <w:p w14:paraId="41ED8A06" w14:textId="77777777" w:rsidR="009D4E30" w:rsidRDefault="009D4E30" w:rsidP="009D4E30">
      <w:pPr>
        <w:spacing w:line="480" w:lineRule="auto"/>
        <w:ind w:left="720" w:hanging="720"/>
        <w:rPr>
          <w:rFonts w:ascii="Arial" w:hAnsi="Arial" w:cs="Arial"/>
        </w:rPr>
      </w:pPr>
    </w:p>
    <w:p w14:paraId="50D4DCC6"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126748B"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5A6F095B" wp14:editId="70C6BFCC">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0B51BF75" w14:textId="77777777" w:rsidR="009D4E30" w:rsidRDefault="009D4E30" w:rsidP="009D4E30">
      <w:pPr>
        <w:spacing w:line="480" w:lineRule="auto"/>
        <w:ind w:left="720" w:hanging="720"/>
        <w:jc w:val="center"/>
        <w:rPr>
          <w:rFonts w:ascii="Arial" w:hAnsi="Arial" w:cs="Arial"/>
          <w:i/>
          <w:iCs/>
        </w:rPr>
      </w:pPr>
    </w:p>
    <w:p w14:paraId="5A2A9F81" w14:textId="77777777" w:rsidR="009D4E30" w:rsidRDefault="009D4E30" w:rsidP="009D4E30">
      <w:pPr>
        <w:spacing w:line="480" w:lineRule="auto"/>
        <w:ind w:left="720" w:hanging="720"/>
        <w:jc w:val="center"/>
        <w:rPr>
          <w:rFonts w:ascii="Arial" w:hAnsi="Arial" w:cs="Arial"/>
          <w:i/>
          <w:iCs/>
        </w:rPr>
      </w:pPr>
    </w:p>
    <w:p w14:paraId="3035F3F4" w14:textId="77777777" w:rsidR="009D4E30" w:rsidRDefault="009D4E30" w:rsidP="009D4E30">
      <w:pPr>
        <w:spacing w:line="480" w:lineRule="auto"/>
        <w:ind w:left="720" w:hanging="720"/>
        <w:jc w:val="center"/>
        <w:rPr>
          <w:rFonts w:ascii="Arial" w:hAnsi="Arial" w:cs="Arial"/>
          <w:i/>
          <w:iCs/>
        </w:rPr>
      </w:pPr>
    </w:p>
    <w:p w14:paraId="20DC942F" w14:textId="77777777" w:rsidR="009D4E30" w:rsidRDefault="009D4E30" w:rsidP="009D4E30">
      <w:pPr>
        <w:spacing w:line="480" w:lineRule="auto"/>
        <w:ind w:left="720" w:hanging="720"/>
        <w:jc w:val="center"/>
        <w:rPr>
          <w:rFonts w:ascii="Arial" w:hAnsi="Arial" w:cs="Arial"/>
          <w:i/>
          <w:iCs/>
        </w:rPr>
      </w:pPr>
    </w:p>
    <w:p w14:paraId="492D9FEC" w14:textId="77777777" w:rsidR="009D4E30" w:rsidRDefault="009D4E30" w:rsidP="009D4E30">
      <w:pPr>
        <w:spacing w:line="480" w:lineRule="auto"/>
        <w:rPr>
          <w:rFonts w:ascii="Arial" w:hAnsi="Arial" w:cs="Arial"/>
          <w:i/>
          <w:iCs/>
        </w:rPr>
      </w:pPr>
    </w:p>
    <w:p w14:paraId="765CFA32" w14:textId="77777777" w:rsidR="009D4E30" w:rsidRDefault="009D4E30" w:rsidP="009D4E30">
      <w:pPr>
        <w:spacing w:line="480" w:lineRule="auto"/>
        <w:rPr>
          <w:rFonts w:ascii="Arial" w:hAnsi="Arial" w:cs="Arial"/>
          <w:i/>
          <w:iCs/>
        </w:rPr>
      </w:pPr>
    </w:p>
    <w:p w14:paraId="67F74BB8"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1520BFEB" w14:textId="77777777" w:rsidR="009D4E30" w:rsidRDefault="009D4E30" w:rsidP="009D4E30">
      <w:pPr>
        <w:spacing w:line="480" w:lineRule="auto"/>
        <w:rPr>
          <w:rFonts w:ascii="Arial" w:hAnsi="Arial" w:cs="Arial"/>
          <w:i/>
          <w:iCs/>
        </w:rPr>
      </w:pPr>
    </w:p>
    <w:p w14:paraId="246F4755"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lastRenderedPageBreak/>
        <w:drawing>
          <wp:anchor distT="0" distB="0" distL="114300" distR="114300" simplePos="0" relativeHeight="251662336" behindDoc="0" locked="0" layoutInCell="1" allowOverlap="1" wp14:anchorId="13B8E9DA" wp14:editId="37F003AC">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5C103AC1" w14:textId="77777777" w:rsidR="009D4E30" w:rsidRDefault="009D4E30" w:rsidP="009D4E30">
      <w:pPr>
        <w:spacing w:line="480" w:lineRule="auto"/>
        <w:ind w:left="720" w:hanging="720"/>
        <w:jc w:val="center"/>
        <w:rPr>
          <w:rFonts w:ascii="Arial" w:hAnsi="Arial" w:cs="Arial"/>
          <w:i/>
          <w:iCs/>
        </w:rPr>
      </w:pPr>
    </w:p>
    <w:p w14:paraId="75AAE4C3" w14:textId="77777777" w:rsidR="009D4E30" w:rsidRDefault="009D4E30" w:rsidP="009D4E30">
      <w:pPr>
        <w:spacing w:line="480" w:lineRule="auto"/>
        <w:ind w:left="720" w:hanging="720"/>
        <w:jc w:val="center"/>
        <w:rPr>
          <w:rFonts w:ascii="Arial" w:hAnsi="Arial" w:cs="Arial"/>
          <w:i/>
          <w:iCs/>
        </w:rPr>
      </w:pPr>
    </w:p>
    <w:p w14:paraId="38170733" w14:textId="77777777" w:rsidR="009D4E30" w:rsidRDefault="009D4E30" w:rsidP="009D4E30">
      <w:pPr>
        <w:spacing w:line="480" w:lineRule="auto"/>
        <w:ind w:left="720" w:hanging="720"/>
        <w:jc w:val="center"/>
        <w:rPr>
          <w:rFonts w:ascii="Arial" w:hAnsi="Arial" w:cs="Arial"/>
          <w:i/>
          <w:iCs/>
        </w:rPr>
      </w:pPr>
    </w:p>
    <w:p w14:paraId="667BFAD4" w14:textId="77777777" w:rsidR="009D4E30" w:rsidRDefault="009D4E30" w:rsidP="009D4E30">
      <w:pPr>
        <w:spacing w:line="480" w:lineRule="auto"/>
        <w:ind w:left="720" w:hanging="720"/>
        <w:jc w:val="center"/>
        <w:rPr>
          <w:rFonts w:ascii="Arial" w:hAnsi="Arial" w:cs="Arial"/>
          <w:i/>
          <w:iCs/>
        </w:rPr>
      </w:pPr>
    </w:p>
    <w:p w14:paraId="3D5285E9" w14:textId="77777777" w:rsidR="009D4E30" w:rsidRDefault="009D4E30" w:rsidP="009D4E30">
      <w:pPr>
        <w:spacing w:line="480" w:lineRule="auto"/>
        <w:rPr>
          <w:rFonts w:ascii="Arial" w:hAnsi="Arial" w:cs="Arial"/>
          <w:i/>
          <w:iCs/>
        </w:rPr>
      </w:pPr>
    </w:p>
    <w:p w14:paraId="21E80EE4" w14:textId="77777777" w:rsidR="009D4E30" w:rsidRDefault="009D4E30" w:rsidP="009D4E30">
      <w:pPr>
        <w:spacing w:line="480" w:lineRule="auto"/>
        <w:ind w:left="720" w:hanging="720"/>
        <w:jc w:val="center"/>
        <w:rPr>
          <w:rFonts w:ascii="Arial" w:hAnsi="Arial" w:cs="Arial"/>
          <w:i/>
          <w:iCs/>
        </w:rPr>
      </w:pPr>
    </w:p>
    <w:p w14:paraId="5E901319" w14:textId="77777777" w:rsidR="009D4E30" w:rsidRDefault="009D4E30" w:rsidP="009D4E30">
      <w:pPr>
        <w:spacing w:line="480" w:lineRule="auto"/>
        <w:ind w:left="720" w:hanging="720"/>
        <w:jc w:val="center"/>
        <w:rPr>
          <w:rFonts w:ascii="Arial" w:hAnsi="Arial" w:cs="Arial"/>
          <w:i/>
          <w:iCs/>
        </w:rPr>
      </w:pPr>
    </w:p>
    <w:p w14:paraId="583990DB" w14:textId="77777777" w:rsidR="009D4E30" w:rsidRDefault="009D4E30" w:rsidP="009D4E30">
      <w:pPr>
        <w:spacing w:line="480" w:lineRule="auto"/>
        <w:ind w:left="720" w:hanging="720"/>
        <w:jc w:val="center"/>
        <w:rPr>
          <w:rFonts w:ascii="Arial" w:hAnsi="Arial" w:cs="Arial"/>
          <w:i/>
          <w:iCs/>
        </w:rPr>
      </w:pPr>
    </w:p>
    <w:p w14:paraId="3376F52E" w14:textId="77777777" w:rsidR="009D4E30" w:rsidRDefault="009D4E30" w:rsidP="009D4E30">
      <w:pPr>
        <w:spacing w:line="480" w:lineRule="auto"/>
        <w:ind w:left="720" w:hanging="720"/>
        <w:jc w:val="center"/>
        <w:rPr>
          <w:rFonts w:ascii="Arial" w:hAnsi="Arial" w:cs="Arial"/>
          <w:i/>
          <w:iCs/>
        </w:rPr>
      </w:pPr>
    </w:p>
    <w:p w14:paraId="75A8B475"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641FE908"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0DC9AF29" wp14:editId="0D516AED">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73BD3EA" w14:textId="77777777" w:rsidR="009D4E30" w:rsidRDefault="009D4E30" w:rsidP="009D4E30">
      <w:pPr>
        <w:spacing w:line="480" w:lineRule="auto"/>
        <w:ind w:left="720" w:hanging="720"/>
        <w:jc w:val="center"/>
        <w:rPr>
          <w:rFonts w:ascii="Arial" w:hAnsi="Arial" w:cs="Arial"/>
          <w:i/>
          <w:iCs/>
        </w:rPr>
      </w:pPr>
    </w:p>
    <w:p w14:paraId="0D3D8317" w14:textId="77777777" w:rsidR="009D4E30" w:rsidRDefault="009D4E30" w:rsidP="009D4E30">
      <w:pPr>
        <w:spacing w:line="480" w:lineRule="auto"/>
        <w:ind w:left="720" w:hanging="720"/>
        <w:jc w:val="center"/>
        <w:rPr>
          <w:rFonts w:ascii="Arial" w:hAnsi="Arial" w:cs="Arial"/>
          <w:i/>
          <w:iCs/>
        </w:rPr>
      </w:pPr>
    </w:p>
    <w:p w14:paraId="0BDABCFC" w14:textId="77777777" w:rsidR="009D4E30" w:rsidRPr="005C4EF6" w:rsidRDefault="009D4E30" w:rsidP="009D4E30">
      <w:pPr>
        <w:spacing w:line="480" w:lineRule="auto"/>
        <w:ind w:left="720" w:hanging="720"/>
        <w:jc w:val="center"/>
        <w:rPr>
          <w:rFonts w:ascii="Arial" w:hAnsi="Arial" w:cs="Arial"/>
          <w:i/>
          <w:iCs/>
        </w:rPr>
      </w:pPr>
    </w:p>
    <w:p w14:paraId="6190C8CA" w14:textId="77777777" w:rsidR="009D4E30" w:rsidRDefault="009D4E30" w:rsidP="009D4E30">
      <w:pPr>
        <w:spacing w:line="480" w:lineRule="auto"/>
        <w:ind w:left="720" w:hanging="720"/>
        <w:jc w:val="center"/>
        <w:rPr>
          <w:rFonts w:ascii="Arial" w:hAnsi="Arial" w:cs="Arial"/>
          <w:b/>
          <w:bCs/>
        </w:rPr>
      </w:pPr>
    </w:p>
    <w:p w14:paraId="0A73E4E6" w14:textId="77777777" w:rsidR="009D4E30" w:rsidRDefault="009D4E30" w:rsidP="009D4E30">
      <w:pPr>
        <w:spacing w:line="480" w:lineRule="auto"/>
        <w:rPr>
          <w:rFonts w:ascii="Arial" w:hAnsi="Arial" w:cs="Arial"/>
          <w:b/>
          <w:bCs/>
        </w:rPr>
      </w:pPr>
    </w:p>
    <w:p w14:paraId="1B20F42B" w14:textId="77777777" w:rsidR="009D4E30" w:rsidRPr="009D48ED" w:rsidRDefault="009D4E30" w:rsidP="009D4E30">
      <w:pPr>
        <w:spacing w:line="480" w:lineRule="auto"/>
        <w:ind w:left="720" w:hanging="720"/>
        <w:jc w:val="center"/>
        <w:rPr>
          <w:rFonts w:ascii="Arial" w:hAnsi="Arial" w:cs="Arial"/>
        </w:rPr>
      </w:pPr>
      <w:r w:rsidRPr="00EE188E">
        <w:rPr>
          <w:rFonts w:ascii="Arial" w:hAnsi="Arial" w:cs="Arial"/>
          <w:b/>
          <w:bCs/>
        </w:rPr>
        <w:t xml:space="preserve">Figure </w:t>
      </w:r>
      <w:r>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73A30AC6" w14:textId="50E14357" w:rsidR="009D4E30" w:rsidRDefault="009D4E30" w:rsidP="0071634B">
      <w:pPr>
        <w:spacing w:line="360" w:lineRule="auto"/>
        <w:ind w:left="720" w:hanging="720"/>
        <w:rPr>
          <w:rFonts w:ascii="Arial" w:hAnsi="Arial" w:cs="Arial"/>
        </w:rPr>
      </w:pPr>
    </w:p>
    <w:p w14:paraId="6CE152B8" w14:textId="1B2F4F30" w:rsidR="009D4E30" w:rsidRDefault="009D4E30" w:rsidP="0071634B">
      <w:pPr>
        <w:spacing w:line="360" w:lineRule="auto"/>
        <w:ind w:left="720" w:hanging="720"/>
        <w:rPr>
          <w:rFonts w:ascii="Arial" w:hAnsi="Arial" w:cs="Arial"/>
        </w:rPr>
      </w:pPr>
    </w:p>
    <w:p w14:paraId="00FD9F1C" w14:textId="1CCDB144" w:rsidR="009D4E30" w:rsidRDefault="009D4E30" w:rsidP="0071634B">
      <w:pPr>
        <w:spacing w:line="360" w:lineRule="auto"/>
        <w:ind w:left="720" w:hanging="720"/>
        <w:rPr>
          <w:rFonts w:ascii="Arial" w:hAnsi="Arial" w:cs="Arial"/>
        </w:rPr>
      </w:pPr>
    </w:p>
    <w:p w14:paraId="17001212" w14:textId="77777777" w:rsidR="0070395E" w:rsidRPr="00902260" w:rsidRDefault="0070395E" w:rsidP="0070395E">
      <w:pPr>
        <w:rPr>
          <w:rFonts w:cstheme="minorHAnsi"/>
        </w:rPr>
      </w:pPr>
    </w:p>
    <w:sectPr w:rsidR="0070395E" w:rsidRPr="00902260"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EA6D" w14:textId="77777777" w:rsidR="006D0DD4" w:rsidRDefault="006D0DD4" w:rsidP="002A42E7">
      <w:pPr>
        <w:spacing w:after="0" w:line="240" w:lineRule="auto"/>
      </w:pPr>
      <w:r>
        <w:separator/>
      </w:r>
    </w:p>
  </w:endnote>
  <w:endnote w:type="continuationSeparator" w:id="0">
    <w:p w14:paraId="1B0D55C6" w14:textId="77777777" w:rsidR="006D0DD4" w:rsidRDefault="006D0DD4"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1EC3" w14:textId="77777777" w:rsidR="006D0DD4" w:rsidRDefault="006D0DD4" w:rsidP="002A42E7">
      <w:pPr>
        <w:spacing w:after="0" w:line="240" w:lineRule="auto"/>
      </w:pPr>
      <w:r>
        <w:separator/>
      </w:r>
    </w:p>
  </w:footnote>
  <w:footnote w:type="continuationSeparator" w:id="0">
    <w:p w14:paraId="2155E620" w14:textId="77777777" w:rsidR="006D0DD4" w:rsidRDefault="006D0DD4"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Pr="00BC1426" w:rsidRDefault="000F6E6F" w:rsidP="002A42E7">
    <w:pPr>
      <w:pStyle w:val="Header"/>
      <w:ind w:right="360"/>
      <w:rPr>
        <w:rFonts w:ascii="Arial" w:hAnsi="Arial" w:cs="Arial"/>
      </w:rPr>
    </w:pPr>
    <w:r w:rsidRPr="00BC1426">
      <w:rPr>
        <w:rFonts w:ascii="Arial" w:hAnsi="Arial" w:cs="Arial"/>
      </w:rPr>
      <w:t xml:space="preserve">Johnathan Yap Wen </w:t>
    </w:r>
    <w:proofErr w:type="spellStart"/>
    <w:r w:rsidRPr="00BC1426">
      <w:rPr>
        <w:rFonts w:ascii="Arial" w:hAnsi="Arial" w:cs="Arial"/>
      </w:rPr>
      <w:t>Jie</w:t>
    </w:r>
    <w:proofErr w:type="spellEnd"/>
    <w:r w:rsidRPr="00BC1426">
      <w:rPr>
        <w:rFonts w:ascii="Arial" w:hAnsi="Arial" w:cs="Arial"/>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321BF"/>
    <w:rsid w:val="00095CD7"/>
    <w:rsid w:val="00097D00"/>
    <w:rsid w:val="000A6C7D"/>
    <w:rsid w:val="000C6EED"/>
    <w:rsid w:val="000F6E6F"/>
    <w:rsid w:val="0015487C"/>
    <w:rsid w:val="00221905"/>
    <w:rsid w:val="002244C9"/>
    <w:rsid w:val="00244BFA"/>
    <w:rsid w:val="00262043"/>
    <w:rsid w:val="002A42E7"/>
    <w:rsid w:val="004057A7"/>
    <w:rsid w:val="00453A32"/>
    <w:rsid w:val="00473B92"/>
    <w:rsid w:val="004B10D0"/>
    <w:rsid w:val="0054564F"/>
    <w:rsid w:val="0054609E"/>
    <w:rsid w:val="005A069F"/>
    <w:rsid w:val="005A5EE2"/>
    <w:rsid w:val="005F48A1"/>
    <w:rsid w:val="005F6994"/>
    <w:rsid w:val="00646B70"/>
    <w:rsid w:val="006B214D"/>
    <w:rsid w:val="006D0DD4"/>
    <w:rsid w:val="006F470D"/>
    <w:rsid w:val="0070395E"/>
    <w:rsid w:val="0071634B"/>
    <w:rsid w:val="007460BF"/>
    <w:rsid w:val="0078444F"/>
    <w:rsid w:val="007A7EB0"/>
    <w:rsid w:val="00803AA6"/>
    <w:rsid w:val="00806435"/>
    <w:rsid w:val="008230A8"/>
    <w:rsid w:val="00847350"/>
    <w:rsid w:val="008C76D1"/>
    <w:rsid w:val="008D4DF1"/>
    <w:rsid w:val="00902260"/>
    <w:rsid w:val="009D4E30"/>
    <w:rsid w:val="00A14AC2"/>
    <w:rsid w:val="00A67899"/>
    <w:rsid w:val="00AE2C40"/>
    <w:rsid w:val="00BA2EE0"/>
    <w:rsid w:val="00BC1426"/>
    <w:rsid w:val="00BD1537"/>
    <w:rsid w:val="00BD2684"/>
    <w:rsid w:val="00BD6B26"/>
    <w:rsid w:val="00C43CB7"/>
    <w:rsid w:val="00CB1B03"/>
    <w:rsid w:val="00D73C30"/>
    <w:rsid w:val="00DA525F"/>
    <w:rsid w:val="00DF48D5"/>
    <w:rsid w:val="00E2400E"/>
    <w:rsid w:val="00E45615"/>
    <w:rsid w:val="00E465C7"/>
    <w:rsid w:val="00E64716"/>
    <w:rsid w:val="00E77CB0"/>
    <w:rsid w:val="00E80A85"/>
    <w:rsid w:val="00F607B9"/>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43</cp:revision>
  <dcterms:created xsi:type="dcterms:W3CDTF">2022-10-20T03:42:00Z</dcterms:created>
  <dcterms:modified xsi:type="dcterms:W3CDTF">2022-10-22T06:29:00Z</dcterms:modified>
</cp:coreProperties>
</file>