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5D386C4F" w14:textId="681244BB" w:rsidR="00FF4988"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97264194" w:history="1">
            <w:r w:rsidR="00FF4988" w:rsidRPr="00FB3EC4">
              <w:rPr>
                <w:rStyle w:val="Hyperlink"/>
                <w:noProof/>
              </w:rPr>
              <w:t>Pre-Processing</w:t>
            </w:r>
            <w:r w:rsidR="00FF4988">
              <w:rPr>
                <w:noProof/>
                <w:webHidden/>
              </w:rPr>
              <w:tab/>
            </w:r>
            <w:r w:rsidR="00FF4988">
              <w:rPr>
                <w:noProof/>
                <w:webHidden/>
              </w:rPr>
              <w:fldChar w:fldCharType="begin"/>
            </w:r>
            <w:r w:rsidR="00FF4988">
              <w:rPr>
                <w:noProof/>
                <w:webHidden/>
              </w:rPr>
              <w:instrText xml:space="preserve"> PAGEREF _Toc197264194 \h </w:instrText>
            </w:r>
            <w:r w:rsidR="00FF4988">
              <w:rPr>
                <w:noProof/>
                <w:webHidden/>
              </w:rPr>
            </w:r>
            <w:r w:rsidR="00FF4988">
              <w:rPr>
                <w:noProof/>
                <w:webHidden/>
              </w:rPr>
              <w:fldChar w:fldCharType="separate"/>
            </w:r>
            <w:r w:rsidR="00FF4988">
              <w:rPr>
                <w:noProof/>
                <w:webHidden/>
              </w:rPr>
              <w:t>2</w:t>
            </w:r>
            <w:r w:rsidR="00FF4988">
              <w:rPr>
                <w:noProof/>
                <w:webHidden/>
              </w:rPr>
              <w:fldChar w:fldCharType="end"/>
            </w:r>
          </w:hyperlink>
        </w:p>
        <w:p w14:paraId="58A00A6F" w14:textId="392C2D83" w:rsidR="00FF4988" w:rsidRDefault="00FF4988">
          <w:pPr>
            <w:pStyle w:val="TOC2"/>
            <w:tabs>
              <w:tab w:val="right" w:leader="dot" w:pos="9010"/>
            </w:tabs>
            <w:rPr>
              <w:b w:val="0"/>
              <w:bCs w:val="0"/>
              <w:noProof/>
              <w:sz w:val="24"/>
              <w:szCs w:val="24"/>
            </w:rPr>
          </w:pPr>
          <w:hyperlink w:anchor="_Toc197264195" w:history="1">
            <w:r w:rsidRPr="00FB3EC4">
              <w:rPr>
                <w:rStyle w:val="Hyperlink"/>
                <w:noProof/>
              </w:rPr>
              <w:t>By Jayson</w:t>
            </w:r>
            <w:r>
              <w:rPr>
                <w:noProof/>
                <w:webHidden/>
              </w:rPr>
              <w:tab/>
            </w:r>
            <w:r>
              <w:rPr>
                <w:noProof/>
                <w:webHidden/>
              </w:rPr>
              <w:fldChar w:fldCharType="begin"/>
            </w:r>
            <w:r>
              <w:rPr>
                <w:noProof/>
                <w:webHidden/>
              </w:rPr>
              <w:instrText xml:space="preserve"> PAGEREF _Toc197264195 \h </w:instrText>
            </w:r>
            <w:r>
              <w:rPr>
                <w:noProof/>
                <w:webHidden/>
              </w:rPr>
            </w:r>
            <w:r>
              <w:rPr>
                <w:noProof/>
                <w:webHidden/>
              </w:rPr>
              <w:fldChar w:fldCharType="separate"/>
            </w:r>
            <w:r>
              <w:rPr>
                <w:noProof/>
                <w:webHidden/>
              </w:rPr>
              <w:t>2</w:t>
            </w:r>
            <w:r>
              <w:rPr>
                <w:noProof/>
                <w:webHidden/>
              </w:rPr>
              <w:fldChar w:fldCharType="end"/>
            </w:r>
          </w:hyperlink>
        </w:p>
        <w:p w14:paraId="0EBD2835" w14:textId="5341C535" w:rsidR="00FF4988" w:rsidRDefault="00FF4988">
          <w:pPr>
            <w:pStyle w:val="TOC1"/>
            <w:tabs>
              <w:tab w:val="right" w:leader="dot" w:pos="9010"/>
            </w:tabs>
            <w:rPr>
              <w:b w:val="0"/>
              <w:bCs w:val="0"/>
              <w:i w:val="0"/>
              <w:iCs w:val="0"/>
              <w:noProof/>
            </w:rPr>
          </w:pPr>
          <w:hyperlink w:anchor="_Toc197264196" w:history="1">
            <w:r w:rsidRPr="00FB3EC4">
              <w:rPr>
                <w:rStyle w:val="Hyperlink"/>
                <w:noProof/>
              </w:rPr>
              <w:t>Parcellation</w:t>
            </w:r>
            <w:r>
              <w:rPr>
                <w:noProof/>
                <w:webHidden/>
              </w:rPr>
              <w:tab/>
            </w:r>
            <w:r>
              <w:rPr>
                <w:noProof/>
                <w:webHidden/>
              </w:rPr>
              <w:fldChar w:fldCharType="begin"/>
            </w:r>
            <w:r>
              <w:rPr>
                <w:noProof/>
                <w:webHidden/>
              </w:rPr>
              <w:instrText xml:space="preserve"> PAGEREF _Toc197264196 \h </w:instrText>
            </w:r>
            <w:r>
              <w:rPr>
                <w:noProof/>
                <w:webHidden/>
              </w:rPr>
            </w:r>
            <w:r>
              <w:rPr>
                <w:noProof/>
                <w:webHidden/>
              </w:rPr>
              <w:fldChar w:fldCharType="separate"/>
            </w:r>
            <w:r>
              <w:rPr>
                <w:noProof/>
                <w:webHidden/>
              </w:rPr>
              <w:t>4</w:t>
            </w:r>
            <w:r>
              <w:rPr>
                <w:noProof/>
                <w:webHidden/>
              </w:rPr>
              <w:fldChar w:fldCharType="end"/>
            </w:r>
          </w:hyperlink>
        </w:p>
        <w:p w14:paraId="09BC319B" w14:textId="646EB566" w:rsidR="00FF4988" w:rsidRDefault="00FF4988">
          <w:pPr>
            <w:pStyle w:val="TOC1"/>
            <w:tabs>
              <w:tab w:val="right" w:leader="dot" w:pos="9010"/>
            </w:tabs>
            <w:rPr>
              <w:b w:val="0"/>
              <w:bCs w:val="0"/>
              <w:i w:val="0"/>
              <w:iCs w:val="0"/>
              <w:noProof/>
            </w:rPr>
          </w:pPr>
          <w:hyperlink w:anchor="_Toc197264197" w:history="1">
            <w:r w:rsidRPr="00FB3EC4">
              <w:rPr>
                <w:rStyle w:val="Hyperlink"/>
                <w:noProof/>
              </w:rPr>
              <w:t>HMM Mar</w:t>
            </w:r>
            <w:r>
              <w:rPr>
                <w:noProof/>
                <w:webHidden/>
              </w:rPr>
              <w:tab/>
            </w:r>
            <w:r>
              <w:rPr>
                <w:noProof/>
                <w:webHidden/>
              </w:rPr>
              <w:fldChar w:fldCharType="begin"/>
            </w:r>
            <w:r>
              <w:rPr>
                <w:noProof/>
                <w:webHidden/>
              </w:rPr>
              <w:instrText xml:space="preserve"> PAGEREF _Toc197264197 \h </w:instrText>
            </w:r>
            <w:r>
              <w:rPr>
                <w:noProof/>
                <w:webHidden/>
              </w:rPr>
            </w:r>
            <w:r>
              <w:rPr>
                <w:noProof/>
                <w:webHidden/>
              </w:rPr>
              <w:fldChar w:fldCharType="separate"/>
            </w:r>
            <w:r>
              <w:rPr>
                <w:noProof/>
                <w:webHidden/>
              </w:rPr>
              <w:t>5</w:t>
            </w:r>
            <w:r>
              <w:rPr>
                <w:noProof/>
                <w:webHidden/>
              </w:rPr>
              <w:fldChar w:fldCharType="end"/>
            </w:r>
          </w:hyperlink>
        </w:p>
        <w:p w14:paraId="13C7AB34" w14:textId="010387FF" w:rsidR="00FF4988" w:rsidRDefault="00FF4988">
          <w:pPr>
            <w:pStyle w:val="TOC2"/>
            <w:tabs>
              <w:tab w:val="right" w:leader="dot" w:pos="9010"/>
            </w:tabs>
            <w:rPr>
              <w:b w:val="0"/>
              <w:bCs w:val="0"/>
              <w:noProof/>
              <w:sz w:val="24"/>
              <w:szCs w:val="24"/>
            </w:rPr>
          </w:pPr>
          <w:hyperlink w:anchor="_Toc197264198" w:history="1">
            <w:r w:rsidRPr="00FB3EC4">
              <w:rPr>
                <w:rStyle w:val="Hyperlink"/>
                <w:noProof/>
              </w:rPr>
              <w:t>FormatHmmmarInputs</w:t>
            </w:r>
            <w:r>
              <w:rPr>
                <w:noProof/>
                <w:webHidden/>
              </w:rPr>
              <w:tab/>
            </w:r>
            <w:r>
              <w:rPr>
                <w:noProof/>
                <w:webHidden/>
              </w:rPr>
              <w:fldChar w:fldCharType="begin"/>
            </w:r>
            <w:r>
              <w:rPr>
                <w:noProof/>
                <w:webHidden/>
              </w:rPr>
              <w:instrText xml:space="preserve"> PAGEREF _Toc197264198 \h </w:instrText>
            </w:r>
            <w:r>
              <w:rPr>
                <w:noProof/>
                <w:webHidden/>
              </w:rPr>
            </w:r>
            <w:r>
              <w:rPr>
                <w:noProof/>
                <w:webHidden/>
              </w:rPr>
              <w:fldChar w:fldCharType="separate"/>
            </w:r>
            <w:r>
              <w:rPr>
                <w:noProof/>
                <w:webHidden/>
              </w:rPr>
              <w:t>5</w:t>
            </w:r>
            <w:r>
              <w:rPr>
                <w:noProof/>
                <w:webHidden/>
              </w:rPr>
              <w:fldChar w:fldCharType="end"/>
            </w:r>
          </w:hyperlink>
        </w:p>
        <w:p w14:paraId="6DFF9D97" w14:textId="15E478C6" w:rsidR="00FF4988" w:rsidRDefault="00FF4988">
          <w:pPr>
            <w:pStyle w:val="TOC2"/>
            <w:tabs>
              <w:tab w:val="right" w:leader="dot" w:pos="9010"/>
            </w:tabs>
            <w:rPr>
              <w:b w:val="0"/>
              <w:bCs w:val="0"/>
              <w:noProof/>
              <w:sz w:val="24"/>
              <w:szCs w:val="24"/>
            </w:rPr>
          </w:pPr>
          <w:hyperlink w:anchor="_Toc197264199" w:history="1">
            <w:r w:rsidRPr="00FB3EC4">
              <w:rPr>
                <w:rStyle w:val="Hyperlink"/>
                <w:noProof/>
              </w:rPr>
              <w:t>AnalyseResults</w:t>
            </w:r>
            <w:r>
              <w:rPr>
                <w:noProof/>
                <w:webHidden/>
              </w:rPr>
              <w:tab/>
            </w:r>
            <w:r>
              <w:rPr>
                <w:noProof/>
                <w:webHidden/>
              </w:rPr>
              <w:fldChar w:fldCharType="begin"/>
            </w:r>
            <w:r>
              <w:rPr>
                <w:noProof/>
                <w:webHidden/>
              </w:rPr>
              <w:instrText xml:space="preserve"> PAGEREF _Toc197264199 \h </w:instrText>
            </w:r>
            <w:r>
              <w:rPr>
                <w:noProof/>
                <w:webHidden/>
              </w:rPr>
            </w:r>
            <w:r>
              <w:rPr>
                <w:noProof/>
                <w:webHidden/>
              </w:rPr>
              <w:fldChar w:fldCharType="separate"/>
            </w:r>
            <w:r>
              <w:rPr>
                <w:noProof/>
                <w:webHidden/>
              </w:rPr>
              <w:t>6</w:t>
            </w:r>
            <w:r>
              <w:rPr>
                <w:noProof/>
                <w:webHidden/>
              </w:rPr>
              <w:fldChar w:fldCharType="end"/>
            </w:r>
          </w:hyperlink>
        </w:p>
        <w:p w14:paraId="7E69FB72" w14:textId="024D9070" w:rsidR="0026207D" w:rsidRDefault="0026207D">
          <w:r>
            <w:rPr>
              <w:b/>
              <w:bCs/>
              <w:noProof/>
            </w:rPr>
            <w:fldChar w:fldCharType="end"/>
          </w:r>
        </w:p>
      </w:sdtContent>
    </w:sdt>
    <w:p w14:paraId="3BB6A95A" w14:textId="782AA672" w:rsidR="0026207D" w:rsidRDefault="0026207D">
      <w:r>
        <w:br w:type="page"/>
      </w:r>
    </w:p>
    <w:p w14:paraId="17406245" w14:textId="6381955A" w:rsidR="006B5C14" w:rsidRDefault="0026207D" w:rsidP="0026207D">
      <w:pPr>
        <w:pStyle w:val="Heading1"/>
      </w:pPr>
      <w:bookmarkStart w:id="0" w:name="_Toc197264194"/>
      <w:r>
        <w:lastRenderedPageBreak/>
        <w:t>Pre-Processing</w:t>
      </w:r>
      <w:bookmarkEnd w:id="0"/>
    </w:p>
    <w:p w14:paraId="573AA624" w14:textId="70EFC2B0" w:rsidR="0026207D" w:rsidRDefault="0026207D" w:rsidP="0026207D">
      <w:pPr>
        <w:pStyle w:val="Heading2"/>
      </w:pPr>
      <w:bookmarkStart w:id="1" w:name="_Toc197264195"/>
      <w:r>
        <w:t>By Jayson</w:t>
      </w:r>
      <w:bookmarkEnd w:id="1"/>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Specifically, the data has been 'cleaned</w:t>
      </w:r>
      <w:proofErr w:type="gramStart"/>
      <w:r>
        <w:rPr>
          <w:rFonts w:ascii="Helvetica" w:hAnsi="Helvetica"/>
          <w:color w:val="000000"/>
          <w:sz w:val="18"/>
          <w:szCs w:val="18"/>
        </w:rPr>
        <w:t>', but</w:t>
      </w:r>
      <w:proofErr w:type="gramEnd"/>
      <w:r>
        <w:rPr>
          <w:rFonts w:ascii="Helvetica" w:hAnsi="Helvetica"/>
          <w:color w:val="000000"/>
          <w:sz w:val="18"/>
          <w:szCs w:val="18"/>
        </w:rPr>
        <w:t xml:space="preserve">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Why it matters:</w:t>
      </w:r>
    </w:p>
    <w:p w14:paraId="76E94996" w14:textId="6E53CA23"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38A43C3E" w14:textId="4825DD68" w:rsidR="005147A2" w:rsidRDefault="005147A2">
      <w:r>
        <w:br w:type="page"/>
      </w:r>
    </w:p>
    <w:p w14:paraId="6FABA762" w14:textId="778D33B5" w:rsidR="0026207D" w:rsidRDefault="005147A2" w:rsidP="005147A2">
      <w:pPr>
        <w:pStyle w:val="Heading1"/>
      </w:pPr>
      <w:bookmarkStart w:id="2" w:name="_Toc197264196"/>
      <w:r>
        <w:lastRenderedPageBreak/>
        <w:t>Parcellation</w:t>
      </w:r>
      <w:bookmarkEnd w:id="2"/>
    </w:p>
    <w:tbl>
      <w:tblPr>
        <w:tblStyle w:val="TableGrid"/>
        <w:tblW w:w="0" w:type="auto"/>
        <w:tblInd w:w="720" w:type="dxa"/>
        <w:tblLook w:val="04A0" w:firstRow="1" w:lastRow="0" w:firstColumn="1" w:lastColumn="0" w:noHBand="0" w:noVBand="1"/>
      </w:tblPr>
      <w:tblGrid>
        <w:gridCol w:w="4296"/>
        <w:gridCol w:w="3994"/>
      </w:tblGrid>
      <w:tr w:rsidR="00FF4988" w14:paraId="057E1225" w14:textId="77777777" w:rsidTr="00FF4988">
        <w:tc>
          <w:tcPr>
            <w:tcW w:w="4505" w:type="dxa"/>
            <w:shd w:val="clear" w:color="auto" w:fill="E8E8E8" w:themeFill="background2"/>
          </w:tcPr>
          <w:p w14:paraId="73463271" w14:textId="0103C3E6" w:rsidR="00FF4988" w:rsidRDefault="00FF4988" w:rsidP="00533F61">
            <w:pPr>
              <w:pStyle w:val="ListParagraph"/>
              <w:ind w:left="0"/>
            </w:pPr>
            <w:r>
              <w:t>Choice</w:t>
            </w:r>
          </w:p>
        </w:tc>
        <w:tc>
          <w:tcPr>
            <w:tcW w:w="4505"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533F61">
        <w:tc>
          <w:tcPr>
            <w:tcW w:w="4505" w:type="dxa"/>
          </w:tcPr>
          <w:p w14:paraId="0838C82C" w14:textId="64D12A16" w:rsidR="00533F61" w:rsidRDefault="00FF4988" w:rsidP="00533F61">
            <w:pPr>
              <w:pStyle w:val="ListParagraph"/>
              <w:ind w:left="0"/>
            </w:pPr>
            <w:r>
              <w:t xml:space="preserve">Using the </w:t>
            </w:r>
            <w:r w:rsidR="00533F61">
              <w:t>Yeo 17 thick atlas</w:t>
            </w:r>
          </w:p>
        </w:tc>
        <w:tc>
          <w:tcPr>
            <w:tcW w:w="4505" w:type="dxa"/>
          </w:tcPr>
          <w:p w14:paraId="0563E29B" w14:textId="33929B74" w:rsidR="00533F61" w:rsidRDefault="00AC7902" w:rsidP="00533F61">
            <w:pPr>
              <w:pStyle w:val="ListParagraph"/>
              <w:ind w:left="0"/>
            </w:pPr>
            <w:r w:rsidRPr="00AC7902">
              <w:rPr>
                <w:color w:val="FF0000"/>
              </w:rPr>
              <w:t>@@@</w:t>
            </w:r>
          </w:p>
        </w:tc>
      </w:tr>
      <w:tr w:rsidR="00533F61" w14:paraId="24454203" w14:textId="77777777" w:rsidTr="00533F61">
        <w:tc>
          <w:tcPr>
            <w:tcW w:w="4505"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505" w:type="dxa"/>
          </w:tcPr>
          <w:p w14:paraId="5384AF48" w14:textId="77777777" w:rsidR="00533F61" w:rsidRDefault="00533F61" w:rsidP="00533F61">
            <w:pPr>
              <w:pStyle w:val="ListParagraph"/>
              <w:ind w:left="0"/>
            </w:pPr>
          </w:p>
        </w:tc>
      </w:tr>
      <w:tr w:rsidR="00533F61" w14:paraId="4B7D9463" w14:textId="77777777" w:rsidTr="00533F61">
        <w:tc>
          <w:tcPr>
            <w:tcW w:w="4505"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505" w:type="dxa"/>
          </w:tcPr>
          <w:p w14:paraId="3F76CC04" w14:textId="77777777" w:rsidR="00533F61" w:rsidRDefault="00533F61" w:rsidP="00533F61">
            <w:pPr>
              <w:pStyle w:val="ListParagraph"/>
              <w:ind w:left="0"/>
            </w:pPr>
          </w:p>
        </w:tc>
      </w:tr>
      <w:tr w:rsidR="00533F61" w14:paraId="66A9EDDA" w14:textId="77777777" w:rsidTr="00533F61">
        <w:tc>
          <w:tcPr>
            <w:tcW w:w="4505" w:type="dxa"/>
          </w:tcPr>
          <w:p w14:paraId="2BB27920" w14:textId="3797BC9E" w:rsidR="00533F61" w:rsidRDefault="00533F61" w:rsidP="00533F61">
            <w:pPr>
              <w:pStyle w:val="ListParagraph"/>
              <w:ind w:left="0"/>
            </w:pPr>
            <w:r w:rsidRPr="00533F61">
              <w:t>verbose=5,</w:t>
            </w:r>
          </w:p>
        </w:tc>
        <w:tc>
          <w:tcPr>
            <w:tcW w:w="4505" w:type="dxa"/>
          </w:tcPr>
          <w:p w14:paraId="78DD8E53" w14:textId="77777777" w:rsidR="00533F61" w:rsidRDefault="00533F61" w:rsidP="00533F61">
            <w:pPr>
              <w:pStyle w:val="ListParagraph"/>
              <w:ind w:left="0"/>
            </w:pPr>
          </w:p>
        </w:tc>
      </w:tr>
      <w:tr w:rsidR="00533F61" w14:paraId="76FD0112" w14:textId="77777777" w:rsidTr="00533F61">
        <w:tc>
          <w:tcPr>
            <w:tcW w:w="4505" w:type="dxa"/>
          </w:tcPr>
          <w:p w14:paraId="504A2293" w14:textId="77777777" w:rsidR="00533F61" w:rsidRDefault="00533F61" w:rsidP="00533F61">
            <w:r>
              <w:t>#Temporal filter settings</w:t>
            </w:r>
          </w:p>
          <w:p w14:paraId="471D3625" w14:textId="71499C0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p>
          <w:p w14:paraId="46B313FD" w14:textId="64BAE755"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505" w:type="dxa"/>
          </w:tcPr>
          <w:p w14:paraId="20F87714" w14:textId="6215896B" w:rsidR="00533F61" w:rsidRPr="00AC7902" w:rsidRDefault="00AC7902" w:rsidP="00533F61">
            <w:pPr>
              <w:pStyle w:val="ListParagraph"/>
              <w:ind w:left="0"/>
              <w:rPr>
                <w:color w:val="FF0000"/>
              </w:rPr>
            </w:pPr>
            <w:r w:rsidRPr="00AC7902">
              <w:rPr>
                <w:color w:val="FF0000"/>
              </w:rPr>
              <w:t>@@@</w:t>
            </w:r>
          </w:p>
        </w:tc>
      </w:tr>
      <w:tr w:rsidR="00533F61" w14:paraId="715D249F" w14:textId="77777777" w:rsidTr="00533F61">
        <w:tc>
          <w:tcPr>
            <w:tcW w:w="4505" w:type="dxa"/>
          </w:tcPr>
          <w:p w14:paraId="631F0254" w14:textId="77777777" w:rsidR="00533F61" w:rsidRDefault="00533F61" w:rsidP="00533F61">
            <w:pPr>
              <w:pStyle w:val="ListParagraph"/>
              <w:ind w:left="0"/>
            </w:pPr>
          </w:p>
        </w:tc>
        <w:tc>
          <w:tcPr>
            <w:tcW w:w="4505" w:type="dxa"/>
          </w:tcPr>
          <w:p w14:paraId="37A934D8" w14:textId="77777777" w:rsidR="00533F61" w:rsidRDefault="00533F61" w:rsidP="00533F61">
            <w:pPr>
              <w:pStyle w:val="ListParagraph"/>
              <w:ind w:left="0"/>
            </w:pPr>
          </w:p>
        </w:tc>
      </w:tr>
      <w:tr w:rsidR="00533F61" w14:paraId="42532785" w14:textId="77777777" w:rsidTr="00533F61">
        <w:tc>
          <w:tcPr>
            <w:tcW w:w="4505" w:type="dxa"/>
          </w:tcPr>
          <w:p w14:paraId="1D52E605" w14:textId="77777777" w:rsidR="00533F61" w:rsidRDefault="00533F61" w:rsidP="00533F61">
            <w:pPr>
              <w:pStyle w:val="ListParagraph"/>
              <w:ind w:left="0"/>
            </w:pPr>
          </w:p>
        </w:tc>
        <w:tc>
          <w:tcPr>
            <w:tcW w:w="4505" w:type="dxa"/>
          </w:tcPr>
          <w:p w14:paraId="104F03D8" w14:textId="77777777" w:rsidR="00533F61" w:rsidRDefault="00533F61" w:rsidP="00533F61">
            <w:pPr>
              <w:pStyle w:val="ListParagraph"/>
              <w:ind w:left="0"/>
            </w:pPr>
          </w:p>
        </w:tc>
      </w:tr>
      <w:tr w:rsidR="00533F61" w14:paraId="72962479" w14:textId="77777777" w:rsidTr="00533F61">
        <w:tc>
          <w:tcPr>
            <w:tcW w:w="4505" w:type="dxa"/>
          </w:tcPr>
          <w:p w14:paraId="0B20000C" w14:textId="77777777" w:rsidR="00533F61" w:rsidRDefault="00533F61" w:rsidP="00533F61">
            <w:pPr>
              <w:pStyle w:val="ListParagraph"/>
              <w:ind w:left="0"/>
            </w:pPr>
          </w:p>
        </w:tc>
        <w:tc>
          <w:tcPr>
            <w:tcW w:w="4505" w:type="dxa"/>
          </w:tcPr>
          <w:p w14:paraId="65AE80F5" w14:textId="77777777" w:rsidR="00533F61" w:rsidRDefault="00533F61" w:rsidP="00533F61">
            <w:pPr>
              <w:pStyle w:val="ListParagraph"/>
              <w:ind w:left="0"/>
            </w:pPr>
          </w:p>
        </w:tc>
      </w:tr>
    </w:tbl>
    <w:p w14:paraId="5B3C8683" w14:textId="1BC3AAEA" w:rsidR="00533F61" w:rsidRDefault="00533F61" w:rsidP="00533F61">
      <w:pPr>
        <w:pStyle w:val="ListParagraph"/>
      </w:pPr>
    </w:p>
    <w:p w14:paraId="421280CC" w14:textId="5AE3F46A" w:rsidR="00533F61" w:rsidRDefault="00533F61">
      <w:r>
        <w:br w:type="page"/>
      </w:r>
    </w:p>
    <w:p w14:paraId="76246C55" w14:textId="71A3611A" w:rsidR="00533F61" w:rsidRDefault="00533F61" w:rsidP="00533F61">
      <w:pPr>
        <w:pStyle w:val="Heading1"/>
      </w:pPr>
      <w:bookmarkStart w:id="3" w:name="_Toc197264197"/>
      <w:r>
        <w:lastRenderedPageBreak/>
        <w:t>HMM Mar</w:t>
      </w:r>
      <w:bookmarkEnd w:id="3"/>
    </w:p>
    <w:p w14:paraId="68416CE8" w14:textId="45161EB8" w:rsidR="00FF4988" w:rsidRDefault="00FF4988" w:rsidP="00FF4988">
      <w:pPr>
        <w:pStyle w:val="Heading2"/>
      </w:pPr>
      <w:bookmarkStart w:id="4" w:name="_Toc197264198"/>
      <w:proofErr w:type="spellStart"/>
      <w:r>
        <w:t>FormatHmmmarInputs</w:t>
      </w:r>
      <w:bookmarkEnd w:id="4"/>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6"/>
        <w:gridCol w:w="2969"/>
        <w:gridCol w:w="3043"/>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3030508D" w14:textId="491F3803" w:rsidR="00FF4988" w:rsidRDefault="00843778" w:rsidP="00533F61">
            <w:r w:rsidRPr="00843778">
              <w:rPr>
                <w:color w:val="FF0000"/>
              </w:rPr>
              <w:t>Less computationally expensive</w:t>
            </w:r>
            <w:r>
              <w:rPr>
                <w:color w:val="FF0000"/>
              </w:rPr>
              <w:t xml:space="preserve"> and easier to interpret</w:t>
            </w:r>
            <w:r w:rsidRPr="00843778">
              <w:rPr>
                <w:color w:val="FF0000"/>
              </w:rPr>
              <w:t>?</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4D9DC04B" w:rsidR="00FF4988" w:rsidRDefault="00AC7902" w:rsidP="00533F61">
            <w:r>
              <w:t>1</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6D030BDF" w14:textId="77777777" w:rsidR="00FF4988" w:rsidRDefault="00AC7902" w:rsidP="00533F61">
            <w:pPr>
              <w:rPr>
                <w:color w:val="FF0000"/>
              </w:rPr>
            </w:pPr>
            <w:r>
              <w:rPr>
                <w:color w:val="FF0000"/>
              </w:rPr>
              <w:t>1 as per Saurabh, any larger and it becomes “time delayed embedding”</w:t>
            </w:r>
          </w:p>
          <w:p w14:paraId="2EBA23C0" w14:textId="5437279E" w:rsidR="00AC7902" w:rsidRDefault="00AC7902" w:rsidP="00533F61">
            <w:r>
              <w:t xml:space="preserve">e.g. </w:t>
            </w:r>
            <w:r w:rsidR="004708FE">
              <w:t>as fMRI has a slower sampling rate compared to EEG, the order for a MAR fMRI model is recommended to be 1. As EEG has a higher sampling rate compared to fMRI (greater Hz), order needs to be higher for a better fit model (but higher orders risk fitting noise into model).</w:t>
            </w:r>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sidRPr="004708FE">
              <w:rPr>
                <w:color w:val="000000" w:themeColor="text1"/>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choice of the covariance matrix of the noise; "full" to have a full covariance matrix for each state (with off-diagonal elements different from zero), "</w:t>
            </w:r>
            <w:proofErr w:type="spellStart"/>
            <w:r w:rsidRPr="00FF4988">
              <w:t>sharedfull</w:t>
            </w:r>
            <w:proofErr w:type="spellEnd"/>
            <w:r w:rsidRPr="00FF4988">
              <w:t>" to have one full covariance matrix for all states, "</w:t>
            </w:r>
            <w:proofErr w:type="spellStart"/>
            <w:r w:rsidRPr="00FF4988">
              <w:t>diag</w:t>
            </w:r>
            <w:proofErr w:type="spellEnd"/>
            <w:r w:rsidRPr="00FF4988">
              <w:t xml:space="preserve">" to have a diagonal full covariance matrix for each state, and </w:t>
            </w:r>
            <w:r w:rsidRPr="00FF4988">
              <w:lastRenderedPageBreak/>
              <w:t>"</w:t>
            </w:r>
            <w:proofErr w:type="spellStart"/>
            <w:r w:rsidRPr="00FF4988">
              <w:t>shareddiag</w:t>
            </w:r>
            <w:proofErr w:type="spellEnd"/>
            <w:r w:rsidRPr="00FF4988">
              <w:t>" to have one diagonal covariance matrix for all states (default to "full").</w:t>
            </w:r>
          </w:p>
        </w:tc>
        <w:tc>
          <w:tcPr>
            <w:tcW w:w="3061" w:type="dxa"/>
          </w:tcPr>
          <w:p w14:paraId="2EF97990" w14:textId="1851A0B8" w:rsidR="00FF4988" w:rsidRDefault="003B2732" w:rsidP="00533F61">
            <w:r w:rsidRPr="003B2732">
              <w:rPr>
                <w:color w:val="FF0000"/>
              </w:rPr>
              <w:lastRenderedPageBreak/>
              <w:t>@@</w:t>
            </w:r>
            <w:r>
              <w:rPr>
                <w:color w:val="FF0000"/>
              </w:rPr>
              <w:t>@</w:t>
            </w:r>
          </w:p>
        </w:tc>
      </w:tr>
      <w:tr w:rsidR="00FF4988" w14:paraId="287AD1A7" w14:textId="33B966C0" w:rsidTr="00FF4988">
        <w:tc>
          <w:tcPr>
            <w:tcW w:w="1779" w:type="dxa"/>
          </w:tcPr>
          <w:p w14:paraId="3BB41846" w14:textId="0125D202" w:rsidR="00FF4988" w:rsidRDefault="00FF4988" w:rsidP="00533F61">
            <w:r>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77777777" w:rsidR="003B2732" w:rsidRDefault="003B2732" w:rsidP="00533F61"/>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187CC8E0" w:rsidR="00FF4988" w:rsidRDefault="00FF4988" w:rsidP="00533F61"/>
        </w:tc>
        <w:tc>
          <w:tcPr>
            <w:tcW w:w="3061" w:type="dxa"/>
          </w:tcPr>
          <w:p w14:paraId="59B6AD18" w14:textId="77777777" w:rsidR="00FF4988" w:rsidRDefault="00FF4988" w:rsidP="00533F61"/>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effect unless is set to a very big value.</w:t>
            </w:r>
          </w:p>
        </w:tc>
        <w:tc>
          <w:tcPr>
            <w:tcW w:w="3061" w:type="dxa"/>
          </w:tcPr>
          <w:p w14:paraId="332EC4EA" w14:textId="77777777" w:rsidR="00FF4988" w:rsidRDefault="00FF4988" w:rsidP="00533F61"/>
        </w:tc>
      </w:tr>
      <w:tr w:rsidR="00FF4988" w14:paraId="09CB8D25" w14:textId="77777777" w:rsidTr="00FF4988">
        <w:tc>
          <w:tcPr>
            <w:tcW w:w="1779" w:type="dxa"/>
          </w:tcPr>
          <w:p w14:paraId="764310A0" w14:textId="66533302" w:rsidR="00FF4988" w:rsidRDefault="00843778" w:rsidP="00533F61">
            <w:proofErr w:type="spellStart"/>
            <w:r>
              <w:t>c</w:t>
            </w:r>
            <w:r w:rsidR="00FF4988">
              <w:t>yc</w:t>
            </w:r>
            <w:proofErr w:type="spellEnd"/>
          </w:p>
        </w:tc>
        <w:tc>
          <w:tcPr>
            <w:tcW w:w="1193" w:type="dxa"/>
          </w:tcPr>
          <w:p w14:paraId="05E1C829" w14:textId="02808FDF" w:rsidR="008B1BE8" w:rsidRPr="008B1BE8" w:rsidRDefault="008B1BE8" w:rsidP="008B1BE8">
            <w:r>
              <w:t>300</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reached. (Default to 1000).</w:t>
            </w:r>
          </w:p>
        </w:tc>
        <w:tc>
          <w:tcPr>
            <w:tcW w:w="3061" w:type="dxa"/>
          </w:tcPr>
          <w:p w14:paraId="41342DBD" w14:textId="66F387AB" w:rsidR="00B065FB" w:rsidRDefault="00B065FB" w:rsidP="00533F61">
            <w:r>
              <w:t xml:space="preserve">Saurabh </w:t>
            </w:r>
            <w:proofErr w:type="gramStart"/>
            <w:r>
              <w:t>recommends:</w:t>
            </w:r>
            <w:proofErr w:type="gramEnd"/>
            <w:r>
              <w:t xml:space="preserve"> 300</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6ED41322" w:rsidR="00843778" w:rsidRDefault="008B1BE8" w:rsidP="00533F61">
            <w:r>
              <w:t>10</w:t>
            </w:r>
          </w:p>
        </w:tc>
        <w:tc>
          <w:tcPr>
            <w:tcW w:w="2977" w:type="dxa"/>
          </w:tcPr>
          <w:p w14:paraId="55F61DBA" w14:textId="6252F97D" w:rsidR="00843778" w:rsidRDefault="00843778" w:rsidP="00533F61">
            <w:r w:rsidRPr="00843778">
              <w:t xml:space="preserve">number of repetitions of the initialisation </w:t>
            </w:r>
            <w:r w:rsidRPr="00843778">
              <w:lastRenderedPageBreak/>
              <w:t>algorithm, out of which the best will be used as a starting point for the variational inference (default to 5).</w:t>
            </w:r>
          </w:p>
        </w:tc>
        <w:tc>
          <w:tcPr>
            <w:tcW w:w="3061" w:type="dxa"/>
          </w:tcPr>
          <w:p w14:paraId="27A8878C" w14:textId="77777777" w:rsidR="00B065FB" w:rsidRDefault="00B065FB" w:rsidP="00B065FB"/>
          <w:p w14:paraId="5DDF4AA6" w14:textId="1716F2E4" w:rsidR="00843778" w:rsidRDefault="00B065FB" w:rsidP="00B065FB">
            <w:r>
              <w:t xml:space="preserve">Saurabh </w:t>
            </w:r>
            <w:proofErr w:type="gramStart"/>
            <w:r>
              <w:t>recommends:</w:t>
            </w:r>
            <w:proofErr w:type="gramEnd"/>
            <w:r>
              <w:t xml:space="preserve"> 10</w:t>
            </w:r>
          </w:p>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74E23735" w:rsidR="00843778" w:rsidRDefault="008B1BE8" w:rsidP="00533F61">
            <w:r>
              <w:t>10</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6670DC28" w14:textId="77777777" w:rsidR="00B065FB" w:rsidRDefault="00B065FB" w:rsidP="00B065FB"/>
          <w:p w14:paraId="0644F63F" w14:textId="003E292A" w:rsidR="00843778" w:rsidRDefault="00B065FB" w:rsidP="00B065FB">
            <w:r>
              <w:t xml:space="preserve">Saurabh </w:t>
            </w:r>
            <w:proofErr w:type="gramStart"/>
            <w:r>
              <w:t>recommends:</w:t>
            </w:r>
            <w:proofErr w:type="gramEnd"/>
            <w:r>
              <w:t xml:space="preserve"> 10</w:t>
            </w:r>
          </w:p>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77777777" w:rsidR="00FF4988" w:rsidRDefault="00FF4988" w:rsidP="00533F61"/>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77777777" w:rsidR="00FF4988" w:rsidRDefault="00FF4988" w:rsidP="00533F61"/>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77777777" w:rsidR="00FF4988" w:rsidRDefault="00FF4988" w:rsidP="00533F61"/>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7D35B340"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lags {1,2,3,4} for </w:t>
            </w:r>
            <w:proofErr w:type="spellStart"/>
            <w:r w:rsidRPr="003B2732">
              <w:t>orderoffset</w:t>
            </w:r>
            <w:proofErr w:type="spellEnd"/>
            <w:r w:rsidRPr="003B2732">
              <w:t xml:space="preserve">=0, or lags {3,4} for </w:t>
            </w:r>
            <w:proofErr w:type="spellStart"/>
            <w:r w:rsidRPr="003B2732">
              <w:t>orderoffset</w:t>
            </w:r>
            <w:proofErr w:type="spellEnd"/>
            <w:r w:rsidRPr="003B2732">
              <w:t xml:space="preserve">==2. This parameter becomes </w:t>
            </w:r>
            <w:r w:rsidRPr="003B2732">
              <w:lastRenderedPageBreak/>
              <w:t>particularly useful in situations of strong autocorrelations, as for example in MEG (default to 0).</w:t>
            </w:r>
          </w:p>
        </w:tc>
        <w:tc>
          <w:tcPr>
            <w:tcW w:w="3061" w:type="dxa"/>
          </w:tcPr>
          <w:p w14:paraId="5B4A3289" w14:textId="77777777" w:rsidR="00FF4988" w:rsidRDefault="00FF4988" w:rsidP="00533F61"/>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5" w:name="_Toc197264199"/>
      <w:proofErr w:type="spellStart"/>
      <w:r>
        <w:t>AnalyseResults</w:t>
      </w:r>
      <w:bookmarkEnd w:id="5"/>
      <w:proofErr w:type="spellEnd"/>
    </w:p>
    <w:p w14:paraId="00FA26C0" w14:textId="0F729974" w:rsidR="00FE30D3" w:rsidRDefault="00B543D9" w:rsidP="00B543D9">
      <w:pPr>
        <w:pStyle w:val="Heading3"/>
      </w:pPr>
      <w:r>
        <w:t>Transition Probabilities</w:t>
      </w:r>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r>
        <w:t>Fractional Occupancy</w:t>
      </w:r>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Useful for differences in occupancies between subjects.</w:t>
            </w:r>
          </w:p>
        </w:tc>
        <w:tc>
          <w:tcPr>
            <w:tcW w:w="3061" w:type="dxa"/>
          </w:tcPr>
          <w:p w14:paraId="5184BB9B" w14:textId="24E32A98" w:rsidR="00745EAF" w:rsidRDefault="00745EAF" w:rsidP="008932CE">
            <w:r>
              <w:t xml:space="preserve">Currently only one subject, so 1 and 2 should give same output, </w:t>
            </w:r>
            <w:r w:rsidRPr="00745EAF">
              <w:rPr>
                <w:color w:val="FF0000"/>
              </w:rPr>
              <w:t>will need to revisit when running whole dataset through</w:t>
            </w:r>
            <w:r w:rsidR="00AF1030">
              <w:rPr>
                <w:color w:val="FF0000"/>
              </w:rPr>
              <w:t>, probably still 1</w:t>
            </w:r>
          </w:p>
        </w:tc>
      </w:tr>
    </w:tbl>
    <w:p w14:paraId="277159D6" w14:textId="77777777" w:rsidR="00745EAF" w:rsidRPr="00745EAF" w:rsidRDefault="00745EAF" w:rsidP="00745EAF"/>
    <w:p w14:paraId="7F151A9F" w14:textId="116E5432" w:rsidR="00B543D9" w:rsidRDefault="00B543D9" w:rsidP="00B543D9">
      <w:pPr>
        <w:pStyle w:val="Heading3"/>
      </w:pPr>
      <w:r>
        <w:lastRenderedPageBreak/>
        <w:t>Viterbi Path</w:t>
      </w:r>
    </w:p>
    <w:p w14:paraId="42CBCD8E" w14:textId="6FE9AB60" w:rsidR="00AF1030" w:rsidRPr="00AF1030" w:rsidRDefault="002C7403" w:rsidP="00AF1030">
      <w:r>
        <w:t>i.e. hard state time course</w:t>
      </w:r>
    </w:p>
    <w:sectPr w:rsidR="00AF1030" w:rsidRP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83"/>
    <w:rsid w:val="00010AD8"/>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93CEA"/>
    <w:rsid w:val="00297348"/>
    <w:rsid w:val="002A2BA9"/>
    <w:rsid w:val="002A2F92"/>
    <w:rsid w:val="002A3B67"/>
    <w:rsid w:val="002A5D80"/>
    <w:rsid w:val="002A61A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A07A1"/>
    <w:rsid w:val="003B1332"/>
    <w:rsid w:val="003B27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708FE"/>
    <w:rsid w:val="00487579"/>
    <w:rsid w:val="00487A8B"/>
    <w:rsid w:val="004A5C30"/>
    <w:rsid w:val="004B3D08"/>
    <w:rsid w:val="004B4A84"/>
    <w:rsid w:val="004B62BA"/>
    <w:rsid w:val="004C07F8"/>
    <w:rsid w:val="004C3E57"/>
    <w:rsid w:val="004C6B2C"/>
    <w:rsid w:val="004D2461"/>
    <w:rsid w:val="004E25E7"/>
    <w:rsid w:val="004F31BF"/>
    <w:rsid w:val="004F5FE8"/>
    <w:rsid w:val="00501096"/>
    <w:rsid w:val="00507F98"/>
    <w:rsid w:val="005147A2"/>
    <w:rsid w:val="00517D23"/>
    <w:rsid w:val="00533F61"/>
    <w:rsid w:val="0053715C"/>
    <w:rsid w:val="0054017C"/>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5EAF"/>
    <w:rsid w:val="00747EDF"/>
    <w:rsid w:val="00750FB9"/>
    <w:rsid w:val="00751006"/>
    <w:rsid w:val="007679DE"/>
    <w:rsid w:val="00787775"/>
    <w:rsid w:val="007927AB"/>
    <w:rsid w:val="00794ED3"/>
    <w:rsid w:val="007A7C0C"/>
    <w:rsid w:val="007B081B"/>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A09E8"/>
    <w:rsid w:val="008A6A48"/>
    <w:rsid w:val="008B10A1"/>
    <w:rsid w:val="008B1BE8"/>
    <w:rsid w:val="008B1DFF"/>
    <w:rsid w:val="008C2117"/>
    <w:rsid w:val="008C3541"/>
    <w:rsid w:val="008E03FD"/>
    <w:rsid w:val="008E6FB7"/>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554AA"/>
    <w:rsid w:val="00A65E8F"/>
    <w:rsid w:val="00A80B0E"/>
    <w:rsid w:val="00A84301"/>
    <w:rsid w:val="00A84558"/>
    <w:rsid w:val="00A97C95"/>
    <w:rsid w:val="00AA00B1"/>
    <w:rsid w:val="00AA57A6"/>
    <w:rsid w:val="00AB41DF"/>
    <w:rsid w:val="00AC13B3"/>
    <w:rsid w:val="00AC3579"/>
    <w:rsid w:val="00AC7902"/>
    <w:rsid w:val="00AD4354"/>
    <w:rsid w:val="00AD628B"/>
    <w:rsid w:val="00AE7327"/>
    <w:rsid w:val="00AE7393"/>
    <w:rsid w:val="00AF1030"/>
    <w:rsid w:val="00B00EFE"/>
    <w:rsid w:val="00B029C6"/>
    <w:rsid w:val="00B030AC"/>
    <w:rsid w:val="00B057FF"/>
    <w:rsid w:val="00B065FB"/>
    <w:rsid w:val="00B112ED"/>
    <w:rsid w:val="00B12518"/>
    <w:rsid w:val="00B26BDE"/>
    <w:rsid w:val="00B278A2"/>
    <w:rsid w:val="00B3413E"/>
    <w:rsid w:val="00B34409"/>
    <w:rsid w:val="00B36D5F"/>
    <w:rsid w:val="00B4137B"/>
    <w:rsid w:val="00B50848"/>
    <w:rsid w:val="00B543D9"/>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semiHidden/>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10</cp:revision>
  <dcterms:created xsi:type="dcterms:W3CDTF">2025-05-04T01:07:00Z</dcterms:created>
  <dcterms:modified xsi:type="dcterms:W3CDTF">2025-05-25T11:36:00Z</dcterms:modified>
</cp:coreProperties>
</file>