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22"/>
          <w:szCs w:val="22"/>
        </w:rPr>
        <w:t xml:space="preserve">Exposé</w:t>
      </w:r>
    </w:p>
    <w:p>
      <w:pPr>
        <w:spacing w:after="400"/>
      </w:pPr>
      <w:r>
        <w:rPr>
          <w:rFonts w:ascii="Calibri" w:cs="Calibri" w:eastAsia="Calibri" w:hAnsi="Calibri"/>
          <w:i/>
          <w:iCs/>
          <w:sz w:val="20"/>
          <w:szCs w:val="20"/>
        </w:rPr>
        <w:t xml:space="preserve">Julian Brödnow · Nordakademie · Applied Data Science</w:t>
      </w:r>
    </w:p>
    <w:p>
      <w:pPr>
        <w:pStyle w:val="Title"/>
        <w:spacing w:after="400"/>
      </w:pPr>
      <w:r>
        <w:rPr>
          <w:rFonts w:ascii="Calibri" w:cs="Calibri" w:eastAsia="Calibri" w:hAnsi="Calibri"/>
          <w:b/>
          <w:bCs/>
          <w:sz w:val="30"/>
          <w:szCs w:val="30"/>
        </w:rPr>
        <w:t xml:space="preserve">Spatial Context versus Spectral Signatures: A Convolutional Neural Network Benchmark for Solar Photovoltaic Detection in Japan</w:t>
      </w:r>
    </w:p>
    <w:p>
      <w:pPr>
        <w:pStyle w:val="Heading1"/>
        <w:spacing w:after="150" w:before="300"/>
      </w:pPr>
      <w:r>
        <w:rPr>
          <w:rFonts w:ascii="Calibri" w:cs="Calibri" w:eastAsia="Calibri" w:hAnsi="Calibri"/>
        </w:rPr>
        <w:t xml:space="preserve">1. Motivation and Relevance</w:t>
      </w:r>
    </w:p>
    <w:p>
      <w:pPr>
        <w:spacing w:after="200" w:line="276"/>
      </w:pPr>
      <w:r>
        <w:rPr>
          <w:rFonts w:ascii="Calibri" w:cs="Calibri" w:eastAsia="Calibri" w:hAnsi="Calibri"/>
          <w:i w:val="false"/>
          <w:iCs w:val="false"/>
          <w:sz w:val="22"/>
          <w:szCs w:val="22"/>
        </w:rPr>
        <w:t xml:space="preserve">Japan's solar photovoltaic capacity has grown rapidly since the introduction of the feed-in-tariff scheme in 2012, and the country now ranks third worldwide in installed PV capacity. Monitoring where these installations occur matters for reasons beyond energy accounting: recent work has shown that megawatt-scale PV facilities in Japan are disproportionately sited in forested land, contributing to measurable forest fragmentation, while smaller installations increasingly occupy agricultural plots, some of them already abandoned (Shimada &amp; Takeuchi, 2025). A comprehensive, regularly updatable PV inventory is a precondition for assessing these land-use tradeoffs, and satellite-based detection is the only realistic way to build one at national scale.</w:t>
      </w:r>
    </w:p>
    <w:p>
      <w:pPr>
        <w:spacing w:after="200" w:line="276"/>
      </w:pPr>
      <w:r>
        <w:rPr>
          <w:rFonts w:ascii="Calibri" w:cs="Calibri" w:eastAsia="Calibri" w:hAnsi="Calibri"/>
          <w:i w:val="false"/>
          <w:iCs w:val="false"/>
          <w:sz w:val="22"/>
          <w:szCs w:val="22"/>
        </w:rPr>
        <w:t xml:space="preserve">The methodological question of how to build that inventory is less settled than it might appear. Two broad families of approaches compete: spectral, pixel-wise classifiers such as Random Forest or XGBoost, which ignore spatial context but train on comparatively little labeled data, and CNN-based approaches, which exploit spatial and textural patterns but typically demand far larger annotated datasets and GPU resources. The same research group that authored the current state-of-the-art Japan PV map used a CNN for an earlier, comparable mapping task in Vietnam (Shimada &amp; Takeuchi, 2023), then moved to a non-CNN, spectral-index-based method for Japan, citing the labeling and compute burden of CNNs as a limiting factor (Shimada &amp; Takeuchi, 2025). That same paper explicitly names texture information as an unexplored avenue for improving detection, and documents specific failure cases that a purely spectral classifier cannot resolve: thin-film panels with non-standard spectral responses, sub-50 kW installations below the sensor's effective resolution, and panels whose reflectance is blurred by background soil.</w:t>
      </w:r>
    </w:p>
    <w:p>
      <w:pPr>
        <w:spacing w:after="200" w:line="276"/>
      </w:pPr>
      <w:r>
        <w:rPr>
          <w:rFonts w:ascii="Calibri" w:cs="Calibri" w:eastAsia="Calibri" w:hAnsi="Calibri"/>
          <w:i w:val="false"/>
          <w:iCs w:val="false"/>
          <w:sz w:val="22"/>
          <w:szCs w:val="22"/>
        </w:rPr>
        <w:t xml:space="preserve">This term paper takes that named limitation as its starting point. Rather than proposing a new detection method in the abstract, it asks a narrower and more answerable question: for the specific failure modes the current best Japan PV map already documents, does adding spatial context through a CNN actually close the gap, or does the added data and compute cost buy little beyond what the spectral baseline already achieves?</w:t>
      </w:r>
    </w:p>
    <w:p>
      <w:pPr>
        <w:pStyle w:val="Heading1"/>
        <w:spacing w:after="150" w:before="300"/>
      </w:pPr>
      <w:r>
        <w:rPr>
          <w:rFonts w:ascii="Calibri" w:cs="Calibri" w:eastAsia="Calibri" w:hAnsi="Calibri"/>
        </w:rPr>
        <w:t xml:space="preserve">2. Research Question</w:t>
      </w:r>
    </w:p>
    <w:p>
      <w:pPr>
        <w:spacing w:after="200" w:line="276"/>
      </w:pPr>
      <w:r>
        <w:rPr>
          <w:rFonts w:ascii="Calibri" w:cs="Calibri" w:eastAsia="Calibri" w:hAnsi="Calibri"/>
          <w:i w:val="false"/>
          <w:iCs w:val="false"/>
          <w:sz w:val="22"/>
          <w:szCs w:val="22"/>
        </w:rPr>
        <w:t xml:space="preserve">Primary question: Does a CNN-based classifier, which incorporates spatial and textural context rather than pixel-wise spectral values alone, improve solar PV detection accuracy over the spectral-index and XGBoost baseline established by Shimada and Takeuchi (2025), specifically for the failure cases the original study identifies (sub-50 kW installations, non-crystalline-silicon panel materials, and spectrally ambiguous panel arrangements)?</w:t>
      </w:r>
    </w:p>
    <w:p>
      <w:pPr>
        <w:spacing w:after="200" w:line="276"/>
      </w:pPr>
      <w:r>
        <w:rPr>
          <w:rFonts w:ascii="Calibri" w:cs="Calibri" w:eastAsia="Calibri" w:hAnsi="Calibri"/>
          <w:i w:val="false"/>
          <w:iCs w:val="false"/>
          <w:sz w:val="22"/>
          <w:szCs w:val="22"/>
        </w:rPr>
        <w:t xml:space="preserve">Secondary question: How does the label efficiency of the CNN approach compare to the spectral baseline, given that CNN-based classification typically requires substantially more annotated training data than point-based spectral classifiers?</w:t>
      </w:r>
    </w:p>
    <w:p>
      <w:pPr>
        <w:pStyle w:val="Heading1"/>
        <w:spacing w:after="150" w:before="300"/>
      </w:pPr>
      <w:r>
        <w:rPr>
          <w:rFonts w:ascii="Calibri" w:cs="Calibri" w:eastAsia="Calibri" w:hAnsi="Calibri"/>
        </w:rPr>
        <w:t xml:space="preserve">3. Related Work</w:t>
      </w:r>
    </w:p>
    <w:p>
      <w:pPr>
        <w:spacing w:after="200" w:line="276"/>
      </w:pPr>
      <w:r>
        <w:rPr>
          <w:rFonts w:ascii="Calibri" w:cs="Calibri" w:eastAsia="Calibri" w:hAnsi="Calibri"/>
          <w:i w:val="false"/>
          <w:iCs w:val="false"/>
          <w:sz w:val="22"/>
          <w:szCs w:val="22"/>
        </w:rPr>
        <w:t xml:space="preserve">National- and regional-scale PV mapping has been attempted with both spectral and spatial methods. On the spectral side, Random Forest models trained on Landsat imagery produced a national PV map of China (Zhang et al., 2022), later extended to 10-meter resolution (Feng et al., 2024), and Shimada and Takeuchi (2025) used a comparable XGBoost approach with a dedicated spectral index for Japan, achieving high accuracy without spatial features. On the CNN side, DeepSolar built a national PV database for the United States from high-resolution aerial imagery (Yu et al., 2018), Kruitwagen et al. (2021) combined CNNs and RNNs for a global PV inventory published in Nature, and da Costa et al. (2021) applied deep semantic segmentation to PV monitoring in Brazil.</w:t>
      </w:r>
    </w:p>
    <w:p>
      <w:pPr>
        <w:spacing w:after="200" w:line="276"/>
      </w:pPr>
      <w:r>
        <w:rPr>
          <w:rFonts w:ascii="Calibri" w:cs="Calibri" w:eastAsia="Calibri" w:hAnsi="Calibri"/>
          <w:i w:val="false"/>
          <w:iCs w:val="false"/>
          <w:sz w:val="22"/>
          <w:szCs w:val="22"/>
        </w:rPr>
        <w:t xml:space="preserve">Shimada and Takeuchi themselves used a CNN for an earlier Sentinel-2-based PV mapping study in Vietnam (2023) before switching to the non-CNN approach for Japan, a shift the 2025 paper attributes to the labeling and compute demands of CNN training rather than to any inherent accuracy advantage of the spectral method. What is missing from this literature is a controlled comparison, on the same data source and the same country, of whether the CNN's added spatial sensitivity actually addresses the specific failure modes a spectral model produces, rather than a general accuracy comparison across studies that differ in imagery, geography, and training data size. This term paper is designed to fill that narrower gap. [CITE: any additional direct spectral-vs-CNN comparison studies, if found during literature search]</w:t>
      </w:r>
    </w:p>
    <w:p>
      <w:pPr>
        <w:spacing w:after="200" w:line="276"/>
      </w:pPr>
      <w:r>
        <w:rPr>
          <w:rFonts w:ascii="Calibri" w:cs="Calibri" w:eastAsia="Calibri" w:hAnsi="Calibri"/>
          <w:i w:val="false"/>
          <w:iCs w:val="false"/>
          <w:sz w:val="22"/>
          <w:szCs w:val="22"/>
        </w:rPr>
        <w:t xml:space="preserve">The broader context of solar PV siting in rural Japan, including its relationship to farmland abandonment (Su, Okahashi &amp; Chen, 2018), is acknowledged as background but is not the subject of this study; the research question here concerns detection methodology, not land-use drivers.</w:t>
      </w:r>
    </w:p>
    <w:p>
      <w:pPr>
        <w:pStyle w:val="Heading1"/>
        <w:spacing w:after="150" w:before="300"/>
      </w:pPr>
      <w:r>
        <w:rPr>
          <w:rFonts w:ascii="Calibri" w:cs="Calibri" w:eastAsia="Calibri" w:hAnsi="Calibri"/>
        </w:rPr>
        <w:t xml:space="preserve">4. Data</w:t>
      </w:r>
    </w:p>
    <w:p>
      <w:pPr>
        <w:spacing w:after="200" w:line="276"/>
      </w:pPr>
      <w:r>
        <w:rPr>
          <w:rFonts w:ascii="Calibri" w:cs="Calibri" w:eastAsia="Calibri" w:hAnsi="Calibri"/>
          <w:i w:val="false"/>
          <w:iCs w:val="false"/>
          <w:sz w:val="22"/>
          <w:szCs w:val="22"/>
        </w:rPr>
        <w:t xml:space="preserve">The primary data source is Sentinel-2 Level-2A surface reflectance imagery, accessed via Google Earth Engine, matching the source and preprocessing period (autumn 2022) used by Shimada and Takeuchi (2025). The solar PV polygon dataset produced by that study is openly available via Zenodo (DOI: 10.5281/zenodo.10674681) and will serve as the primary label source for both the baseline replication and the CNN comparison.</w:t>
      </w:r>
    </w:p>
    <w:p>
      <w:pPr>
        <w:spacing w:after="200" w:line="276"/>
      </w:pPr>
      <w:r>
        <w:rPr>
          <w:rFonts w:ascii="Calibri" w:cs="Calibri" w:eastAsia="Calibri" w:hAnsi="Calibri"/>
          <w:i w:val="false"/>
          <w:iCs w:val="false"/>
          <w:sz w:val="22"/>
          <w:szCs w:val="22"/>
        </w:rPr>
        <w:t xml:space="preserve">Whether the released dataset includes the original point-level training and verification samples, or only the final aggregated PV polygons, has not yet been confirmed, and is the first item to verify before finalizing the experimental design. If only polygons are available, a comparable stratified sample will need to be drawn manually from the polygon boundaries and checked against Google Earth imagery.</w:t>
      </w:r>
    </w:p>
    <w:p>
      <w:pPr>
        <w:spacing w:after="200" w:line="276"/>
      </w:pPr>
      <w:r>
        <w:rPr>
          <w:rFonts w:ascii="Calibri" w:cs="Calibri" w:eastAsia="Calibri" w:hAnsi="Calibri"/>
          <w:i w:val="false"/>
          <w:iCs w:val="false"/>
          <w:sz w:val="22"/>
          <w:szCs w:val="22"/>
        </w:rPr>
        <w:t xml:space="preserve">Government FIT-registered PV capacity statistics, published by Japan's Ministry of Economy, Trade and Industry, provide an independent secondary validation source at the prefecture level, consistent with the original study's approach.</w:t>
      </w:r>
    </w:p>
    <w:p>
      <w:pPr>
        <w:pStyle w:val="Heading1"/>
        <w:spacing w:after="150" w:before="300"/>
      </w:pPr>
      <w:r>
        <w:rPr>
          <w:rFonts w:ascii="Calibri" w:cs="Calibri" w:eastAsia="Calibri" w:hAnsi="Calibri"/>
        </w:rPr>
        <w:t xml:space="preserve">5. Methodology</w:t>
      </w:r>
    </w:p>
    <w:p>
      <w:pPr>
        <w:spacing w:after="200" w:line="276"/>
      </w:pPr>
      <w:r>
        <w:rPr>
          <w:rFonts w:ascii="Calibri" w:cs="Calibri" w:eastAsia="Calibri" w:hAnsi="Calibri"/>
          <w:i w:val="false"/>
          <w:iCs w:val="false"/>
          <w:sz w:val="22"/>
          <w:szCs w:val="22"/>
        </w:rPr>
        <w:t xml:space="preserve">The study proceeds in three stages. First, the spectral baseline is replicated following Shimada and Takeuchi's (2025) feature set, surface reflectance bands together with NDVI, MNDWI, PVSI, and BSI, and their XGBoost classifier, to establish a directly comparable reference point rather than relying solely on the published metrics. Second, a CNN-based classifier is trained on image patches centered on the same PV and non-PV locations, using either a compact architecture trained from scratch or a pretrained backbone (ResNet or EfficientNet) fine-tuned on the patch dataset. A frozen-embedding comparison with a self-supervised remote sensing foundation model may be added as a lower-cost extension if time allows.</w:t>
      </w:r>
    </w:p>
    <w:p>
      <w:pPr>
        <w:spacing w:after="200" w:line="276"/>
      </w:pPr>
      <w:r>
        <w:rPr>
          <w:rFonts w:ascii="Calibri" w:cs="Calibri" w:eastAsia="Calibri" w:hAnsi="Calibri"/>
          <w:i w:val="false"/>
          <w:iCs w:val="false"/>
          <w:sz w:val="22"/>
          <w:szCs w:val="22"/>
        </w:rPr>
        <w:t xml:space="preserve">Third, both models are evaluated on the full test set using the same metrics as the original study, overall accuracy, precision, recall, F1, and Cohen's Kappa, and separately on the stratified subset corresponding to the named failure cases, to test whether any aggregate improvement is concentrated in exactly the cases the spectral method struggled with, or is more diffuse.</w:t>
      </w:r>
    </w:p>
    <w:p>
      <w:pPr>
        <w:spacing w:after="200" w:line="276"/>
      </w:pPr>
      <w:r>
        <w:rPr>
          <w:rFonts w:ascii="Calibri" w:cs="Calibri" w:eastAsia="Calibri" w:hAnsi="Calibri"/>
          <w:i w:val="false"/>
          <w:iCs w:val="false"/>
          <w:sz w:val="22"/>
          <w:szCs w:val="22"/>
        </w:rPr>
        <w:t xml:space="preserve">Model training will run locally on an RTX 2070 Super, with Kaggle's free GPU tier as a fallback if patch volumes exceed what is practical locally.</w:t>
      </w:r>
    </w:p>
    <w:p>
      <w:pPr>
        <w:pStyle w:val="Heading1"/>
        <w:spacing w:after="150" w:before="300"/>
      </w:pPr>
      <w:r>
        <w:rPr>
          <w:rFonts w:ascii="Calibri" w:cs="Calibri" w:eastAsia="Calibri" w:hAnsi="Calibri"/>
        </w:rPr>
        <w:t xml:space="preserve">6. Expected Contribution</w:t>
      </w:r>
    </w:p>
    <w:p>
      <w:pPr>
        <w:spacing w:after="200" w:line="276"/>
      </w:pPr>
      <w:r>
        <w:rPr>
          <w:rFonts w:ascii="Calibri" w:cs="Calibri" w:eastAsia="Calibri" w:hAnsi="Calibri"/>
          <w:i w:val="false"/>
          <w:iCs w:val="false"/>
          <w:sz w:val="22"/>
          <w:szCs w:val="22"/>
        </w:rPr>
        <w:t xml:space="preserve">The contribution is not a new architecture but a targeted answer to a question the existing literature leaves open: whether the documented shortcomings of the current best spectral PV classifier for Japan are addressable with spatial context at a cost proportionate to the gain. The result, in either direction, informs a concrete design choice for future national-scale PV monitoring in Japan: whether the added labeling and compute burden of CNN-based detection is justified by measurable gains on the cases that matter, or whether the spectral approach's simplicity is not actually costing much accuracy where it counts.</w:t>
      </w:r>
    </w:p>
    <w:p>
      <w:pPr>
        <w:pStyle w:val="Heading1"/>
        <w:spacing w:after="150" w:before="300"/>
      </w:pPr>
      <w:r>
        <w:rPr>
          <w:rFonts w:ascii="Calibri" w:cs="Calibri" w:eastAsia="Calibri" w:hAnsi="Calibri"/>
        </w:rPr>
        <w:t xml:space="preserve">7. Chapter Outline</w:t>
      </w:r>
    </w:p>
    <w:p>
      <w:pPr>
        <w:spacing w:after="200" w:line="276"/>
      </w:pPr>
      <w:r>
        <w:rPr>
          <w:rFonts w:ascii="Calibri" w:cs="Calibri" w:eastAsia="Calibri" w:hAnsi="Calibri"/>
          <w:i w:val="false"/>
          <w:iCs w:val="false"/>
          <w:sz w:val="22"/>
          <w:szCs w:val="22"/>
        </w:rPr>
        <w:t xml:space="preserve">1. Introduction  2. Related Work  3. Data  4. Methodology  5. Results  6. Discussion  7. Limitations  8. Conclusion</w:t>
      </w:r>
    </w:p>
    <w:p>
      <w:pPr>
        <w:pStyle w:val="Heading1"/>
        <w:spacing w:after="150" w:before="300"/>
      </w:pPr>
      <w:r>
        <w:rPr>
          <w:rFonts w:ascii="Calibri" w:cs="Calibri" w:eastAsia="Calibri" w:hAnsi="Calibri"/>
        </w:rPr>
        <w:t xml:space="preserve">8. Timeline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2650"/>
        <w:gridCol w:w="5500"/>
      </w:tblGrid>
      <w:tr>
        <w:tc>
          <w:tcPr>
            <w:tcW w:type="dxa" w:w="1200"/>
            <w:shd w:fill="E8E8E8" w:val="clear"/>
            <w:tcMar>
              <w:top w:type="dxa" w:w="100"/>
              <w:left w:type="dxa" w:w="120"/>
              <w:bottom w:type="dxa" w:w="100"/>
              <w:right w:type="dxa" w:w="120"/>
            </w:tcMar>
          </w:tcPr>
          <w:p>
            <w:r>
              <w:rPr>
                <w:rFonts w:ascii="Calibri" w:cs="Calibri" w:eastAsia="Calibri" w:hAnsi="Calibri"/>
                <w:b/>
                <w:bCs/>
                <w:sz w:val="20"/>
                <w:szCs w:val="20"/>
              </w:rPr>
              <w:t xml:space="preserve">Week</w:t>
            </w:r>
          </w:p>
        </w:tc>
        <w:tc>
          <w:tcPr>
            <w:tcW w:type="dxa" w:w="2650"/>
            <w:shd w:fill="E8E8E8" w:val="clear"/>
            <w:tcMar>
              <w:top w:type="dxa" w:w="100"/>
              <w:left w:type="dxa" w:w="120"/>
              <w:bottom w:type="dxa" w:w="100"/>
              <w:right w:type="dxa" w:w="120"/>
            </w:tcMar>
          </w:tcPr>
          <w:p>
            <w:r>
              <w:rPr>
                <w:rFonts w:ascii="Calibri" w:cs="Calibri" w:eastAsia="Calibri" w:hAnsi="Calibri"/>
                <w:b/>
                <w:bCs/>
                <w:sz w:val="20"/>
                <w:szCs w:val="20"/>
              </w:rPr>
              <w:t xml:space="preserve">Dates</w:t>
            </w:r>
          </w:p>
        </w:tc>
        <w:tc>
          <w:tcPr>
            <w:tcW w:type="dxa" w:w="5500"/>
            <w:shd w:fill="E8E8E8" w:val="clear"/>
            <w:tcMar>
              <w:top w:type="dxa" w:w="100"/>
              <w:left w:type="dxa" w:w="120"/>
              <w:bottom w:type="dxa" w:w="100"/>
              <w:right w:type="dxa" w:w="120"/>
            </w:tcMar>
          </w:tcPr>
          <w:p>
            <w:r>
              <w:rPr>
                <w:rFonts w:ascii="Calibri" w:cs="Calibri" w:eastAsia="Calibri" w:hAnsi="Calibri"/>
                <w:b/>
                <w:bCs/>
                <w:sz w:val="20"/>
                <w:szCs w:val="20"/>
              </w:rPr>
              <w:t xml:space="preserve">Milestone</w:t>
            </w:r>
          </w:p>
        </w:tc>
      </w:tr>
      <w:tr>
        <w:tc>
          <w:tcPr>
            <w:tcW w:type="dxa" w:w="1200"/>
            <w:tcMar>
              <w:top w:type="dxa" w:w="100"/>
              <w:left w:type="dxa" w:w="120"/>
              <w:bottom w:type="dxa" w:w="100"/>
              <w:right w:type="dxa" w:w="120"/>
            </w:tcMar>
          </w:tcPr>
          <w:p>
            <w:r>
              <w:rPr>
                <w:rFonts w:ascii="Calibri" w:cs="Calibri" w:eastAsia="Calibri" w:hAnsi="Calibri"/>
                <w:b w:val="false"/>
                <w:bCs w:val="false"/>
                <w:sz w:val="20"/>
                <w:szCs w:val="20"/>
              </w:rPr>
              <w:t xml:space="preserve">1</w:t>
            </w:r>
          </w:p>
        </w:tc>
        <w:tc>
          <w:tcPr>
            <w:tcW w:type="dxa" w:w="2650"/>
            <w:tcMar>
              <w:top w:type="dxa" w:w="100"/>
              <w:left w:type="dxa" w:w="120"/>
              <w:bottom w:type="dxa" w:w="100"/>
              <w:right w:type="dxa" w:w="120"/>
            </w:tcMar>
          </w:tcPr>
          <w:p>
            <w:r>
              <w:rPr>
                <w:rFonts w:ascii="Calibri" w:cs="Calibri" w:eastAsia="Calibri" w:hAnsi="Calibri"/>
                <w:b w:val="false"/>
                <w:bCs w:val="false"/>
                <w:sz w:val="20"/>
                <w:szCs w:val="20"/>
              </w:rPr>
              <w:t xml:space="preserve">Jul 24 - Jul 30</w:t>
            </w:r>
          </w:p>
        </w:tc>
        <w:tc>
          <w:tcPr>
            <w:tcW w:type="dxa" w:w="5500"/>
            <w:tcMar>
              <w:top w:type="dxa" w:w="100"/>
              <w:left w:type="dxa" w:w="120"/>
              <w:bottom w:type="dxa" w:w="100"/>
              <w:right w:type="dxa" w:w="120"/>
            </w:tcMar>
          </w:tcPr>
          <w:p>
            <w:r>
              <w:rPr>
                <w:rFonts w:ascii="Calibri" w:cs="Calibri" w:eastAsia="Calibri" w:hAnsi="Calibri"/>
                <w:b w:val="false"/>
                <w:bCs w:val="false"/>
                <w:sz w:val="20"/>
                <w:szCs w:val="20"/>
              </w:rPr>
              <w:t xml:space="preserve">Submit Exposé. Verify Zenodo dataset contents. Set up GEE feature-extraction pipeline.</w:t>
            </w:r>
          </w:p>
        </w:tc>
      </w:tr>
      <w:tr>
        <w:tc>
          <w:tcPr>
            <w:tcW w:type="dxa" w:w="1200"/>
            <w:tcMar>
              <w:top w:type="dxa" w:w="100"/>
              <w:left w:type="dxa" w:w="120"/>
              <w:bottom w:type="dxa" w:w="100"/>
              <w:right w:type="dxa" w:w="120"/>
            </w:tcMar>
          </w:tcPr>
          <w:p>
            <w:r>
              <w:rPr>
                <w:rFonts w:ascii="Calibri" w:cs="Calibri" w:eastAsia="Calibri" w:hAnsi="Calibri"/>
                <w:b w:val="false"/>
                <w:bCs w:val="false"/>
                <w:sz w:val="20"/>
                <w:szCs w:val="20"/>
              </w:rPr>
              <w:t xml:space="preserve">2-3</w:t>
            </w:r>
          </w:p>
        </w:tc>
        <w:tc>
          <w:tcPr>
            <w:tcW w:type="dxa" w:w="2650"/>
            <w:tcMar>
              <w:top w:type="dxa" w:w="100"/>
              <w:left w:type="dxa" w:w="120"/>
              <w:bottom w:type="dxa" w:w="100"/>
              <w:right w:type="dxa" w:w="120"/>
            </w:tcMar>
          </w:tcPr>
          <w:p>
            <w:r>
              <w:rPr>
                <w:rFonts w:ascii="Calibri" w:cs="Calibri" w:eastAsia="Calibri" w:hAnsi="Calibri"/>
                <w:b w:val="false"/>
                <w:bCs w:val="false"/>
                <w:sz w:val="20"/>
                <w:szCs w:val="20"/>
              </w:rPr>
              <w:t xml:space="preserve">Jul 31 - Aug 13</w:t>
            </w:r>
          </w:p>
        </w:tc>
        <w:tc>
          <w:tcPr>
            <w:tcW w:type="dxa" w:w="5500"/>
            <w:tcMar>
              <w:top w:type="dxa" w:w="100"/>
              <w:left w:type="dxa" w:w="120"/>
              <w:bottom w:type="dxa" w:w="100"/>
              <w:right w:type="dxa" w:w="120"/>
            </w:tcMar>
          </w:tcPr>
          <w:p>
            <w:r>
              <w:rPr>
                <w:rFonts w:ascii="Calibri" w:cs="Calibri" w:eastAsia="Calibri" w:hAnsi="Calibri"/>
                <w:b w:val="false"/>
                <w:bCs w:val="false"/>
                <w:sz w:val="20"/>
                <w:szCs w:val="20"/>
              </w:rPr>
              <w:t xml:space="preserve">Replicate spectral/XGBoost baseline. Build patch dataset for CNN input.</w:t>
            </w:r>
          </w:p>
        </w:tc>
      </w:tr>
      <w:tr>
        <w:tc>
          <w:tcPr>
            <w:tcW w:type="dxa" w:w="1200"/>
            <w:tcMar>
              <w:top w:type="dxa" w:w="100"/>
              <w:left w:type="dxa" w:w="120"/>
              <w:bottom w:type="dxa" w:w="100"/>
              <w:right w:type="dxa" w:w="120"/>
            </w:tcMar>
          </w:tcPr>
          <w:p>
            <w:r>
              <w:rPr>
                <w:rFonts w:ascii="Calibri" w:cs="Calibri" w:eastAsia="Calibri" w:hAnsi="Calibri"/>
                <w:b w:val="false"/>
                <w:bCs w:val="false"/>
                <w:sz w:val="20"/>
                <w:szCs w:val="20"/>
              </w:rPr>
              <w:t xml:space="preserve">4</w:t>
            </w:r>
          </w:p>
        </w:tc>
        <w:tc>
          <w:tcPr>
            <w:tcW w:type="dxa" w:w="2650"/>
            <w:tcMar>
              <w:top w:type="dxa" w:w="100"/>
              <w:left w:type="dxa" w:w="120"/>
              <w:bottom w:type="dxa" w:w="100"/>
              <w:right w:type="dxa" w:w="120"/>
            </w:tcMar>
          </w:tcPr>
          <w:p>
            <w:r>
              <w:rPr>
                <w:rFonts w:ascii="Calibri" w:cs="Calibri" w:eastAsia="Calibri" w:hAnsi="Calibri"/>
                <w:b w:val="false"/>
                <w:bCs w:val="false"/>
                <w:sz w:val="20"/>
                <w:szCs w:val="20"/>
              </w:rPr>
              <w:t xml:space="preserve">Aug 14 - Aug 20</w:t>
            </w:r>
          </w:p>
        </w:tc>
        <w:tc>
          <w:tcPr>
            <w:tcW w:type="dxa" w:w="5500"/>
            <w:tcMar>
              <w:top w:type="dxa" w:w="100"/>
              <w:left w:type="dxa" w:w="120"/>
              <w:bottom w:type="dxa" w:w="100"/>
              <w:right w:type="dxa" w:w="120"/>
            </w:tcMar>
          </w:tcPr>
          <w:p>
            <w:r>
              <w:rPr>
                <w:rFonts w:ascii="Calibri" w:cs="Calibri" w:eastAsia="Calibri" w:hAnsi="Calibri"/>
                <w:b w:val="false"/>
                <w:bCs w:val="false"/>
                <w:sz w:val="20"/>
                <w:szCs w:val="20"/>
              </w:rPr>
              <w:t xml:space="preserve">Train and tune CNN classifier(s). Curate failure-case subset.</w:t>
            </w:r>
          </w:p>
        </w:tc>
      </w:tr>
      <w:tr>
        <w:tc>
          <w:tcPr>
            <w:tcW w:type="dxa" w:w="1200"/>
            <w:tcMar>
              <w:top w:type="dxa" w:w="100"/>
              <w:left w:type="dxa" w:w="120"/>
              <w:bottom w:type="dxa" w:w="100"/>
              <w:right w:type="dxa" w:w="120"/>
            </w:tcMar>
          </w:tcPr>
          <w:p>
            <w:r>
              <w:rPr>
                <w:rFonts w:ascii="Calibri" w:cs="Calibri" w:eastAsia="Calibri" w:hAnsi="Calibri"/>
                <w:b w:val="false"/>
                <w:bCs w:val="false"/>
                <w:sz w:val="20"/>
                <w:szCs w:val="20"/>
              </w:rPr>
              <w:t xml:space="preserve">5</w:t>
            </w:r>
          </w:p>
        </w:tc>
        <w:tc>
          <w:tcPr>
            <w:tcW w:type="dxa" w:w="2650"/>
            <w:tcMar>
              <w:top w:type="dxa" w:w="100"/>
              <w:left w:type="dxa" w:w="120"/>
              <w:bottom w:type="dxa" w:w="100"/>
              <w:right w:type="dxa" w:w="120"/>
            </w:tcMar>
          </w:tcPr>
          <w:p>
            <w:r>
              <w:rPr>
                <w:rFonts w:ascii="Calibri" w:cs="Calibri" w:eastAsia="Calibri" w:hAnsi="Calibri"/>
                <w:b w:val="false"/>
                <w:bCs w:val="false"/>
                <w:sz w:val="20"/>
                <w:szCs w:val="20"/>
              </w:rPr>
              <w:t xml:space="preserve">Aug 21 - Aug 27</w:t>
            </w:r>
          </w:p>
        </w:tc>
        <w:tc>
          <w:tcPr>
            <w:tcW w:type="dxa" w:w="5500"/>
            <w:tcMar>
              <w:top w:type="dxa" w:w="100"/>
              <w:left w:type="dxa" w:w="120"/>
              <w:bottom w:type="dxa" w:w="100"/>
              <w:right w:type="dxa" w:w="120"/>
            </w:tcMar>
          </w:tcPr>
          <w:p>
            <w:r>
              <w:rPr>
                <w:rFonts w:ascii="Calibri" w:cs="Calibri" w:eastAsia="Calibri" w:hAnsi="Calibri"/>
                <w:b w:val="false"/>
                <w:bCs w:val="false"/>
                <w:sz w:val="20"/>
                <w:szCs w:val="20"/>
              </w:rPr>
              <w:t xml:space="preserve">Run full evaluation. Compare against baseline on aggregate and failure-case metrics.</w:t>
            </w:r>
          </w:p>
        </w:tc>
      </w:tr>
      <w:tr>
        <w:tc>
          <w:tcPr>
            <w:tcW w:type="dxa" w:w="1200"/>
            <w:tcMar>
              <w:top w:type="dxa" w:w="100"/>
              <w:left w:type="dxa" w:w="120"/>
              <w:bottom w:type="dxa" w:w="100"/>
              <w:right w:type="dxa" w:w="120"/>
            </w:tcMar>
          </w:tcPr>
          <w:p>
            <w:r>
              <w:rPr>
                <w:rFonts w:ascii="Calibri" w:cs="Calibri" w:eastAsia="Calibri" w:hAnsi="Calibri"/>
                <w:b w:val="false"/>
                <w:bCs w:val="false"/>
                <w:sz w:val="20"/>
                <w:szCs w:val="20"/>
              </w:rPr>
              <w:t xml:space="preserve">6-7</w:t>
            </w:r>
          </w:p>
        </w:tc>
        <w:tc>
          <w:tcPr>
            <w:tcW w:type="dxa" w:w="2650"/>
            <w:tcMar>
              <w:top w:type="dxa" w:w="100"/>
              <w:left w:type="dxa" w:w="120"/>
              <w:bottom w:type="dxa" w:w="100"/>
              <w:right w:type="dxa" w:w="120"/>
            </w:tcMar>
          </w:tcPr>
          <w:p>
            <w:r>
              <w:rPr>
                <w:rFonts w:ascii="Calibri" w:cs="Calibri" w:eastAsia="Calibri" w:hAnsi="Calibri"/>
                <w:b w:val="false"/>
                <w:bCs w:val="false"/>
                <w:sz w:val="20"/>
                <w:szCs w:val="20"/>
              </w:rPr>
              <w:t xml:space="preserve">Aug 28 - Sep 10</w:t>
            </w:r>
          </w:p>
        </w:tc>
        <w:tc>
          <w:tcPr>
            <w:tcW w:type="dxa" w:w="5500"/>
            <w:tcMar>
              <w:top w:type="dxa" w:w="100"/>
              <w:left w:type="dxa" w:w="120"/>
              <w:bottom w:type="dxa" w:w="100"/>
              <w:right w:type="dxa" w:w="120"/>
            </w:tcMar>
          </w:tcPr>
          <w:p>
            <w:r>
              <w:rPr>
                <w:rFonts w:ascii="Calibri" w:cs="Calibri" w:eastAsia="Calibri" w:hAnsi="Calibri"/>
                <w:b w:val="false"/>
                <w:bCs w:val="false"/>
                <w:sz w:val="20"/>
                <w:szCs w:val="20"/>
              </w:rPr>
              <w:t xml:space="preserve">Write Results, Discussion, Limitations.</w:t>
            </w:r>
          </w:p>
        </w:tc>
      </w:tr>
      <w:tr>
        <w:tc>
          <w:tcPr>
            <w:tcW w:type="dxa" w:w="1200"/>
            <w:tcMar>
              <w:top w:type="dxa" w:w="100"/>
              <w:left w:type="dxa" w:w="120"/>
              <w:bottom w:type="dxa" w:w="100"/>
              <w:right w:type="dxa" w:w="120"/>
            </w:tcMar>
          </w:tcPr>
          <w:p>
            <w:r>
              <w:rPr>
                <w:rFonts w:ascii="Calibri" w:cs="Calibri" w:eastAsia="Calibri" w:hAnsi="Calibri"/>
                <w:b w:val="false"/>
                <w:bCs w:val="false"/>
                <w:sz w:val="20"/>
                <w:szCs w:val="20"/>
              </w:rPr>
              <w:t xml:space="preserve">8</w:t>
            </w:r>
          </w:p>
        </w:tc>
        <w:tc>
          <w:tcPr>
            <w:tcW w:type="dxa" w:w="2650"/>
            <w:tcMar>
              <w:top w:type="dxa" w:w="100"/>
              <w:left w:type="dxa" w:w="120"/>
              <w:bottom w:type="dxa" w:w="100"/>
              <w:right w:type="dxa" w:w="120"/>
            </w:tcMar>
          </w:tcPr>
          <w:p>
            <w:r>
              <w:rPr>
                <w:rFonts w:ascii="Calibri" w:cs="Calibri" w:eastAsia="Calibri" w:hAnsi="Calibri"/>
                <w:b w:val="false"/>
                <w:bCs w:val="false"/>
                <w:sz w:val="20"/>
                <w:szCs w:val="20"/>
              </w:rPr>
              <w:t xml:space="preserve">Sep 11 - Sep 17</w:t>
            </w:r>
          </w:p>
        </w:tc>
        <w:tc>
          <w:tcPr>
            <w:tcW w:type="dxa" w:w="5500"/>
            <w:tcMar>
              <w:top w:type="dxa" w:w="100"/>
              <w:left w:type="dxa" w:w="120"/>
              <w:bottom w:type="dxa" w:w="100"/>
              <w:right w:type="dxa" w:w="120"/>
            </w:tcMar>
          </w:tcPr>
          <w:p>
            <w:r>
              <w:rPr>
                <w:rFonts w:ascii="Calibri" w:cs="Calibri" w:eastAsia="Calibri" w:hAnsi="Calibri"/>
                <w:b w:val="false"/>
                <w:bCs w:val="false"/>
                <w:sz w:val="20"/>
                <w:szCs w:val="20"/>
              </w:rPr>
              <w:t xml:space="preserve">Proofread, formatting, buffer.</w:t>
            </w:r>
          </w:p>
        </w:tc>
      </w:tr>
    </w:tbl>
    <w:p>
      <w:pPr>
        <w:spacing w:before="200"/>
      </w:pPr>
    </w:p>
    <w:p>
      <w:pPr>
        <w:pStyle w:val="Heading1"/>
        <w:spacing w:after="150" w:before="300"/>
      </w:pPr>
      <w:r>
        <w:rPr>
          <w:rFonts w:ascii="Calibri" w:cs="Calibri" w:eastAsia="Calibri" w:hAnsi="Calibri"/>
        </w:rPr>
        <w:t xml:space="preserve">9. Preliminary Bibliography</w:t>
      </w:r>
    </w:p>
    <w:p>
      <w:pPr>
        <w:spacing w:after="200" w:line="276"/>
      </w:pPr>
      <w:r>
        <w:rPr>
          <w:rFonts w:ascii="Calibri" w:cs="Calibri" w:eastAsia="Calibri" w:hAnsi="Calibri"/>
          <w:i/>
          <w:iCs/>
          <w:sz w:val="22"/>
          <w:szCs w:val="22"/>
        </w:rPr>
        <w:t xml:space="preserve">The entries below were located via web search while scoping this topic. None have been verified against Zotero or original DOIs. Confirm each before citing in the actual term paper.</w:t>
      </w:r>
    </w:p>
    <w:p>
      <w:pPr>
        <w:spacing w:after="140"/>
        <w:ind w:left="360" w:hanging="360"/>
      </w:pPr>
      <w:r>
        <w:rPr>
          <w:rFonts w:ascii="Calibri" w:cs="Calibri" w:eastAsia="Calibri" w:hAnsi="Calibri"/>
          <w:sz w:val="21"/>
          <w:szCs w:val="21"/>
        </w:rPr>
        <w:t xml:space="preserve">Shimada, S., &amp; Takeuchi, W. (2025). Satellite-based analysis uncovers uneven solar PV distribution across Japan and its consumption of forest and agricultural lands. Scientific Reports, 15, 26671. https://doi.org/10.1038/s41598-025-11222-4</w:t>
      </w:r>
    </w:p>
    <w:p>
      <w:pPr>
        <w:spacing w:after="140"/>
        <w:ind w:left="360" w:hanging="360"/>
      </w:pPr>
      <w:r>
        <w:rPr>
          <w:rFonts w:ascii="Calibri" w:cs="Calibri" w:eastAsia="Calibri" w:hAnsi="Calibri"/>
          <w:sz w:val="21"/>
          <w:szCs w:val="21"/>
        </w:rPr>
        <w:t xml:space="preserve">Shimada, S., &amp; Takeuchi, W. (2023). Revealing a shift in solar photovoltaic planning sites in Vietnam from 2019 to 2022. Remote Sensing, 15(11), 2756.</w:t>
      </w:r>
    </w:p>
    <w:p>
      <w:pPr>
        <w:spacing w:after="140"/>
        <w:ind w:left="360" w:hanging="360"/>
      </w:pPr>
      <w:r>
        <w:rPr>
          <w:rFonts w:ascii="Calibri" w:cs="Calibri" w:eastAsia="Calibri" w:hAnsi="Calibri"/>
          <w:sz w:val="21"/>
          <w:szCs w:val="21"/>
        </w:rPr>
        <w:t xml:space="preserve">Yu, J., Wang, Z., Majumdar, A., &amp; Rajagopal, R. (2018). DeepSolar: A machine learning framework to efficiently construct a solar deployment database in the United States. Joule, 2(12), 2605-2617.</w:t>
      </w:r>
    </w:p>
    <w:p>
      <w:pPr>
        <w:spacing w:after="140"/>
        <w:ind w:left="360" w:hanging="360"/>
      </w:pPr>
      <w:r>
        <w:rPr>
          <w:rFonts w:ascii="Calibri" w:cs="Calibri" w:eastAsia="Calibri" w:hAnsi="Calibri"/>
          <w:sz w:val="21"/>
          <w:szCs w:val="21"/>
        </w:rPr>
        <w:t xml:space="preserve">Kruitwagen, L., et al. (2021). A global inventory of photovoltaic solar energy generating units. Nature, 598, 604-610.</w:t>
      </w:r>
    </w:p>
    <w:p>
      <w:pPr>
        <w:spacing w:after="140"/>
        <w:ind w:left="360" w:hanging="360"/>
      </w:pPr>
      <w:r>
        <w:rPr>
          <w:rFonts w:ascii="Calibri" w:cs="Calibri" w:eastAsia="Calibri" w:hAnsi="Calibri"/>
          <w:sz w:val="21"/>
          <w:szCs w:val="21"/>
        </w:rPr>
        <w:t xml:space="preserve">da Costa, M. V. C. V., et al. (2021). Remote sensing for monitoring photovoltaic solar plants in Brazil using deep semantic segmentation. Energies, 14(10), 2960.</w:t>
      </w:r>
    </w:p>
    <w:p>
      <w:pPr>
        <w:spacing w:after="140"/>
        <w:ind w:left="360" w:hanging="360"/>
      </w:pPr>
      <w:r>
        <w:rPr>
          <w:rFonts w:ascii="Calibri" w:cs="Calibri" w:eastAsia="Calibri" w:hAnsi="Calibri"/>
          <w:sz w:val="21"/>
          <w:szCs w:val="21"/>
        </w:rPr>
        <w:t xml:space="preserve">Zhang, X., Xu, M., Wang, S., Huang, Y., &amp; Xie, Z. (2022). Mapping photovoltaic power plants in China using Landsat, random forest, and Google Earth Engine. Earth System Science Data, 14, 3743-3755.</w:t>
      </w:r>
    </w:p>
    <w:p>
      <w:pPr>
        <w:spacing w:after="140"/>
        <w:ind w:left="360" w:hanging="360"/>
      </w:pPr>
      <w:r>
        <w:rPr>
          <w:rFonts w:ascii="Calibri" w:cs="Calibri" w:eastAsia="Calibri" w:hAnsi="Calibri"/>
          <w:sz w:val="21"/>
          <w:szCs w:val="21"/>
        </w:rPr>
        <w:t xml:space="preserve">Feng, Q., et al. (2024). A 10-m national-scale map of ground-mounted photovoltaic power stations in China of 2020. Scientific Data, 11, 198.</w:t>
      </w:r>
    </w:p>
    <w:p>
      <w:pPr>
        <w:spacing w:after="140"/>
        <w:ind w:left="360" w:hanging="360"/>
      </w:pPr>
      <w:r>
        <w:rPr>
          <w:rFonts w:ascii="Calibri" w:cs="Calibri" w:eastAsia="Calibri" w:hAnsi="Calibri"/>
          <w:sz w:val="21"/>
          <w:szCs w:val="21"/>
        </w:rPr>
        <w:t xml:space="preserve">Su, G., Okahashi, H., &amp; Chen, L. (2018). Spatial pattern of farmland abandonment in Japan: Identification and determinants. Sustainability, 10(10), 3676.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2026-07-23T09:19:05.810Z</dcterms:created>
  <dcterms:modified xsi:type="dcterms:W3CDTF">2026-07-23T09:19:05.824Z</dcterms:modified>
</cp:coreProperties>
</file>

<file path=docProps/custom.xml><?xml version="1.0" encoding="utf-8"?>
<Properties xmlns="http://schemas.openxmlformats.org/officeDocument/2006/custom-properties" xmlns:vt="http://schemas.openxmlformats.org/officeDocument/2006/docPropsVTypes"/>
</file>