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3.4</w:t>
      </w:r>
    </w:p>
    <w:p>
      <w:pPr>
        <w:spacing w:after="120"/>
        <w:jc w:val="center"/>
      </w:pPr>
      <w:r>
        <w:rPr>
          <w:rFonts w:ascii="Calibri" w:cs="Calibri" w:eastAsia="Calibri" w:hAnsi="Calibri"/>
          <w:color w:val="5A6B8C"/>
          <w:sz w:val="22"/>
          <w:szCs w:val="22"/>
        </w:rPr>
        <w:t xml:space="preserve">Actualizado el 23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9</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18</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texto se guarda en mayúsculas:  </w:t>
            </w:r>
            <w:r>
              <w:rPr>
                <w:rFonts w:ascii="Calibri" w:cs="Calibri" w:eastAsia="Calibri" w:hAnsi="Calibri"/>
                <w:color w:val="232B3D"/>
                <w:sz w:val="22"/>
                <w:szCs w:val="22"/>
              </w:rPr>
              <w:t xml:space="preserve">la Referencia oficio, la Causal, la Observación y los datos de las personas investigadas se registran en MAYÚSCULAS, con independencia de cómo se escriban, de modo que un mismo dato no figure de varias formas en las consultas y los reportes.</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Los oficios se presentan del más reciente al más antiguo: el último incorporado encabeza la lista. La exportación conserva ese mismo orden.</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Adjuntar oficio: incorpora el documento a un oficio que no lo tiene. Cuando el oficio ya cuenta con él, este mismo botón se denomina Cambiar oficio y lo sustituye,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Las columnas Documento y Respuesta PDF de la lista señalan con «Sí» los oficios que ya cuentan con cada archivo, y con un guion los que no.</w:t>
      </w: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Los oficios incorporados por carga masiva llegan sin documento:  </w:t>
            </w:r>
            <w:r>
              <w:rPr>
                <w:rFonts w:ascii="Calibri" w:cs="Calibri" w:eastAsia="Calibri" w:hAnsi="Calibri"/>
                <w:color w:val="232B3D"/>
                <w:sz w:val="22"/>
                <w:szCs w:val="22"/>
              </w:rPr>
              <w:t xml:space="preserve">un archivo de Excel no puede contenerlo. Localícelos por la columna Documento y utilice Adjuntar oficio para completarlos.</w:t>
            </w:r>
          </w:p>
        </w:tc>
      </w:tr>
    </w:tbl>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de oficios, total de personas investigadas, distribución por estado, porcentaje de finalizados, días promedio de respuesta, recepciones del día, de la semana y del mes, y seguimiento de las respuestas. A continuación se presentan cinco gráficos: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Total de personas investigadas:  </w:t>
            </w:r>
            <w:r>
              <w:rPr>
                <w:rFonts w:ascii="Calibri" w:cs="Calibri" w:eastAsia="Calibri" w:hAnsi="Calibri"/>
                <w:color w:val="232B3D"/>
                <w:sz w:val="22"/>
                <w:szCs w:val="22"/>
              </w:rPr>
              <w:t xml:space="preserve">acompaña al total de oficios porque un mismo oficio puede investigar a varias personas. Se obtiene del detalle de personas de cada oficio y, cuando no lo tiene, de su cantidad de investigados. Al aplicar los filtros del tablero, la tarjeta suma únicamente los oficios que queden seleccionados.</w:t>
            </w:r>
          </w:p>
        </w:tc>
      </w:tr>
    </w:tbl>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fuera del sistema,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Tome como plantilla el archivo de ejemplo de la carga masiva.</w:t>
      </w:r>
    </w:p>
    <w:p>
      <w:pPr>
        <w:pStyle w:val="ListParagraph"/>
        <w:numPr>
          <w:ilvl w:val="0"/>
          <w:numId w:val="8"/>
        </w:numPr>
        <w:spacing w:after="80" w:line="276"/>
      </w:pPr>
      <w:r>
        <w:rPr>
          <w:rFonts w:ascii="Calibri" w:cs="Calibri" w:eastAsia="Calibri" w:hAnsi="Calibri"/>
          <w:color w:val="232B3D"/>
          <w:sz w:val="22"/>
          <w:szCs w:val="22"/>
        </w:rPr>
        <w:t xml:space="preserve">Complete el archivo respetando sus columnas: una fila por cada persona investigada.</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 y seleccione el archivo (.xlsx o .csv).</w:t>
      </w:r>
    </w:p>
    <w:p>
      <w:pPr>
        <w:pStyle w:val="ListParagraph"/>
        <w:numPr>
          <w:ilvl w:val="0"/>
          <w:numId w:val="8"/>
        </w:numPr>
        <w:spacing w:after="80" w:line="276"/>
      </w:pPr>
      <w:r>
        <w:rPr>
          <w:rFonts w:ascii="Calibri" w:cs="Calibri" w:eastAsia="Calibri" w:hAnsi="Calibri"/>
          <w:color w:val="232B3D"/>
          <w:sz w:val="22"/>
          <w:szCs w:val="22"/>
        </w:rPr>
        <w:t xml:space="preserve">Revise la vista previa. Si el archivo no presenta errores, 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formato de la importación es el de la exportación, sin la Referencia UDC:  </w:t>
            </w:r>
            <w:r>
              <w:rPr>
                <w:rFonts w:ascii="Calibri" w:cs="Calibri" w:eastAsia="Calibri" w:hAnsi="Calibri"/>
                <w:color w:val="232B3D"/>
                <w:sz w:val="22"/>
                <w:szCs w:val="22"/>
              </w:rPr>
              <w:t xml:space="preserve">las columnas que produce Exportar oficios, en su mismo orden, salvo la Referencia UDC, que no se consigna porque la asigna el sistema al importar. La cabecera ocupa la fila 1 —a partir de la celda A1— y los datos comienzan en la fila 2. Las filas que comparten la misma Referencia oficio constituyen un solo oficio y cada una aporta una persona investigada; los datos del oficio se repiten en todas ellas y deben coincidir.</w:t>
            </w:r>
          </w:p>
        </w:tc>
      </w:tr>
    </w:tbl>
    <w:p>
      <w:pPr>
        <w:spacing w:after="120"/>
      </w:pP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archivo se incorpora completo o no se incorpora:  </w:t>
            </w:r>
            <w:r>
              <w:rPr>
                <w:rFonts w:ascii="Calibri" w:cs="Calibri" w:eastAsia="Calibri" w:hAnsi="Calibri"/>
                <w:color w:val="232B3D"/>
                <w:sz w:val="22"/>
                <w:szCs w:val="22"/>
              </w:rPr>
              <w:t xml:space="preserve">antes de guardar información alguna se valida el archivo entero con las mismas reglas que exige el registro manual. Mientras subsista una sola fila con error, la aplicación no ofrece la importación y no se guarda nada. Corrija las filas señaladas y vuelva a cargar el archivo.</w:t>
            </w:r>
          </w:p>
        </w:tc>
      </w:tr>
    </w:tbl>
    <w:p>
      <w:pPr>
        <w:spacing w:after="120" w:line="276"/>
      </w:pPr>
      <w:r>
        <w:rPr>
          <w:rFonts w:ascii="Calibri" w:cs="Calibri" w:eastAsia="Calibri" w:hAnsi="Calibri"/>
          <w:color w:val="232B3D"/>
          <w:sz w:val="22"/>
          <w:szCs w:val="22"/>
        </w:rPr>
        <w:t xml:space="preserve">La vista previa se presenta en dos pestañas. La primera, Oficios del archivo, relaciona lo que contiene; la segunda, Filas con error, indica una por una las filas que no pueden incorporarse, con la línea del archivo, la Referencia oficio y el motivo. Cuando un oficio ocupa varias líneas se señalan todas ellas.</w:t>
      </w:r>
    </w:p>
    <w:p>
      <w:pPr>
        <w:pStyle w:val="Heading3"/>
        <w:spacing w:after="100" w:before="200"/>
      </w:pPr>
      <w:r>
        <w:rPr>
          <w:rFonts w:ascii="Calibri" w:cs="Calibri" w:eastAsia="Calibri" w:hAnsi="Calibri"/>
          <w:b/>
          <w:bCs/>
          <w:color w:val="5A6B8C"/>
          <w:sz w:val="23"/>
          <w:szCs w:val="23"/>
        </w:rPr>
        <w:t xml:space="preserve">Qué se comprueba en cada oficio</w:t>
      </w:r>
    </w:p>
    <w:p>
      <w:pPr>
        <w:pStyle w:val="ListParagraph"/>
        <w:numPr>
          <w:ilvl w:val="0"/>
          <w:numId w:val="4"/>
        </w:numPr>
        <w:spacing w:after="80" w:line="276"/>
      </w:pPr>
      <w:r>
        <w:rPr>
          <w:rFonts w:ascii="Calibri" w:cs="Calibri" w:eastAsia="Calibri" w:hAnsi="Calibri"/>
          <w:color w:val="232B3D"/>
          <w:sz w:val="22"/>
          <w:szCs w:val="22"/>
        </w:rPr>
        <w:t xml:space="preserve">La Institución del Estado y el Tipo de acción deben corresponder a los del sistema; el tipo de acción, al catálogo vigente.</w:t>
      </w:r>
    </w:p>
    <w:p>
      <w:pPr>
        <w:pStyle w:val="ListParagraph"/>
        <w:numPr>
          <w:ilvl w:val="0"/>
          <w:numId w:val="4"/>
        </w:numPr>
        <w:spacing w:after="80" w:line="276"/>
      </w:pPr>
      <w:r>
        <w:rPr>
          <w:rFonts w:ascii="Calibri" w:cs="Calibri" w:eastAsia="Calibri" w:hAnsi="Calibri"/>
          <w:color w:val="232B3D"/>
          <w:sz w:val="22"/>
          <w:szCs w:val="22"/>
        </w:rPr>
        <w:t xml:space="preserve">Las fechas de oficio y de recepción son obligatorias, no pueden ser posteriores al día en curso y la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estado debe concordar con el resto del oficio: sin responsable únicamente cabe Por asignar; con responsable, En proceso; y con fecha de respuesta, Finalizado. La aplicación no lo corrige en silencio: lo advierte.</w:t>
      </w:r>
    </w:p>
    <w:p>
      <w:pPr>
        <w:pStyle w:val="ListParagraph"/>
        <w:numPr>
          <w:ilvl w:val="0"/>
          <w:numId w:val="4"/>
        </w:numPr>
        <w:spacing w:after="80" w:line="276"/>
      </w:pPr>
      <w:r>
        <w:rPr>
          <w:rFonts w:ascii="Calibri" w:cs="Calibri" w:eastAsia="Calibri" w:hAnsi="Calibri"/>
          <w:color w:val="232B3D"/>
          <w:sz w:val="22"/>
          <w:szCs w:val="22"/>
        </w:rPr>
        <w:t xml:space="preserve">Para que un oficio se incorpore como Finalizado deben constar su fecha de asignación y su fecha de respuesta.</w:t>
      </w:r>
    </w:p>
    <w:p>
      <w:pPr>
        <w:pStyle w:val="ListParagraph"/>
        <w:numPr>
          <w:ilvl w:val="0"/>
          <w:numId w:val="4"/>
        </w:numPr>
        <w:spacing w:after="80" w:line="276"/>
      </w:pPr>
      <w:r>
        <w:rPr>
          <w:rFonts w:ascii="Calibri" w:cs="Calibri" w:eastAsia="Calibri" w:hAnsi="Calibri"/>
          <w:color w:val="232B3D"/>
          <w:sz w:val="22"/>
          <w:szCs w:val="22"/>
        </w:rPr>
        <w:t xml:space="preserve">La fecha de asignación exige responsable: no puede asignarse un oficio a nadie.</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debe coincidir con el número de personas relacionadas, cuando estas se detallan.</w:t>
      </w:r>
    </w:p>
    <w:p>
      <w:pPr>
        <w:pStyle w:val="ListParagraph"/>
        <w:numPr>
          <w:ilvl w:val="0"/>
          <w:numId w:val="4"/>
        </w:numPr>
        <w:spacing w:after="80" w:line="276"/>
      </w:pPr>
      <w:r>
        <w:rPr>
          <w:rFonts w:ascii="Calibri" w:cs="Calibri" w:eastAsia="Calibri" w:hAnsi="Calibri"/>
          <w:color w:val="232B3D"/>
          <w:sz w:val="22"/>
          <w:szCs w:val="22"/>
        </w:rPr>
        <w:t xml:space="preserve">Cada persona investigada requiere nombre, tipo de implicado y una identificación bien formada: la cédula debe tener 10 dígitos exactos, el RUC 13 y el pasaporte, letras y números. Se admiten puntos, guiones y espacios, que se descartan antes de comprobarla.</w:t>
      </w:r>
    </w:p>
    <w:p>
      <w:pPr>
        <w:pStyle w:val="ListParagraph"/>
        <w:numPr>
          <w:ilvl w:val="0"/>
          <w:numId w:val="4"/>
        </w:numPr>
        <w:spacing w:after="80" w:line="276"/>
      </w:pPr>
      <w:r>
        <w:rPr>
          <w:rFonts w:ascii="Calibri" w:cs="Calibri" w:eastAsia="Calibri" w:hAnsi="Calibri"/>
          <w:color w:val="232B3D"/>
          <w:sz w:val="22"/>
          <w:szCs w:val="22"/>
        </w:rPr>
        <w:t xml:space="preserve">La Referencia oficio es obligatoria y no puede repetirse, ni dentro del archivo ni respecto de los oficios ya registrados.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escribir el archivo no importan las mayúsculas ni las tildes:  </w:t>
            </w:r>
            <w:r>
              <w:rPr>
                <w:rFonts w:ascii="Calibri" w:cs="Calibri" w:eastAsia="Calibri" w:hAnsi="Calibri"/>
                <w:color w:val="232B3D"/>
                <w:sz w:val="22"/>
                <w:szCs w:val="22"/>
              </w:rPr>
              <w:t xml:space="preserve">en ningún campo. FINALIZADO, Finalizado y finalizado son el mismo estado; CEDULA es Cédula; y fiscalia general del estado, la Fiscalía General del Estado. La aplicación guarda siempre la forma correcta, y el texto libre —Referencia oficio, Causal, Observación y los datos de las personas investigadas— queda en MAYÚSCULAS. Lo que sí es estricto es la estructura: las columnas y su orden.</w:t>
            </w:r>
          </w:p>
        </w:tc>
      </w:tr>
    </w:tbl>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responsable se indica con su nombre de usuario:  </w:t>
            </w:r>
            <w:r>
              <w:rPr>
                <w:rFonts w:ascii="Calibri" w:cs="Calibri" w:eastAsia="Calibri" w:hAnsi="Calibri"/>
                <w:color w:val="232B3D"/>
                <w:sz w:val="22"/>
                <w:szCs w:val="22"/>
              </w:rPr>
              <w:t xml:space="preserve">la columna Usuario responsable admite el nombre de cuenta —en minúsculas y sin espacios, como cmroman o jportero—, no el nombre de la persona. Si la cuenta no existe, la aplicación lo advierte y no incorpora nada: deberá crearla previamente en la pestaña Usuarios y volver a cargar el archivo.</w:t>
            </w:r>
          </w:p>
        </w:tc>
      </w:tr>
    </w:tbl>
    <w:p>
      <w:pPr>
        <w:pStyle w:val="Heading3"/>
        <w:spacing w:after="100" w:before="200"/>
      </w:pPr>
      <w:r>
        <w:rPr>
          <w:rFonts w:ascii="Calibri" w:cs="Calibri" w:eastAsia="Calibri" w:hAnsi="Calibri"/>
          <w:b/>
          <w:bCs/>
          <w:color w:val="5A6B8C"/>
          <w:sz w:val="23"/>
          <w:szCs w:val="23"/>
        </w:rPr>
        <w:t xml:space="preserve">Qué no figura en el archivo</w:t>
      </w:r>
    </w:p>
    <w:p>
      <w:pPr>
        <w:spacing w:after="120" w:line="276"/>
      </w:pPr>
      <w:r>
        <w:rPr>
          <w:rFonts w:ascii="Calibri" w:cs="Calibri" w:eastAsia="Calibri" w:hAnsi="Calibri"/>
          <w:color w:val="232B3D"/>
          <w:sz w:val="22"/>
          <w:szCs w:val="22"/>
        </w:rPr>
        <w:t xml:space="preserve">El archivo solo contiene aquello que debe aportarse. No figuran, y por tanto no se consignan:</w:t>
      </w:r>
    </w:p>
    <w:p>
      <w:pPr>
        <w:pStyle w:val="ListParagraph"/>
        <w:numPr>
          <w:ilvl w:val="0"/>
          <w:numId w:val="4"/>
        </w:numPr>
        <w:spacing w:after="80" w:line="276"/>
      </w:pPr>
      <w:r>
        <w:rPr>
          <w:rFonts w:ascii="Calibri" w:cs="Calibri" w:eastAsia="Calibri" w:hAnsi="Calibri"/>
          <w:color w:val="232B3D"/>
          <w:sz w:val="22"/>
          <w:szCs w:val="22"/>
        </w:rPr>
        <w:t xml:space="preserve">La Referencia UDC: la asigna la aplicación según la institución de cada oficio.</w:t>
      </w:r>
    </w:p>
    <w:p>
      <w:pPr>
        <w:pStyle w:val="ListParagraph"/>
        <w:numPr>
          <w:ilvl w:val="0"/>
          <w:numId w:val="4"/>
        </w:numPr>
        <w:spacing w:after="80" w:line="276"/>
      </w:pPr>
      <w:r>
        <w:rPr>
          <w:rFonts w:ascii="Calibri" w:cs="Calibri" w:eastAsia="Calibri" w:hAnsi="Calibri"/>
          <w:color w:val="232B3D"/>
          <w:sz w:val="22"/>
          <w:szCs w:val="22"/>
        </w:rPr>
        <w:t xml:space="preserve">El documento del oficio y la respuesta en PDF: son archivos y se adjuntan posteriormente desde la pestaña Oficios, mediante Adjuntar oficio y Adjuntar respuesta (PDF).</w:t>
      </w:r>
    </w:p>
    <w:p>
      <w:pPr>
        <w:pStyle w:val="ListParagraph"/>
        <w:numPr>
          <w:ilvl w:val="0"/>
          <w:numId w:val="4"/>
        </w:numPr>
        <w:spacing w:after="80" w:line="276"/>
      </w:pPr>
      <w:r>
        <w:rPr>
          <w:rFonts w:ascii="Calibri" w:cs="Calibri" w:eastAsia="Calibri" w:hAnsi="Calibri"/>
          <w:color w:val="232B3D"/>
          <w:sz w:val="22"/>
          <w:szCs w:val="22"/>
        </w:rPr>
        <w:t xml:space="preserve">Registrado por, Fecha de registro y Origen: los consigna la propia importación.</w:t>
      </w:r>
    </w:p>
    <w:p>
      <w:pPr>
        <w:pStyle w:val="ListParagraph"/>
        <w:numPr>
          <w:ilvl w:val="0"/>
          <w:numId w:val="4"/>
        </w:numPr>
        <w:spacing w:after="80" w:line="276"/>
      </w:pPr>
      <w:r>
        <w:rPr>
          <w:rFonts w:ascii="Calibri" w:cs="Calibri" w:eastAsia="Calibri" w:hAnsi="Calibri"/>
          <w:color w:val="232B3D"/>
          <w:sz w:val="22"/>
          <w:szCs w:val="22"/>
        </w:rPr>
        <w:t xml:space="preserve">Anulado y Motivo de anulación: la anulación de un oficio se efectúa desde Mantenimiento, una vez registrado.</w:t>
      </w:r>
    </w:p>
    <w:p>
      <w:pPr>
        <w:spacing w:after="120" w:line="276"/>
      </w:pPr>
      <w:r>
        <w:rPr>
          <w:rFonts w:ascii="Calibri" w:cs="Calibri" w:eastAsia="Calibri" w:hAnsi="Calibri"/>
          <w:color w:val="232B3D"/>
          <w:sz w:val="22"/>
          <w:szCs w:val="22"/>
        </w:rPr>
        <w:t xml:space="preserve">Si el archivo incluyera alguna de estas columnas —por haberse partido de una exportación—, la aplicación las enumera con su motivo y solicita eliminarlas.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tener las mismas columnas que la exportación de oficios, en su orden y sin la Referencia UDC, con la cabecera en la primera fila y los datos desde la segunda. Tome como plantilla el archivo de ejemplo de la carga masiva. Si el rechazo no es por el formato sino por el contenido, la pestaña Filas con error indica qué línea revisar y por qué; recuerde que el archivo se incorpora completo o no se incorpora.</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3.4 · 23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2026-09-23T16:32:58.985Z</dcterms:created>
  <dcterms:modified xsi:type="dcterms:W3CDTF">2026-09-23T16:32:58.985Z</dcterms:modified>
</cp:coreProperties>
</file>

<file path=docProps/custom.xml><?xml version="1.0" encoding="utf-8"?>
<Properties xmlns="http://schemas.openxmlformats.org/officeDocument/2006/custom-properties" xmlns:vt="http://schemas.openxmlformats.org/officeDocument/2006/docPropsVTypes"/>
</file>