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3.0</w:t>
      </w:r>
    </w:p>
    <w:p>
      <w:pPr>
        <w:spacing w:after="120"/>
        <w:jc w:val="center"/>
      </w:pPr>
      <w:r>
        <w:rPr>
          <w:rFonts w:ascii="Calibri" w:cs="Calibri" w:eastAsia="Calibri" w:hAnsi="Calibri"/>
          <w:color w:val="5A6B8C"/>
          <w:sz w:val="22"/>
          <w:szCs w:val="22"/>
        </w:rPr>
        <w:t xml:space="preserve">Actualizado el 1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18</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distribución por estado, porcentaje de finalizados, días promedio de respuesta, recepciones del día, de la semana y del mes, y seguimiento de las respuestas. A continuación se presentan cinco gráficos: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fuera del sistema,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Exporte los oficios desde la pestaña Oficios para obtener la plantilla, o utilice el archivo de ejemplo.</w:t>
      </w:r>
    </w:p>
    <w:p>
      <w:pPr>
        <w:pStyle w:val="ListParagraph"/>
        <w:numPr>
          <w:ilvl w:val="0"/>
          <w:numId w:val="8"/>
        </w:numPr>
        <w:spacing w:after="80" w:line="276"/>
      </w:pPr>
      <w:r>
        <w:rPr>
          <w:rFonts w:ascii="Calibri" w:cs="Calibri" w:eastAsia="Calibri" w:hAnsi="Calibri"/>
          <w:color w:val="232B3D"/>
          <w:sz w:val="22"/>
          <w:szCs w:val="22"/>
        </w:rPr>
        <w:t xml:space="preserve">Complete el archivo respetando sus columnas: una fila por cada persona investigada.</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 y seleccione el archivo (.xlsx o .csv).</w:t>
      </w:r>
    </w:p>
    <w:p>
      <w:pPr>
        <w:pStyle w:val="ListParagraph"/>
        <w:numPr>
          <w:ilvl w:val="0"/>
          <w:numId w:val="8"/>
        </w:numPr>
        <w:spacing w:after="80" w:line="276"/>
      </w:pPr>
      <w:r>
        <w:rPr>
          <w:rFonts w:ascii="Calibri" w:cs="Calibri" w:eastAsia="Calibri" w:hAnsi="Calibri"/>
          <w:color w:val="232B3D"/>
          <w:sz w:val="22"/>
          <w:szCs w:val="22"/>
        </w:rPr>
        <w:t xml:space="preserve">Revise la vista previa. Si el archivo no presenta errores, 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formato de la importación es el mismo de la exportación:  </w:t>
            </w:r>
            <w:r>
              <w:rPr>
                <w:rFonts w:ascii="Calibri" w:cs="Calibri" w:eastAsia="Calibri" w:hAnsi="Calibri"/>
                <w:color w:val="232B3D"/>
                <w:sz w:val="22"/>
                <w:szCs w:val="22"/>
              </w:rPr>
              <w:t xml:space="preserve">las columnas que produce Exportar oficios, en su mismo orden, con la cabecera en la fila 1 —a partir de la celda A1— y los datos desde la fila 2. Las filas que comparten la misma Referencia oficio constituyen un solo oficio y cada una aporta una persona investigada; los datos del oficio se repiten en todas ellas y deben coincidir.</w:t>
            </w:r>
          </w:p>
        </w:tc>
      </w:tr>
    </w:tbl>
    <w:p>
      <w:pPr>
        <w:spacing w:after="120"/>
      </w:pP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archivo se incorpora completo o no se incorpora:  </w:t>
            </w:r>
            <w:r>
              <w:rPr>
                <w:rFonts w:ascii="Calibri" w:cs="Calibri" w:eastAsia="Calibri" w:hAnsi="Calibri"/>
                <w:color w:val="232B3D"/>
                <w:sz w:val="22"/>
                <w:szCs w:val="22"/>
              </w:rPr>
              <w:t xml:space="preserve">antes de guardar información alguna se valida el archivo entero con las mismas reglas que exige el registro manual. Mientras subsista una sola fila con error, la aplicación no ofrece la importación y no se guarda nada. Corrija las filas señaladas y vuelva a cargar el archivo.</w:t>
            </w:r>
          </w:p>
        </w:tc>
      </w:tr>
    </w:tbl>
    <w:p>
      <w:pPr>
        <w:spacing w:after="120" w:line="276"/>
      </w:pPr>
      <w:r>
        <w:rPr>
          <w:rFonts w:ascii="Calibri" w:cs="Calibri" w:eastAsia="Calibri" w:hAnsi="Calibri"/>
          <w:color w:val="232B3D"/>
          <w:sz w:val="22"/>
          <w:szCs w:val="22"/>
        </w:rPr>
        <w:t xml:space="preserve">La vista previa se presenta en dos pestañas. La primera, Oficios del archivo, relaciona lo que contiene; la segunda, Filas con error, indica una por una las filas que no pueden incorporarse, con la línea del archivo, la Referencia oficio y el motivo. Cuando un oficio ocupa varias líneas se señalan todas ellas.</w:t>
      </w:r>
    </w:p>
    <w:p>
      <w:pPr>
        <w:pStyle w:val="Heading3"/>
        <w:spacing w:after="100" w:before="200"/>
      </w:pPr>
      <w:r>
        <w:rPr>
          <w:rFonts w:ascii="Calibri" w:cs="Calibri" w:eastAsia="Calibri" w:hAnsi="Calibri"/>
          <w:b/>
          <w:bCs/>
          <w:color w:val="5A6B8C"/>
          <w:sz w:val="23"/>
          <w:szCs w:val="23"/>
        </w:rPr>
        <w:t xml:space="preserve">Qué se comprueba en cada oficio</w:t>
      </w:r>
    </w:p>
    <w:p>
      <w:pPr>
        <w:pStyle w:val="ListParagraph"/>
        <w:numPr>
          <w:ilvl w:val="0"/>
          <w:numId w:val="4"/>
        </w:numPr>
        <w:spacing w:after="80" w:line="276"/>
      </w:pPr>
      <w:r>
        <w:rPr>
          <w:rFonts w:ascii="Calibri" w:cs="Calibri" w:eastAsia="Calibri" w:hAnsi="Calibri"/>
          <w:color w:val="232B3D"/>
          <w:sz w:val="22"/>
          <w:szCs w:val="22"/>
        </w:rPr>
        <w:t xml:space="preserve">La Institución del Estado y el Tipo de acción deben corresponder a los del sistema; el tipo de acción, al catálogo vigente.</w:t>
      </w:r>
    </w:p>
    <w:p>
      <w:pPr>
        <w:pStyle w:val="ListParagraph"/>
        <w:numPr>
          <w:ilvl w:val="0"/>
          <w:numId w:val="4"/>
        </w:numPr>
        <w:spacing w:after="80" w:line="276"/>
      </w:pPr>
      <w:r>
        <w:rPr>
          <w:rFonts w:ascii="Calibri" w:cs="Calibri" w:eastAsia="Calibri" w:hAnsi="Calibri"/>
          <w:color w:val="232B3D"/>
          <w:sz w:val="22"/>
          <w:szCs w:val="22"/>
        </w:rPr>
        <w:t xml:space="preserve">Las fechas de oficio y de recepción son obligatorias, no pueden ser posteriores al día en curso y la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estado debe concordar con el resto del oficio: sin responsable únicamente cabe Por asignar; con responsable, En proceso; y con fecha de respuesta, Finalizado. La aplicación no lo corrige en silencio: lo advierte.</w:t>
      </w:r>
    </w:p>
    <w:p>
      <w:pPr>
        <w:pStyle w:val="ListParagraph"/>
        <w:numPr>
          <w:ilvl w:val="0"/>
          <w:numId w:val="4"/>
        </w:numPr>
        <w:spacing w:after="80" w:line="276"/>
      </w:pPr>
      <w:r>
        <w:rPr>
          <w:rFonts w:ascii="Calibri" w:cs="Calibri" w:eastAsia="Calibri" w:hAnsi="Calibri"/>
          <w:color w:val="232B3D"/>
          <w:sz w:val="22"/>
          <w:szCs w:val="22"/>
        </w:rPr>
        <w:t xml:space="preserve">Para que un oficio se incorpore como Finalizado deben constar su fecha de asignación y su fecha de respuesta.</w:t>
      </w:r>
    </w:p>
    <w:p>
      <w:pPr>
        <w:pStyle w:val="ListParagraph"/>
        <w:numPr>
          <w:ilvl w:val="0"/>
          <w:numId w:val="4"/>
        </w:numPr>
        <w:spacing w:after="80" w:line="276"/>
      </w:pPr>
      <w:r>
        <w:rPr>
          <w:rFonts w:ascii="Calibri" w:cs="Calibri" w:eastAsia="Calibri" w:hAnsi="Calibri"/>
          <w:color w:val="232B3D"/>
          <w:sz w:val="22"/>
          <w:szCs w:val="22"/>
        </w:rPr>
        <w:t xml:space="preserve">La fecha de asignación exige responsable: no puede asignarse un oficio a nadie.</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debe coincidir con el número de personas relacionadas, cuando estas se detallan.</w:t>
      </w:r>
    </w:p>
    <w:p>
      <w:pPr>
        <w:pStyle w:val="ListParagraph"/>
        <w:numPr>
          <w:ilvl w:val="0"/>
          <w:numId w:val="4"/>
        </w:numPr>
        <w:spacing w:after="80" w:line="276"/>
      </w:pPr>
      <w:r>
        <w:rPr>
          <w:rFonts w:ascii="Calibri" w:cs="Calibri" w:eastAsia="Calibri" w:hAnsi="Calibri"/>
          <w:color w:val="232B3D"/>
          <w:sz w:val="22"/>
          <w:szCs w:val="22"/>
        </w:rPr>
        <w:t xml:space="preserve">Cada persona investigada requiere nombre, tipo de implicado y una identificación bien formada: cédula de 10 dígitos, RUC de 13 y pasaporte alfanumérico.</w:t>
      </w:r>
    </w:p>
    <w:p>
      <w:pPr>
        <w:pStyle w:val="ListParagraph"/>
        <w:numPr>
          <w:ilvl w:val="0"/>
          <w:numId w:val="4"/>
        </w:numPr>
        <w:spacing w:after="80" w:line="276"/>
      </w:pPr>
      <w:r>
        <w:rPr>
          <w:rFonts w:ascii="Calibri" w:cs="Calibri" w:eastAsia="Calibri" w:hAnsi="Calibri"/>
          <w:color w:val="232B3D"/>
          <w:sz w:val="22"/>
          <w:szCs w:val="22"/>
        </w:rPr>
        <w:t xml:space="preserve">La Referencia oficio es obligatoria y no puede repetirse, ni dentro del archivo ni respecto de los oficios ya registrados.</w:t>
      </w: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responsable se indica con su nombre de usuario:  </w:t>
            </w:r>
            <w:r>
              <w:rPr>
                <w:rFonts w:ascii="Calibri" w:cs="Calibri" w:eastAsia="Calibri" w:hAnsi="Calibri"/>
                <w:color w:val="232B3D"/>
                <w:sz w:val="22"/>
                <w:szCs w:val="22"/>
              </w:rPr>
              <w:t xml:space="preserve">la columna Usuario responsable admite el nombre de cuenta —en minúsculas y sin espacios, como cmroman o jportero—, no el nombre de la persona. Si la cuenta no existe, la aplicación lo advierte y no incorpora nada: deberá crearla previamente en la pestaña Usuarios y volver a cargar el archivo.</w:t>
            </w:r>
          </w:p>
        </w:tc>
      </w:tr>
    </w:tbl>
    <w:p>
      <w:pPr>
        <w:spacing w:after="120" w:line="276"/>
      </w:pPr>
      <w:r>
        <w:rPr>
          <w:rFonts w:ascii="Calibri" w:cs="Calibri" w:eastAsia="Calibri" w:hAnsi="Calibri"/>
          <w:color w:val="232B3D"/>
          <w:sz w:val="22"/>
          <w:szCs w:val="22"/>
        </w:rPr>
        <w:t xml:space="preserve">La Referencia UDC no se toma del archivo: la asigna la aplicación según la institución de cada oficio. Tampoco se toman el documento del oficio, la respuesta en PDF, quién registra, la fecha de registro ni el origen. Los oficios importados no llevan el documento del oficio ni la respuesta en PDF; pueden adjuntarse posteriormente desde la pestaña Oficios.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tener el mismo formato que produce Exportar oficios: sus columnas, en su orden, con la cabecera en la primera fila y los datos desde la segunda. Exporte los oficios para obtener la plantilla. Si el rechazo no es por el formato sino por el contenido, la pestaña Filas con error indica qué línea revisar y por qué; recuerde que el archivo se incorpora completo o no se incorpora.</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3.0 · 1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2026-09-02T14:22:50.133Z</dcterms:created>
  <dcterms:modified xsi:type="dcterms:W3CDTF">2026-09-02T14:22:50.133Z</dcterms:modified>
</cp:coreProperties>
</file>

<file path=docProps/custom.xml><?xml version="1.0" encoding="utf-8"?>
<Properties xmlns="http://schemas.openxmlformats.org/officeDocument/2006/custom-properties" xmlns:vt="http://schemas.openxmlformats.org/officeDocument/2006/docPropsVTypes"/>
</file>