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2.4</w:t>
      </w:r>
    </w:p>
    <w:p>
      <w:pPr>
        <w:spacing w:after="120"/>
        <w:jc w:val="center"/>
      </w:pPr>
      <w:r>
        <w:rPr>
          <w:rFonts w:ascii="Calibri" w:cs="Calibri" w:eastAsia="Calibri" w:hAnsi="Calibri"/>
          <w:color w:val="5A6B8C"/>
          <w:sz w:val="22"/>
          <w:szCs w:val="22"/>
        </w:rPr>
        <w:t xml:space="preserve">Actualizado el 1 de septiembre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14</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17</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Cambiar oficio: sustituye el documento,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 columna PDF de la lista señala con «Sí» los oficios que ya cuentan con su respuesta adjunta.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distribución por estado, porcentaje de finalizados, días promedio de respuesta, recepciones del día, de la semana y del mes, y seguimiento de las respuestas. A continuación se presentan cinco gráficos: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en la matriz de Excel,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w:t>
      </w:r>
    </w:p>
    <w:p>
      <w:pPr>
        <w:pStyle w:val="ListParagraph"/>
        <w:numPr>
          <w:ilvl w:val="0"/>
          <w:numId w:val="8"/>
        </w:numPr>
        <w:spacing w:after="80" w:line="276"/>
      </w:pPr>
      <w:r>
        <w:rPr>
          <w:rFonts w:ascii="Calibri" w:cs="Calibri" w:eastAsia="Calibri" w:hAnsi="Calibri"/>
          <w:color w:val="232B3D"/>
          <w:sz w:val="22"/>
          <w:szCs w:val="22"/>
        </w:rPr>
        <w:t xml:space="preserve">Seleccione la matriz (.xlsx) o un archivo CSV con la misma cabecera.</w:t>
      </w:r>
    </w:p>
    <w:p>
      <w:pPr>
        <w:pStyle w:val="ListParagraph"/>
        <w:numPr>
          <w:ilvl w:val="0"/>
          <w:numId w:val="8"/>
        </w:numPr>
        <w:spacing w:after="80" w:line="276"/>
      </w:pPr>
      <w:r>
        <w:rPr>
          <w:rFonts w:ascii="Calibri" w:cs="Calibri" w:eastAsia="Calibri" w:hAnsi="Calibri"/>
          <w:color w:val="232B3D"/>
          <w:sz w:val="22"/>
          <w:szCs w:val="22"/>
        </w:rPr>
        <w:t xml:space="preserve">Revise el resumen que se presenta antes de guardar.</w:t>
      </w:r>
    </w:p>
    <w:p>
      <w:pPr>
        <w:pStyle w:val="ListParagraph"/>
        <w:numPr>
          <w:ilvl w:val="0"/>
          <w:numId w:val="8"/>
        </w:numPr>
        <w:spacing w:after="80" w:line="276"/>
      </w:pPr>
      <w:r>
        <w:rPr>
          <w:rFonts w:ascii="Calibri" w:cs="Calibri" w:eastAsia="Calibri" w:hAnsi="Calibri"/>
          <w:color w:val="232B3D"/>
          <w:sz w:val="22"/>
          <w:szCs w:val="22"/>
        </w:rPr>
        <w:t xml:space="preserve">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archivo debe respetar el formato establecido:  </w:t>
            </w:r>
            <w:r>
              <w:rPr>
                <w:rFonts w:ascii="Calibri" w:cs="Calibri" w:eastAsia="Calibri" w:hAnsi="Calibri"/>
                <w:color w:val="232B3D"/>
                <w:sz w:val="22"/>
                <w:szCs w:val="22"/>
              </w:rPr>
              <w:t xml:space="preserve">la cabecera en la fila 1, de la columna A a la Z, con todas sus columnas y en su orden, y los datos a partir de la fila 2. La primera celda del archivo (A1) corresponde a la Institución del Estado; no se admiten filas de rótulos por encima de la cabecera ni columnas en blanco por delante. Si el formato no coincide, la aplicación rechaza el archivo e indica qué columna no corresponde.</w:t>
            </w:r>
          </w:p>
        </w:tc>
      </w:tr>
    </w:tbl>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La Institución del Estado se escribe con su sigla:  </w:t>
            </w:r>
            <w:r>
              <w:rPr>
                <w:rFonts w:ascii="Calibri" w:cs="Calibri" w:eastAsia="Calibri" w:hAnsi="Calibri"/>
                <w:color w:val="232B3D"/>
                <w:sz w:val="22"/>
                <w:szCs w:val="22"/>
              </w:rPr>
              <w:t xml:space="preserve">la primera columna admite únicamente SB, para la Superintendencia de Bancos, y FGE, para la Fiscalía General del Estado. Es la sigla con la que se numera la Referencia UDC. Las filas que consignen cualquier otro valor —el nombre completo de la entidad incluido— no se incorporan y se relacionan en la pestaña Filas con error.</w:t>
            </w:r>
          </w:p>
        </w:tc>
      </w:tr>
    </w:tbl>
    <w:p>
      <w:pPr>
        <w:spacing w:after="160"/>
      </w:pPr>
    </w:p>
    <w:p>
      <w:pPr>
        <w:spacing w:after="120" w:line="276"/>
      </w:pPr>
      <w:r>
        <w:rPr>
          <w:rFonts w:ascii="Calibri" w:cs="Calibri" w:eastAsia="Calibri" w:hAnsi="Calibri"/>
          <w:color w:val="232B3D"/>
          <w:sz w:val="22"/>
          <w:szCs w:val="22"/>
        </w:rPr>
        <w:t xml:space="preserve">Antes de guardar información alguna se presenta una vista previa con los oficios que se van a incorporar y los avisos pertinentes. Conviene tener en cuenta lo siguiente:</w:t>
      </w:r>
    </w:p>
    <w:p>
      <w:pPr>
        <w:pStyle w:val="ListParagraph"/>
        <w:numPr>
          <w:ilvl w:val="0"/>
          <w:numId w:val="4"/>
        </w:numPr>
        <w:spacing w:after="80" w:line="276"/>
      </w:pPr>
      <w:r>
        <w:rPr>
          <w:rFonts w:ascii="Calibri" w:cs="Calibri" w:eastAsia="Calibri" w:hAnsi="Calibri"/>
          <w:color w:val="232B3D"/>
          <w:sz w:val="22"/>
          <w:szCs w:val="22"/>
        </w:rPr>
        <w:t xml:space="preserve">La Referencia UDC no se toma del archivo: la asigna la aplicación según la institución de cada fila.</w:t>
      </w:r>
    </w:p>
    <w:p>
      <w:pPr>
        <w:pStyle w:val="ListParagraph"/>
        <w:numPr>
          <w:ilvl w:val="0"/>
          <w:numId w:val="4"/>
        </w:numPr>
        <w:spacing w:after="80" w:line="276"/>
      </w:pPr>
      <w:r>
        <w:rPr>
          <w:rFonts w:ascii="Calibri" w:cs="Calibri" w:eastAsia="Calibri" w:hAnsi="Calibri"/>
          <w:color w:val="232B3D"/>
          <w:sz w:val="22"/>
          <w:szCs w:val="22"/>
        </w:rPr>
        <w:t xml:space="preserve">Las filas que comparten la misma Referencia oficio se agrupan en un solo oficio, y cada una de ellas aporta una persona investigada.</w:t>
      </w:r>
    </w:p>
    <w:p>
      <w:pPr>
        <w:pStyle w:val="ListParagraph"/>
        <w:numPr>
          <w:ilvl w:val="0"/>
          <w:numId w:val="4"/>
        </w:numPr>
        <w:spacing w:after="80" w:line="276"/>
      </w:pPr>
      <w:r>
        <w:rPr>
          <w:rFonts w:ascii="Calibri" w:cs="Calibri" w:eastAsia="Calibri" w:hAnsi="Calibri"/>
          <w:color w:val="232B3D"/>
          <w:sz w:val="22"/>
          <w:szCs w:val="22"/>
        </w:rPr>
        <w:t xml:space="preserve">Los responsables de la matriz se identifican por su nombre. Si no se localiza la cuenta, o si el nombre corresponde a más de una, el oficio se incorpora sin responsable y en estado Por asignar.</w:t>
      </w:r>
    </w:p>
    <w:p>
      <w:pPr>
        <w:pStyle w:val="ListParagraph"/>
        <w:numPr>
          <w:ilvl w:val="0"/>
          <w:numId w:val="4"/>
        </w:numPr>
        <w:spacing w:after="80" w:line="276"/>
      </w:pPr>
      <w:r>
        <w:rPr>
          <w:rFonts w:ascii="Calibri" w:cs="Calibri" w:eastAsia="Calibri" w:hAnsi="Calibri"/>
          <w:color w:val="232B3D"/>
          <w:sz w:val="22"/>
          <w:szCs w:val="22"/>
        </w:rPr>
        <w:t xml:space="preserve">Los oficios que se incorporan sin responsable pierden su fecha de respuesta, que deberá registrarse nuevamente al asignarlos.</w:t>
      </w:r>
    </w:p>
    <w:p>
      <w:pPr>
        <w:pStyle w:val="ListParagraph"/>
        <w:numPr>
          <w:ilvl w:val="0"/>
          <w:numId w:val="4"/>
        </w:numPr>
        <w:spacing w:after="80" w:line="276"/>
      </w:pPr>
      <w:r>
        <w:rPr>
          <w:rFonts w:ascii="Calibri" w:cs="Calibri" w:eastAsia="Calibri" w:hAnsi="Calibri"/>
          <w:color w:val="232B3D"/>
          <w:sz w:val="22"/>
          <w:szCs w:val="22"/>
        </w:rPr>
        <w:t xml:space="preserve">Los oficios importados no llevan el documento del oficio ni la respuesta en PDF; pueden adjuntarse posteriormente desde la pestaña Oficios.</w:t>
      </w:r>
    </w:p>
    <w:p>
      <w:pPr>
        <w:pStyle w:val="ListParagraph"/>
        <w:numPr>
          <w:ilvl w:val="0"/>
          <w:numId w:val="4"/>
        </w:numPr>
        <w:spacing w:after="80" w:line="276"/>
      </w:pPr>
      <w:r>
        <w:rPr>
          <w:rFonts w:ascii="Calibri" w:cs="Calibri" w:eastAsia="Calibri" w:hAnsi="Calibri"/>
          <w:color w:val="232B3D"/>
          <w:sz w:val="22"/>
          <w:szCs w:val="22"/>
        </w:rPr>
        <w:t xml:space="preserve">Los oficios ya registrados no se duplican: se omiten y se informa de ello.</w:t>
      </w:r>
    </w:p>
    <w:p>
      <w:pPr>
        <w:spacing w:after="120" w:line="276"/>
      </w:pPr>
      <w:r>
        <w:rPr>
          <w:rFonts w:ascii="Calibri" w:cs="Calibri" w:eastAsia="Calibri" w:hAnsi="Calibri"/>
          <w:color w:val="232B3D"/>
          <w:sz w:val="22"/>
          <w:szCs w:val="22"/>
        </w:rPr>
        <w:t xml:space="preserve">La vista previa se presenta en dos pestañas. La primera, Oficios a importar, contiene aquello que se va a incorporar; la segunda, Filas con error, relaciona una por una las filas que no pueden incorporarse, indicando la línea del archivo, la Referencia oficio y el motivo. Al concluir la importación se presenta el mismo detalle de cuanto quedó fuera, distinguiendo las filas con error de los oficios ya registrados.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corregir la matriz:  </w:t>
            </w:r>
            <w:r>
              <w:rPr>
                <w:rFonts w:ascii="Calibri" w:cs="Calibri" w:eastAsia="Calibri" w:hAnsi="Calibri"/>
                <w:color w:val="232B3D"/>
                <w:sz w:val="22"/>
                <w:szCs w:val="22"/>
              </w:rPr>
              <w:t xml:space="preserve">utilice la columna Línea del archivo, que señala el número de fila que debe revisarse. Cuando un oficio ocupa varias líneas se indican todas ellas. Corregidas las filas, puede volver a cargarse el archivo completo: los oficios ya incorporados se omiten por sí solos.</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respetar el formato establecido, con la cabecera en la primera fila, a partir de la celda A1, y todas sus columnas en su orden, siendo la primera la Institución del Estado, que se consigna con su sigla (SB o FGE). Los datos comienzan en la fila 2. El mensaje señala qué columna no corresponde.</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2.4 · 1 de septiembre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2026-09-01T21:28:38.699Z</dcterms:created>
  <dcterms:modified xsi:type="dcterms:W3CDTF">2026-09-01T21:28:38.699Z</dcterms:modified>
</cp:coreProperties>
</file>

<file path=docProps/custom.xml><?xml version="1.0" encoding="utf-8"?>
<Properties xmlns="http://schemas.openxmlformats.org/officeDocument/2006/custom-properties" xmlns:vt="http://schemas.openxmlformats.org/officeDocument/2006/docPropsVTypes"/>
</file>