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97125">
      <w:pPr>
        <w:jc w:val="center"/>
        <w:rPr>
          <w:szCs w:val="23"/>
        </w:rPr>
      </w:pPr>
      <w:bookmarkStart w:id="8" w:name="_GoBack"/>
      <w:bookmarkEnd w:id="8"/>
      <w:r>
        <w:rPr>
          <w:b/>
          <w:szCs w:val="23"/>
        </w:rPr>
        <w:t>User Attention Proxy as a Knowledge Router: A Novel Deep Learning Framework for Adaptive Knowledge Exploration and Exploitation in LLMs</w:t>
      </w:r>
    </w:p>
    <w:p w14:paraId="66C67B92">
      <w:pPr>
        <w:jc w:val="center"/>
        <w:rPr>
          <w:i/>
          <w:iCs/>
          <w:szCs w:val="23"/>
          <w:u w:val="single"/>
        </w:rPr>
      </w:pPr>
      <w:r>
        <w:rPr>
          <w:b/>
          <w:i/>
          <w:iCs/>
          <w:szCs w:val="23"/>
          <w:u w:val="single"/>
        </w:rPr>
        <w:t>Online Appendix</w:t>
      </w:r>
    </w:p>
    <w:p w14:paraId="2FC8F6D2">
      <w:pPr>
        <w:pStyle w:val="82"/>
        <w:numPr>
          <w:ilvl w:val="0"/>
          <w:numId w:val="0"/>
        </w:numPr>
        <w:ind w:left="425" w:hanging="425"/>
      </w:pPr>
      <w:r>
        <w:rPr>
          <w:rFonts w:hint="eastAsia"/>
        </w:rPr>
        <w:t xml:space="preserve">Appendix A. </w:t>
      </w:r>
      <w:r>
        <w:rPr>
          <w:rFonts w:hint="eastAsia"/>
          <w:bCs/>
        </w:rPr>
        <w:t>Advantages of</w:t>
      </w:r>
      <w:r>
        <w:rPr>
          <w:bCs/>
        </w:rPr>
        <w:t xml:space="preserve"> UAP-DL</w:t>
      </w:r>
      <w:r>
        <w:rPr>
          <w:rFonts w:hint="eastAsia"/>
          <w:bCs/>
        </w:rPr>
        <w:t xml:space="preserve"> over Existing Response Generation Methods</w:t>
      </w:r>
    </w:p>
    <w:p w14:paraId="7BE35786">
      <w:pPr>
        <w:pStyle w:val="43"/>
        <w:jc w:val="bot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Table A1. Advantages of</w:t>
      </w:r>
      <w:r>
        <w:rPr>
          <w:b/>
          <w:bCs/>
          <w:lang w:eastAsia="zh-CN"/>
        </w:rPr>
        <w:t xml:space="preserve"> UAP-DL</w:t>
      </w:r>
      <w:r>
        <w:rPr>
          <w:rFonts w:hint="eastAsia"/>
          <w:b/>
          <w:bCs/>
          <w:lang w:eastAsia="zh-CN"/>
        </w:rPr>
        <w:t xml:space="preserve"> over Existing Response Generation Methods.</w:t>
      </w:r>
    </w:p>
    <w:tbl>
      <w:tblPr>
        <w:tblStyle w:val="23"/>
        <w:tblW w:w="1170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2072"/>
        <w:gridCol w:w="2496"/>
        <w:gridCol w:w="2211"/>
        <w:gridCol w:w="1850"/>
        <w:gridCol w:w="1496"/>
      </w:tblGrid>
      <w:tr w14:paraId="329289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64" w:type="dxa"/>
            <w:tcBorders>
              <w:top w:val="double" w:color="auto" w:sz="4" w:space="0"/>
            </w:tcBorders>
            <w:vAlign w:val="center"/>
          </w:tcPr>
          <w:p w14:paraId="5BA1A76A">
            <w:pPr>
              <w:spacing w:line="240" w:lineRule="auto"/>
              <w:jc w:val="center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b/>
                <w:bCs/>
                <w:sz w:val="20"/>
                <w:szCs w:val="20"/>
                <w:lang w:eastAsia="zh-TW"/>
              </w:rPr>
              <w:t>Method</w:t>
            </w:r>
          </w:p>
        </w:tc>
        <w:tc>
          <w:tcPr>
            <w:tcW w:w="2120" w:type="dxa"/>
            <w:tcBorders>
              <w:top w:val="double" w:color="auto" w:sz="4" w:space="0"/>
            </w:tcBorders>
            <w:vAlign w:val="center"/>
          </w:tcPr>
          <w:p w14:paraId="63A07189">
            <w:pPr>
              <w:spacing w:line="240" w:lineRule="auto"/>
              <w:jc w:val="center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b/>
                <w:bCs/>
                <w:sz w:val="20"/>
                <w:szCs w:val="20"/>
                <w:lang w:eastAsia="zh-TW"/>
              </w:rPr>
              <w:t xml:space="preserve">Main </w:t>
            </w:r>
            <w:r>
              <w:rPr>
                <w:rFonts w:hint="eastAsia"/>
                <w:b/>
                <w:bCs/>
                <w:sz w:val="20"/>
                <w:szCs w:val="20"/>
                <w:lang w:eastAsia="zh-TW"/>
              </w:rPr>
              <w:t>F</w:t>
            </w:r>
            <w:r>
              <w:rPr>
                <w:b/>
                <w:bCs/>
                <w:sz w:val="20"/>
                <w:szCs w:val="20"/>
                <w:lang w:eastAsia="zh-TW"/>
              </w:rPr>
              <w:t>ocus</w:t>
            </w:r>
          </w:p>
        </w:tc>
        <w:tc>
          <w:tcPr>
            <w:tcW w:w="2575" w:type="dxa"/>
            <w:tcBorders>
              <w:top w:val="double" w:color="auto" w:sz="4" w:space="0"/>
            </w:tcBorders>
            <w:vAlign w:val="center"/>
          </w:tcPr>
          <w:p w14:paraId="1D30816B">
            <w:pPr>
              <w:spacing w:line="240" w:lineRule="auto"/>
              <w:jc w:val="center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b/>
                <w:bCs/>
                <w:sz w:val="20"/>
                <w:szCs w:val="20"/>
                <w:lang w:eastAsia="zh-TW"/>
              </w:rPr>
              <w:t>Limitations</w:t>
            </w:r>
          </w:p>
        </w:tc>
        <w:tc>
          <w:tcPr>
            <w:tcW w:w="2273" w:type="dxa"/>
            <w:tcBorders>
              <w:top w:val="double" w:color="auto" w:sz="4" w:space="0"/>
            </w:tcBorders>
            <w:vAlign w:val="center"/>
          </w:tcPr>
          <w:p w14:paraId="68E1A7E1">
            <w:pPr>
              <w:spacing w:line="240" w:lineRule="auto"/>
              <w:jc w:val="center"/>
              <w:rPr>
                <w:kern w:val="0"/>
                <w:sz w:val="20"/>
                <w:szCs w:val="20"/>
                <w:highlight w:val="yellow"/>
                <w:lang w:eastAsia="zh-TW"/>
              </w:rPr>
            </w:pPr>
            <w:r>
              <w:rPr>
                <w:b/>
                <w:bCs/>
                <w:sz w:val="20"/>
                <w:szCs w:val="20"/>
                <w:lang w:eastAsia="zh-TW"/>
              </w:rPr>
              <w:t>Advantages of UAP-DL</w:t>
            </w:r>
          </w:p>
        </w:tc>
        <w:tc>
          <w:tcPr>
            <w:tcW w:w="1874" w:type="dxa"/>
            <w:tcBorders>
              <w:top w:val="double" w:color="auto" w:sz="4" w:space="0"/>
            </w:tcBorders>
            <w:vAlign w:val="center"/>
          </w:tcPr>
          <w:p w14:paraId="33F263E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eastAsia="zh-TW"/>
              </w:rPr>
            </w:pPr>
            <w:r>
              <w:rPr>
                <w:b/>
                <w:bCs/>
                <w:sz w:val="20"/>
                <w:szCs w:val="20"/>
                <w:lang w:eastAsia="zh-TW"/>
              </w:rPr>
              <w:t>Theoretical Factor</w:t>
            </w:r>
          </w:p>
        </w:tc>
        <w:tc>
          <w:tcPr>
            <w:tcW w:w="1502" w:type="dxa"/>
            <w:tcBorders>
              <w:top w:val="double" w:color="auto" w:sz="4" w:space="0"/>
            </w:tcBorders>
            <w:vAlign w:val="center"/>
          </w:tcPr>
          <w:p w14:paraId="74EFE78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eastAsia="zh-TW"/>
              </w:rPr>
            </w:pPr>
            <w:r>
              <w:rPr>
                <w:b/>
                <w:bCs/>
                <w:sz w:val="20"/>
                <w:szCs w:val="20"/>
                <w:lang w:eastAsia="zh-TW"/>
              </w:rPr>
              <w:t>Our Solution</w:t>
            </w:r>
          </w:p>
        </w:tc>
      </w:tr>
      <w:tr w14:paraId="5CA59E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64" w:type="dxa"/>
            <w:vAlign w:val="center"/>
          </w:tcPr>
          <w:p w14:paraId="3AB88518">
            <w:pPr>
              <w:spacing w:line="240" w:lineRule="auto"/>
              <w:jc w:val="center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User-</w:t>
            </w:r>
            <w:r>
              <w:rPr>
                <w:rFonts w:hint="eastAsia"/>
                <w:sz w:val="20"/>
                <w:szCs w:val="20"/>
                <w:lang w:eastAsia="zh-TW"/>
              </w:rPr>
              <w:t xml:space="preserve">oriented </w:t>
            </w:r>
            <w:r>
              <w:rPr>
                <w:sz w:val="20"/>
                <w:szCs w:val="20"/>
                <w:lang w:eastAsia="zh-TW"/>
              </w:rPr>
              <w:t>response generation</w:t>
            </w:r>
          </w:p>
        </w:tc>
        <w:tc>
          <w:tcPr>
            <w:tcW w:w="2120" w:type="dxa"/>
            <w:vAlign w:val="center"/>
          </w:tcPr>
          <w:p w14:paraId="53D6BBFD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Models user intents, preferences, and interaction histories</w:t>
            </w:r>
          </w:p>
        </w:tc>
        <w:tc>
          <w:tcPr>
            <w:tcW w:w="2575" w:type="dxa"/>
            <w:vAlign w:val="center"/>
          </w:tcPr>
          <w:p w14:paraId="6FF6C3AE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Limited understanding of users’ dynamic </w:t>
            </w:r>
            <w:r>
              <w:rPr>
                <w:rFonts w:hint="eastAsia"/>
                <w:sz w:val="20"/>
                <w:szCs w:val="20"/>
                <w:lang w:eastAsia="zh-TW"/>
              </w:rPr>
              <w:t>information needs</w:t>
            </w:r>
            <w:r>
              <w:rPr>
                <w:sz w:val="20"/>
                <w:szCs w:val="20"/>
                <w:lang w:eastAsia="zh-TW"/>
              </w:rPr>
              <w:t xml:space="preserve"> during response generation</w:t>
            </w:r>
          </w:p>
        </w:tc>
        <w:tc>
          <w:tcPr>
            <w:tcW w:w="2273" w:type="dxa"/>
            <w:vAlign w:val="center"/>
          </w:tcPr>
          <w:p w14:paraId="68BDE431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M</w:t>
            </w:r>
            <w:r>
              <w:rPr>
                <w:sz w:val="20"/>
                <w:szCs w:val="20"/>
                <w:lang w:eastAsia="zh-TW"/>
              </w:rPr>
              <w:t xml:space="preserve">odels users’ </w:t>
            </w:r>
            <w:r>
              <w:rPr>
                <w:rFonts w:hint="eastAsia"/>
                <w:sz w:val="20"/>
                <w:szCs w:val="20"/>
                <w:lang w:eastAsia="zh-TW"/>
              </w:rPr>
              <w:t>information needs</w:t>
            </w:r>
            <w:r>
              <w:rPr>
                <w:sz w:val="20"/>
                <w:szCs w:val="20"/>
                <w:lang w:eastAsia="zh-TW"/>
              </w:rPr>
              <w:t xml:space="preserve"> and adapts response</w:t>
            </w:r>
            <w:r>
              <w:rPr>
                <w:rFonts w:hint="eastAsia"/>
                <w:sz w:val="20"/>
                <w:szCs w:val="20"/>
                <w:lang w:eastAsia="zh-TW"/>
              </w:rPr>
              <w:t xml:space="preserve"> generation</w:t>
            </w:r>
            <w:r>
              <w:rPr>
                <w:sz w:val="20"/>
                <w:szCs w:val="20"/>
                <w:lang w:eastAsia="zh-TW"/>
              </w:rPr>
              <w:t xml:space="preserve"> accordingly</w:t>
            </w:r>
          </w:p>
        </w:tc>
        <w:tc>
          <w:tcPr>
            <w:tcW w:w="1874" w:type="dxa"/>
            <w:vAlign w:val="center"/>
          </w:tcPr>
          <w:p w14:paraId="57E820EA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bookmarkStart w:id="0" w:name="OLE_LINK68"/>
            <w:r>
              <w:rPr>
                <w:sz w:val="20"/>
                <w:szCs w:val="20"/>
                <w:lang w:eastAsia="zh-TW"/>
              </w:rPr>
              <w:t>Triple-process theory</w:t>
            </w:r>
            <w:bookmarkEnd w:id="0"/>
          </w:p>
        </w:tc>
        <w:tc>
          <w:tcPr>
            <w:tcW w:w="1502" w:type="dxa"/>
            <w:vAlign w:val="center"/>
          </w:tcPr>
          <w:p w14:paraId="7F43872C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UAP-DL</w:t>
            </w:r>
          </w:p>
        </w:tc>
      </w:tr>
      <w:tr w14:paraId="2EF6C6B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64" w:type="dxa"/>
            <w:vAlign w:val="center"/>
          </w:tcPr>
          <w:p w14:paraId="58CB81AF">
            <w:pPr>
              <w:spacing w:line="240" w:lineRule="auto"/>
              <w:jc w:val="center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Multimodal RAG</w:t>
            </w:r>
          </w:p>
        </w:tc>
        <w:tc>
          <w:tcPr>
            <w:tcW w:w="2120" w:type="dxa"/>
            <w:vAlign w:val="center"/>
          </w:tcPr>
          <w:p w14:paraId="123AFFC7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Integrates </w:t>
            </w:r>
            <w:r>
              <w:rPr>
                <w:rFonts w:hint="eastAsia"/>
                <w:sz w:val="20"/>
                <w:szCs w:val="20"/>
                <w:lang w:eastAsia="zh-TW"/>
              </w:rPr>
              <w:t>different</w:t>
            </w:r>
            <w:r>
              <w:rPr>
                <w:sz w:val="20"/>
                <w:szCs w:val="20"/>
                <w:lang w:eastAsia="zh-TW"/>
              </w:rPr>
              <w:t xml:space="preserve"> knowledge modalities to enrich retrieved information</w:t>
            </w:r>
          </w:p>
        </w:tc>
        <w:tc>
          <w:tcPr>
            <w:tcW w:w="2575" w:type="dxa"/>
            <w:vAlign w:val="center"/>
          </w:tcPr>
          <w:p w14:paraId="7C7329AA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Focuses on information availability rather than users’ selective attention to different knowledge aspects and granularities</w:t>
            </w:r>
          </w:p>
        </w:tc>
        <w:tc>
          <w:tcPr>
            <w:tcW w:w="2273" w:type="dxa"/>
            <w:vAlign w:val="center"/>
          </w:tcPr>
          <w:p w14:paraId="69125DAF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Dynamically retrieves</w:t>
            </w:r>
            <w:r>
              <w:rPr>
                <w:rFonts w:hint="eastAsia"/>
                <w:sz w:val="20"/>
                <w:szCs w:val="20"/>
                <w:lang w:eastAsia="zh-TW"/>
              </w:rPr>
              <w:t xml:space="preserve"> </w:t>
            </w:r>
            <w:r>
              <w:rPr>
                <w:sz w:val="20"/>
                <w:szCs w:val="20"/>
                <w:lang w:eastAsia="zh-TW"/>
              </w:rPr>
              <w:t>knowledge based on users’ attention patterns</w:t>
            </w:r>
          </w:p>
        </w:tc>
        <w:tc>
          <w:tcPr>
            <w:tcW w:w="1874" w:type="dxa"/>
            <w:vAlign w:val="center"/>
          </w:tcPr>
          <w:p w14:paraId="00A0F764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bookmarkStart w:id="1" w:name="OLE_LINK69"/>
            <w:r>
              <w:rPr>
                <w:sz w:val="20"/>
                <w:szCs w:val="20"/>
                <w:lang w:eastAsia="zh-TW"/>
              </w:rPr>
              <w:t>Triple-process theory</w:t>
            </w:r>
            <w:bookmarkEnd w:id="1"/>
          </w:p>
        </w:tc>
        <w:tc>
          <w:tcPr>
            <w:tcW w:w="1502" w:type="dxa"/>
            <w:vAlign w:val="center"/>
          </w:tcPr>
          <w:p w14:paraId="3A3F719F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UAP-DL</w:t>
            </w:r>
          </w:p>
        </w:tc>
      </w:tr>
      <w:tr w14:paraId="5E1827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64" w:type="dxa"/>
            <w:vAlign w:val="center"/>
          </w:tcPr>
          <w:p w14:paraId="4C332E21">
            <w:pPr>
              <w:spacing w:line="240" w:lineRule="auto"/>
              <w:jc w:val="center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Graph RAG</w:t>
            </w:r>
          </w:p>
        </w:tc>
        <w:tc>
          <w:tcPr>
            <w:tcW w:w="2120" w:type="dxa"/>
            <w:vAlign w:val="center"/>
          </w:tcPr>
          <w:p w14:paraId="627D9049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Structures knowledge relationships to improve retrieval and reasoning</w:t>
            </w:r>
          </w:p>
        </w:tc>
        <w:tc>
          <w:tcPr>
            <w:tcW w:w="2575" w:type="dxa"/>
            <w:vAlign w:val="center"/>
          </w:tcPr>
          <w:p w14:paraId="06153ABB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Optimizes knowledge connectivity but overlooks user-oriented knowledge organization</w:t>
            </w:r>
          </w:p>
        </w:tc>
        <w:tc>
          <w:tcPr>
            <w:tcW w:w="2273" w:type="dxa"/>
            <w:vAlign w:val="center"/>
          </w:tcPr>
          <w:p w14:paraId="777AD539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Routes knowledge according to users’ </w:t>
            </w:r>
            <w:r>
              <w:rPr>
                <w:rFonts w:hint="eastAsia"/>
                <w:sz w:val="20"/>
                <w:szCs w:val="20"/>
                <w:lang w:eastAsia="zh-TW"/>
              </w:rPr>
              <w:t>information needs for</w:t>
            </w:r>
            <w:r>
              <w:rPr>
                <w:sz w:val="20"/>
                <w:szCs w:val="20"/>
                <w:lang w:eastAsia="zh-TW"/>
              </w:rPr>
              <w:t xml:space="preserve"> information</w:t>
            </w:r>
            <w:r>
              <w:rPr>
                <w:rFonts w:hint="eastAsia"/>
                <w:sz w:val="20"/>
                <w:szCs w:val="20"/>
                <w:lang w:eastAsia="zh-TW"/>
              </w:rPr>
              <w:t>al</w:t>
            </w:r>
            <w:r>
              <w:rPr>
                <w:sz w:val="20"/>
                <w:szCs w:val="20"/>
                <w:lang w:eastAsia="zh-TW"/>
              </w:rPr>
              <w:t xml:space="preserve"> diversity and </w:t>
            </w:r>
            <w:bookmarkStart w:id="2" w:name="OLE_LINK16"/>
            <w:r>
              <w:rPr>
                <w:sz w:val="20"/>
                <w:szCs w:val="20"/>
                <w:lang w:eastAsia="zh-TW"/>
              </w:rPr>
              <w:t>granularity</w:t>
            </w:r>
            <w:bookmarkEnd w:id="2"/>
          </w:p>
        </w:tc>
        <w:tc>
          <w:tcPr>
            <w:tcW w:w="1874" w:type="dxa"/>
            <w:vAlign w:val="center"/>
          </w:tcPr>
          <w:p w14:paraId="3E52DBE0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Algorithmic mind/Reflective mind</w:t>
            </w:r>
          </w:p>
        </w:tc>
        <w:tc>
          <w:tcPr>
            <w:tcW w:w="1502" w:type="dxa"/>
            <w:vAlign w:val="center"/>
          </w:tcPr>
          <w:p w14:paraId="0BC9F712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MGKI/ECRG</w:t>
            </w:r>
          </w:p>
        </w:tc>
      </w:tr>
      <w:tr w14:paraId="6A10D5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64" w:type="dxa"/>
            <w:vAlign w:val="center"/>
          </w:tcPr>
          <w:p w14:paraId="5FA03DA6">
            <w:pPr>
              <w:spacing w:line="240" w:lineRule="auto"/>
              <w:jc w:val="center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Agentic RAG</w:t>
            </w:r>
          </w:p>
        </w:tc>
        <w:tc>
          <w:tcPr>
            <w:tcW w:w="2120" w:type="dxa"/>
            <w:vAlign w:val="center"/>
          </w:tcPr>
          <w:p w14:paraId="2169EE29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Enhances retrieval planning, reasoning, and tool utilization</w:t>
            </w:r>
          </w:p>
        </w:tc>
        <w:tc>
          <w:tcPr>
            <w:tcW w:w="2575" w:type="dxa"/>
            <w:vAlign w:val="center"/>
          </w:tcPr>
          <w:p w14:paraId="77E26119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Remains task-oriented and lacks user </w:t>
            </w:r>
            <w:r>
              <w:rPr>
                <w:rFonts w:hint="eastAsia"/>
                <w:sz w:val="20"/>
                <w:szCs w:val="20"/>
                <w:lang w:eastAsia="zh-TW"/>
              </w:rPr>
              <w:t>information</w:t>
            </w:r>
            <w:r>
              <w:rPr>
                <w:sz w:val="20"/>
                <w:szCs w:val="20"/>
                <w:lang w:eastAsia="zh-TW"/>
              </w:rPr>
              <w:t xml:space="preserve"> need modeling</w:t>
            </w:r>
          </w:p>
        </w:tc>
        <w:tc>
          <w:tcPr>
            <w:tcW w:w="2273" w:type="dxa"/>
            <w:vAlign w:val="center"/>
          </w:tcPr>
          <w:p w14:paraId="42B403DA">
            <w:pPr>
              <w:spacing w:line="240" w:lineRule="auto"/>
              <w:jc w:val="both"/>
              <w:rPr>
                <w:kern w:val="0"/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Coordinates knowledge exploration and exploitation based on users’ </w:t>
            </w:r>
            <w:r>
              <w:rPr>
                <w:rFonts w:hint="eastAsia"/>
                <w:sz w:val="20"/>
                <w:szCs w:val="20"/>
                <w:lang w:eastAsia="zh-TW"/>
              </w:rPr>
              <w:t>information needs</w:t>
            </w:r>
          </w:p>
        </w:tc>
        <w:tc>
          <w:tcPr>
            <w:tcW w:w="1874" w:type="dxa"/>
            <w:vAlign w:val="center"/>
          </w:tcPr>
          <w:p w14:paraId="0F04A122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Triple-process theory</w:t>
            </w:r>
          </w:p>
        </w:tc>
        <w:tc>
          <w:tcPr>
            <w:tcW w:w="1502" w:type="dxa"/>
            <w:vAlign w:val="center"/>
          </w:tcPr>
          <w:p w14:paraId="3FA64E26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UAP-DL</w:t>
            </w:r>
          </w:p>
        </w:tc>
      </w:tr>
      <w:tr w14:paraId="02892D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364" w:type="dxa"/>
            <w:tcBorders>
              <w:bottom w:val="double" w:color="auto" w:sz="4" w:space="0"/>
            </w:tcBorders>
            <w:vAlign w:val="center"/>
          </w:tcPr>
          <w:p w14:paraId="22DB9D91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Multi-level</w:t>
            </w:r>
            <w:r>
              <w:rPr>
                <w:rFonts w:hint="eastAsia"/>
                <w:sz w:val="20"/>
                <w:szCs w:val="20"/>
                <w:lang w:eastAsia="zh-TW"/>
              </w:rPr>
              <w:t xml:space="preserve"> and m</w:t>
            </w:r>
            <w:r>
              <w:rPr>
                <w:sz w:val="20"/>
                <w:szCs w:val="20"/>
                <w:lang w:eastAsia="zh-TW"/>
              </w:rPr>
              <w:t>ulti-granularity RAG</w:t>
            </w:r>
          </w:p>
        </w:tc>
        <w:tc>
          <w:tcPr>
            <w:tcW w:w="2120" w:type="dxa"/>
            <w:tcBorders>
              <w:bottom w:val="double" w:color="auto" w:sz="4" w:space="0"/>
            </w:tcBorders>
            <w:vAlign w:val="center"/>
          </w:tcPr>
          <w:p w14:paraId="5E388623">
            <w:pPr>
              <w:spacing w:line="240" w:lineRule="auto"/>
              <w:jc w:val="both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Improves retrieval through hierarchical or multi-granular knowledge structures</w:t>
            </w:r>
          </w:p>
        </w:tc>
        <w:tc>
          <w:tcPr>
            <w:tcW w:w="2575" w:type="dxa"/>
            <w:tcBorders>
              <w:bottom w:val="double" w:color="auto" w:sz="4" w:space="0"/>
            </w:tcBorders>
            <w:vAlign w:val="center"/>
          </w:tcPr>
          <w:p w14:paraId="397ECAFA">
            <w:pPr>
              <w:spacing w:line="240" w:lineRule="auto"/>
              <w:jc w:val="both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Determines retrieval levels or granularity based on knowledge structures rather than user </w:t>
            </w:r>
            <w:r>
              <w:rPr>
                <w:rFonts w:hint="eastAsia"/>
                <w:sz w:val="20"/>
                <w:szCs w:val="20"/>
                <w:lang w:eastAsia="zh-TW"/>
              </w:rPr>
              <w:t>needs</w:t>
            </w:r>
          </w:p>
        </w:tc>
        <w:tc>
          <w:tcPr>
            <w:tcW w:w="2273" w:type="dxa"/>
            <w:tcBorders>
              <w:bottom w:val="double" w:color="auto" w:sz="4" w:space="0"/>
            </w:tcBorders>
            <w:vAlign w:val="center"/>
          </w:tcPr>
          <w:p w14:paraId="503D9FA0">
            <w:pPr>
              <w:spacing w:line="240" w:lineRule="auto"/>
              <w:jc w:val="both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 xml:space="preserve">Coordinates knowledge exploration and exploitation based on users’ </w:t>
            </w:r>
            <w:r>
              <w:rPr>
                <w:rFonts w:hint="eastAsia"/>
                <w:sz w:val="20"/>
                <w:szCs w:val="20"/>
                <w:lang w:eastAsia="zh-TW"/>
              </w:rPr>
              <w:t>information needs</w:t>
            </w:r>
          </w:p>
        </w:tc>
        <w:tc>
          <w:tcPr>
            <w:tcW w:w="1874" w:type="dxa"/>
            <w:tcBorders>
              <w:bottom w:val="double" w:color="auto" w:sz="4" w:space="0"/>
            </w:tcBorders>
            <w:vAlign w:val="center"/>
          </w:tcPr>
          <w:p w14:paraId="6721AFEA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Autonomous mind/Reflective mind</w:t>
            </w:r>
          </w:p>
        </w:tc>
        <w:tc>
          <w:tcPr>
            <w:tcW w:w="1502" w:type="dxa"/>
            <w:tcBorders>
              <w:bottom w:val="double" w:color="auto" w:sz="4" w:space="0"/>
            </w:tcBorders>
            <w:vAlign w:val="center"/>
          </w:tcPr>
          <w:p w14:paraId="12668857">
            <w:pPr>
              <w:spacing w:line="240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MAKR/ECRG</w:t>
            </w:r>
          </w:p>
        </w:tc>
      </w:tr>
    </w:tbl>
    <w:p w14:paraId="35FABC65">
      <w:pPr>
        <w:pStyle w:val="43"/>
      </w:pPr>
    </w:p>
    <w:p w14:paraId="46A2AC5A">
      <w:pPr>
        <w:widowControl/>
        <w:adjustRightInd/>
        <w:snapToGrid/>
        <w:spacing w:line="240" w:lineRule="auto"/>
        <w:rPr>
          <w:sz w:val="20"/>
          <w:lang w:eastAsia="zh-TW"/>
        </w:rPr>
      </w:pPr>
      <w:r>
        <w:br w:type="page"/>
      </w:r>
    </w:p>
    <w:p w14:paraId="3D8A7272">
      <w:pPr>
        <w:pStyle w:val="82"/>
        <w:numPr>
          <w:ilvl w:val="0"/>
          <w:numId w:val="0"/>
        </w:numPr>
        <w:ind w:left="425" w:hanging="425"/>
        <w:rPr>
          <w:rFonts w:hint="eastAsia"/>
          <w:kern w:val="0"/>
        </w:rPr>
      </w:pPr>
      <w:r>
        <w:rPr>
          <w:rFonts w:hint="eastAsia"/>
        </w:rPr>
        <w:t xml:space="preserve">Appendix B. </w:t>
      </w:r>
      <w:r>
        <w:rPr>
          <w:bCs/>
        </w:rPr>
        <w:t>The Proposed Training Algorithm for UAP-DL</w:t>
      </w:r>
    </w:p>
    <w:tbl>
      <w:tblPr>
        <w:tblStyle w:val="22"/>
        <w:tblW w:w="0" w:type="auto"/>
        <w:tblInd w:w="108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2"/>
      </w:tblGrid>
      <w:tr w14:paraId="47D24587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52" w:type="dxa"/>
          </w:tcPr>
          <w:p w14:paraId="03554913">
            <w:pPr>
              <w:spacing w:line="240" w:lineRule="auto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Hyperparameters</w:t>
            </w:r>
            <w:r>
              <w:rPr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λ</m:t>
              </m:r>
            </m:oMath>
            <w:r>
              <w:rPr>
                <w:iCs/>
                <w:sz w:val="20"/>
                <w:szCs w:val="20"/>
              </w:rPr>
              <w:t>,</w:t>
            </w:r>
            <w:r>
              <w:rPr>
                <w:iCs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β</m:t>
              </m:r>
            </m:oMath>
            <w:r>
              <w:rPr>
                <w:sz w:val="20"/>
                <w:szCs w:val="20"/>
              </w:rPr>
              <w:t xml:space="preserve">,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L</m:t>
              </m:r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(number of granularities),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>
              <w:rPr>
                <w:sz w:val="20"/>
                <w:szCs w:val="20"/>
              </w:rPr>
              <w:t xml:space="preserve"> (number of clusters),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  <w:r>
              <w:rPr>
                <w:iCs/>
                <w:sz w:val="20"/>
                <w:szCs w:val="20"/>
              </w:rPr>
              <w:t xml:space="preserve"> (batch size),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eps</m:t>
              </m:r>
            </m:oMath>
            <w:r>
              <w:rPr>
                <w:sz w:val="20"/>
                <w:szCs w:val="20"/>
              </w:rPr>
              <w:t xml:space="preserve"> (number of epochs).</w:t>
            </w:r>
          </w:p>
          <w:p w14:paraId="79E10037">
            <w:pPr>
              <w:spacing w:line="240" w:lineRule="auto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Input</w:t>
            </w:r>
            <w:r>
              <w:rPr>
                <w:bCs/>
                <w:sz w:val="20"/>
                <w:szCs w:val="20"/>
              </w:rPr>
              <w:t xml:space="preserve">: a set of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bCs/>
                <w:sz w:val="20"/>
                <w:szCs w:val="20"/>
              </w:rPr>
              <w:t xml:space="preserve"> conversations</w:t>
            </w:r>
            <w:r>
              <w:rPr>
                <w:rFonts w:hint="eastAsia"/>
                <w:bCs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kern w:val="0"/>
                  <w:sz w:val="20"/>
                  <w:szCs w:val="20"/>
                </w:rPr>
                <m:t>P</m:t>
              </m:r>
            </m:oMath>
            <w:r>
              <w:rPr>
                <w:bCs/>
                <w:sz w:val="20"/>
                <w:szCs w:val="20"/>
              </w:rPr>
              <w:t xml:space="preserve">, </w:t>
            </w:r>
            <w:r>
              <w:rPr>
                <w:rFonts w:hint="eastAsia"/>
                <w:bCs/>
                <w:sz w:val="20"/>
                <w:szCs w:val="20"/>
              </w:rPr>
              <w:t>user</w:t>
            </w:r>
            <w:r>
              <w:rPr>
                <w:bCs/>
                <w:sz w:val="20"/>
                <w:szCs w:val="20"/>
              </w:rPr>
              <w:t xml:space="preserve"> satisfaction labels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y</m:t>
              </m:r>
            </m:oMath>
            <w:r>
              <w:rPr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ultimodal dataset</w:t>
            </w:r>
            <w:r>
              <w:rPr>
                <w:rFonts w:hint="eastAsia" w:hAnsi="Cambria Math"/>
                <w:iCs/>
                <w:kern w:val="0"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kern w:val="0"/>
                  <w:sz w:val="20"/>
                  <w:szCs w:val="20"/>
                </w:rPr>
                <m:t>C</m:t>
              </m:r>
            </m:oMath>
            <w:r>
              <w:rPr>
                <w:rFonts w:hint="eastAsia" w:hAnsi="Cambria Math"/>
                <w:kern w:val="0"/>
                <w:sz w:val="20"/>
                <w:szCs w:val="20"/>
              </w:rPr>
              <w:t xml:space="preserve"> </w:t>
            </w:r>
            <w:r>
              <w:rPr>
                <w:rFonts w:hAnsi="Cambria Math"/>
                <w:kern w:val="0"/>
                <w:sz w:val="20"/>
                <w:szCs w:val="20"/>
              </w:rPr>
              <w:t xml:space="preserve">with </w:t>
            </w:r>
            <m:oMath>
              <m:r>
                <m:rPr/>
                <w:rPr>
                  <w:rFonts w:ascii="Cambria Math" w:hAnsi="Cambria Math"/>
                  <w:kern w:val="0"/>
                  <w:sz w:val="20"/>
                  <w:szCs w:val="20"/>
                </w:rPr>
                <m:t>M</m:t>
              </m:r>
            </m:oMath>
            <w:r>
              <w:rPr>
                <w:rFonts w:hint="eastAsia" w:hAnsi="Cambria Math"/>
                <w:kern w:val="0"/>
                <w:sz w:val="20"/>
                <w:szCs w:val="20"/>
              </w:rPr>
              <w:t xml:space="preserve"> </w:t>
            </w:r>
            <w:r>
              <w:rPr>
                <w:rFonts w:hAnsi="Cambria Math"/>
                <w:kern w:val="0"/>
                <w:sz w:val="20"/>
                <w:szCs w:val="20"/>
              </w:rPr>
              <w:t>modalities</w:t>
            </w:r>
            <w:r>
              <w:rPr>
                <w:kern w:val="0"/>
                <w:sz w:val="20"/>
                <w:szCs w:val="20"/>
              </w:rPr>
              <w:t>.</w:t>
            </w:r>
          </w:p>
        </w:tc>
      </w:tr>
      <w:tr w14:paraId="070937B0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9252" w:type="dxa"/>
          </w:tcPr>
          <w:p w14:paraId="68C22D13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//Preprocessing</w:t>
            </w:r>
          </w:p>
          <w:p w14:paraId="7C48145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f</w:t>
            </w:r>
            <w:r>
              <w:rPr>
                <w:b/>
                <w:sz w:val="20"/>
                <w:szCs w:val="20"/>
              </w:rPr>
              <w:t>or</w:t>
            </w:r>
            <w:r>
              <w:rPr>
                <w:bCs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m</m:t>
              </m:r>
            </m:oMath>
            <w:r>
              <w:rPr>
                <w:rFonts w:hint="eastAsia"/>
                <w:bCs/>
                <w:iCs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>
              <w:rPr>
                <w:bCs/>
                <w:iCs/>
                <w:sz w:val="20"/>
                <w:szCs w:val="20"/>
              </w:rPr>
              <w:t xml:space="preserve">1 to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M</m:t>
              </m:r>
            </m:oMath>
          </w:p>
          <w:p w14:paraId="7441DAD2">
            <w:pPr>
              <w:spacing w:line="240" w:lineRule="auto"/>
              <w:ind w:firstLine="400" w:firstLineChars="20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Construct multi-granularity datasets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  <w:sz w:val="20"/>
                      <w:szCs w:val="20"/>
                    </w:rPr>
                    <m:t>m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up>
              </m:sSup>
              <m:r>
                <m:rPr/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m1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m2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,⋯,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mL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e>
              </m:d>
            </m:oMath>
            <w:r>
              <w:rPr>
                <w:rFonts w:hint="eastAsia"/>
                <w:bCs/>
                <w:sz w:val="20"/>
                <w:szCs w:val="20"/>
              </w:rPr>
              <w:t>.</w:t>
            </w:r>
          </w:p>
          <w:p w14:paraId="1D749C8F">
            <w:pPr>
              <w:spacing w:line="240" w:lineRule="auto"/>
              <w:ind w:firstLine="402" w:firstLineChars="200"/>
              <w:rPr>
                <w:bCs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for</w:t>
            </w:r>
            <w:r>
              <w:rPr>
                <w:bCs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l</m:t>
              </m:r>
            </m:oMath>
            <w:r>
              <w:rPr>
                <w:rFonts w:hint="eastAsia"/>
                <w:bCs/>
                <w:iCs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>
              <w:rPr>
                <w:bCs/>
                <w:iCs/>
                <w:sz w:val="20"/>
                <w:szCs w:val="20"/>
              </w:rPr>
              <w:t xml:space="preserve">1 to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L</m:t>
              </m:r>
            </m:oMath>
          </w:p>
          <w:p w14:paraId="1DA6CD94">
            <w:pPr>
              <w:spacing w:line="240" w:lineRule="auto"/>
              <w:ind w:firstLine="800" w:firstLineChars="40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Extract representations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  <w:sz w:val="20"/>
                      <w:szCs w:val="20"/>
                    </w:rPr>
                    <m:t>m</m:t>
                  </m:r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bCs/>
                <w:sz w:val="20"/>
                <w:szCs w:val="20"/>
              </w:rPr>
              <w:t xml:space="preserve"> for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C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  <w:sz w:val="20"/>
                      <w:szCs w:val="20"/>
                    </w:rPr>
                    <m:t>m</m:t>
                  </m:r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bCs/>
                <w:sz w:val="20"/>
                <w:szCs w:val="20"/>
              </w:rPr>
              <w:t xml:space="preserve"> using pretrained models.</w:t>
            </w:r>
          </w:p>
          <w:p w14:paraId="23296003">
            <w:pPr>
              <w:spacing w:line="240" w:lineRule="auto"/>
              <w:ind w:firstLine="800" w:firstLineChars="40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Cluster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  <w:sz w:val="20"/>
                      <w:szCs w:val="20"/>
                    </w:rPr>
                    <m:t>m</m:t>
                  </m:r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bCs/>
                <w:sz w:val="20"/>
                <w:szCs w:val="20"/>
              </w:rPr>
              <w:t xml:space="preserve"> into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>
              <w:rPr>
                <w:rFonts w:hint="eastAsia"/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aspects to</w:t>
            </w:r>
            <w:r>
              <w:rPr>
                <w:rFonts w:eastAsia="Segoe UI"/>
                <w:sz w:val="20"/>
                <w:szCs w:val="20"/>
                <w:shd w:val="clear" w:color="auto" w:fill="FCFCFC"/>
              </w:rPr>
              <w:t xml:space="preserve"> obtain</w:t>
            </w:r>
            <w:r>
              <w:rPr>
                <w:sz w:val="20"/>
                <w:szCs w:val="20"/>
                <w:shd w:val="clear" w:color="auto" w:fill="FCFCFC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  <m:r>
                    <m:rPr/>
                    <w:rPr>
                      <w:rFonts w:hint="eastAsia" w:ascii="Cambria Math" w:hAnsi="Cambria Math"/>
                      <w:sz w:val="20"/>
                      <w:szCs w:val="20"/>
                    </w:rPr>
                    <m:t>l</m:t>
                  </m: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up>
              </m:sSup>
            </m:oMath>
            <w:r>
              <w:rPr>
                <w:bCs/>
                <w:sz w:val="20"/>
                <w:szCs w:val="20"/>
              </w:rPr>
              <w:t>.</w:t>
            </w:r>
          </w:p>
          <w:p w14:paraId="0555243E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f</w:t>
            </w:r>
            <w:r>
              <w:rPr>
                <w:b/>
                <w:bCs/>
                <w:sz w:val="20"/>
                <w:szCs w:val="20"/>
              </w:rPr>
              <w:t>or</w:t>
            </w:r>
            <w:r>
              <w:rPr>
                <w:bCs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i</m:t>
              </m:r>
            </m:oMath>
            <w:r>
              <w:rPr>
                <w:rFonts w:hint="eastAsia"/>
                <w:bCs/>
                <w:iCs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>
              <w:rPr>
                <w:bCs/>
                <w:iCs/>
                <w:sz w:val="20"/>
                <w:szCs w:val="20"/>
              </w:rPr>
              <w:t xml:space="preserve">1 to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</w:p>
          <w:p w14:paraId="2E5C0723">
            <w:pPr>
              <w:spacing w:line="240" w:lineRule="auto"/>
              <w:ind w:firstLine="400" w:firstLineChars="200"/>
              <w:rPr>
                <w:bCs/>
                <w:sz w:val="20"/>
                <w:szCs w:val="20"/>
              </w:rPr>
            </w:pPr>
            <w:r>
              <w:rPr>
                <w:rFonts w:hint="eastAsia"/>
                <w:bCs/>
                <w:sz w:val="20"/>
                <w:szCs w:val="20"/>
              </w:rPr>
              <w:t>E</w:t>
            </w:r>
            <w:r>
              <w:rPr>
                <w:bCs/>
                <w:sz w:val="20"/>
                <w:szCs w:val="20"/>
              </w:rPr>
              <w:t>xtract text representations</w:t>
            </w:r>
            <w:r>
              <w:rPr>
                <w:rFonts w:hint="eastAsia"/>
                <w:bCs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bCs/>
                <w:sz w:val="20"/>
                <w:szCs w:val="20"/>
              </w:rPr>
              <w:t xml:space="preserve"> for the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i</m:t>
              </m:r>
            </m:oMath>
            <w:r>
              <w:rPr>
                <w:rFonts w:hint="eastAsia"/>
                <w:bCs/>
                <w:sz w:val="20"/>
                <w:szCs w:val="20"/>
              </w:rPr>
              <w:t>-</w:t>
            </w:r>
            <w:r>
              <w:rPr>
                <w:bCs/>
                <w:sz w:val="20"/>
                <w:szCs w:val="20"/>
              </w:rPr>
              <w:t>th user query.</w:t>
            </w:r>
          </w:p>
          <w:p w14:paraId="1B8A8E6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//Training</w:t>
            </w:r>
          </w:p>
          <w:p w14:paraId="2D86B4BB">
            <w:pPr>
              <w:spacing w:line="240" w:lineRule="auto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</w:t>
            </w:r>
            <w:r>
              <w:rPr>
                <w:bCs/>
                <w:sz w:val="20"/>
                <w:szCs w:val="20"/>
              </w:rPr>
              <w:t xml:space="preserve"> epoch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>
              <w:rPr>
                <w:bCs/>
                <w:sz w:val="20"/>
                <w:szCs w:val="20"/>
              </w:rPr>
              <w:t xml:space="preserve">1 to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eps</m:t>
              </m:r>
            </m:oMath>
          </w:p>
          <w:p w14:paraId="23D02833">
            <w:pPr>
              <w:spacing w:line="240" w:lineRule="auto"/>
              <w:ind w:firstLine="402" w:firstLineChars="200"/>
              <w:rPr>
                <w:bCs/>
                <w:i/>
                <w:i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</w:t>
            </w:r>
            <w:r>
              <w:rPr>
                <w:bCs/>
                <w:sz w:val="20"/>
                <w:szCs w:val="20"/>
              </w:rPr>
              <w:t xml:space="preserve"> batch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>
              <w:rPr>
                <w:bCs/>
                <w:sz w:val="20"/>
                <w:szCs w:val="20"/>
              </w:rPr>
              <w:t xml:space="preserve">1 to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  <w:r>
              <w:rPr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// The number of batches,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  <w:r>
              <w:rPr>
                <w:bCs/>
                <w:sz w:val="20"/>
                <w:szCs w:val="20"/>
              </w:rPr>
              <w:t xml:space="preserve">, is determined by the sample size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>
              <w:rPr>
                <w:bCs/>
                <w:sz w:val="20"/>
                <w:szCs w:val="20"/>
              </w:rPr>
              <w:t xml:space="preserve"> and batch size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b</m:t>
              </m:r>
            </m:oMath>
            <w:r>
              <w:rPr>
                <w:bCs/>
                <w:sz w:val="20"/>
                <w:szCs w:val="20"/>
              </w:rPr>
              <w:t>.</w:t>
            </w:r>
          </w:p>
          <w:p w14:paraId="03A30433">
            <w:pPr>
              <w:spacing w:line="240" w:lineRule="auto"/>
              <w:ind w:firstLine="803" w:firstLineChars="40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</w:t>
            </w:r>
            <w:r>
              <w:rPr>
                <w:sz w:val="20"/>
                <w:szCs w:val="20"/>
              </w:rPr>
              <w:t xml:space="preserve"> the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i</m:t>
              </m:r>
            </m:oMath>
            <w:r>
              <w:rPr>
                <w:sz w:val="20"/>
                <w:szCs w:val="20"/>
              </w:rPr>
              <w:t>-th conversation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hint="eastAsia" w:ascii="Cambria Math" w:hAnsi="Cambria Math"/>
                      <w:bCs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  <m:ctrlPr>
                    <w:rPr>
                      <w:rFonts w:hint="eastAsia" w:ascii="Cambria Math" w:hAnsi="Cambria Math"/>
                      <w:bCs/>
                      <w:i/>
                      <w:iCs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ctrlPr>
                    <w:rPr>
                      <w:rFonts w:hint="eastAsia" w:ascii="Cambria Math" w:hAnsi="Cambria Math"/>
                      <w:bCs/>
                      <w:i/>
                      <w:iCs/>
                      <w:sz w:val="20"/>
                      <w:szCs w:val="20"/>
                    </w:rPr>
                  </m:ctrlPr>
                </m:sup>
              </m:sSup>
            </m:oMath>
            <w:r>
              <w:rPr>
                <w:sz w:val="20"/>
                <w:szCs w:val="20"/>
              </w:rPr>
              <w:t>, in the current batch</w:t>
            </w:r>
          </w:p>
          <w:p w14:paraId="1FE4B993">
            <w:pPr>
              <w:spacing w:line="240" w:lineRule="auto"/>
              <w:ind w:firstLine="1200" w:firstLineChars="6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Construct the inter-aspect graph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>.</w:t>
            </w:r>
          </w:p>
          <w:p w14:paraId="24AFF3DA">
            <w:pPr>
              <w:spacing w:line="240" w:lineRule="auto"/>
              <w:ind w:firstLine="1200" w:firstLineChars="6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Calculate the adjacency matrix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/>
                      <w:sz w:val="20"/>
                      <w:szCs w:val="20"/>
                    </w:rPr>
                    <m:t>ml</m:t>
                  </m:r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 Eq. (3).</w:t>
            </w:r>
          </w:p>
          <w:p w14:paraId="0D2AB58F">
            <w:pPr>
              <w:spacing w:line="240" w:lineRule="auto"/>
              <w:ind w:firstLine="1200" w:firstLineChars="6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pplying low-pass and high-pass filters 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sz w:val="20"/>
                <w:szCs w:val="20"/>
              </w:rPr>
              <w:t xml:space="preserve"> to obtain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 Eq</w:t>
            </w: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. (4)-(5).</w:t>
            </w:r>
          </w:p>
          <w:p w14:paraId="3A83EDBD">
            <w:pPr>
              <w:spacing w:line="240" w:lineRule="auto"/>
              <w:ind w:firstLine="1205" w:firstLineChars="600"/>
              <w:rPr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f</w:t>
            </w:r>
            <w:r>
              <w:rPr>
                <w:b/>
                <w:bCs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←</m:t>
              </m:r>
            </m:oMath>
            <w:r>
              <w:rPr>
                <w:bCs/>
                <w:sz w:val="20"/>
                <w:szCs w:val="20"/>
              </w:rPr>
              <w:t xml:space="preserve">1 to </w:t>
            </w:r>
            <m:oMath>
              <m:r>
                <m:rPr/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</w:p>
          <w:p w14:paraId="72444DBD">
            <w:pPr>
              <w:spacing w:line="240" w:lineRule="auto"/>
              <w:ind w:firstLine="1600" w:firstLineChars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Construct the intra-aspect graph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bSup>
            </m:oMath>
            <w:r>
              <w:rPr>
                <w:rFonts w:hint="eastAsia"/>
                <w:sz w:val="20"/>
                <w:szCs w:val="20"/>
              </w:rPr>
              <w:t>.</w:t>
            </w:r>
          </w:p>
          <w:p w14:paraId="416742F2">
            <w:pPr>
              <w:spacing w:line="240" w:lineRule="auto"/>
              <w:ind w:firstLine="1600" w:firstLineChars="8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Calculate the adjacency matrix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/>
                      <w:sz w:val="20"/>
                      <w:szCs w:val="20"/>
                    </w:rPr>
                    <m:t>ml</m:t>
                  </m:r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bSup>
            </m:oMath>
            <w:r>
              <w:rPr>
                <w:sz w:val="20"/>
                <w:szCs w:val="20"/>
              </w:rPr>
              <w:t>.</w:t>
            </w:r>
          </w:p>
          <w:p w14:paraId="31801E59">
            <w:pPr>
              <w:spacing w:line="240" w:lineRule="auto"/>
              <w:ind w:firstLine="1600" w:firstLineChars="8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pplying low-pass and high-pass filters on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bSup>
            </m:oMath>
            <w:r>
              <w:rPr>
                <w:sz w:val="20"/>
                <w:szCs w:val="20"/>
              </w:rPr>
              <w:t xml:space="preserve"> to obtain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b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H</m:t>
                  </m: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bSup>
            </m:oMath>
            <w:r>
              <w:rPr>
                <w:sz w:val="20"/>
                <w:szCs w:val="20"/>
              </w:rPr>
              <w:t>.</w:t>
            </w:r>
          </w:p>
          <w:p w14:paraId="1B190D68">
            <w:pPr>
              <w:spacing w:line="240" w:lineRule="auto"/>
              <w:ind w:firstLine="1200" w:firstLineChars="6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btain the overall knowledge representations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and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0"/>
                          <w:szCs w:val="20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mli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 Eq</w:t>
            </w: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. (</w:t>
            </w:r>
            <w:r>
              <w:rPr>
                <w:rFonts w:hint="eastAsia"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)-(</w:t>
            </w: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).</w:t>
            </w:r>
          </w:p>
          <w:p w14:paraId="2B2416CA">
            <w:pPr>
              <w:spacing w:line="240" w:lineRule="auto"/>
              <w:ind w:firstLine="1200" w:firstLineChars="6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alculate the cross-modal semantic alignment loss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w:bookmarkStart w:id="3" w:name="_Hlk220182518"/>
                  <m:r>
                    <m:rPr>
                      <m:scr m:val="script"/>
                    </m:rPr>
                    <w:rPr>
                      <w:rFonts w:ascii="Cambria Math" w:hAnsi="Cambria Math"/>
                      <w:sz w:val="20"/>
                      <w:szCs w:val="20"/>
                    </w:rPr>
                    <m:t>ℒ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align</m:t>
                  </m:r>
                  <w:bookmarkEnd w:id="3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 Eq. (1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).</w:t>
            </w:r>
          </w:p>
          <w:p w14:paraId="228B0C37">
            <w:pPr>
              <w:spacing w:line="240" w:lineRule="auto"/>
              <w:ind w:firstLine="1200" w:firstLineChars="600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Calculate </w:t>
            </w:r>
            <w:r>
              <w:rPr>
                <w:rFonts w:hint="eastAsia"/>
                <w:sz w:val="20"/>
                <w:szCs w:val="20"/>
              </w:rPr>
              <w:t>attention weights</w:t>
            </w:r>
            <w:r>
              <w:rPr>
                <w:sz w:val="20"/>
                <w:szCs w:val="20"/>
              </w:rPr>
              <w:t xml:space="preserve"> across granularities with Eq</w:t>
            </w: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. (1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)-(1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) and get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iCs/>
                <w:sz w:val="20"/>
                <w:szCs w:val="20"/>
              </w:rPr>
              <w:t>.</w:t>
            </w:r>
          </w:p>
          <w:p w14:paraId="4B6062BC">
            <w:pPr>
              <w:spacing w:line="240" w:lineRule="auto"/>
              <w:ind w:firstLine="1200" w:firstLineChars="6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Input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up>
              </m:sSup>
            </m:oMath>
            <w:r>
              <w:rPr>
                <w:sz w:val="20"/>
                <w:szCs w:val="20"/>
              </w:rPr>
              <w:t xml:space="preserve"> and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pPr>
                <m:e>
                  <w:bookmarkStart w:id="4" w:name="_Hlk239624183"/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w:bookmarkEnd w:id="4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up>
              </m:sSup>
            </m:oMath>
            <w:r>
              <w:rPr>
                <w:rFonts w:hint="eastAsia"/>
                <w:sz w:val="20"/>
                <w:szCs w:val="20"/>
              </w:rPr>
              <w:t xml:space="preserve"> </w:t>
            </w:r>
            <w:bookmarkStart w:id="5" w:name="OLE_LINK85"/>
            <w:r>
              <w:rPr>
                <w:rFonts w:hint="eastAsia"/>
                <w:sz w:val="20"/>
                <w:szCs w:val="20"/>
              </w:rPr>
              <w:t xml:space="preserve">into the LLM to obtain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SubSupPr>
                <m:e>
                  <w:bookmarkStart w:id="6" w:name="_Hlk239624191"/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G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  <w:bookmarkEnd w:id="6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sup>
              </m:sSubSup>
            </m:oMath>
            <w:r>
              <w:rPr>
                <w:rFonts w:hint="eastAsia"/>
                <w:sz w:val="20"/>
                <w:szCs w:val="20"/>
              </w:rPr>
              <w:t>, and obtain the generation loss with Eq. (15).</w:t>
            </w:r>
          </w:p>
          <w:bookmarkEnd w:id="5"/>
          <w:p w14:paraId="4BB8AE72">
            <w:pPr>
              <w:spacing w:line="240" w:lineRule="auto"/>
              <w:ind w:firstLine="800" w:firstLineChars="40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Minimize the overall loss given by Eq. (1</w:t>
            </w:r>
            <w:r>
              <w:rPr>
                <w:rFonts w:hint="eastAsia"/>
                <w:bCs/>
                <w:sz w:val="20"/>
                <w:szCs w:val="20"/>
              </w:rPr>
              <w:t>7</w:t>
            </w:r>
            <w:r>
              <w:rPr>
                <w:bCs/>
                <w:sz w:val="20"/>
                <w:szCs w:val="20"/>
              </w:rPr>
              <w:t>) through back propagation.</w:t>
            </w:r>
          </w:p>
        </w:tc>
      </w:tr>
    </w:tbl>
    <w:p w14:paraId="07AA207A">
      <w:pPr>
        <w:pStyle w:val="43"/>
        <w:jc w:val="center"/>
        <w:rPr>
          <w:b/>
          <w:bCs/>
          <w:szCs w:val="20"/>
          <w:lang w:eastAsia="zh-CN"/>
        </w:rPr>
      </w:pPr>
      <w:r>
        <w:rPr>
          <w:b/>
          <w:bCs/>
          <w:szCs w:val="20"/>
        </w:rPr>
        <w:t xml:space="preserve">Algorithm </w:t>
      </w:r>
      <w:r>
        <w:rPr>
          <w:rFonts w:hint="eastAsia"/>
          <w:b/>
          <w:bCs/>
          <w:szCs w:val="20"/>
          <w:lang w:eastAsia="zh-CN"/>
        </w:rPr>
        <w:t>1</w:t>
      </w:r>
      <w:r>
        <w:rPr>
          <w:b/>
          <w:bCs/>
          <w:szCs w:val="20"/>
        </w:rPr>
        <w:t>. The Proposed Training Algorithm for UAP-DL</w:t>
      </w:r>
      <w:r>
        <w:rPr>
          <w:rFonts w:hint="eastAsia"/>
          <w:b/>
          <w:bCs/>
          <w:szCs w:val="20"/>
          <w:lang w:eastAsia="zh-CN"/>
        </w:rPr>
        <w:t>.</w:t>
      </w:r>
    </w:p>
    <w:p w14:paraId="1987B7D2">
      <w:pPr>
        <w:pStyle w:val="43"/>
        <w:rPr>
          <w:rFonts w:hint="eastAsia"/>
        </w:rPr>
      </w:pPr>
    </w:p>
    <w:p w14:paraId="677F75CA">
      <w:pPr>
        <w:pStyle w:val="82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C</w:t>
      </w:r>
      <w:r>
        <w:t>. Additional Descriptive Statistics</w:t>
      </w:r>
    </w:p>
    <w:p w14:paraId="0BA49027">
      <w:pPr>
        <w:pStyle w:val="43"/>
        <w:jc w:val="bot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Table C1. Descriptive Statistics of the Q&amp;A Dataset.</w:t>
      </w:r>
    </w:p>
    <w:tbl>
      <w:tblPr>
        <w:tblStyle w:val="22"/>
        <w:tblW w:w="0" w:type="auto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4"/>
        <w:gridCol w:w="705"/>
        <w:gridCol w:w="839"/>
        <w:gridCol w:w="572"/>
        <w:gridCol w:w="666"/>
      </w:tblGrid>
      <w:tr w14:paraId="366DECC9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44" w:hRule="atLeast"/>
          <w:tblHeader/>
          <w:jc w:val="center"/>
        </w:trPr>
        <w:tc>
          <w:tcPr>
            <w:tcW w:w="0" w:type="auto"/>
          </w:tcPr>
          <w:p w14:paraId="433AE53C">
            <w:pPr>
              <w:pStyle w:val="43"/>
              <w:rPr>
                <w:b/>
                <w:bCs/>
              </w:rPr>
            </w:pPr>
            <w:r>
              <w:rPr>
                <w:b/>
                <w:bCs/>
              </w:rPr>
              <w:t>Statistics</w:t>
            </w:r>
          </w:p>
        </w:tc>
        <w:tc>
          <w:tcPr>
            <w:tcW w:w="0" w:type="auto"/>
          </w:tcPr>
          <w:p w14:paraId="45790A0F">
            <w:pPr>
              <w:pStyle w:val="43"/>
              <w:rPr>
                <w:b/>
                <w:bCs/>
              </w:rPr>
            </w:pPr>
            <w:r>
              <w:rPr>
                <w:b/>
                <w:bCs/>
              </w:rPr>
              <w:t>Mean</w:t>
            </w:r>
          </w:p>
        </w:tc>
        <w:tc>
          <w:tcPr>
            <w:tcW w:w="0" w:type="auto"/>
          </w:tcPr>
          <w:p w14:paraId="4F83C46E">
            <w:pPr>
              <w:pStyle w:val="43"/>
              <w:rPr>
                <w:b/>
                <w:bCs/>
              </w:rPr>
            </w:pPr>
            <w:r>
              <w:rPr>
                <w:b/>
                <w:bCs/>
              </w:rPr>
              <w:t>StdDev</w:t>
            </w:r>
          </w:p>
        </w:tc>
        <w:tc>
          <w:tcPr>
            <w:tcW w:w="0" w:type="auto"/>
          </w:tcPr>
          <w:p w14:paraId="0D1387C8">
            <w:pPr>
              <w:pStyle w:val="43"/>
              <w:rPr>
                <w:b/>
                <w:bCs/>
              </w:rPr>
            </w:pPr>
            <w:r>
              <w:rPr>
                <w:b/>
                <w:bCs/>
              </w:rPr>
              <w:t>Min</w:t>
            </w:r>
          </w:p>
        </w:tc>
        <w:tc>
          <w:tcPr>
            <w:tcW w:w="0" w:type="auto"/>
          </w:tcPr>
          <w:p w14:paraId="414CB2A3">
            <w:pPr>
              <w:pStyle w:val="43"/>
              <w:rPr>
                <w:b/>
                <w:bCs/>
              </w:rPr>
            </w:pPr>
            <w:r>
              <w:rPr>
                <w:b/>
                <w:bCs/>
              </w:rPr>
              <w:t>Max</w:t>
            </w:r>
          </w:p>
        </w:tc>
      </w:tr>
      <w:tr w14:paraId="4D1229CF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" w:hRule="atLeast"/>
          <w:jc w:val="center"/>
        </w:trPr>
        <w:tc>
          <w:tcPr>
            <w:tcW w:w="0" w:type="auto"/>
          </w:tcPr>
          <w:p w14:paraId="32219F21">
            <w:pPr>
              <w:pStyle w:val="43"/>
            </w:pPr>
            <w:r>
              <w:t>Text length per review (words)</w:t>
            </w:r>
          </w:p>
        </w:tc>
        <w:tc>
          <w:tcPr>
            <w:tcW w:w="0" w:type="auto"/>
            <w:vAlign w:val="center"/>
          </w:tcPr>
          <w:p w14:paraId="4EE29319">
            <w:pPr>
              <w:pStyle w:val="43"/>
              <w:jc w:val="right"/>
            </w:pPr>
            <w:r>
              <w:t>52.61</w:t>
            </w:r>
          </w:p>
        </w:tc>
        <w:tc>
          <w:tcPr>
            <w:tcW w:w="0" w:type="auto"/>
            <w:vAlign w:val="center"/>
          </w:tcPr>
          <w:p w14:paraId="65320550">
            <w:pPr>
              <w:pStyle w:val="43"/>
              <w:jc w:val="right"/>
            </w:pPr>
            <w:r>
              <w:t>58.64</w:t>
            </w:r>
          </w:p>
        </w:tc>
        <w:tc>
          <w:tcPr>
            <w:tcW w:w="0" w:type="auto"/>
            <w:vAlign w:val="center"/>
          </w:tcPr>
          <w:p w14:paraId="4B02C918">
            <w:pPr>
              <w:pStyle w:val="43"/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4E9814C">
            <w:pPr>
              <w:pStyle w:val="43"/>
              <w:jc w:val="right"/>
            </w:pPr>
            <w:r>
              <w:t>2,437</w:t>
            </w:r>
          </w:p>
        </w:tc>
      </w:tr>
      <w:tr w14:paraId="47B85708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" w:hRule="atLeast"/>
          <w:jc w:val="center"/>
        </w:trPr>
        <w:tc>
          <w:tcPr>
            <w:tcW w:w="0" w:type="auto"/>
          </w:tcPr>
          <w:p w14:paraId="4CDAC4F0">
            <w:pPr>
              <w:pStyle w:val="43"/>
            </w:pPr>
            <w:r>
              <w:t>Number of images per review</w:t>
            </w:r>
          </w:p>
        </w:tc>
        <w:tc>
          <w:tcPr>
            <w:tcW w:w="0" w:type="auto"/>
            <w:vAlign w:val="center"/>
          </w:tcPr>
          <w:p w14:paraId="7FC203C0">
            <w:pPr>
              <w:pStyle w:val="43"/>
              <w:jc w:val="right"/>
            </w:pPr>
            <w:r>
              <w:t>2.89</w:t>
            </w:r>
          </w:p>
        </w:tc>
        <w:tc>
          <w:tcPr>
            <w:tcW w:w="0" w:type="auto"/>
            <w:vAlign w:val="center"/>
          </w:tcPr>
          <w:p w14:paraId="5116D16A">
            <w:pPr>
              <w:pStyle w:val="43"/>
              <w:jc w:val="right"/>
            </w:pPr>
            <w:r>
              <w:t>2.00</w:t>
            </w:r>
          </w:p>
        </w:tc>
        <w:tc>
          <w:tcPr>
            <w:tcW w:w="0" w:type="auto"/>
            <w:vAlign w:val="center"/>
          </w:tcPr>
          <w:p w14:paraId="736CA24D">
            <w:pPr>
              <w:pStyle w:val="43"/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99B592A">
            <w:pPr>
              <w:pStyle w:val="43"/>
              <w:jc w:val="right"/>
            </w:pPr>
            <w:r>
              <w:t>15</w:t>
            </w:r>
          </w:p>
        </w:tc>
      </w:tr>
      <w:tr w14:paraId="6918FC8C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" w:hRule="atLeast"/>
          <w:jc w:val="center"/>
        </w:trPr>
        <w:tc>
          <w:tcPr>
            <w:tcW w:w="0" w:type="auto"/>
          </w:tcPr>
          <w:p w14:paraId="05EF9F48">
            <w:pPr>
              <w:pStyle w:val="43"/>
            </w:pPr>
            <w:r>
              <w:t>Text length per question (words)</w:t>
            </w:r>
          </w:p>
        </w:tc>
        <w:tc>
          <w:tcPr>
            <w:tcW w:w="0" w:type="auto"/>
            <w:vAlign w:val="center"/>
          </w:tcPr>
          <w:p w14:paraId="54BE4AAC">
            <w:pPr>
              <w:pStyle w:val="43"/>
              <w:jc w:val="right"/>
            </w:pPr>
            <w:r>
              <w:t>19.30</w:t>
            </w:r>
          </w:p>
        </w:tc>
        <w:tc>
          <w:tcPr>
            <w:tcW w:w="0" w:type="auto"/>
            <w:vAlign w:val="center"/>
          </w:tcPr>
          <w:p w14:paraId="23438732">
            <w:pPr>
              <w:pStyle w:val="43"/>
              <w:jc w:val="right"/>
            </w:pPr>
            <w:r>
              <w:t>4.64</w:t>
            </w:r>
          </w:p>
        </w:tc>
        <w:tc>
          <w:tcPr>
            <w:tcW w:w="0" w:type="auto"/>
            <w:vAlign w:val="center"/>
          </w:tcPr>
          <w:p w14:paraId="70A6536A">
            <w:pPr>
              <w:pStyle w:val="43"/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</w:tcPr>
          <w:p w14:paraId="37DB09F0">
            <w:pPr>
              <w:pStyle w:val="43"/>
              <w:jc w:val="right"/>
            </w:pPr>
            <w:r>
              <w:t>48</w:t>
            </w:r>
          </w:p>
        </w:tc>
      </w:tr>
      <w:tr w14:paraId="50D26482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4" w:hRule="atLeast"/>
          <w:jc w:val="center"/>
        </w:trPr>
        <w:tc>
          <w:tcPr>
            <w:tcW w:w="0" w:type="auto"/>
          </w:tcPr>
          <w:p w14:paraId="7E9D882F">
            <w:pPr>
              <w:pStyle w:val="43"/>
            </w:pPr>
            <w:r>
              <w:t>Text length per answer (words)</w:t>
            </w:r>
          </w:p>
        </w:tc>
        <w:tc>
          <w:tcPr>
            <w:tcW w:w="0" w:type="auto"/>
            <w:vAlign w:val="center"/>
          </w:tcPr>
          <w:p w14:paraId="7C7E608B">
            <w:pPr>
              <w:pStyle w:val="43"/>
              <w:jc w:val="right"/>
            </w:pPr>
            <w:r>
              <w:t>61.25</w:t>
            </w:r>
          </w:p>
        </w:tc>
        <w:tc>
          <w:tcPr>
            <w:tcW w:w="0" w:type="auto"/>
            <w:vAlign w:val="center"/>
          </w:tcPr>
          <w:p w14:paraId="174A9CE0">
            <w:pPr>
              <w:pStyle w:val="43"/>
              <w:jc w:val="right"/>
            </w:pPr>
            <w:r>
              <w:t>31.36</w:t>
            </w:r>
          </w:p>
        </w:tc>
        <w:tc>
          <w:tcPr>
            <w:tcW w:w="0" w:type="auto"/>
            <w:vAlign w:val="center"/>
          </w:tcPr>
          <w:p w14:paraId="2470F1E7">
            <w:pPr>
              <w:pStyle w:val="43"/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1BFCEB0F">
            <w:pPr>
              <w:pStyle w:val="43"/>
              <w:jc w:val="right"/>
            </w:pPr>
            <w:r>
              <w:t>197</w:t>
            </w:r>
          </w:p>
        </w:tc>
      </w:tr>
    </w:tbl>
    <w:p w14:paraId="3266A2B3">
      <w:pPr>
        <w:pStyle w:val="43"/>
      </w:pPr>
    </w:p>
    <w:p w14:paraId="4F7F6E3E">
      <w:pPr>
        <w:pStyle w:val="82"/>
        <w:numPr>
          <w:ilvl w:val="0"/>
          <w:numId w:val="0"/>
        </w:numPr>
        <w:ind w:left="425" w:hanging="425"/>
        <w:rPr>
          <w:rFonts w:hint="eastAsia"/>
        </w:rPr>
      </w:pPr>
      <w:r>
        <w:t xml:space="preserve">Appendix </w:t>
      </w:r>
      <w:r>
        <w:rPr>
          <w:rFonts w:hint="eastAsia"/>
        </w:rPr>
        <w:t>D</w:t>
      </w:r>
      <w:r>
        <w:t xml:space="preserve">. </w:t>
      </w:r>
      <w:r>
        <w:rPr>
          <w:rFonts w:hint="eastAsia"/>
        </w:rPr>
        <w:t>Implementation Details</w:t>
      </w:r>
    </w:p>
    <w:p w14:paraId="4DDE7100">
      <w:pPr>
        <w:ind w:firstLine="460" w:firstLineChars="200"/>
        <w:jc w:val="both"/>
        <w:rPr>
          <w:rFonts w:hint="eastAsia"/>
        </w:rPr>
      </w:pPr>
      <w:r>
        <w:rPr>
          <w:kern w:val="0"/>
        </w:rPr>
        <w:t>We implemented UAP-DL and the benchmarks based on programs of pytorch-2.0.0, torch</w:t>
      </w:r>
      <w:r>
        <w:rPr>
          <w:rFonts w:hint="eastAsia"/>
          <w:kern w:val="0"/>
        </w:rPr>
        <w:t>-</w:t>
      </w:r>
      <w:r>
        <w:rPr>
          <w:kern w:val="0"/>
        </w:rPr>
        <w:t>geometr</w:t>
      </w:r>
      <w:r>
        <w:rPr>
          <w:rFonts w:hint="eastAsia"/>
          <w:kern w:val="0"/>
        </w:rPr>
        <w:t>ic</w:t>
      </w:r>
      <w:r>
        <w:rPr>
          <w:kern w:val="0"/>
        </w:rPr>
        <w:t xml:space="preserve">-2.3.1, and scikit-learn-1.5.0. We used Qwen3-8B in </w:t>
      </w:r>
      <w:r>
        <w:rPr>
          <w:rFonts w:hint="eastAsia"/>
          <w:kern w:val="0"/>
        </w:rPr>
        <w:t>all</w:t>
      </w:r>
      <w:r>
        <w:rPr>
          <w:kern w:val="0"/>
        </w:rPr>
        <w:t xml:space="preserve"> experiments from </w:t>
      </w:r>
      <w:r>
        <w:fldChar w:fldCharType="begin"/>
      </w:r>
      <w:r>
        <w:instrText xml:space="preserve">HYPERLINK "https://huggingface.co/Qwen/Qwen3-8B"</w:instrText>
      </w:r>
      <w:r>
        <w:fldChar w:fldCharType="separate"/>
      </w:r>
      <w:r>
        <w:rPr>
          <w:rStyle w:val="29"/>
        </w:rPr>
        <w:t>https://huggingface.co/Qwen/Qwen3-8B</w:t>
      </w:r>
      <w:r>
        <w:fldChar w:fldCharType="end"/>
      </w:r>
      <w:r>
        <w:rPr>
          <w:kern w:val="0"/>
        </w:rPr>
        <w:t xml:space="preserve">. </w:t>
      </w:r>
      <w:r>
        <w:rPr>
          <w:rFonts w:hint="eastAsia"/>
          <w:kern w:val="0"/>
        </w:rPr>
        <w:t xml:space="preserve">We used Sentence-BERT </w:t>
      </w:r>
      <w:r>
        <w:rPr>
          <w:kern w:val="0"/>
        </w:rPr>
        <w:fldChar w:fldCharType="begin"/>
      </w:r>
      <w:r>
        <w:rPr>
          <w:kern w:val="0"/>
        </w:rPr>
        <w:instrText xml:space="preserve">HYPERLINK "</w:instrText>
      </w:r>
      <w:r>
        <w:rPr>
          <w:rStyle w:val="24"/>
          <w:kern w:val="0"/>
        </w:rPr>
        <w:instrText xml:space="preserve">https://huggingface.co/sentence-transformers/paraphrase-multilingual-mpnet-base-v</w:instrText>
      </w:r>
      <w:r>
        <w:rPr>
          <w:kern w:val="0"/>
        </w:rPr>
        <w:instrText xml:space="preserve">2"</w:instrText>
      </w:r>
      <w:r>
        <w:rPr>
          <w:kern w:val="0"/>
        </w:rPr>
        <w:fldChar w:fldCharType="separate"/>
      </w:r>
      <w:r>
        <w:rPr>
          <w:rStyle w:val="29"/>
          <w:kern w:val="0"/>
        </w:rPr>
        <w:t>https://huggingface.co/sentence-transformers/paraphrase-multilingual-mpnet-base-v2</w:t>
      </w:r>
      <w:r>
        <w:rPr>
          <w:kern w:val="0"/>
        </w:rPr>
        <w:fldChar w:fldCharType="end"/>
      </w:r>
      <w:r>
        <w:rPr>
          <w:rFonts w:hint="eastAsia"/>
          <w:kern w:val="0"/>
        </w:rPr>
        <w:t xml:space="preserve"> from and ViT from </w:t>
      </w:r>
      <w:r>
        <w:rPr>
          <w:kern w:val="0"/>
        </w:rPr>
        <w:fldChar w:fldCharType="begin"/>
      </w:r>
      <w:r>
        <w:rPr>
          <w:kern w:val="0"/>
        </w:rPr>
        <w:instrText xml:space="preserve">HYPERLINK "https://huggingface.co/google/vit-base-patch16-224-in21k"</w:instrText>
      </w:r>
      <w:r>
        <w:rPr>
          <w:kern w:val="0"/>
        </w:rPr>
        <w:fldChar w:fldCharType="separate"/>
      </w:r>
      <w:r>
        <w:rPr>
          <w:rStyle w:val="29"/>
          <w:kern w:val="0"/>
        </w:rPr>
        <w:t>https://huggingface.co/google/vit-base-patch16-224-in21k</w:t>
      </w:r>
      <w:r>
        <w:rPr>
          <w:kern w:val="0"/>
        </w:rPr>
        <w:fldChar w:fldCharType="end"/>
      </w:r>
      <w:r>
        <w:rPr>
          <w:rFonts w:hint="eastAsia"/>
          <w:kern w:val="0"/>
        </w:rPr>
        <w:t xml:space="preserve">. </w:t>
      </w:r>
      <w:r>
        <w:rPr>
          <w:kern w:val="0"/>
        </w:rPr>
        <w:t>All experiments were run on a server with three NVIDIA A100-PCIE-40GB GPUs, 629 GB of RAM, and the Intel Xeon Gold 6248R CPU with a 3.00 GHz clock speed.</w:t>
      </w:r>
    </w:p>
    <w:p w14:paraId="6F4AB406">
      <w:pPr>
        <w:pStyle w:val="82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E</w:t>
      </w:r>
      <w:r>
        <w:t>. Explanatory Analyses</w:t>
      </w:r>
    </w:p>
    <w:p w14:paraId="1FE94CEF">
      <w:pPr>
        <w:pStyle w:val="19"/>
        <w:widowControl/>
        <w:ind w:firstLine="460" w:firstLineChars="200"/>
        <w:jc w:val="both"/>
        <w:rPr>
          <w:rFonts w:cstheme="minorBidi"/>
          <w:kern w:val="0"/>
          <w:sz w:val="23"/>
        </w:rPr>
      </w:pPr>
      <w:r>
        <w:rPr>
          <w:rFonts w:cstheme="minorBidi"/>
          <w:kern w:val="0"/>
          <w:sz w:val="23"/>
        </w:rPr>
        <w:t xml:space="preserve">The explanatory analyses provide supportive evidence that UAP-DL organizes knowledge across multiple aspects and granularities and adjusts its contributions according to the </w:t>
      </w:r>
      <w:r>
        <w:rPr>
          <w:rFonts w:hint="eastAsia" w:cstheme="minorBidi"/>
          <w:kern w:val="0"/>
          <w:sz w:val="23"/>
        </w:rPr>
        <w:t>user</w:t>
      </w:r>
      <w:r>
        <w:rPr>
          <w:rFonts w:cstheme="minorBidi"/>
          <w:kern w:val="0"/>
          <w:sz w:val="23"/>
        </w:rPr>
        <w:t xml:space="preserve"> query, thereby helping explain how MAKR, MGKI, and ECRG support user-oriented</w:t>
      </w:r>
      <w:r>
        <w:rPr>
          <w:rFonts w:cstheme="minorBidi"/>
          <w:sz w:val="23"/>
        </w:rPr>
        <w:t xml:space="preserve"> </w:t>
      </w:r>
      <w:r>
        <w:rPr>
          <w:rFonts w:cstheme="minorBidi"/>
          <w:kern w:val="0"/>
          <w:sz w:val="23"/>
        </w:rPr>
        <w:t>response generation.</w:t>
      </w:r>
    </w:p>
    <w:p w14:paraId="54391EF3">
      <w:pPr>
        <w:pStyle w:val="3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E</w:t>
      </w:r>
      <w:r>
        <w:t xml:space="preserve">.1 </w:t>
      </w:r>
      <w:r>
        <w:rPr>
          <w:rFonts w:hint="eastAsia"/>
        </w:rPr>
        <w:t>Multi-Granularity Coverage and Diversity Analysis of Generated Responses</w:t>
      </w:r>
    </w:p>
    <w:p w14:paraId="2E653DF9">
      <w:pPr>
        <w:ind w:firstLine="460" w:firstLineChars="200"/>
        <w:jc w:val="both"/>
      </w:pPr>
      <w:r>
        <w:t>We evaluate</w:t>
      </w:r>
      <w:r>
        <w:rPr>
          <w:rFonts w:hint="eastAsia"/>
        </w:rPr>
        <w:t>d</w:t>
      </w:r>
      <w:r>
        <w:t xml:space="preserve"> UAP-DL’s capability in satisfying users’ </w:t>
      </w:r>
      <w:r>
        <w:rPr>
          <w:rFonts w:hint="eastAsia"/>
        </w:rPr>
        <w:t>information</w:t>
      </w:r>
      <w:r>
        <w:t xml:space="preserve"> needs along the dimensions of informational diversity and granularity. First, to assess multi-granularity need fulfillment, we designed a </w:t>
      </w:r>
      <w:r>
        <w:rPr>
          <w:i/>
          <w:iCs/>
        </w:rPr>
        <w:t>multi-granularity semantic alignment</w:t>
      </w:r>
      <w:r>
        <w:t xml:space="preserve"> (MGSA) metric. Specifically, an LLM was first prompted to decompose each user query into three hierarchical levels of information needs: coarse-grained overall needs, aspect-level needs, and fine-grained attribute-level needs. Each level was represented by a semantic description and a set of relevant keywords. Another LLM then assigned a continuous coverage score between 0 and 1 for each level to measure how well the generated response covered the corresponding information needs, and the MGSA score for response </w:t>
      </w:r>
      <m:oMath>
        <m:r>
          <m:rPr/>
          <w:rPr>
            <w:rFonts w:ascii="Cambria Math" w:hAnsi="Cambria Math"/>
          </w:rPr>
          <m:t>i</m:t>
        </m:r>
      </m:oMath>
      <w:r>
        <w:t xml:space="preserve"> was obtained by averaging the three coverage scores:</w:t>
      </w:r>
    </w:p>
    <w:p w14:paraId="7D07504C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kern w:val="0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MGSA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l=1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il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nary>
              <m:r>
                <m:rPr/>
                <w:rPr>
                  <w:rFonts w:ascii="Cambria Math" w:hAnsi="Cambria Math"/>
                  <w:kern w:val="0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</w:rPr>
                    <m:t>E</m:t>
                  </m:r>
                  <m:r>
                    <m:rPr/>
                    <w:rPr>
                      <w:rFonts w:ascii="Cambria Math" w:hAnsi="Cambria Math"/>
                      <w:kern w:val="0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e>
              </m:d>
              <m:ctrlPr>
                <w:rPr>
                  <w:rFonts w:ascii="Cambria Math" w:hAnsi="Cambria Math"/>
                  <w:i/>
                  <w:kern w:val="0"/>
                </w:rPr>
              </m:ctrlPr>
            </m:e>
          </m:eqArr>
        </m:oMath>
      </m:oMathPara>
    </w:p>
    <w:p w14:paraId="1CA06175">
      <w:pPr>
        <w:jc w:val="both"/>
      </w:pPr>
      <w:r>
        <w:rPr>
          <w:rFonts w:hint="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 xml:space="preserve"> denotes the number of information-need levels identified for query 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hint="eastAsia"/>
        </w:rPr>
        <w:t xml:space="preserve">, and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il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hint="eastAsia"/>
        </w:rPr>
        <w:t xml:space="preserve"> denotes the coverage score of the generated response at level 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hint="eastAsia"/>
        </w:rPr>
        <w:t>.</w:t>
      </w:r>
    </w:p>
    <w:p w14:paraId="4FC78412">
      <w:pPr>
        <w:ind w:firstLine="460" w:firstLineChars="200"/>
        <w:jc w:val="both"/>
        <w:rPr>
          <w:kern w:val="0"/>
        </w:rPr>
      </w:pPr>
      <w:r>
        <w:rPr>
          <w:kern w:val="0"/>
        </w:rPr>
        <w:t>S</w:t>
      </w:r>
      <w:r>
        <w:rPr>
          <w:rFonts w:cs="Times New Roman"/>
          <w:kern w:val="0"/>
        </w:rPr>
        <w:t>econd, to evaluate informational diversity, we introduced two diversity metrics—content diversity (CD) and semantic diversity (SD)</w:t>
      </w:r>
      <w:r>
        <w:rPr>
          <w:rFonts w:hint="eastAsia" w:cs="Times New Roman"/>
          <w:kern w:val="0"/>
        </w:rPr>
        <w:t>—</w:t>
      </w:r>
      <w:r>
        <w:rPr>
          <w:rFonts w:cs="Times New Roman"/>
          <w:kern w:val="0"/>
        </w:rPr>
        <w:t xml:space="preserve">which capture </w:t>
      </w:r>
      <w:r>
        <w:rPr>
          <w:kern w:val="0"/>
        </w:rPr>
        <w:t>the richness of expression and the semantic breadth of the generated responses, respectively. Specifically, CD is measured using the Distinct-</w:t>
      </w:r>
      <m:oMath>
        <m:r>
          <m:rPr/>
          <w:rPr>
            <w:rFonts w:ascii="Cambria Math" w:hAnsi="Cambria Math"/>
            <w:kern w:val="0"/>
          </w:rPr>
          <m:t>n</m:t>
        </m:r>
      </m:oMath>
      <w:r>
        <w:rPr>
          <w:kern w:val="0"/>
        </w:rPr>
        <w:t xml:space="preserve"> metric </w:t>
      </w:r>
      <w:r>
        <w:rPr>
          <w:kern w:val="0"/>
        </w:rPr>
        <w:fldChar w:fldCharType="begin"/>
      </w:r>
      <w:r>
        <w:rPr>
          <w:kern w:val="0"/>
        </w:rPr>
        <w:instrText xml:space="preserve"> ADDIN EN.CITE &lt;EndNote&gt;&lt;Cite&gt;&lt;Author&gt;Li&lt;/Author&gt;&lt;Year&gt;2016&lt;/Year&gt;&lt;RecNum&gt;672&lt;/RecNum&gt;&lt;DisplayText&gt;[1]&lt;/DisplayText&gt;&lt;record&gt;&lt;rec-number&gt;672&lt;/rec-number&gt;&lt;foreign-keys&gt;&lt;key app="EN" db-id="0a9xa09eueardse2zrl5szdcr9tfwf0pz5ax" timestamp="1769590935"&gt;672&lt;/key&gt;&lt;/foreign-keys&gt;&lt;ref-type name="Conference Proceedings"&gt;10&lt;/ref-type&gt;&lt;contributors&gt;&lt;authors&gt;&lt;author&gt;Li, Jiwei&lt;/author&gt;&lt;author&gt;Galley, Michel&lt;/author&gt;&lt;author&gt;Brockett, Chris&lt;/author&gt;&lt;author&gt;Gao, Jianfeng&lt;/author&gt;&lt;author&gt;Dolan, Bill&lt;/author&gt;&lt;/authors&gt;&lt;tertiary-authors&gt;&lt;author&gt;Knight, Kevin&lt;/author&gt;&lt;author&gt;Nenkova, Ani&lt;/author&gt;&lt;author&gt;Rambow, Owen&lt;/author&gt;&lt;/tertiary-authors&gt;&lt;/contributors&gt;&lt;titles&gt;&lt;title&gt;A Diversity-Promoting Objective Function for Neural Conversation Models&lt;/title&gt;&lt;tertiary-title&gt;Proceedings of the 2016 Conference of the North American Chapter of the Association for Computational Linguistics: Human Language Technologies&lt;/tertiary-title&gt;&lt;/titles&gt;&lt;pages&gt;110-119&lt;/pages&gt;&lt;dates&gt;&lt;year&gt;2016&lt;/year&gt;&lt;pub-dates&gt;&lt;date&gt;June&lt;/date&gt;&lt;/pub-dates&gt;&lt;/dates&gt;&lt;pub-location&gt;San Diego, California&lt;/pub-location&gt;&lt;publisher&gt;Association for Computational Linguistics&lt;/publisher&gt;&lt;label&gt;li-etal-2016-diversity&lt;/label&gt;&lt;urls&gt;&lt;related-urls&gt;&lt;url&gt;https://aclanthology.org/N16-1014/&lt;/url&gt;&lt;url&gt;https://doi.org/10.18653/v1/N16-1014&lt;/url&gt;&lt;/related-urls&gt;&lt;/urls&gt;&lt;electronic-resource-num&gt;10.18653/v1/N16-1014&lt;/electronic-resource-num&gt;&lt;/record&gt;&lt;/Cite&gt;&lt;/EndNote&gt;</w:instrText>
      </w:r>
      <w:r>
        <w:rPr>
          <w:kern w:val="0"/>
        </w:rPr>
        <w:fldChar w:fldCharType="separate"/>
      </w:r>
      <w:r>
        <w:rPr>
          <w:kern w:val="0"/>
        </w:rPr>
        <w:t>[</w:t>
      </w:r>
      <w:r>
        <w:fldChar w:fldCharType="begin"/>
      </w:r>
      <w:r>
        <w:instrText xml:space="preserve"> HYPERLINK \l "_ENREF_1" \o "Li, 2016 #672" </w:instrText>
      </w:r>
      <w:r>
        <w:fldChar w:fldCharType="separate"/>
      </w:r>
      <w:r>
        <w:rPr>
          <w:kern w:val="0"/>
        </w:rPr>
        <w:t>1</w:t>
      </w:r>
      <w:r>
        <w:rPr>
          <w:kern w:val="0"/>
        </w:rPr>
        <w:fldChar w:fldCharType="end"/>
      </w:r>
      <w:r>
        <w:rPr>
          <w:kern w:val="0"/>
        </w:rPr>
        <w:t>]</w:t>
      </w:r>
      <w:r>
        <w:rPr>
          <w:kern w:val="0"/>
        </w:rPr>
        <w:fldChar w:fldCharType="end"/>
      </w:r>
      <w:r>
        <w:rPr>
          <w:kern w:val="0"/>
        </w:rPr>
        <w:t>, which quantifies lexical diversity at the n-gram level:</w:t>
      </w:r>
    </w:p>
    <w:p w14:paraId="342273B7">
      <w:pPr>
        <w:jc w:val="both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/>
                <w:rPr>
                  <w:rFonts w:ascii="Cambria Math" w:hAnsi="Cambria Math"/>
                </w:rPr>
                <m:t>CD</m:t>
              </m:r>
              <m:r>
                <m:rPr/>
                <w:rPr>
                  <w:rFonts w:asci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Number of unique n−grams</m:t>
                  </m:r>
                  <m:r>
                    <m:rPr/>
                    <w:rPr>
                      <w:rFonts w:ascii="Cambria Math" w:hAnsi="宋体" w:cs="宋体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</w:rPr>
                    <m:t>in</m:t>
                  </m:r>
                  <m:r>
                    <m:rPr/>
                    <w:rPr>
                      <w:rFonts w:ascii="Cambria Math" w:hAnsi="宋体" w:cs="宋体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</w:rPr>
                    <m:t>the generated response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Total number of n−grams in</m:t>
                  </m:r>
                  <m:r>
                    <m:rPr/>
                    <w:rPr>
                      <w:rFonts w:ascii="Cambria Math" w:hAnsi="宋体" w:cs="宋体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</w:rPr>
                    <m:t>the generated response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8BE10C5">
      <w:pPr>
        <w:jc w:val="both"/>
        <w:rPr>
          <w:kern w:val="0"/>
        </w:rPr>
      </w:pPr>
      <w:r>
        <w:rPr>
          <w:kern w:val="0"/>
        </w:rPr>
        <w:t xml:space="preserve">where </w:t>
      </w:r>
      <m:oMath>
        <m:r>
          <m:rPr/>
          <w:rPr>
            <w:rFonts w:ascii="Cambria Math" w:hAnsi="Cambria Math"/>
            <w:kern w:val="0"/>
          </w:rPr>
          <m:t>n</m:t>
        </m:r>
        <m:r>
          <m:rPr/>
          <w:rPr>
            <w:rFonts w:hint="eastAsia" w:ascii="Cambria Math" w:hAnsi="Cambria Math" w:eastAsia="宋体" w:cs="宋体"/>
            <w:kern w:val="0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kern w:val="0"/>
              </w:rPr>
            </m:ctrlPr>
          </m:dPr>
          <m:e>
            <m:r>
              <m:rPr/>
              <w:rPr>
                <w:rFonts w:ascii="Cambria Math" w:hAnsi="Cambria Math"/>
                <w:kern w:val="0"/>
              </w:rPr>
              <m:t>1</m:t>
            </m:r>
            <m:r>
              <m:rPr>
                <m:sty m:val="bi"/>
              </m:rPr>
              <w:rPr>
                <w:rFonts w:ascii="Cambria Math" w:hAnsi="Cambria Math"/>
                <w:kern w:val="0"/>
              </w:rPr>
              <m:t>,</m:t>
            </m:r>
            <m:r>
              <m:rPr/>
              <w:rPr>
                <w:rFonts w:ascii="Cambria Math" w:hAnsi="Cambria Math"/>
                <w:kern w:val="0"/>
              </w:rPr>
              <m:t>2</m:t>
            </m:r>
            <m:ctrlPr>
              <w:rPr>
                <w:rFonts w:ascii="Cambria Math" w:hAnsi="Cambria Math"/>
                <w:i/>
                <w:kern w:val="0"/>
              </w:rPr>
            </m:ctrlPr>
          </m:e>
        </m:d>
      </m:oMath>
      <w:r>
        <w:rPr>
          <w:kern w:val="0"/>
        </w:rPr>
        <w:t xml:space="preserve"> corresponds to word-</w:t>
      </w:r>
      <w:r>
        <w:rPr>
          <w:rFonts w:hint="eastAsia"/>
          <w:kern w:val="0"/>
        </w:rPr>
        <w:t>level</w:t>
      </w:r>
      <w:r>
        <w:rPr>
          <w:kern w:val="0"/>
        </w:rPr>
        <w:t xml:space="preserve"> and phrase-level diversity. Higher CD values indicate lower lexical repetition and greater content diversity.</w:t>
      </w:r>
    </w:p>
    <w:p w14:paraId="1E960E84">
      <w:pPr>
        <w:ind w:firstLine="460" w:firstLineChars="200"/>
        <w:jc w:val="both"/>
        <w:rPr>
          <w:kern w:val="0"/>
        </w:rPr>
      </w:pPr>
      <w:r>
        <w:rPr>
          <w:kern w:val="0"/>
        </w:rPr>
        <w:t>Semantic diversity (SD) captures the internal semantic variation of the response. Specifically, we first segmented the</w:t>
      </w:r>
      <w:r>
        <w:rPr>
          <w:rFonts w:hint="eastAsia"/>
          <w:kern w:val="0"/>
        </w:rPr>
        <w:t xml:space="preserve"> generated</w:t>
      </w:r>
      <w:r>
        <w:rPr>
          <w:kern w:val="0"/>
        </w:rPr>
        <w:t xml:space="preserve"> response into sentences, each of which was encoded into a vector representation using a pretrained model. SD was then computed as the average pairwise semantic distance among these sentence representations:</w:t>
      </w:r>
    </w:p>
    <w:p w14:paraId="7DB79339">
      <w:pPr>
        <w:jc w:val="both"/>
        <w:rPr>
          <w:kern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kern w:val="0"/>
                </w:rPr>
              </m:ctrlPr>
            </m:eqArrPr>
            <m:e>
              <m:r>
                <m:rPr/>
                <w:rPr>
                  <w:rFonts w:ascii="Cambria Math" w:hAnsi="Cambria Math"/>
                  <w:kern w:val="0"/>
                </w:rPr>
                <m:t>SD=</m:t>
              </m:r>
              <m:f>
                <m:f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kern w:val="0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kern w:val="0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kern w:val="0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kern w:val="0"/>
                        </w:rPr>
                        <m:t>S−1</m:t>
                      </m:r>
                      <m:ctrlPr>
                        <w:rPr>
                          <w:rFonts w:ascii="Cambria Math" w:hAnsi="Cambria Math"/>
                          <w:i/>
                          <w:kern w:val="0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kern w:val="0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kern w:val="0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kern w:val="0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/>
                          <w:kern w:val="0"/>
                        </w:rPr>
                        <m:t>j=i+1</m:t>
                      </m:r>
                      <m:ctrlPr>
                        <w:rPr>
                          <w:rFonts w:ascii="Cambria Math" w:hAnsi="Cambria Math"/>
                          <w:i/>
                          <w:kern w:val="0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kern w:val="0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kern w:val="0"/>
                        </w:rPr>
                      </m:ctrlP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kern w:val="0"/>
                            </w:rPr>
                            <m:t>1−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kern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kern w:val="0"/>
                                </w:rPr>
                                <m:t>cos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kern w:val="0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kern w:val="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kern w:val="0"/>
                                        </w:rPr>
                                        <m:t>s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kern w:val="0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0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/>
                                      <w:kern w:val="0"/>
                                    </w:rPr>
                                    <m:t>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kern w:val="0"/>
                                        </w:rPr>
                                        <m:t>s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  <w:kern w:val="0"/>
                                        </w:rPr>
                                        <m:t>j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kern w:val="0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kern w:val="0"/>
                                </w:rPr>
                              </m:ctrlPr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  <w:kern w:val="0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kern w:val="0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e>
              </m:nary>
              <m:r>
                <m:rPr/>
                <w:rPr>
                  <w:rFonts w:ascii="Cambria Math" w:hAnsi="Cambria Math"/>
                  <w:kern w:val="0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</w:rPr>
                    <m:t>E3</m:t>
                  </m:r>
                  <m:ctrlPr>
                    <w:rPr>
                      <w:rFonts w:ascii="Cambria Math" w:hAnsi="Cambria Math"/>
                      <w:i/>
                      <w:kern w:val="0"/>
                    </w:rPr>
                  </m:ctrlPr>
                </m:e>
              </m:d>
              <m:ctrlPr>
                <w:rPr>
                  <w:rFonts w:ascii="Cambria Math" w:hAnsi="Cambria Math"/>
                  <w:i/>
                  <w:kern w:val="0"/>
                </w:rPr>
              </m:ctrlPr>
            </m:e>
          </m:eqArr>
        </m:oMath>
      </m:oMathPara>
    </w:p>
    <w:p w14:paraId="0697F788">
      <w:pPr>
        <w:jc w:val="both"/>
        <w:rPr>
          <w:kern w:val="0"/>
        </w:rPr>
      </w:pPr>
      <w:r>
        <w:rPr>
          <w:rFonts w:hint="eastAsia"/>
          <w:kern w:val="0"/>
        </w:rPr>
        <w:t xml:space="preserve">where </w:t>
      </w:r>
      <m:oMath>
        <m:r>
          <m:rPr/>
          <w:rPr>
            <w:rFonts w:ascii="Cambria Math" w:hAnsi="Cambria Math"/>
            <w:kern w:val="0"/>
          </w:rPr>
          <m:t>S</m:t>
        </m:r>
      </m:oMath>
      <w:r>
        <w:rPr>
          <w:rFonts w:hint="eastAsia"/>
          <w:kern w:val="0"/>
        </w:rPr>
        <w:t xml:space="preserve"> is the number of sentences</w:t>
      </w:r>
      <w:r>
        <w:rPr>
          <w:kern w:val="0"/>
        </w:rPr>
        <w:t>.</w:t>
      </w:r>
      <w:r>
        <w:rPr>
          <w:rFonts w:hint="eastAsia"/>
          <w:kern w:val="0"/>
        </w:rPr>
        <w:t xml:space="preserve"> </w:t>
      </w:r>
      <m:oMath>
        <m:sSub>
          <m:sSubPr>
            <m:ctrlPr>
              <w:rPr>
                <w:rFonts w:hint="eastAsia" w:ascii="Cambria Math" w:hAnsi="Cambria Math"/>
                <w:kern w:val="0"/>
              </w:rPr>
            </m:ctrlPr>
          </m:sSubPr>
          <m:e>
            <m:r>
              <m:rPr>
                <m:sty m:val="bi"/>
              </m:rPr>
              <w:rPr>
                <w:rFonts w:hint="eastAsia" w:ascii="Cambria Math" w:hAnsi="Cambria Math"/>
                <w:kern w:val="0"/>
              </w:rPr>
              <m:t>s</m:t>
            </m:r>
            <m:ctrlPr>
              <w:rPr>
                <w:rFonts w:hint="eastAsia" w:ascii="Cambria Math" w:hAnsi="Cambria Math"/>
                <w:kern w:val="0"/>
              </w:rPr>
            </m:ctrlPr>
          </m:e>
          <m:sub>
            <m:r>
              <m:rPr/>
              <w:rPr>
                <w:rFonts w:hint="eastAsia" w:ascii="Cambria Math" w:hAnsi="Cambria Math"/>
                <w:kern w:val="0"/>
              </w:rPr>
              <m:t>i</m:t>
            </m:r>
            <m:ctrlPr>
              <w:rPr>
                <w:rFonts w:hint="eastAsia" w:ascii="Cambria Math" w:hAnsi="Cambria Math"/>
                <w:kern w:val="0"/>
              </w:rPr>
            </m:ctrlPr>
          </m:sub>
        </m:sSub>
      </m:oMath>
      <w:r>
        <w:rPr>
          <w:kern w:val="0"/>
        </w:rPr>
        <w:t xml:space="preserve"> and </w:t>
      </w:r>
      <m:oMath>
        <m:sSub>
          <m:sSubPr>
            <m:ctrlPr>
              <w:rPr>
                <w:rFonts w:hint="eastAsia" w:ascii="Cambria Math" w:hAnsi="Cambria Math"/>
                <w:kern w:val="0"/>
              </w:rPr>
            </m:ctrlPr>
          </m:sSubPr>
          <m:e>
            <m:r>
              <m:rPr>
                <m:sty m:val="bi"/>
              </m:rPr>
              <w:rPr>
                <w:rFonts w:hint="eastAsia" w:ascii="Cambria Math" w:hAnsi="Cambria Math"/>
                <w:kern w:val="0"/>
              </w:rPr>
              <m:t>s</m:t>
            </m:r>
            <m:ctrlPr>
              <w:rPr>
                <w:rFonts w:hint="eastAsia" w:ascii="Cambria Math" w:hAnsi="Cambria Math"/>
                <w:kern w:val="0"/>
              </w:rPr>
            </m:ctrlPr>
          </m:e>
          <m:sub>
            <m:r>
              <m:rPr/>
              <w:rPr>
                <w:rFonts w:hint="eastAsia" w:ascii="Cambria Math" w:hAnsi="Cambria Math"/>
                <w:kern w:val="0"/>
              </w:rPr>
              <m:t>j</m:t>
            </m:r>
            <m:ctrlPr>
              <w:rPr>
                <w:rFonts w:hint="eastAsia" w:ascii="Cambria Math" w:hAnsi="Cambria Math"/>
                <w:kern w:val="0"/>
              </w:rPr>
            </m:ctrlPr>
          </m:sub>
        </m:sSub>
      </m:oMath>
      <w:r>
        <w:rPr>
          <w:rFonts w:hint="eastAsia"/>
          <w:kern w:val="0"/>
        </w:rPr>
        <w:t xml:space="preserve"> </w:t>
      </w:r>
      <w:r>
        <w:rPr>
          <w:kern w:val="0"/>
        </w:rPr>
        <w:t>denote</w:t>
      </w:r>
      <w:r>
        <w:rPr>
          <w:rFonts w:hint="eastAsia"/>
          <w:kern w:val="0"/>
        </w:rPr>
        <w:t xml:space="preserve"> the semantic representations of sentence </w:t>
      </w:r>
      <m:oMath>
        <m:r>
          <m:rPr/>
          <w:rPr>
            <w:rFonts w:hint="eastAsia" w:ascii="Cambria Math" w:hAnsi="Cambria Math"/>
            <w:kern w:val="0"/>
          </w:rPr>
          <m:t>i</m:t>
        </m:r>
      </m:oMath>
      <w:r>
        <w:rPr>
          <w:rFonts w:hint="eastAsia"/>
          <w:kern w:val="0"/>
        </w:rPr>
        <w:t xml:space="preserve"> and </w:t>
      </w:r>
      <m:oMath>
        <m:r>
          <m:rPr/>
          <w:rPr>
            <w:rFonts w:hint="eastAsia" w:ascii="Cambria Math" w:hAnsi="Cambria Math"/>
            <w:kern w:val="0"/>
          </w:rPr>
          <m:t>j</m:t>
        </m:r>
      </m:oMath>
      <w:r>
        <w:rPr>
          <w:rFonts w:hint="eastAsia"/>
          <w:kern w:val="0"/>
        </w:rPr>
        <w:t xml:space="preserve">. </w:t>
      </w:r>
      <w:r>
        <w:rPr>
          <w:kern w:val="0"/>
        </w:rPr>
        <w:t>Higher SD values indicate greater semantic variability across sentences.</w:t>
      </w:r>
      <w:r>
        <w:rPr>
          <w:rFonts w:hint="eastAsia"/>
          <w:kern w:val="0"/>
        </w:rPr>
        <w:t xml:space="preserve"> Table E1 summarizes the results. </w:t>
      </w:r>
      <w:r>
        <w:rPr>
          <w:kern w:val="0"/>
        </w:rPr>
        <w:t>UAP-DL consistently outperform</w:t>
      </w:r>
      <w:r>
        <w:rPr>
          <w:rFonts w:hint="eastAsia"/>
          <w:kern w:val="0"/>
        </w:rPr>
        <w:t>ed</w:t>
      </w:r>
      <w:r>
        <w:rPr>
          <w:kern w:val="0"/>
        </w:rPr>
        <w:t xml:space="preserve"> all benchmarks on all metrics (i.e., MGSA, CD, and SD), indicating a </w:t>
      </w:r>
      <w:r>
        <w:rPr>
          <w:rFonts w:hint="eastAsia"/>
          <w:kern w:val="0"/>
        </w:rPr>
        <w:t>strong capability</w:t>
      </w:r>
      <w:r>
        <w:rPr>
          <w:kern w:val="0"/>
        </w:rPr>
        <w:t xml:space="preserve"> in fulfilling users’ diverse and multi-granularity </w:t>
      </w:r>
      <w:r>
        <w:rPr>
          <w:rFonts w:hint="eastAsia"/>
          <w:kern w:val="0"/>
        </w:rPr>
        <w:t>information</w:t>
      </w:r>
      <w:r>
        <w:rPr>
          <w:kern w:val="0"/>
        </w:rPr>
        <w:t xml:space="preserve"> needs.</w:t>
      </w:r>
    </w:p>
    <w:p w14:paraId="0EFFDFC5">
      <w:pPr>
        <w:pStyle w:val="43"/>
        <w:rPr>
          <w:b/>
          <w:bCs/>
        </w:rPr>
      </w:pPr>
      <w:r>
        <w:rPr>
          <w:b/>
          <w:bCs/>
        </w:rPr>
        <w:t xml:space="preserve">Table </w:t>
      </w:r>
      <w:r>
        <w:rPr>
          <w:rFonts w:hint="eastAsia"/>
          <w:b/>
          <w:bCs/>
          <w:lang w:eastAsia="zh-CN"/>
        </w:rPr>
        <w:t>E</w:t>
      </w:r>
      <w:r>
        <w:rPr>
          <w:b/>
          <w:bCs/>
        </w:rPr>
        <w:t>1.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sz w:val="21"/>
        </w:rPr>
        <w:t>Multi-Granularity Coverage and Diversity of</w:t>
      </w:r>
      <w:r>
        <w:rPr>
          <w:b/>
          <w:bCs/>
        </w:rPr>
        <w:t xml:space="preserve"> Responses Generated by UAP-DL vs. Benchmarks.</w:t>
      </w:r>
    </w:p>
    <w:tbl>
      <w:tblPr>
        <w:tblStyle w:val="22"/>
        <w:tblW w:w="0" w:type="auto"/>
        <w:jc w:val="center"/>
        <w:tblBorders>
          <w:top w:val="double" w:color="auto" w:sz="2" w:space="0"/>
          <w:left w:val="none" w:color="auto" w:sz="0" w:space="0"/>
          <w:bottom w:val="double" w:color="auto" w:sz="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1300"/>
        <w:gridCol w:w="1555"/>
        <w:gridCol w:w="1555"/>
        <w:gridCol w:w="1300"/>
      </w:tblGrid>
      <w:tr w14:paraId="014F1611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0" w:type="auto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38475C">
            <w:pPr>
              <w:pStyle w:val="43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Method</w:t>
            </w:r>
          </w:p>
        </w:tc>
        <w:tc>
          <w:tcPr>
            <w:tcW w:w="0" w:type="auto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65024">
            <w:pPr>
              <w:pStyle w:val="43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kern w:val="0"/>
                <w:szCs w:val="20"/>
              </w:rPr>
              <w:t>MGSA</w:t>
            </w:r>
          </w:p>
        </w:tc>
        <w:tc>
          <w:tcPr>
            <w:tcW w:w="0" w:type="auto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D4601">
            <w:pPr>
              <w:pStyle w:val="43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CD (Distinct_1)</w:t>
            </w:r>
          </w:p>
        </w:tc>
        <w:tc>
          <w:tcPr>
            <w:tcW w:w="0" w:type="auto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434E6E">
            <w:pPr>
              <w:pStyle w:val="43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CD (Distinct_2)</w:t>
            </w:r>
          </w:p>
        </w:tc>
        <w:tc>
          <w:tcPr>
            <w:tcW w:w="0" w:type="auto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F24C966">
            <w:pPr>
              <w:pStyle w:val="43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SD</w:t>
            </w:r>
          </w:p>
        </w:tc>
      </w:tr>
      <w:tr w14:paraId="5E4247DF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0E2CA4">
            <w:pPr>
              <w:pStyle w:val="43"/>
              <w:rPr>
                <w:bCs/>
              </w:rPr>
            </w:pPr>
            <w:r>
              <w:rPr>
                <w:bCs/>
              </w:rPr>
              <w:t>EchoSight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37EB4">
            <w:pPr>
              <w:pStyle w:val="43"/>
              <w:jc w:val="right"/>
              <w:rPr>
                <w:bCs/>
              </w:rPr>
            </w:pPr>
            <w:r>
              <w:rPr>
                <w:bCs/>
              </w:rPr>
              <w:t>7</w:t>
            </w:r>
            <w:r>
              <w:rPr>
                <w:rFonts w:hint="eastAsia"/>
                <w:bCs/>
              </w:rPr>
              <w:t>8</w:t>
            </w:r>
            <w:r>
              <w:rPr>
                <w:bCs/>
              </w:rPr>
              <w:t>.4</w:t>
            </w:r>
            <w:r>
              <w:rPr>
                <w:rFonts w:hint="eastAsia"/>
                <w:bCs/>
              </w:rPr>
              <w:t>6</w:t>
            </w:r>
            <w:r>
              <w:rPr>
                <w:bCs/>
              </w:rPr>
              <w:t xml:space="preserve"> (1</w:t>
            </w:r>
            <w:r>
              <w:rPr>
                <w:rFonts w:hint="eastAsia"/>
                <w:bCs/>
              </w:rPr>
              <w:t>4</w:t>
            </w:r>
            <w:r>
              <w:rPr>
                <w:bCs/>
              </w:rPr>
              <w:t>.</w:t>
            </w:r>
            <w:r>
              <w:rPr>
                <w:rFonts w:hint="eastAsia"/>
                <w:bCs/>
              </w:rPr>
              <w:t>40</w:t>
            </w:r>
            <w:r>
              <w:rPr>
                <w:bCs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06647">
            <w:pPr>
              <w:pStyle w:val="43"/>
              <w:jc w:val="right"/>
              <w:rPr>
                <w:bCs/>
              </w:rPr>
            </w:pPr>
            <w:r>
              <w:rPr>
                <w:bCs/>
              </w:rPr>
              <w:t>65.43 (12.66)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0960C">
            <w:pPr>
              <w:pStyle w:val="43"/>
              <w:jc w:val="right"/>
              <w:rPr>
                <w:bCs/>
              </w:rPr>
            </w:pPr>
            <w:r>
              <w:rPr>
                <w:bCs/>
              </w:rPr>
              <w:t>80.26 (15.95)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099258D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48.56</w:t>
            </w:r>
            <w:r>
              <w:rPr>
                <w:bCs/>
              </w:rPr>
              <w:t xml:space="preserve"> (13.43)</w:t>
            </w:r>
          </w:p>
        </w:tc>
      </w:tr>
      <w:tr w14:paraId="04460B36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CC11F3">
            <w:pPr>
              <w:pStyle w:val="43"/>
              <w:rPr>
                <w:bCs/>
              </w:rPr>
            </w:pPr>
            <w:r>
              <w:rPr>
                <w:bCs/>
              </w:rPr>
              <w:t>MORE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96C3F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84.35 (9.06)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A85FA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54.46 (17.72)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2A089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67.37 (23.17)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2258401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41.08 (16.36)</w:t>
            </w:r>
          </w:p>
        </w:tc>
      </w:tr>
      <w:tr w14:paraId="55F890BE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E28B8DD">
            <w:pPr>
              <w:pStyle w:val="43"/>
              <w:rPr>
                <w:bCs/>
              </w:rPr>
            </w:pPr>
            <w:r>
              <w:rPr>
                <w:bCs/>
              </w:rPr>
              <w:t>G-Retriever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8AA23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83.44 (8.55)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3CEDE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68.73 (15.11)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13DF6F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84.70 (17.82)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36F756C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42.57 (16.45)</w:t>
            </w:r>
          </w:p>
        </w:tc>
      </w:tr>
      <w:tr w14:paraId="2B5DC1D9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D5A111">
            <w:pPr>
              <w:pStyle w:val="43"/>
            </w:pPr>
            <w:r>
              <w:t>GNP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0CD10">
            <w:pPr>
              <w:pStyle w:val="43"/>
              <w:jc w:val="right"/>
            </w:pPr>
            <w:r>
              <w:t>83.8</w:t>
            </w:r>
            <w:r>
              <w:rPr>
                <w:rFonts w:hint="eastAsia"/>
              </w:rPr>
              <w:t>6</w:t>
            </w:r>
            <w:r>
              <w:t xml:space="preserve"> (8.3</w:t>
            </w:r>
            <w:r>
              <w:rPr>
                <w:rFonts w:hint="eastAsia"/>
              </w:rPr>
              <w:t>8</w:t>
            </w:r>
            <w: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7A805">
            <w:pPr>
              <w:pStyle w:val="43"/>
              <w:jc w:val="right"/>
            </w:pPr>
            <w:r>
              <w:t>69.84 (15.30)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58D0D">
            <w:pPr>
              <w:pStyle w:val="43"/>
              <w:jc w:val="right"/>
            </w:pPr>
            <w:r>
              <w:t>83.76 (19.22)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150FF44">
            <w:pPr>
              <w:pStyle w:val="43"/>
              <w:jc w:val="right"/>
            </w:pPr>
            <w:r>
              <w:rPr>
                <w:rFonts w:hint="eastAsia"/>
              </w:rPr>
              <w:t>48.17</w:t>
            </w:r>
            <w:r>
              <w:t xml:space="preserve"> (</w:t>
            </w:r>
            <w:r>
              <w:rPr>
                <w:rFonts w:hint="eastAsia"/>
              </w:rPr>
              <w:t>13.20</w:t>
            </w:r>
            <w:r>
              <w:t>)</w:t>
            </w:r>
          </w:p>
        </w:tc>
      </w:tr>
      <w:tr w14:paraId="2B6EBE92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E27C1F">
            <w:pPr>
              <w:pStyle w:val="43"/>
              <w:rPr>
                <w:bCs/>
              </w:rPr>
            </w:pPr>
            <w:r>
              <w:rPr>
                <w:bCs/>
              </w:rPr>
              <w:t>CoA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08661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77.25 (12.37)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F01E43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81.17 (10.08)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C5E740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96.54 (4.55)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2456635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46.29 (14.57)</w:t>
            </w:r>
          </w:p>
        </w:tc>
      </w:tr>
      <w:tr w14:paraId="30D004EA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291AD2C">
            <w:pPr>
              <w:pStyle w:val="43"/>
              <w:rPr>
                <w:bCs/>
              </w:rPr>
            </w:pPr>
            <w:r>
              <w:rPr>
                <w:bCs/>
              </w:rPr>
              <w:t>ToG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D4B6C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7</w:t>
            </w:r>
            <w:r>
              <w:rPr>
                <w:bCs/>
              </w:rPr>
              <w:t xml:space="preserve">6.56 </w:t>
            </w:r>
            <w:r>
              <w:rPr>
                <w:rFonts w:hint="eastAsia"/>
                <w:bCs/>
              </w:rPr>
              <w:t>(</w:t>
            </w:r>
            <w:r>
              <w:rPr>
                <w:bCs/>
              </w:rPr>
              <w:t>7.39)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3514A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8</w:t>
            </w:r>
            <w:r>
              <w:rPr>
                <w:bCs/>
              </w:rPr>
              <w:t>0.25 (9.37)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262AA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9</w:t>
            </w:r>
            <w:r>
              <w:rPr>
                <w:bCs/>
              </w:rPr>
              <w:t>3.25 (6.88)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3500B59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  <w:r>
              <w:rPr>
                <w:bCs/>
              </w:rPr>
              <w:t>7.15 (12.38)</w:t>
            </w:r>
          </w:p>
        </w:tc>
      </w:tr>
      <w:tr w14:paraId="5FC8BCC0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594599">
            <w:pPr>
              <w:pStyle w:val="43"/>
            </w:pPr>
            <w:r>
              <w:rPr>
                <w:bCs/>
              </w:rPr>
              <w:t>MiRAG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FDF16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7</w:t>
            </w:r>
            <w:r>
              <w:rPr>
                <w:bCs/>
              </w:rPr>
              <w:t>9.76 (12.50)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E4D66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5</w:t>
            </w:r>
            <w:r>
              <w:rPr>
                <w:bCs/>
              </w:rPr>
              <w:t>9.23 (14.44)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C0603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7</w:t>
            </w:r>
            <w:r>
              <w:rPr>
                <w:bCs/>
              </w:rPr>
              <w:t xml:space="preserve">2.28 </w:t>
            </w:r>
            <w:r>
              <w:rPr>
                <w:rFonts w:hint="eastAsia"/>
                <w:bCs/>
              </w:rPr>
              <w:t>(</w:t>
            </w:r>
            <w:r>
              <w:rPr>
                <w:bCs/>
              </w:rPr>
              <w:t>18.86)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FDF97A1">
            <w:pPr>
              <w:pStyle w:val="43"/>
              <w:jc w:val="right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  <w:r>
              <w:rPr>
                <w:bCs/>
              </w:rPr>
              <w:t>6.27 (18.18)</w:t>
            </w:r>
          </w:p>
        </w:tc>
      </w:tr>
      <w:tr w14:paraId="45D1EAC9">
        <w:tblPrEx>
          <w:tblBorders>
            <w:top w:val="double" w:color="auto" w:sz="2" w:space="0"/>
            <w:left w:val="none" w:color="auto" w:sz="0" w:space="0"/>
            <w:bottom w:val="double" w:color="auto" w:sz="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double" w:color="auto" w:sz="2" w:space="0"/>
              <w:right w:val="single" w:color="auto" w:sz="4" w:space="0"/>
            </w:tcBorders>
            <w:vAlign w:val="center"/>
          </w:tcPr>
          <w:p w14:paraId="32FDF39C">
            <w:pPr>
              <w:pStyle w:val="43"/>
            </w:pPr>
            <w:r>
              <w:t>UAP-DL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double" w:color="auto" w:sz="2" w:space="0"/>
              <w:right w:val="single" w:color="auto" w:sz="4" w:space="0"/>
            </w:tcBorders>
            <w:vAlign w:val="center"/>
          </w:tcPr>
          <w:p w14:paraId="537763B0">
            <w:pPr>
              <w:pStyle w:val="43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zh-CN"/>
              </w:rPr>
              <w:t>85.13</w:t>
            </w:r>
            <w:r>
              <w:rPr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  <w:lang w:eastAsia="zh-CN"/>
              </w:rPr>
              <w:t>8.33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double" w:color="auto" w:sz="2" w:space="0"/>
              <w:right w:val="single" w:color="auto" w:sz="4" w:space="0"/>
            </w:tcBorders>
            <w:vAlign w:val="center"/>
          </w:tcPr>
          <w:p w14:paraId="263843BC">
            <w:pPr>
              <w:pStyle w:val="4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85.</w:t>
            </w:r>
            <w:r>
              <w:rPr>
                <w:rFonts w:hint="eastAsia"/>
                <w:b/>
                <w:bCs/>
                <w:lang w:eastAsia="zh-CN"/>
              </w:rPr>
              <w:t>54</w:t>
            </w:r>
            <w:r>
              <w:rPr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  <w:lang w:eastAsia="zh-CN"/>
              </w:rPr>
              <w:t>3.26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double" w:color="auto" w:sz="2" w:space="0"/>
              <w:right w:val="single" w:color="auto" w:sz="4" w:space="0"/>
            </w:tcBorders>
            <w:vAlign w:val="center"/>
          </w:tcPr>
          <w:p w14:paraId="578B533F">
            <w:pPr>
              <w:pStyle w:val="4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>
              <w:rPr>
                <w:rFonts w:hint="eastAsia"/>
                <w:b/>
                <w:bCs/>
                <w:lang w:eastAsia="zh-CN"/>
              </w:rPr>
              <w:t>8.88</w:t>
            </w:r>
            <w:r>
              <w:rPr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  <w:lang w:eastAsia="zh-CN"/>
              </w:rPr>
              <w:t>1.52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double" w:color="auto" w:sz="2" w:space="0"/>
              <w:right w:val="nil"/>
            </w:tcBorders>
            <w:vAlign w:val="center"/>
          </w:tcPr>
          <w:p w14:paraId="17056A76">
            <w:pPr>
              <w:pStyle w:val="43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>
              <w:rPr>
                <w:rFonts w:hint="eastAsia"/>
                <w:b/>
                <w:bCs/>
                <w:lang w:eastAsia="zh-CN"/>
              </w:rPr>
              <w:t>2</w:t>
            </w:r>
            <w:r>
              <w:rPr>
                <w:b/>
                <w:bCs/>
              </w:rPr>
              <w:t>.</w:t>
            </w:r>
            <w:r>
              <w:rPr>
                <w:rFonts w:hint="eastAsia"/>
                <w:b/>
                <w:bCs/>
                <w:lang w:eastAsia="zh-CN"/>
              </w:rPr>
              <w:t>33</w:t>
            </w:r>
            <w:r>
              <w:rPr>
                <w:b/>
                <w:bCs/>
              </w:rPr>
              <w:t xml:space="preserve"> (</w:t>
            </w:r>
            <w:r>
              <w:rPr>
                <w:rFonts w:hint="eastAsia"/>
                <w:b/>
                <w:bCs/>
                <w:lang w:eastAsia="zh-CN"/>
              </w:rPr>
              <w:t>1.15</w:t>
            </w:r>
            <w:r>
              <w:rPr>
                <w:b/>
                <w:bCs/>
              </w:rPr>
              <w:t>)</w:t>
            </w:r>
          </w:p>
        </w:tc>
      </w:tr>
    </w:tbl>
    <w:p w14:paraId="21290A85">
      <w:pPr>
        <w:pStyle w:val="43"/>
      </w:pPr>
      <w:r>
        <w:rPr>
          <w:i/>
          <w:iCs/>
        </w:rPr>
        <w:t>Notes</w:t>
      </w:r>
      <w:r>
        <w:t>. Standard deviation is enclosed in parentheses. The best performance is in bold font.</w:t>
      </w:r>
    </w:p>
    <w:p w14:paraId="3E856091">
      <w:pPr>
        <w:pStyle w:val="43"/>
        <w:adjustRightInd w:val="0"/>
        <w:snapToGrid w:val="0"/>
      </w:pPr>
    </w:p>
    <w:p w14:paraId="1DD662C2">
      <w:pPr>
        <w:pStyle w:val="3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E</w:t>
      </w:r>
      <w:r>
        <w:t>.2 Multi-Aspect Knowledge Retrieval Analysis</w:t>
      </w:r>
    </w:p>
    <w:p w14:paraId="44977C46">
      <w:pPr>
        <w:ind w:firstLine="460" w:firstLineChars="200"/>
        <w:jc w:val="both"/>
        <w:rPr>
          <w:kern w:val="0"/>
        </w:rPr>
      </w:pPr>
      <w:r>
        <w:t xml:space="preserve">We randomly selected an instance from the dataset to illustrate how MAKR enhances informational diversity from a user perspective. Specifically, we examined multiple clusters at the review level and computed intra-cluster diversity for three types of representations: original (i.e.,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ml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t xml:space="preserve">), low-pass (i.e.,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mli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t xml:space="preserve">), and high-pass (i.e.,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mli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t xml:space="preserve">). Intra-cluster diversity was quantified by the average pairwise similarity among elements within each cluster. As illustrated in </w:t>
      </w:r>
      <w:r>
        <w:rPr>
          <w:kern w:val="0"/>
        </w:rPr>
        <w:t xml:space="preserve">Figure </w:t>
      </w:r>
      <w:r>
        <w:rPr>
          <w:rFonts w:hint="eastAsia"/>
          <w:kern w:val="0"/>
        </w:rPr>
        <w:t>E1</w:t>
      </w:r>
      <w:r>
        <w:rPr>
          <w:kern w:val="0"/>
        </w:rPr>
        <w:t>, the original representations exhibit</w:t>
      </w:r>
      <w:r>
        <w:rPr>
          <w:rFonts w:hint="eastAsia"/>
          <w:kern w:val="0"/>
        </w:rPr>
        <w:t>ed</w:t>
      </w:r>
      <w:r>
        <w:rPr>
          <w:kern w:val="0"/>
        </w:rPr>
        <w:t xml:space="preserve"> high similarity across most clusters, indicating that the originally retrieved information is highly concentrated and contains substantial content redundancy. The low-pass representations show</w:t>
      </w:r>
      <w:r>
        <w:rPr>
          <w:rFonts w:hint="eastAsia"/>
          <w:kern w:val="0"/>
        </w:rPr>
        <w:t>ed</w:t>
      </w:r>
      <w:r>
        <w:rPr>
          <w:kern w:val="0"/>
        </w:rPr>
        <w:t xml:space="preserve"> slightly higher similarity than the original in most clusters, reflecting their emphasis on shared knowledge within each cluster. In contrast, the high-pass representations exhibit</w:t>
      </w:r>
      <w:r>
        <w:rPr>
          <w:rFonts w:hint="eastAsia"/>
          <w:kern w:val="0"/>
        </w:rPr>
        <w:t>ed</w:t>
      </w:r>
      <w:r>
        <w:rPr>
          <w:kern w:val="0"/>
        </w:rPr>
        <w:t xml:space="preserve"> markedly lower similarity, demonstrating their effectiveness in capturing</w:t>
      </w:r>
      <w:r>
        <w:rPr>
          <w:rFonts w:hint="eastAsia"/>
          <w:kern w:val="0"/>
        </w:rPr>
        <w:t xml:space="preserve"> </w:t>
      </w:r>
      <w:r>
        <w:rPr>
          <w:kern w:val="0"/>
        </w:rPr>
        <w:t>differentiated knowledge.</w:t>
      </w:r>
    </w:p>
    <w:p w14:paraId="0287746E">
      <w:pPr>
        <w:pStyle w:val="43"/>
        <w:jc w:val="center"/>
      </w:pPr>
      <w:r>
        <w:drawing>
          <wp:inline distT="0" distB="0" distL="114300" distR="114300">
            <wp:extent cx="4688840" cy="2503170"/>
            <wp:effectExtent l="0" t="0" r="0" b="0"/>
            <wp:docPr id="2" name="图片 2" descr="review_level_intra_cluster_simil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eview_level_intra_cluster_similarity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275" cy="25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6220">
      <w:pPr>
        <w:pStyle w:val="43"/>
        <w:jc w:val="center"/>
        <w:rPr>
          <w:b/>
          <w:bCs/>
          <w:lang w:eastAsia="zh-CN"/>
        </w:rPr>
      </w:pPr>
      <w:r>
        <w:rPr>
          <w:b/>
          <w:bCs/>
        </w:rPr>
        <w:t xml:space="preserve">Figure </w:t>
      </w:r>
      <w:r>
        <w:rPr>
          <w:rFonts w:hint="eastAsia"/>
          <w:b/>
          <w:bCs/>
          <w:lang w:eastAsia="zh-CN"/>
        </w:rPr>
        <w:t>E</w:t>
      </w:r>
      <w:r>
        <w:rPr>
          <w:b/>
          <w:bCs/>
        </w:rPr>
        <w:t>1. Variations in Intra-C</w:t>
      </w:r>
      <w:r>
        <w:rPr>
          <w:rFonts w:hint="eastAsia"/>
          <w:b/>
          <w:bCs/>
        </w:rPr>
        <w:t>luster</w:t>
      </w:r>
      <w:r>
        <w:rPr>
          <w:rFonts w:hint="eastAsia"/>
          <w:b/>
          <w:bCs/>
          <w:lang w:eastAsia="zh-CN"/>
        </w:rPr>
        <w:t xml:space="preserve"> </w:t>
      </w:r>
      <w:r>
        <w:rPr>
          <w:b/>
          <w:bCs/>
        </w:rPr>
        <w:t>Knowledge Diversity</w:t>
      </w:r>
      <w:r>
        <w:rPr>
          <w:rFonts w:hint="eastAsia"/>
          <w:b/>
          <w:bCs/>
          <w:lang w:eastAsia="zh-CN"/>
        </w:rPr>
        <w:t>.</w:t>
      </w:r>
    </w:p>
    <w:p w14:paraId="54E32803">
      <w:pPr>
        <w:pStyle w:val="3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E</w:t>
      </w:r>
      <w:r>
        <w:t>.3 Multi-Granularity Knowledge Retrieval Analysis</w:t>
      </w:r>
    </w:p>
    <w:p w14:paraId="2982E963">
      <w:pPr>
        <w:ind w:firstLine="460" w:firstLineChars="200"/>
        <w:jc w:val="both"/>
        <w:rPr>
          <w:kern w:val="0"/>
        </w:rPr>
      </w:pPr>
      <w:r>
        <w:t>We randomly selected 200 instances from the dataset to examine query-conditioned attention weights across diverse and multi-granularity knowledge.</w:t>
      </w:r>
      <w:r>
        <w:rPr>
          <w:kern w:val="0"/>
        </w:rPr>
        <w:t xml:space="preserve"> Specifically, we first clustered these instances into six user </w:t>
      </w:r>
      <w:r>
        <w:rPr>
          <w:rFonts w:hint="eastAsia"/>
          <w:kern w:val="0"/>
        </w:rPr>
        <w:t>groups</w:t>
      </w:r>
      <w:r>
        <w:rPr>
          <w:kern w:val="0"/>
        </w:rPr>
        <w:t xml:space="preserve">. For each group, we then computed the mean granularity-wise cross-modal attention weights (i.e., </w:t>
      </w:r>
      <m:oMath>
        <m:sSubSup>
          <m:sSubSupPr>
            <m:ctrlPr>
              <w:rPr>
                <w:rFonts w:ascii="Cambria Math" w:hAnsi="Cambria Math"/>
                <w:i/>
                <w:kern w:val="0"/>
              </w:rPr>
            </m:ctrlPr>
          </m:sSubSupPr>
          <m:e>
            <m:r>
              <m:rPr/>
              <w:rPr>
                <w:rFonts w:ascii="Cambria Math" w:hAnsi="Cambria Math"/>
                <w:kern w:val="0"/>
              </w:rPr>
              <m:t>α</m:t>
            </m:r>
            <m:ctrlPr>
              <w:rPr>
                <w:rFonts w:ascii="Cambria Math" w:hAnsi="Cambria Math"/>
                <w:i/>
                <w:kern w:val="0"/>
              </w:rPr>
            </m:ctrlPr>
          </m:e>
          <m:sub>
            <m:r>
              <m:rPr/>
              <w:rPr>
                <w:rFonts w:ascii="Cambria Math" w:hAnsi="Cambria Math"/>
                <w:kern w:val="0"/>
              </w:rPr>
              <m:t>L</m:t>
            </m:r>
            <m:ctrlPr>
              <w:rPr>
                <w:rFonts w:ascii="Cambria Math" w:hAnsi="Cambria Math"/>
                <w:i/>
                <w:kern w:val="0"/>
              </w:rPr>
            </m:ctrlPr>
          </m:sub>
          <m:sup>
            <m:r>
              <m:rPr/>
              <w:rPr>
                <w:rFonts w:ascii="Cambria Math" w:hAnsi="Cambria Math"/>
                <w:kern w:val="0"/>
              </w:rPr>
              <m:t>mli</m:t>
            </m:r>
            <m:ctrlPr>
              <w:rPr>
                <w:rFonts w:ascii="Cambria Math" w:hAnsi="Cambria Math"/>
                <w:i/>
                <w:kern w:val="0"/>
              </w:rPr>
            </m:ctrlPr>
          </m:sup>
        </m:sSubSup>
      </m:oMath>
      <w:r>
        <w:rPr>
          <w:kern w:val="0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  <w:kern w:val="0"/>
              </w:rPr>
            </m:ctrlPr>
          </m:sSubSupPr>
          <m:e>
            <m:r>
              <m:rPr/>
              <w:rPr>
                <w:rFonts w:ascii="Cambria Math" w:hAnsi="Cambria Math"/>
                <w:kern w:val="0"/>
              </w:rPr>
              <m:t>α</m:t>
            </m:r>
            <m:ctrlPr>
              <w:rPr>
                <w:rFonts w:ascii="Cambria Math" w:hAnsi="Cambria Math"/>
                <w:i/>
                <w:kern w:val="0"/>
              </w:rPr>
            </m:ctrlPr>
          </m:e>
          <m:sub>
            <m:r>
              <m:rPr/>
              <w:rPr>
                <w:rFonts w:ascii="Cambria Math" w:hAnsi="Cambria Math"/>
                <w:kern w:val="0"/>
              </w:rPr>
              <m:t>H</m:t>
            </m:r>
            <m:ctrlPr>
              <w:rPr>
                <w:rFonts w:ascii="Cambria Math" w:hAnsi="Cambria Math"/>
                <w:i/>
                <w:kern w:val="0"/>
              </w:rPr>
            </m:ctrlPr>
          </m:sub>
          <m:sup>
            <m:r>
              <m:rPr/>
              <w:rPr>
                <w:rFonts w:ascii="Cambria Math" w:hAnsi="Cambria Math"/>
                <w:kern w:val="0"/>
              </w:rPr>
              <m:t>mli</m:t>
            </m:r>
            <m:ctrlPr>
              <w:rPr>
                <w:rFonts w:ascii="Cambria Math" w:hAnsi="Cambria Math"/>
                <w:i/>
                <w:kern w:val="0"/>
              </w:rPr>
            </m:ctrlPr>
          </m:sup>
        </m:sSubSup>
      </m:oMath>
      <w:r>
        <w:rPr>
          <w:kern w:val="0"/>
        </w:rPr>
        <w:t>) across textual (i.e., topic, review, and sentence) and visual (i.e., concept, review image, image patch) granularities.</w:t>
      </w:r>
    </w:p>
    <w:p w14:paraId="1E403CD4">
      <w:pPr>
        <w:ind w:firstLine="460" w:firstLineChars="200"/>
        <w:jc w:val="both"/>
        <w:rPr>
          <w:kern w:val="0"/>
        </w:rPr>
      </w:pPr>
      <w:r>
        <w:t xml:space="preserve">As shown in Figure </w:t>
      </w:r>
      <w:r>
        <w:rPr>
          <w:rFonts w:hint="eastAsia"/>
        </w:rPr>
        <w:t>E</w:t>
      </w:r>
      <w:r>
        <w:t xml:space="preserve">2, the query-conditioned attention weights varied across knowledge granularities and instance groups. Moreover, the weight distributions differed between the high-pass (Figure </w:t>
      </w:r>
      <w:r>
        <w:rPr>
          <w:rFonts w:hint="eastAsia"/>
        </w:rPr>
        <w:t>E</w:t>
      </w:r>
      <w:r>
        <w:t xml:space="preserve">2(a)) and low-pass (Figure </w:t>
      </w:r>
      <w:r>
        <w:rPr>
          <w:rFonts w:hint="eastAsia"/>
        </w:rPr>
        <w:t>E</w:t>
      </w:r>
      <w:r>
        <w:t>2(b)) channels. These findings illustrate how UAP-DL adjusts knowledge weighting across granularities according to user queries.</w:t>
      </w:r>
    </w:p>
    <w:p w14:paraId="216A5DE5">
      <w:pPr>
        <w:pStyle w:val="43"/>
        <w:jc w:val="center"/>
      </w:pPr>
      <w:r>
        <w:drawing>
          <wp:inline distT="0" distB="0" distL="114300" distR="114300">
            <wp:extent cx="5564505" cy="1537970"/>
            <wp:effectExtent l="0" t="0" r="0" b="5080"/>
            <wp:docPr id="3" name="图片 3" descr="combined_attention_bar_patte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mbined_attention_bar_pattern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1183" cy="15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DB9C">
      <w:pPr>
        <w:pStyle w:val="43"/>
        <w:jc w:val="center"/>
        <w:rPr>
          <w:b/>
          <w:bCs/>
        </w:rPr>
      </w:pPr>
      <w:r>
        <w:rPr>
          <w:b/>
          <w:bCs/>
        </w:rPr>
        <w:t xml:space="preserve">Figure </w:t>
      </w:r>
      <w:r>
        <w:rPr>
          <w:rFonts w:hint="eastAsia"/>
          <w:b/>
          <w:bCs/>
          <w:lang w:eastAsia="zh-CN"/>
        </w:rPr>
        <w:t>E</w:t>
      </w:r>
      <w:r>
        <w:rPr>
          <w:b/>
          <w:bCs/>
        </w:rPr>
        <w:t xml:space="preserve">2. </w:t>
      </w:r>
      <w:r>
        <w:rPr>
          <w:rFonts w:hint="eastAsia"/>
          <w:b/>
          <w:bCs/>
        </w:rPr>
        <w:t>Query-Conditioned Attention Weights Across Knowledge Granularities</w:t>
      </w:r>
      <w:r>
        <w:rPr>
          <w:b/>
          <w:bCs/>
        </w:rPr>
        <w:t>.</w:t>
      </w:r>
    </w:p>
    <w:p w14:paraId="1E1592BE">
      <w:pPr>
        <w:pStyle w:val="3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E</w:t>
      </w:r>
      <w:r>
        <w:t>.4 Qualitative Tracing of Low-Pass and High-Pass Knowledge Selection</w:t>
      </w:r>
    </w:p>
    <w:p w14:paraId="3CAB36CD">
      <w:pPr>
        <w:ind w:firstLine="460" w:firstLineChars="200"/>
        <w:jc w:val="both"/>
      </w:pPr>
      <w:r>
        <w:t xml:space="preserve">To qualitatively illustrate how UAP-DL retrieves diversified information through low-pass and high-pass filtering, we conducted a qualitative tracing analysis. We first identified the textual granularity receiving the highest cross-attention weight. Within the selected granularity, we then used the </w:t>
      </w:r>
      <w:r>
        <w:rPr>
          <w:rFonts w:hint="eastAsia"/>
        </w:rPr>
        <w:t>query-aware aspect attention</w:t>
      </w:r>
      <w:r>
        <w:t xml:space="preserve"> weights to identify the most important clusters in the shared-information and differentiated-information channels. Finally, within each selected cluster, we traced the original knowledge nodes that contributed most strongly to the corresponding low-pass or high-pass representation through the graph-filtering matrix.</w:t>
      </w:r>
    </w:p>
    <w:p w14:paraId="0F621DA8">
      <w:pPr>
        <w:pStyle w:val="43"/>
        <w:jc w:val="center"/>
      </w:pPr>
      <w:r>
        <w:drawing>
          <wp:inline distT="0" distB="0" distL="0" distR="0">
            <wp:extent cx="5943600" cy="28867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87EF0">
      <w:pPr>
        <w:pStyle w:val="43"/>
        <w:jc w:val="center"/>
        <w:rPr>
          <w:b/>
          <w:bCs/>
        </w:rPr>
      </w:pPr>
      <w:r>
        <w:rPr>
          <w:b/>
          <w:bCs/>
        </w:rPr>
        <w:t xml:space="preserve">Figure </w:t>
      </w:r>
      <w:r>
        <w:rPr>
          <w:rFonts w:hint="eastAsia"/>
          <w:b/>
          <w:bCs/>
          <w:lang w:eastAsia="zh-CN"/>
        </w:rPr>
        <w:t>E</w:t>
      </w:r>
      <w:r>
        <w:rPr>
          <w:b/>
          <w:bCs/>
        </w:rPr>
        <w:t>3. Qualitative Tracing of Low-Pass and High-Pass Knowledge Selection.</w:t>
      </w:r>
    </w:p>
    <w:p w14:paraId="40CA8CE9">
      <w:pPr>
        <w:ind w:firstLine="432"/>
        <w:jc w:val="both"/>
      </w:pPr>
      <w:r>
        <w:t xml:space="preserve">As shown in Figure </w:t>
      </w:r>
      <w:r>
        <w:rPr>
          <w:rFonts w:hint="eastAsia"/>
        </w:rPr>
        <w:t>E</w:t>
      </w:r>
      <w:r>
        <w:t>3, for the query “How is the Wi-Fi coverage in the room? In particular, is the network stable when using screen projection?”, the cross-attention weights show</w:t>
      </w:r>
      <w:r>
        <w:rPr>
          <w:rFonts w:hint="eastAsia"/>
        </w:rPr>
        <w:t>ed</w:t>
      </w:r>
      <w:r>
        <w:t xml:space="preserve"> that sentence-level knowledge contributes most to the final representation. Therefore, the subsequent tracing analysis was conducted at the sentence level.</w:t>
      </w:r>
    </w:p>
    <w:p w14:paraId="358CAAAD">
      <w:pPr>
        <w:ind w:firstLine="432"/>
        <w:jc w:val="both"/>
      </w:pPr>
      <w:r>
        <w:t>In the low-pass path, Cluster 0 contribute</w:t>
      </w:r>
      <w:r>
        <w:rPr>
          <w:rFonts w:hint="eastAsia"/>
        </w:rPr>
        <w:t>d</w:t>
      </w:r>
      <w:r>
        <w:t xml:space="preserve"> most strongly to the low-pass representation. Although Cluster 8 exhibit</w:t>
      </w:r>
      <w:r>
        <w:rPr>
          <w:rFonts w:hint="eastAsia"/>
        </w:rPr>
        <w:t>ed</w:t>
      </w:r>
      <w:r>
        <w:t xml:space="preserve"> higher intra-cluster similarity and therefore contains more internally consistent shared semantics, its main content concern</w:t>
      </w:r>
      <w:r>
        <w:rPr>
          <w:rFonts w:hint="eastAsia"/>
        </w:rPr>
        <w:t>ed</w:t>
      </w:r>
      <w:r>
        <w:t xml:space="preserve"> general room comfort and </w:t>
      </w:r>
      <w:r>
        <w:rPr>
          <w:rFonts w:hint="eastAsia"/>
        </w:rPr>
        <w:t>was</w:t>
      </w:r>
      <w:r>
        <w:t xml:space="preserve"> only weakly related to Wi-Fi stability or screen projection. By contrast, the highly contributing nodes in Cluster 0, such as “the hotel room has a projector” and “the TV projection screen is huge,” collectively capture</w:t>
      </w:r>
      <w:r>
        <w:rPr>
          <w:rFonts w:hint="eastAsia"/>
        </w:rPr>
        <w:t>d</w:t>
      </w:r>
      <w:r>
        <w:t xml:space="preserve"> shared information about in-room projection facilities that is more relevant to the current query. Therefore, despite its lower intra-cluster similarity than Cluster 8, Cluster 0 receive</w:t>
      </w:r>
      <w:r>
        <w:rPr>
          <w:rFonts w:hint="eastAsia"/>
        </w:rPr>
        <w:t>d</w:t>
      </w:r>
      <w:r>
        <w:t xml:space="preserve"> a higher contribution weight in the query-conditioned low-pass representation.</w:t>
      </w:r>
      <w:r>
        <w:rPr>
          <w:rFonts w:hint="eastAsia"/>
        </w:rPr>
        <w:t xml:space="preserve"> </w:t>
      </w:r>
      <w:r>
        <w:t>These results indicate that the low-pass filtering mechanism of UAP-DL enables the model to retrieve valuable shared information that is relevant to the current query.</w:t>
      </w:r>
    </w:p>
    <w:p w14:paraId="707C7521">
      <w:pPr>
        <w:ind w:firstLine="432"/>
        <w:jc w:val="both"/>
        <w:rPr>
          <w:b/>
          <w:bCs/>
        </w:rPr>
      </w:pPr>
      <w:r>
        <w:t>In the high-pass path, Cluster 2 contribute</w:t>
      </w:r>
      <w:r>
        <w:rPr>
          <w:rFonts w:hint="eastAsia"/>
        </w:rPr>
        <w:t>d</w:t>
      </w:r>
      <w:r>
        <w:t xml:space="preserve"> most to the high-pass representation. Its highly contributing nodes include</w:t>
      </w:r>
      <w:r>
        <w:rPr>
          <w:rFonts w:hint="eastAsia"/>
        </w:rPr>
        <w:t>d</w:t>
      </w:r>
      <w:r>
        <w:t xml:space="preserve"> differentiated information such as “large-screen projection TV” and “Wi-Fi is smooth for watching large-screen movies,” which are directly related to the current query and thus receive a higher weight. Cluster 3 also contain</w:t>
      </w:r>
      <w:r>
        <w:rPr>
          <w:rFonts w:hint="eastAsia"/>
        </w:rPr>
        <w:t>ed</w:t>
      </w:r>
      <w:r>
        <w:t xml:space="preserve"> differentiated information, but only part of its content </w:t>
      </w:r>
      <w:r>
        <w:rPr>
          <w:rFonts w:hint="eastAsia"/>
        </w:rPr>
        <w:t>was</w:t>
      </w:r>
      <w:r>
        <w:t xml:space="preserve"> directly relevant to the query. Therefore, its weight </w:t>
      </w:r>
      <w:r>
        <w:rPr>
          <w:rFonts w:hint="eastAsia"/>
        </w:rPr>
        <w:t>was</w:t>
      </w:r>
      <w:r>
        <w:t xml:space="preserve"> lower than that of Cluster 2.</w:t>
      </w:r>
      <w:r>
        <w:rPr>
          <w:rFonts w:hint="eastAsia"/>
        </w:rPr>
        <w:t xml:space="preserve"> </w:t>
      </w:r>
      <w:r>
        <w:t>These results indicate that the high-pass filtering mechanism enables UAP-DL to retrieve valuable query-relevant differentiated information, rather than merely selecting knowledge with low semantic similarity.</w:t>
      </w:r>
    </w:p>
    <w:p w14:paraId="71A65B5C">
      <w:pPr>
        <w:ind w:firstLine="432"/>
        <w:jc w:val="both"/>
      </w:pPr>
      <w:r>
        <w:t>Overall, the tracing results provide qualitative evidence that the low-pass path aggregates query-relevant shared evidence across diversified nodes, whereas the high-pass path preserves complementary and differentiated evidence that is particularly informative for the current query.</w:t>
      </w:r>
    </w:p>
    <w:p w14:paraId="38E97432">
      <w:pPr>
        <w:jc w:val="both"/>
      </w:pPr>
    </w:p>
    <w:p w14:paraId="32636668">
      <w:pPr>
        <w:ind w:firstLine="0"/>
        <w:jc w:val="both"/>
        <w:rPr>
          <w:rFonts w:hint="eastAsia"/>
        </w:rPr>
      </w:pPr>
    </w:p>
    <w:p w14:paraId="267C6DD8">
      <w:pPr>
        <w:pStyle w:val="82"/>
        <w:numPr>
          <w:ilvl w:val="0"/>
          <w:numId w:val="0"/>
        </w:numPr>
        <w:ind w:left="425" w:hanging="425"/>
      </w:pPr>
      <w:r>
        <w:rPr>
          <w:rFonts w:hint="eastAsia"/>
        </w:rPr>
        <w:t xml:space="preserve">Appendix F. </w:t>
      </w:r>
      <w:r>
        <w:t>Statistical Significance Test Results</w:t>
      </w:r>
    </w:p>
    <w:p w14:paraId="12F02FB3">
      <w:pPr>
        <w:pStyle w:val="43"/>
        <w:rPr>
          <w:b/>
          <w:bCs/>
        </w:rPr>
      </w:pPr>
      <w:r>
        <w:rPr>
          <w:b/>
          <w:bCs/>
        </w:rPr>
        <w:t xml:space="preserve">Table </w:t>
      </w:r>
      <w:r>
        <w:rPr>
          <w:rFonts w:hint="eastAsia"/>
          <w:b/>
          <w:bCs/>
          <w:lang w:eastAsia="zh-CN"/>
        </w:rPr>
        <w:t>F</w:t>
      </w:r>
      <w:r>
        <w:rPr>
          <w:b/>
          <w:bCs/>
        </w:rPr>
        <w:t>1. Tukey-Kramer Test Result: UAP-DL vs. Benchmarks (Experiment 1).</w:t>
      </w:r>
    </w:p>
    <w:tbl>
      <w:tblPr>
        <w:tblStyle w:val="22"/>
        <w:tblW w:w="5755" w:type="pct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560"/>
        <w:gridCol w:w="1560"/>
        <w:gridCol w:w="1493"/>
        <w:gridCol w:w="1485"/>
        <w:gridCol w:w="1560"/>
        <w:gridCol w:w="1556"/>
      </w:tblGrid>
      <w:tr w14:paraId="7FD3E055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4" w:type="pct"/>
            <w:vMerge w:val="restart"/>
            <w:vAlign w:val="center"/>
          </w:tcPr>
          <w:p w14:paraId="2362AA37">
            <w:pPr>
              <w:pStyle w:val="43"/>
              <w:jc w:val="both"/>
              <w:rPr>
                <w:rFonts w:cs="Times New Roman"/>
                <w:b/>
                <w:bCs/>
                <w:lang w:eastAsia="zh-CN"/>
              </w:rPr>
            </w:pPr>
            <w:r>
              <w:rPr>
                <w:rFonts w:cs="Times New Roman"/>
                <w:b/>
                <w:bCs/>
                <w:lang w:eastAsia="zh-CN"/>
              </w:rPr>
              <w:t>Method</w:t>
            </w:r>
          </w:p>
        </w:tc>
        <w:tc>
          <w:tcPr>
            <w:tcW w:w="2140" w:type="pct"/>
            <w:gridSpan w:val="3"/>
            <w:vAlign w:val="center"/>
          </w:tcPr>
          <w:p w14:paraId="1B28BEB3">
            <w:pPr>
              <w:pStyle w:val="43"/>
              <w:jc w:val="center"/>
              <w:rPr>
                <w:rFonts w:cs="Times New Roman"/>
                <w:b/>
                <w:lang w:eastAsia="zh-CN"/>
              </w:rPr>
            </w:pPr>
            <w:r>
              <w:rPr>
                <w:rFonts w:cs="Times New Roman"/>
                <w:b/>
              </w:rPr>
              <w:t>LLM-</w:t>
            </w:r>
            <w:r>
              <w:rPr>
                <w:rFonts w:cs="Times New Roman"/>
                <w:b/>
                <w:lang w:eastAsia="zh-CN"/>
              </w:rPr>
              <w:t>L</w:t>
            </w:r>
            <w:r>
              <w:rPr>
                <w:rFonts w:cs="Times New Roman"/>
                <w:b/>
              </w:rPr>
              <w:t>abeled</w:t>
            </w:r>
            <w:r>
              <w:rPr>
                <w:rFonts w:cs="Times New Roman"/>
                <w:b/>
                <w:lang w:eastAsia="zh-CN"/>
              </w:rPr>
              <w:t xml:space="preserve"> D</w:t>
            </w:r>
            <w:r>
              <w:rPr>
                <w:rFonts w:cs="Times New Roman"/>
                <w:b/>
              </w:rPr>
              <w:t>ataset</w:t>
            </w:r>
          </w:p>
        </w:tc>
        <w:tc>
          <w:tcPr>
            <w:tcW w:w="2136" w:type="pct"/>
            <w:gridSpan w:val="3"/>
            <w:vAlign w:val="center"/>
          </w:tcPr>
          <w:p w14:paraId="05288DC8">
            <w:pPr>
              <w:pStyle w:val="43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eastAsia="zh-CN"/>
              </w:rPr>
              <w:t>H</w:t>
            </w:r>
            <w:r>
              <w:rPr>
                <w:rFonts w:cs="Times New Roman"/>
                <w:b/>
              </w:rPr>
              <w:t>uman-</w:t>
            </w:r>
            <w:r>
              <w:rPr>
                <w:rFonts w:cs="Times New Roman"/>
                <w:b/>
                <w:lang w:eastAsia="zh-CN"/>
              </w:rPr>
              <w:t>A</w:t>
            </w:r>
            <w:r>
              <w:rPr>
                <w:rFonts w:cs="Times New Roman"/>
                <w:b/>
              </w:rPr>
              <w:t xml:space="preserve">nnotated </w:t>
            </w:r>
            <w:r>
              <w:rPr>
                <w:rFonts w:cs="Times New Roman"/>
                <w:b/>
                <w:lang w:eastAsia="zh-CN"/>
              </w:rPr>
              <w:t>D</w:t>
            </w:r>
            <w:r>
              <w:rPr>
                <w:rFonts w:cs="Times New Roman"/>
                <w:b/>
              </w:rPr>
              <w:t>ataset</w:t>
            </w:r>
          </w:p>
        </w:tc>
      </w:tr>
      <w:tr w14:paraId="3E9A49F8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Merge w:val="continue"/>
            <w:vAlign w:val="center"/>
          </w:tcPr>
          <w:p w14:paraId="7E52234C">
            <w:pPr>
              <w:pStyle w:val="43"/>
              <w:rPr>
                <w:rFonts w:cs="Times New Roman"/>
                <w:b/>
                <w:bCs/>
                <w:lang w:eastAsia="zh-CN"/>
              </w:rPr>
            </w:pPr>
          </w:p>
        </w:tc>
        <w:tc>
          <w:tcPr>
            <w:tcW w:w="724" w:type="pct"/>
            <w:vAlign w:val="center"/>
          </w:tcPr>
          <w:p w14:paraId="302115B8">
            <w:pPr>
              <w:pStyle w:val="43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Satisfactory Conversations</w:t>
            </w:r>
          </w:p>
        </w:tc>
        <w:tc>
          <w:tcPr>
            <w:tcW w:w="724" w:type="pct"/>
            <w:vAlign w:val="center"/>
          </w:tcPr>
          <w:p w14:paraId="004AF81C">
            <w:pPr>
              <w:pStyle w:val="43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Unsatisfactory Conversations</w:t>
            </w:r>
          </w:p>
        </w:tc>
        <w:tc>
          <w:tcPr>
            <w:tcW w:w="693" w:type="pct"/>
            <w:vAlign w:val="center"/>
          </w:tcPr>
          <w:p w14:paraId="571CE97E">
            <w:pPr>
              <w:pStyle w:val="43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All Conversations</w:t>
            </w:r>
          </w:p>
        </w:tc>
        <w:tc>
          <w:tcPr>
            <w:tcW w:w="689" w:type="pct"/>
            <w:vAlign w:val="center"/>
          </w:tcPr>
          <w:p w14:paraId="0B365DC5">
            <w:pPr>
              <w:pStyle w:val="43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Satisfactory Conversations</w:t>
            </w:r>
          </w:p>
        </w:tc>
        <w:tc>
          <w:tcPr>
            <w:tcW w:w="724" w:type="pct"/>
            <w:vAlign w:val="center"/>
          </w:tcPr>
          <w:p w14:paraId="3FB80C02">
            <w:pPr>
              <w:pStyle w:val="43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Unsatisfactory Conversations</w:t>
            </w:r>
          </w:p>
        </w:tc>
        <w:tc>
          <w:tcPr>
            <w:tcW w:w="724" w:type="pct"/>
            <w:vAlign w:val="center"/>
          </w:tcPr>
          <w:p w14:paraId="12B18078">
            <w:pPr>
              <w:pStyle w:val="43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All Conversations</w:t>
            </w:r>
          </w:p>
        </w:tc>
      </w:tr>
      <w:tr w14:paraId="20E2A789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401488C9">
            <w:pPr>
              <w:pStyle w:val="43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EchoSight</w:t>
            </w:r>
          </w:p>
        </w:tc>
        <w:tc>
          <w:tcPr>
            <w:tcW w:w="1560" w:type="dxa"/>
            <w:vAlign w:val="center"/>
          </w:tcPr>
          <w:p w14:paraId="6ED04AC1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7.81***</w:t>
            </w:r>
          </w:p>
        </w:tc>
        <w:tc>
          <w:tcPr>
            <w:tcW w:w="1560" w:type="dxa"/>
            <w:vAlign w:val="center"/>
          </w:tcPr>
          <w:p w14:paraId="47D0AFBF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0.63</w:t>
            </w:r>
          </w:p>
        </w:tc>
        <w:tc>
          <w:tcPr>
            <w:tcW w:w="1493" w:type="dxa"/>
            <w:vAlign w:val="center"/>
          </w:tcPr>
          <w:p w14:paraId="2BF2FFF0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4.24***</w:t>
            </w:r>
          </w:p>
        </w:tc>
        <w:tc>
          <w:tcPr>
            <w:tcW w:w="1485" w:type="dxa"/>
            <w:vAlign w:val="center"/>
          </w:tcPr>
          <w:p w14:paraId="245173F4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3.74+</w:t>
            </w:r>
          </w:p>
        </w:tc>
        <w:tc>
          <w:tcPr>
            <w:tcW w:w="1560" w:type="dxa"/>
            <w:vAlign w:val="center"/>
          </w:tcPr>
          <w:p w14:paraId="63DA2258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2.4</w:t>
            </w:r>
            <w:r>
              <w:rPr>
                <w:rFonts w:cs="Times New Roman"/>
                <w:kern w:val="0"/>
                <w:szCs w:val="20"/>
                <w:lang w:eastAsia="zh-CN" w:bidi="ar"/>
              </w:rPr>
              <w:t>0</w:t>
            </w:r>
          </w:p>
        </w:tc>
        <w:tc>
          <w:tcPr>
            <w:tcW w:w="1556" w:type="dxa"/>
            <w:vAlign w:val="center"/>
          </w:tcPr>
          <w:p w14:paraId="4264677B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3.03***</w:t>
            </w:r>
          </w:p>
        </w:tc>
      </w:tr>
      <w:tr w14:paraId="4D9D1C0B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3242020B">
            <w:pPr>
              <w:pStyle w:val="43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MORE</w:t>
            </w:r>
          </w:p>
        </w:tc>
        <w:tc>
          <w:tcPr>
            <w:tcW w:w="1560" w:type="dxa"/>
            <w:vAlign w:val="center"/>
          </w:tcPr>
          <w:p w14:paraId="29554095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7.17***</w:t>
            </w:r>
          </w:p>
        </w:tc>
        <w:tc>
          <w:tcPr>
            <w:tcW w:w="1560" w:type="dxa"/>
            <w:vAlign w:val="center"/>
          </w:tcPr>
          <w:p w14:paraId="469B4CC6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1.31</w:t>
            </w:r>
          </w:p>
        </w:tc>
        <w:tc>
          <w:tcPr>
            <w:tcW w:w="1493" w:type="dxa"/>
            <w:vAlign w:val="center"/>
          </w:tcPr>
          <w:p w14:paraId="4EDD2E0E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4.25***</w:t>
            </w:r>
          </w:p>
        </w:tc>
        <w:tc>
          <w:tcPr>
            <w:tcW w:w="1485" w:type="dxa"/>
            <w:vAlign w:val="center"/>
          </w:tcPr>
          <w:p w14:paraId="163CBF08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6.17***</w:t>
            </w:r>
          </w:p>
        </w:tc>
        <w:tc>
          <w:tcPr>
            <w:tcW w:w="1560" w:type="dxa"/>
            <w:vAlign w:val="center"/>
          </w:tcPr>
          <w:p w14:paraId="3379579F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0.89</w:t>
            </w:r>
          </w:p>
        </w:tc>
        <w:tc>
          <w:tcPr>
            <w:tcW w:w="1556" w:type="dxa"/>
            <w:vAlign w:val="center"/>
          </w:tcPr>
          <w:p w14:paraId="51232DB3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3.76***</w:t>
            </w:r>
          </w:p>
        </w:tc>
      </w:tr>
      <w:tr w14:paraId="52567933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1F49C10B">
            <w:pPr>
              <w:pStyle w:val="43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G-Retriever</w:t>
            </w:r>
          </w:p>
        </w:tc>
        <w:tc>
          <w:tcPr>
            <w:tcW w:w="1560" w:type="dxa"/>
            <w:vAlign w:val="center"/>
          </w:tcPr>
          <w:p w14:paraId="6B7F7DD0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5.83***</w:t>
            </w:r>
          </w:p>
        </w:tc>
        <w:tc>
          <w:tcPr>
            <w:tcW w:w="1560" w:type="dxa"/>
            <w:vAlign w:val="center"/>
          </w:tcPr>
          <w:p w14:paraId="150A84F5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1.07</w:t>
            </w:r>
          </w:p>
        </w:tc>
        <w:tc>
          <w:tcPr>
            <w:tcW w:w="1493" w:type="dxa"/>
            <w:vAlign w:val="center"/>
          </w:tcPr>
          <w:p w14:paraId="4F9B7029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3.48***</w:t>
            </w:r>
          </w:p>
        </w:tc>
        <w:tc>
          <w:tcPr>
            <w:tcW w:w="1485" w:type="dxa"/>
            <w:vAlign w:val="center"/>
          </w:tcPr>
          <w:p w14:paraId="192AC7D6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5.67***</w:t>
            </w:r>
          </w:p>
        </w:tc>
        <w:tc>
          <w:tcPr>
            <w:tcW w:w="1560" w:type="dxa"/>
            <w:vAlign w:val="center"/>
          </w:tcPr>
          <w:p w14:paraId="194128A6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1.43</w:t>
            </w:r>
          </w:p>
        </w:tc>
        <w:tc>
          <w:tcPr>
            <w:tcW w:w="1556" w:type="dxa"/>
            <w:vAlign w:val="center"/>
          </w:tcPr>
          <w:p w14:paraId="73C11BDA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3.65***</w:t>
            </w:r>
          </w:p>
        </w:tc>
      </w:tr>
      <w:tr w14:paraId="5A6B1ECE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5A746EDF">
            <w:pPr>
              <w:pStyle w:val="43"/>
              <w:rPr>
                <w:rFonts w:cs="Times New Roman"/>
              </w:rPr>
            </w:pPr>
            <w:r>
              <w:rPr>
                <w:rFonts w:cs="Times New Roman"/>
              </w:rPr>
              <w:t>GNP</w:t>
            </w:r>
          </w:p>
        </w:tc>
        <w:tc>
          <w:tcPr>
            <w:tcW w:w="1560" w:type="dxa"/>
            <w:vAlign w:val="center"/>
          </w:tcPr>
          <w:p w14:paraId="3FCE3695">
            <w:pPr>
              <w:pStyle w:val="43"/>
              <w:jc w:val="right"/>
              <w:textAlignment w:val="bottom"/>
              <w:rPr>
                <w:rFonts w:cs="Times New Roman"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5.84***</w:t>
            </w:r>
          </w:p>
        </w:tc>
        <w:tc>
          <w:tcPr>
            <w:tcW w:w="1560" w:type="dxa"/>
            <w:vAlign w:val="center"/>
          </w:tcPr>
          <w:p w14:paraId="6510B63D">
            <w:pPr>
              <w:pStyle w:val="43"/>
              <w:jc w:val="right"/>
              <w:textAlignment w:val="bottom"/>
              <w:rPr>
                <w:rFonts w:cs="Times New Roman"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1.11</w:t>
            </w:r>
          </w:p>
        </w:tc>
        <w:tc>
          <w:tcPr>
            <w:tcW w:w="1493" w:type="dxa"/>
            <w:vAlign w:val="center"/>
          </w:tcPr>
          <w:p w14:paraId="4D2C2045">
            <w:pPr>
              <w:pStyle w:val="43"/>
              <w:jc w:val="right"/>
              <w:textAlignment w:val="bottom"/>
              <w:rPr>
                <w:rFonts w:cs="Times New Roman"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3.50***</w:t>
            </w:r>
          </w:p>
        </w:tc>
        <w:tc>
          <w:tcPr>
            <w:tcW w:w="1485" w:type="dxa"/>
            <w:vAlign w:val="center"/>
          </w:tcPr>
          <w:p w14:paraId="30DED64D">
            <w:pPr>
              <w:pStyle w:val="43"/>
              <w:jc w:val="right"/>
              <w:textAlignment w:val="center"/>
              <w:rPr>
                <w:rFonts w:cs="Times New Roman"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5.42***</w:t>
            </w:r>
          </w:p>
        </w:tc>
        <w:tc>
          <w:tcPr>
            <w:tcW w:w="1560" w:type="dxa"/>
            <w:vAlign w:val="center"/>
          </w:tcPr>
          <w:p w14:paraId="6FD01CA4">
            <w:pPr>
              <w:pStyle w:val="43"/>
              <w:jc w:val="right"/>
              <w:textAlignment w:val="center"/>
              <w:rPr>
                <w:rFonts w:cs="Times New Roman"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1.12</w:t>
            </w:r>
          </w:p>
        </w:tc>
        <w:tc>
          <w:tcPr>
            <w:tcW w:w="1556" w:type="dxa"/>
            <w:vAlign w:val="center"/>
          </w:tcPr>
          <w:p w14:paraId="1DE7A329">
            <w:pPr>
              <w:pStyle w:val="43"/>
              <w:jc w:val="right"/>
              <w:textAlignment w:val="center"/>
              <w:rPr>
                <w:rFonts w:cs="Times New Roman"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3.47***</w:t>
            </w:r>
          </w:p>
        </w:tc>
      </w:tr>
      <w:tr w14:paraId="21613043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5A89A68B">
            <w:pPr>
              <w:pStyle w:val="43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CoA</w:t>
            </w:r>
          </w:p>
        </w:tc>
        <w:tc>
          <w:tcPr>
            <w:tcW w:w="1560" w:type="dxa"/>
            <w:vAlign w:val="center"/>
          </w:tcPr>
          <w:p w14:paraId="6DC6F6F0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7.91***</w:t>
            </w:r>
          </w:p>
        </w:tc>
        <w:tc>
          <w:tcPr>
            <w:tcW w:w="1560" w:type="dxa"/>
            <w:vAlign w:val="center"/>
          </w:tcPr>
          <w:p w14:paraId="04FC4A3B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0.80</w:t>
            </w:r>
          </w:p>
        </w:tc>
        <w:tc>
          <w:tcPr>
            <w:tcW w:w="1493" w:type="dxa"/>
            <w:vAlign w:val="center"/>
          </w:tcPr>
          <w:p w14:paraId="5DB8626B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4.40***</w:t>
            </w:r>
          </w:p>
        </w:tc>
        <w:tc>
          <w:tcPr>
            <w:tcW w:w="1485" w:type="dxa"/>
            <w:vAlign w:val="center"/>
          </w:tcPr>
          <w:p w14:paraId="05A48A6D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5.27***</w:t>
            </w:r>
          </w:p>
        </w:tc>
        <w:tc>
          <w:tcPr>
            <w:tcW w:w="1560" w:type="dxa"/>
            <w:vAlign w:val="center"/>
          </w:tcPr>
          <w:p w14:paraId="145F2C20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2.14</w:t>
            </w:r>
          </w:p>
        </w:tc>
        <w:tc>
          <w:tcPr>
            <w:tcW w:w="1556" w:type="dxa"/>
            <w:vAlign w:val="center"/>
          </w:tcPr>
          <w:p w14:paraId="222C87C4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3.92***</w:t>
            </w:r>
          </w:p>
        </w:tc>
      </w:tr>
      <w:tr w14:paraId="5AA5DCB7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28854DD0">
            <w:pPr>
              <w:pStyle w:val="43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ToG</w:t>
            </w:r>
          </w:p>
        </w:tc>
        <w:tc>
          <w:tcPr>
            <w:tcW w:w="1560" w:type="dxa"/>
            <w:vAlign w:val="center"/>
          </w:tcPr>
          <w:p w14:paraId="1D06E561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7.74***</w:t>
            </w:r>
          </w:p>
        </w:tc>
        <w:tc>
          <w:tcPr>
            <w:tcW w:w="1560" w:type="dxa"/>
            <w:vAlign w:val="center"/>
          </w:tcPr>
          <w:p w14:paraId="2C9A7249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0.82</w:t>
            </w:r>
          </w:p>
        </w:tc>
        <w:tc>
          <w:tcPr>
            <w:tcW w:w="1493" w:type="dxa"/>
            <w:vAlign w:val="center"/>
          </w:tcPr>
          <w:p w14:paraId="3C1F2F44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4.31***</w:t>
            </w:r>
          </w:p>
        </w:tc>
        <w:tc>
          <w:tcPr>
            <w:tcW w:w="1485" w:type="dxa"/>
            <w:vAlign w:val="center"/>
          </w:tcPr>
          <w:p w14:paraId="136507E4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3.28</w:t>
            </w:r>
          </w:p>
        </w:tc>
        <w:tc>
          <w:tcPr>
            <w:tcW w:w="1560" w:type="dxa"/>
            <w:vAlign w:val="center"/>
          </w:tcPr>
          <w:p w14:paraId="25EC748C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2.39</w:t>
            </w:r>
          </w:p>
        </w:tc>
        <w:tc>
          <w:tcPr>
            <w:tcW w:w="1556" w:type="dxa"/>
            <w:vAlign w:val="center"/>
          </w:tcPr>
          <w:p w14:paraId="7B3FD39B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2.95***</w:t>
            </w:r>
          </w:p>
        </w:tc>
      </w:tr>
      <w:tr w14:paraId="4C4BC390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2811389E">
            <w:pPr>
              <w:pStyle w:val="43"/>
              <w:rPr>
                <w:rFonts w:cs="Times New Roman"/>
              </w:rPr>
            </w:pPr>
            <w:r>
              <w:rPr>
                <w:rFonts w:cs="Times New Roman"/>
                <w:bCs/>
              </w:rPr>
              <w:t>MiRAG</w:t>
            </w:r>
          </w:p>
        </w:tc>
        <w:tc>
          <w:tcPr>
            <w:tcW w:w="1560" w:type="dxa"/>
            <w:vAlign w:val="center"/>
          </w:tcPr>
          <w:p w14:paraId="37B5BA99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8.10***</w:t>
            </w:r>
          </w:p>
        </w:tc>
        <w:tc>
          <w:tcPr>
            <w:tcW w:w="1560" w:type="dxa"/>
            <w:vAlign w:val="center"/>
          </w:tcPr>
          <w:p w14:paraId="51C45812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1.05</w:t>
            </w:r>
          </w:p>
        </w:tc>
        <w:tc>
          <w:tcPr>
            <w:tcW w:w="1493" w:type="dxa"/>
            <w:vAlign w:val="center"/>
          </w:tcPr>
          <w:p w14:paraId="7473983B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4.58***</w:t>
            </w:r>
          </w:p>
        </w:tc>
        <w:tc>
          <w:tcPr>
            <w:tcW w:w="1485" w:type="dxa"/>
            <w:vAlign w:val="center"/>
          </w:tcPr>
          <w:p w14:paraId="11A40CA4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4.79**</w:t>
            </w:r>
          </w:p>
        </w:tc>
        <w:tc>
          <w:tcPr>
            <w:tcW w:w="1560" w:type="dxa"/>
            <w:vAlign w:val="center"/>
          </w:tcPr>
          <w:p w14:paraId="5D85B722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2.78</w:t>
            </w:r>
          </w:p>
        </w:tc>
        <w:tc>
          <w:tcPr>
            <w:tcW w:w="1556" w:type="dxa"/>
            <w:vAlign w:val="center"/>
          </w:tcPr>
          <w:p w14:paraId="6DCF7F19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3.83***</w:t>
            </w:r>
          </w:p>
        </w:tc>
      </w:tr>
      <w:tr w14:paraId="395A5026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119A514B">
            <w:pPr>
              <w:pStyle w:val="43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VDocRAG</w:t>
            </w:r>
          </w:p>
        </w:tc>
        <w:tc>
          <w:tcPr>
            <w:tcW w:w="1560" w:type="dxa"/>
            <w:vAlign w:val="center"/>
          </w:tcPr>
          <w:p w14:paraId="682D65E3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4.86***</w:t>
            </w:r>
          </w:p>
        </w:tc>
        <w:tc>
          <w:tcPr>
            <w:tcW w:w="1560" w:type="dxa"/>
            <w:vAlign w:val="center"/>
          </w:tcPr>
          <w:p w14:paraId="30AAA5C9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0.19</w:t>
            </w:r>
          </w:p>
        </w:tc>
        <w:tc>
          <w:tcPr>
            <w:tcW w:w="1493" w:type="dxa"/>
            <w:vAlign w:val="center"/>
          </w:tcPr>
          <w:p w14:paraId="1DA6CE36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2.54***</w:t>
            </w:r>
          </w:p>
        </w:tc>
        <w:tc>
          <w:tcPr>
            <w:tcW w:w="1485" w:type="dxa"/>
            <w:vAlign w:val="center"/>
          </w:tcPr>
          <w:p w14:paraId="2341BE51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0.39</w:t>
            </w:r>
          </w:p>
        </w:tc>
        <w:tc>
          <w:tcPr>
            <w:tcW w:w="1560" w:type="dxa"/>
            <w:vAlign w:val="center"/>
          </w:tcPr>
          <w:p w14:paraId="2C2EF4F4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1.42</w:t>
            </w:r>
          </w:p>
        </w:tc>
        <w:tc>
          <w:tcPr>
            <w:tcW w:w="1556" w:type="dxa"/>
            <w:vAlign w:val="center"/>
          </w:tcPr>
          <w:p w14:paraId="20781214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0.77</w:t>
            </w:r>
          </w:p>
        </w:tc>
      </w:tr>
      <w:tr w14:paraId="6915D10E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4" w:type="pct"/>
            <w:vAlign w:val="center"/>
          </w:tcPr>
          <w:p w14:paraId="58C19533">
            <w:pPr>
              <w:pStyle w:val="43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Adaptive-RAG</w:t>
            </w:r>
          </w:p>
        </w:tc>
        <w:tc>
          <w:tcPr>
            <w:tcW w:w="1560" w:type="dxa"/>
            <w:vAlign w:val="center"/>
          </w:tcPr>
          <w:p w14:paraId="1585A5BD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6.43***</w:t>
            </w:r>
          </w:p>
        </w:tc>
        <w:tc>
          <w:tcPr>
            <w:tcW w:w="1560" w:type="dxa"/>
            <w:vAlign w:val="center"/>
          </w:tcPr>
          <w:p w14:paraId="4333FFD4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0.53</w:t>
            </w:r>
          </w:p>
        </w:tc>
        <w:tc>
          <w:tcPr>
            <w:tcW w:w="1493" w:type="dxa"/>
            <w:vAlign w:val="center"/>
          </w:tcPr>
          <w:p w14:paraId="3CEA3C63">
            <w:pPr>
              <w:pStyle w:val="43"/>
              <w:jc w:val="right"/>
              <w:textAlignment w:val="bottom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3.51***</w:t>
            </w:r>
          </w:p>
        </w:tc>
        <w:tc>
          <w:tcPr>
            <w:tcW w:w="1485" w:type="dxa"/>
            <w:vAlign w:val="center"/>
          </w:tcPr>
          <w:p w14:paraId="011B69AD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2.03</w:t>
            </w:r>
          </w:p>
        </w:tc>
        <w:tc>
          <w:tcPr>
            <w:tcW w:w="1560" w:type="dxa"/>
            <w:vAlign w:val="center"/>
          </w:tcPr>
          <w:p w14:paraId="13B1BECF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2.92</w:t>
            </w:r>
          </w:p>
        </w:tc>
        <w:tc>
          <w:tcPr>
            <w:tcW w:w="1556" w:type="dxa"/>
            <w:vAlign w:val="center"/>
          </w:tcPr>
          <w:p w14:paraId="24F1BE14">
            <w:pPr>
              <w:pStyle w:val="43"/>
              <w:jc w:val="right"/>
              <w:textAlignment w:val="center"/>
              <w:rPr>
                <w:rFonts w:cs="Times New Roman"/>
                <w:bCs/>
                <w:kern w:val="0"/>
                <w:szCs w:val="20"/>
                <w:lang w:bidi="ar"/>
              </w:rPr>
            </w:pPr>
            <w:r>
              <w:rPr>
                <w:rFonts w:eastAsia="宋体" w:cs="Times New Roman"/>
                <w:color w:val="000000"/>
                <w:kern w:val="0"/>
                <w:szCs w:val="20"/>
                <w:lang w:eastAsia="zh-CN" w:bidi="ar"/>
              </w:rPr>
              <w:t>2.36**</w:t>
            </w:r>
          </w:p>
        </w:tc>
      </w:tr>
    </w:tbl>
    <w:p w14:paraId="0501E8BC">
      <w:pPr>
        <w:pStyle w:val="43"/>
      </w:pPr>
      <w:r>
        <w:rPr>
          <w:rFonts w:hint="eastAsia"/>
          <w:i/>
          <w:iCs/>
          <w:lang w:eastAsia="zh-CN"/>
        </w:rPr>
        <w:t>Notes</w:t>
      </w:r>
      <w:r>
        <w:rPr>
          <w:rFonts w:hint="eastAsia"/>
          <w:lang w:eastAsia="zh-CN"/>
        </w:rPr>
        <w:t xml:space="preserve">. </w:t>
      </w:r>
      <w:r>
        <w:rPr>
          <w:vertAlign w:val="superscript"/>
        </w:rPr>
        <w:t>***</w:t>
      </w:r>
      <w:r>
        <w:t xml:space="preserve"> Significant at the 0.001 level; </w:t>
      </w:r>
      <w:r>
        <w:rPr>
          <w:vertAlign w:val="superscript"/>
        </w:rPr>
        <w:t>**</w:t>
      </w:r>
      <w:r>
        <w:t xml:space="preserve"> Significant at the 0.01 level; </w:t>
      </w:r>
      <w:r>
        <w:rPr>
          <w:vertAlign w:val="superscript"/>
        </w:rPr>
        <w:t>*</w:t>
      </w:r>
      <w:r>
        <w:t xml:space="preserve"> Significant at the 0.05 level;</w:t>
      </w:r>
      <w:r>
        <w:rPr>
          <w:vertAlign w:val="superscript"/>
        </w:rPr>
        <w:t xml:space="preserve"> +</w:t>
      </w:r>
      <w:r>
        <w:t xml:space="preserve"> Significant at the 0.1 level.</w:t>
      </w:r>
    </w:p>
    <w:p w14:paraId="33F3AD35">
      <w:pPr>
        <w:pStyle w:val="43"/>
        <w:rPr>
          <w:lang w:eastAsia="zh-CN"/>
        </w:rPr>
      </w:pPr>
    </w:p>
    <w:p w14:paraId="264893D6">
      <w:pPr>
        <w:pStyle w:val="43"/>
        <w:rPr>
          <w:b/>
          <w:bCs/>
        </w:rPr>
      </w:pPr>
      <w:r>
        <w:rPr>
          <w:b/>
          <w:bCs/>
        </w:rPr>
        <w:t xml:space="preserve">Table </w:t>
      </w:r>
      <w:r>
        <w:rPr>
          <w:rFonts w:hint="eastAsia"/>
          <w:b/>
          <w:bCs/>
          <w:lang w:eastAsia="zh-CN"/>
        </w:rPr>
        <w:t>F</w:t>
      </w:r>
      <w:r>
        <w:rPr>
          <w:b/>
          <w:bCs/>
        </w:rPr>
        <w:t>2. Tukey-Kramer Test Result: UAP-DL vs. Benchmarks (Experiment 2).</w:t>
      </w:r>
    </w:p>
    <w:tbl>
      <w:tblPr>
        <w:tblStyle w:val="22"/>
        <w:tblW w:w="10829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158"/>
        <w:gridCol w:w="1159"/>
        <w:gridCol w:w="1158"/>
        <w:gridCol w:w="1159"/>
        <w:gridCol w:w="1159"/>
        <w:gridCol w:w="1158"/>
        <w:gridCol w:w="1159"/>
        <w:gridCol w:w="1159"/>
      </w:tblGrid>
      <w:tr w14:paraId="40D58D9E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Merge w:val="restart"/>
            <w:tcBorders>
              <w:top w:val="double" w:color="auto" w:sz="4" w:space="0"/>
              <w:left w:val="nil"/>
              <w:right w:val="single" w:color="auto" w:sz="4" w:space="0"/>
            </w:tcBorders>
            <w:vAlign w:val="center"/>
          </w:tcPr>
          <w:p w14:paraId="495C5175">
            <w:pPr>
              <w:pStyle w:val="43"/>
              <w:jc w:val="both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M</w:t>
            </w:r>
            <w:r>
              <w:rPr>
                <w:b/>
                <w:bCs/>
                <w:lang w:eastAsia="zh-CN"/>
              </w:rPr>
              <w:t>ethod</w:t>
            </w:r>
          </w:p>
        </w:tc>
        <w:tc>
          <w:tcPr>
            <w:tcW w:w="4634" w:type="dxa"/>
            <w:gridSpan w:val="4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5ADD1BD">
            <w:pPr>
              <w:pStyle w:val="43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LLM-</w:t>
            </w:r>
            <w:r>
              <w:rPr>
                <w:rFonts w:hint="eastAsia"/>
                <w:b/>
                <w:lang w:eastAsia="zh-CN"/>
              </w:rPr>
              <w:t>L</w:t>
            </w:r>
            <w:r>
              <w:rPr>
                <w:rFonts w:hint="eastAsia"/>
                <w:b/>
              </w:rPr>
              <w:t>abeled</w:t>
            </w:r>
            <w:r>
              <w:rPr>
                <w:rFonts w:hint="eastAsia"/>
                <w:b/>
                <w:lang w:eastAsia="zh-CN"/>
              </w:rPr>
              <w:t xml:space="preserve"> D</w:t>
            </w:r>
            <w:r>
              <w:rPr>
                <w:rFonts w:hint="eastAsia"/>
                <w:b/>
              </w:rPr>
              <w:t>ataset</w:t>
            </w:r>
          </w:p>
        </w:tc>
        <w:tc>
          <w:tcPr>
            <w:tcW w:w="4635" w:type="dxa"/>
            <w:gridSpan w:val="4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8543081">
            <w:pPr>
              <w:pStyle w:val="43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H</w:t>
            </w:r>
            <w:r>
              <w:rPr>
                <w:rFonts w:hint="eastAsia"/>
                <w:b/>
              </w:rPr>
              <w:t>uman-</w:t>
            </w:r>
            <w:r>
              <w:rPr>
                <w:rFonts w:hint="eastAsia"/>
                <w:b/>
                <w:lang w:eastAsia="zh-CN"/>
              </w:rPr>
              <w:t>A</w:t>
            </w:r>
            <w:r>
              <w:rPr>
                <w:rFonts w:hint="eastAsia"/>
                <w:b/>
              </w:rPr>
              <w:t xml:space="preserve">nnotated </w:t>
            </w:r>
            <w:r>
              <w:rPr>
                <w:rFonts w:hint="eastAsia"/>
                <w:b/>
                <w:lang w:eastAsia="zh-CN"/>
              </w:rPr>
              <w:t>D</w:t>
            </w:r>
            <w:r>
              <w:rPr>
                <w:rFonts w:hint="eastAsia"/>
                <w:b/>
              </w:rPr>
              <w:t>ataset</w:t>
            </w:r>
          </w:p>
        </w:tc>
      </w:tr>
      <w:tr w14:paraId="370DD923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5BA6CE8C">
            <w:pPr>
              <w:pStyle w:val="43"/>
              <w:rPr>
                <w:b/>
                <w:bCs/>
                <w:lang w:eastAsia="zh-CN"/>
              </w:rPr>
            </w:pP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94EBD22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LSTM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CBA86E2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GCN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AD57B86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Transformer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AF07AFA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MLP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6AAA49B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LSTM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B79BBB4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GCN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822C9B9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Transformer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9A19640">
            <w:pPr>
              <w:pStyle w:val="4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MLP</w:t>
            </w:r>
          </w:p>
        </w:tc>
      </w:tr>
      <w:tr w14:paraId="2F47F17F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4FDCEC">
            <w:pPr>
              <w:pStyle w:val="43"/>
              <w:rPr>
                <w:bCs/>
                <w:snapToGrid w:val="0"/>
              </w:rPr>
            </w:pPr>
            <w:r>
              <w:rPr>
                <w:bCs/>
              </w:rPr>
              <w:t>EchoSight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7DB0EF7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3.79***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9DA13A4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3.90***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E304270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3.04***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C717D96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3.07***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8EB8E20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2.59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FB84906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2.76***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BD65E7E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3.47*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9F3F698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2.59</w:t>
            </w:r>
          </w:p>
        </w:tc>
      </w:tr>
      <w:tr w14:paraId="0AE036E1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086B87">
            <w:pPr>
              <w:pStyle w:val="43"/>
              <w:rPr>
                <w:bCs/>
                <w:snapToGrid w:val="0"/>
              </w:rPr>
            </w:pPr>
            <w:r>
              <w:rPr>
                <w:bCs/>
              </w:rPr>
              <w:t>MORE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C120471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4.16***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A413A32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3.96***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3624D28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2.75***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D36CBD2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2.38*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A3644C1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2.90*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EF8778E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2.96***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D0F5B74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4.20**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13434F3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2.90*</w:t>
            </w:r>
          </w:p>
        </w:tc>
      </w:tr>
      <w:tr w14:paraId="06FBB75B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A61F18">
            <w:pPr>
              <w:pStyle w:val="43"/>
              <w:rPr>
                <w:bCs/>
                <w:snapToGrid w:val="0"/>
              </w:rPr>
            </w:pPr>
            <w:r>
              <w:rPr>
                <w:bCs/>
              </w:rPr>
              <w:t>G-Retriever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E03AEE4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3.07***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E592C22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5.05***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DFEDCE2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2.50***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56C9D59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3.28***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2DD319A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2.47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AC4CBB9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2.83***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AC82577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4.88***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B5214FB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2.47</w:t>
            </w:r>
          </w:p>
        </w:tc>
      </w:tr>
      <w:tr w14:paraId="636E5B52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B5CD31">
            <w:pPr>
              <w:pStyle w:val="43"/>
              <w:rPr>
                <w:bCs/>
                <w:snapToGrid w:val="0"/>
              </w:rPr>
            </w:pPr>
            <w:r>
              <w:t>GNP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68D8DF1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3.11***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F8B38C8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4.26***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B0E4685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2.08**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DB42B83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2.66**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3F64092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2.24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917DDCF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2.73***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3A50D97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2.95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E0726F5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2.24</w:t>
            </w:r>
          </w:p>
        </w:tc>
      </w:tr>
      <w:tr w14:paraId="755A828B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B23C39">
            <w:pPr>
              <w:pStyle w:val="43"/>
              <w:rPr>
                <w:bCs/>
                <w:snapToGrid w:val="0"/>
              </w:rPr>
            </w:pPr>
            <w:r>
              <w:rPr>
                <w:bCs/>
              </w:rPr>
              <w:t>CoA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FBD0B9C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2.77**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2731C4A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4.84***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5111AB4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2.32***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C3A1A5E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3.27***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C128414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4.27***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D61DDE3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4.04***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E8A3983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4.49***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7CD2D95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4.27***</w:t>
            </w:r>
          </w:p>
        </w:tc>
      </w:tr>
      <w:tr w14:paraId="147F9E1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4F1166">
            <w:pPr>
              <w:pStyle w:val="43"/>
              <w:rPr>
                <w:bCs/>
                <w:snapToGrid w:val="0"/>
              </w:rPr>
            </w:pPr>
            <w:r>
              <w:rPr>
                <w:bCs/>
              </w:rPr>
              <w:t>ToG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05B361E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2.95***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6380259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6.12***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DBF0E6F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3.34***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599AD24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2.80***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393F85F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1.95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EAC3A7E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2.67**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04CAF7F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3.41*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8F545B3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1.95</w:t>
            </w:r>
          </w:p>
        </w:tc>
      </w:tr>
      <w:tr w14:paraId="40BC7A9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EE10485">
            <w:pPr>
              <w:pStyle w:val="43"/>
              <w:rPr>
                <w:bCs/>
                <w:snapToGrid w:val="0"/>
              </w:rPr>
            </w:pPr>
            <w:r>
              <w:rPr>
                <w:bCs/>
              </w:rPr>
              <w:t>MiRAG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97753BE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2.78**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1D45B98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3.49***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ACA9935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2.38***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9644890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2.80***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740B300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3.55**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81FD60D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4.02***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8637C67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3.82**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BA8406D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3.55**</w:t>
            </w:r>
          </w:p>
        </w:tc>
      </w:tr>
      <w:tr w14:paraId="59AFBE18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B83A18">
            <w:pPr>
              <w:pStyle w:val="43"/>
              <w:rPr>
                <w:bCs/>
              </w:rPr>
            </w:pPr>
            <w:r>
              <w:rPr>
                <w:rFonts w:hint="eastAsia"/>
                <w:bCs/>
              </w:rPr>
              <w:t>VDocRAG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B995D85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2.77**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5A59700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2.67**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C9EB31D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1.36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F4A50C0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1.50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108C132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1.13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7E8874A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1.33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E9AD97B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1.50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59614FB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1.13</w:t>
            </w:r>
          </w:p>
        </w:tc>
      </w:tr>
      <w:tr w14:paraId="1106F38D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double" w:color="auto" w:sz="4" w:space="0"/>
              <w:right w:val="single" w:color="auto" w:sz="4" w:space="0"/>
            </w:tcBorders>
            <w:vAlign w:val="center"/>
          </w:tcPr>
          <w:p w14:paraId="461C818D">
            <w:pPr>
              <w:pStyle w:val="43"/>
              <w:rPr>
                <w:bCs/>
              </w:rPr>
            </w:pPr>
            <w:r>
              <w:rPr>
                <w:rFonts w:hint="eastAsia"/>
                <w:bCs/>
              </w:rPr>
              <w:t>Adaptive-RAG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EA2C81A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2.87**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5E36B08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3.11***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08DE6BA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1.82*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ED938BA">
            <w:pPr>
              <w:pStyle w:val="43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2.52**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E61F22A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2.18</w:t>
            </w:r>
          </w:p>
        </w:tc>
        <w:tc>
          <w:tcPr>
            <w:tcW w:w="115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E9410BE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2.25*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15340E9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2.99+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1EDF619">
            <w:pPr>
              <w:pStyle w:val="43"/>
              <w:jc w:val="right"/>
              <w:textAlignment w:val="bottom"/>
              <w:rPr>
                <w:bCs/>
                <w:snapToGrid w:val="0"/>
              </w:rPr>
            </w:pPr>
            <w:r>
              <w:rPr>
                <w:kern w:val="0"/>
                <w:lang w:eastAsia="zh-CN" w:bidi="ar"/>
              </w:rPr>
              <w:t>2.18</w:t>
            </w:r>
          </w:p>
        </w:tc>
      </w:tr>
    </w:tbl>
    <w:p w14:paraId="52BA333A">
      <w:pPr>
        <w:pStyle w:val="43"/>
      </w:pPr>
      <w:r>
        <w:rPr>
          <w:rFonts w:hint="eastAsia"/>
          <w:i/>
          <w:iCs/>
          <w:lang w:eastAsia="zh-CN"/>
        </w:rPr>
        <w:t>Notes</w:t>
      </w:r>
      <w:r>
        <w:rPr>
          <w:rFonts w:hint="eastAsia"/>
          <w:lang w:eastAsia="zh-CN"/>
        </w:rPr>
        <w:t xml:space="preserve">. </w:t>
      </w:r>
      <w:r>
        <w:rPr>
          <w:vertAlign w:val="superscript"/>
        </w:rPr>
        <w:t>***</w:t>
      </w:r>
      <w:r>
        <w:t xml:space="preserve"> Significant at the 0.001 level; </w:t>
      </w:r>
      <w:r>
        <w:rPr>
          <w:vertAlign w:val="superscript"/>
        </w:rPr>
        <w:t>**</w:t>
      </w:r>
      <w:r>
        <w:t xml:space="preserve"> Significant at the 0.01 level; </w:t>
      </w:r>
      <w:r>
        <w:rPr>
          <w:vertAlign w:val="superscript"/>
        </w:rPr>
        <w:t>*</w:t>
      </w:r>
      <w:r>
        <w:t xml:space="preserve"> Significant at the 0.05 level;</w:t>
      </w:r>
      <w:r>
        <w:rPr>
          <w:vertAlign w:val="superscript"/>
        </w:rPr>
        <w:t xml:space="preserve"> +</w:t>
      </w:r>
      <w:r>
        <w:t xml:space="preserve"> Significant at the 0.1 level.</w:t>
      </w:r>
    </w:p>
    <w:p w14:paraId="4C4C0B17">
      <w:pPr>
        <w:pStyle w:val="43"/>
      </w:pPr>
    </w:p>
    <w:p w14:paraId="1C525516">
      <w:pPr>
        <w:pStyle w:val="43"/>
        <w:rPr>
          <w:b/>
          <w:bCs/>
        </w:rPr>
      </w:pPr>
      <w:r>
        <w:rPr>
          <w:b/>
          <w:bCs/>
        </w:rPr>
        <w:t xml:space="preserve">Table </w:t>
      </w:r>
      <w:r>
        <w:rPr>
          <w:rFonts w:hint="eastAsia"/>
          <w:b/>
          <w:bCs/>
          <w:lang w:eastAsia="zh-CN"/>
        </w:rPr>
        <w:t>F</w:t>
      </w:r>
      <w:r>
        <w:rPr>
          <w:b/>
          <w:bCs/>
        </w:rPr>
        <w:t>3. Tukey-Kramer Test Result: UAP-DL vs. Benchmarks (Experiment 3).</w:t>
      </w:r>
    </w:p>
    <w:tbl>
      <w:tblPr>
        <w:tblStyle w:val="22"/>
        <w:tblW w:w="10348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098"/>
        <w:gridCol w:w="1099"/>
        <w:gridCol w:w="1205"/>
        <w:gridCol w:w="992"/>
        <w:gridCol w:w="1098"/>
        <w:gridCol w:w="1099"/>
        <w:gridCol w:w="1205"/>
        <w:gridCol w:w="992"/>
      </w:tblGrid>
      <w:tr w14:paraId="75F3DD39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Merge w:val="restart"/>
            <w:tcBorders>
              <w:top w:val="double" w:color="auto" w:sz="4" w:space="0"/>
              <w:left w:val="nil"/>
              <w:right w:val="single" w:color="auto" w:sz="4" w:space="0"/>
            </w:tcBorders>
            <w:vAlign w:val="center"/>
          </w:tcPr>
          <w:p w14:paraId="1D96FDC4">
            <w:pPr>
              <w:pStyle w:val="43"/>
              <w:adjustRightInd w:val="0"/>
              <w:snapToGrid w:val="0"/>
              <w:jc w:val="both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M</w:t>
            </w:r>
            <w:r>
              <w:rPr>
                <w:b/>
                <w:bCs/>
                <w:lang w:eastAsia="zh-CN"/>
              </w:rPr>
              <w:t>ethod</w:t>
            </w:r>
          </w:p>
        </w:tc>
        <w:tc>
          <w:tcPr>
            <w:tcW w:w="4394" w:type="dxa"/>
            <w:gridSpan w:val="4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4921AB3">
            <w:pPr>
              <w:pStyle w:val="43"/>
              <w:adjustRightInd w:val="0"/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LLM-</w:t>
            </w:r>
            <w:r>
              <w:rPr>
                <w:rFonts w:hint="eastAsia"/>
                <w:b/>
                <w:lang w:eastAsia="zh-CN"/>
              </w:rPr>
              <w:t>L</w:t>
            </w:r>
            <w:r>
              <w:rPr>
                <w:rFonts w:hint="eastAsia"/>
                <w:b/>
              </w:rPr>
              <w:t>abeled</w:t>
            </w:r>
            <w:r>
              <w:rPr>
                <w:rFonts w:hint="eastAsia"/>
                <w:b/>
                <w:lang w:eastAsia="zh-CN"/>
              </w:rPr>
              <w:t xml:space="preserve"> D</w:t>
            </w:r>
            <w:r>
              <w:rPr>
                <w:rFonts w:hint="eastAsia"/>
                <w:b/>
              </w:rPr>
              <w:t>ataset</w:t>
            </w:r>
          </w:p>
        </w:tc>
        <w:tc>
          <w:tcPr>
            <w:tcW w:w="4394" w:type="dxa"/>
            <w:gridSpan w:val="4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4171E58">
            <w:pPr>
              <w:pStyle w:val="43"/>
              <w:adjustRightInd w:val="0"/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H</w:t>
            </w:r>
            <w:r>
              <w:rPr>
                <w:rFonts w:hint="eastAsia"/>
                <w:b/>
              </w:rPr>
              <w:t>uman-</w:t>
            </w:r>
            <w:r>
              <w:rPr>
                <w:rFonts w:hint="eastAsia"/>
                <w:b/>
                <w:lang w:eastAsia="zh-CN"/>
              </w:rPr>
              <w:t>A</w:t>
            </w:r>
            <w:r>
              <w:rPr>
                <w:rFonts w:hint="eastAsia"/>
                <w:b/>
              </w:rPr>
              <w:t xml:space="preserve">nnotated </w:t>
            </w:r>
            <w:r>
              <w:rPr>
                <w:rFonts w:hint="eastAsia"/>
                <w:b/>
                <w:lang w:eastAsia="zh-CN"/>
              </w:rPr>
              <w:t>D</w:t>
            </w:r>
            <w:r>
              <w:rPr>
                <w:rFonts w:hint="eastAsia"/>
                <w:b/>
              </w:rPr>
              <w:t>ataset</w:t>
            </w:r>
          </w:p>
        </w:tc>
      </w:tr>
      <w:tr w14:paraId="5D35B5CF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277AC9F2">
            <w:pPr>
              <w:pStyle w:val="43"/>
              <w:adjustRightInd w:val="0"/>
              <w:snapToGrid w:val="0"/>
              <w:rPr>
                <w:b/>
                <w:bCs/>
                <w:lang w:eastAsia="zh-CN"/>
              </w:rPr>
            </w:pP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CA214AB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LSTM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0FFB019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GCN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C138FF7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Transformer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586CB40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MLP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F302BE5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LSTM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610BB45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GCN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AED200E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Transformer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5F398B2">
            <w:pPr>
              <w:pStyle w:val="43"/>
              <w:adjustRightInd w:val="0"/>
              <w:snapToGrid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MLP</w:t>
            </w:r>
          </w:p>
        </w:tc>
      </w:tr>
      <w:tr w14:paraId="6114F926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8CBB89">
            <w:pPr>
              <w:pStyle w:val="43"/>
              <w:adjustRightInd w:val="0"/>
              <w:snapToGrid w:val="0"/>
              <w:rPr>
                <w:bCs/>
                <w:snapToGrid w:val="0"/>
              </w:rPr>
            </w:pPr>
            <w:r>
              <w:rPr>
                <w:bCs/>
              </w:rPr>
              <w:t>EchoSight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20361D7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3.82***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6CD64AD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3.01***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09C0616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2.51***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CA2272C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2.88***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3C5B121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4.25***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22924D2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2.16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F763A11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2.74*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59E9DB4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2.56</w:t>
            </w:r>
          </w:p>
        </w:tc>
      </w:tr>
      <w:tr w14:paraId="347AC874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CA72342">
            <w:pPr>
              <w:pStyle w:val="43"/>
              <w:adjustRightInd w:val="0"/>
              <w:snapToGrid w:val="0"/>
              <w:rPr>
                <w:bCs/>
                <w:snapToGrid w:val="0"/>
              </w:rPr>
            </w:pPr>
            <w:r>
              <w:rPr>
                <w:bCs/>
              </w:rPr>
              <w:t>MORE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3008FDE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2.69***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79BF8E9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9.27***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5A8E47F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2.18***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B52E4E1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3.77***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623789B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4.33***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9D6CFA9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2.81</w:t>
            </w:r>
            <w:r>
              <w:rPr>
                <w:rFonts w:hint="eastAsia"/>
                <w:kern w:val="0"/>
                <w:vertAlign w:val="superscript"/>
                <w:lang w:eastAsia="zh-CN" w:bidi="ar"/>
              </w:rPr>
              <w:t>+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0E9822D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3.97***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933D4E2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3.72**</w:t>
            </w:r>
          </w:p>
        </w:tc>
      </w:tr>
      <w:tr w14:paraId="423D9D9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68E8A0">
            <w:pPr>
              <w:pStyle w:val="43"/>
              <w:adjustRightInd w:val="0"/>
              <w:snapToGrid w:val="0"/>
              <w:rPr>
                <w:bCs/>
                <w:snapToGrid w:val="0"/>
              </w:rPr>
            </w:pPr>
            <w:r>
              <w:rPr>
                <w:bCs/>
              </w:rPr>
              <w:t>G-Retriever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4B11DD7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5.25***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9D2812C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9.23***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BB23413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4.24***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E84947E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4.77***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F418C92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5.66***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0BAC556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3.47**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831374D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5.77***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323749E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5.33***</w:t>
            </w:r>
          </w:p>
        </w:tc>
      </w:tr>
      <w:tr w14:paraId="38BFE9F4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D3EC5E">
            <w:pPr>
              <w:pStyle w:val="43"/>
              <w:adjustRightInd w:val="0"/>
              <w:snapToGrid w:val="0"/>
              <w:rPr>
                <w:bCs/>
                <w:snapToGrid w:val="0"/>
              </w:rPr>
            </w:pPr>
            <w:r>
              <w:t>GNP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D1FC0AA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4.69***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62F36E3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2.53***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C59897F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4.26***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1FC7752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4.69***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D7A68BF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5.20***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C1126B3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2.36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9068D86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4.68***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B70281F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4.33***</w:t>
            </w:r>
          </w:p>
        </w:tc>
      </w:tr>
      <w:tr w14:paraId="269362DB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7F146D">
            <w:pPr>
              <w:pStyle w:val="43"/>
              <w:adjustRightInd w:val="0"/>
              <w:snapToGrid w:val="0"/>
              <w:rPr>
                <w:bCs/>
                <w:snapToGrid w:val="0"/>
              </w:rPr>
            </w:pPr>
            <w:r>
              <w:rPr>
                <w:bCs/>
              </w:rPr>
              <w:t>CoA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73F6AD1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2.09***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6F1D03C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2.93***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5CE4E64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0.83***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6A1F578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2.05***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E52DDB4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3.97**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C100573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2.15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DADFC6C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2.97*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6B98796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2.83</w:t>
            </w:r>
            <w:r>
              <w:rPr>
                <w:rFonts w:hint="eastAsia"/>
                <w:kern w:val="0"/>
                <w:vertAlign w:val="superscript"/>
                <w:lang w:eastAsia="zh-CN" w:bidi="ar"/>
              </w:rPr>
              <w:t>+</w:t>
            </w:r>
          </w:p>
        </w:tc>
      </w:tr>
      <w:tr w14:paraId="0F1FE53D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442B78">
            <w:pPr>
              <w:pStyle w:val="43"/>
              <w:adjustRightInd w:val="0"/>
              <w:snapToGrid w:val="0"/>
              <w:rPr>
                <w:bCs/>
                <w:snapToGrid w:val="0"/>
              </w:rPr>
            </w:pPr>
            <w:r>
              <w:rPr>
                <w:bCs/>
              </w:rPr>
              <w:t>ToG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5449878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1.46***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39A39CA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3.87***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EA7E083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1.35***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95CCB2B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1.77***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7EB18B2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2.17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11F4A0C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0.58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86858B1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2.09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61F7031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1.28</w:t>
            </w:r>
          </w:p>
        </w:tc>
      </w:tr>
      <w:tr w14:paraId="7027E222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AA1C0B">
            <w:pPr>
              <w:pStyle w:val="43"/>
              <w:adjustRightInd w:val="0"/>
              <w:snapToGrid w:val="0"/>
              <w:rPr>
                <w:bCs/>
                <w:snapToGrid w:val="0"/>
              </w:rPr>
            </w:pPr>
            <w:r>
              <w:rPr>
                <w:bCs/>
              </w:rPr>
              <w:t>MiRAG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A02A563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1.74***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28FCD89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3.43***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1CCE34C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0.98***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C38D557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1.97***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B5D58D4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3.99**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72577E9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1.86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375F6A5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2.91*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F83D8FB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2.71</w:t>
            </w:r>
          </w:p>
        </w:tc>
      </w:tr>
      <w:tr w14:paraId="54B3E4B5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1B2118">
            <w:pPr>
              <w:pStyle w:val="43"/>
              <w:adjustRightInd w:val="0"/>
              <w:snapToGrid w:val="0"/>
              <w:rPr>
                <w:bCs/>
              </w:rPr>
            </w:pPr>
            <w:r>
              <w:rPr>
                <w:rFonts w:hint="eastAsia"/>
                <w:bCs/>
              </w:rPr>
              <w:t>VDocRAG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CD1818B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1.39***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4C637395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2.46***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E55FCEA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0.59**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3D4520E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1.43***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635CD400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1.05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B3DF9EF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2.09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3AA4248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1.30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5BD92C3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1.41</w:t>
            </w:r>
          </w:p>
        </w:tc>
      </w:tr>
      <w:tr w14:paraId="1ED02106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4" w:space="0"/>
              <w:left w:val="nil"/>
              <w:bottom w:val="double" w:color="auto" w:sz="4" w:space="0"/>
              <w:right w:val="single" w:color="auto" w:sz="4" w:space="0"/>
            </w:tcBorders>
            <w:vAlign w:val="center"/>
          </w:tcPr>
          <w:p w14:paraId="1459D17E">
            <w:pPr>
              <w:pStyle w:val="43"/>
              <w:adjustRightInd w:val="0"/>
              <w:snapToGrid w:val="0"/>
              <w:rPr>
                <w:bCs/>
              </w:rPr>
            </w:pPr>
            <w:r>
              <w:rPr>
                <w:rFonts w:hint="eastAsia"/>
                <w:bCs/>
              </w:rPr>
              <w:t>Adaptive-RAG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4C68B2A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1.53***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5FD5B388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2.72***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24554A1D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0.78***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77090EFA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1.65***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19081DC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1.92</w:t>
            </w:r>
          </w:p>
        </w:tc>
        <w:tc>
          <w:tcPr>
            <w:tcW w:w="109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0FD2A446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1.99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1EF4D29F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1.84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nil"/>
            </w:tcBorders>
            <w:tcMar>
              <w:top w:w="0" w:type="dxa"/>
              <w:left w:w="14" w:type="dxa"/>
              <w:bottom w:w="0" w:type="dxa"/>
              <w:right w:w="14" w:type="dxa"/>
            </w:tcMar>
            <w:vAlign w:val="center"/>
          </w:tcPr>
          <w:p w14:paraId="3140D24A">
            <w:pPr>
              <w:pStyle w:val="43"/>
              <w:adjustRightInd w:val="0"/>
              <w:snapToGrid w:val="0"/>
              <w:jc w:val="right"/>
              <w:textAlignment w:val="bottom"/>
              <w:rPr>
                <w:kern w:val="0"/>
                <w:lang w:bidi="ar"/>
              </w:rPr>
            </w:pPr>
            <w:r>
              <w:rPr>
                <w:rFonts w:hint="eastAsia"/>
                <w:kern w:val="0"/>
                <w:lang w:eastAsia="zh-CN" w:bidi="ar"/>
              </w:rPr>
              <w:t>1.38</w:t>
            </w:r>
          </w:p>
        </w:tc>
      </w:tr>
    </w:tbl>
    <w:p w14:paraId="318FA93D">
      <w:pPr>
        <w:pStyle w:val="43"/>
        <w:rPr>
          <w:lang w:eastAsia="zh-CN"/>
        </w:rPr>
      </w:pPr>
      <w:r>
        <w:rPr>
          <w:rFonts w:hint="eastAsia"/>
          <w:i/>
          <w:iCs/>
          <w:lang w:eastAsia="zh-CN"/>
        </w:rPr>
        <w:t>Notes</w:t>
      </w:r>
      <w:r>
        <w:rPr>
          <w:rFonts w:hint="eastAsia"/>
          <w:lang w:eastAsia="zh-CN"/>
        </w:rPr>
        <w:t xml:space="preserve">. </w:t>
      </w:r>
      <w:r>
        <w:rPr>
          <w:vertAlign w:val="superscript"/>
        </w:rPr>
        <w:t>***</w:t>
      </w:r>
      <w:r>
        <w:t xml:space="preserve"> Significant at the 0.001 level; </w:t>
      </w:r>
      <w:r>
        <w:rPr>
          <w:vertAlign w:val="superscript"/>
        </w:rPr>
        <w:t>**</w:t>
      </w:r>
      <w:r>
        <w:t xml:space="preserve"> Significant at the 0.01 level; </w:t>
      </w:r>
      <w:r>
        <w:rPr>
          <w:vertAlign w:val="superscript"/>
        </w:rPr>
        <w:t>*</w:t>
      </w:r>
      <w:r>
        <w:t xml:space="preserve"> Significant at the 0.05 level;</w:t>
      </w:r>
      <w:r>
        <w:rPr>
          <w:vertAlign w:val="superscript"/>
        </w:rPr>
        <w:t xml:space="preserve"> +</w:t>
      </w:r>
      <w:r>
        <w:t xml:space="preserve"> Significant at the 0.1 level.</w:t>
      </w:r>
    </w:p>
    <w:p w14:paraId="6F5C5CA1">
      <w:pPr>
        <w:pStyle w:val="43"/>
      </w:pPr>
    </w:p>
    <w:p w14:paraId="6A59DAC6">
      <w:pPr>
        <w:pStyle w:val="82"/>
        <w:numPr>
          <w:ilvl w:val="0"/>
          <w:numId w:val="0"/>
        </w:numPr>
        <w:ind w:left="425" w:hanging="425"/>
        <w:rPr>
          <w:szCs w:val="23"/>
        </w:rPr>
      </w:pPr>
      <w:r>
        <w:rPr>
          <w:szCs w:val="23"/>
        </w:rPr>
        <w:t xml:space="preserve">Appendix </w:t>
      </w:r>
      <w:r>
        <w:rPr>
          <w:rFonts w:hint="eastAsia"/>
          <w:szCs w:val="23"/>
        </w:rPr>
        <w:t>G.</w:t>
      </w:r>
      <w:r>
        <w:rPr>
          <w:szCs w:val="23"/>
        </w:rPr>
        <w:t xml:space="preserve"> </w:t>
      </w:r>
      <w:r>
        <w:rPr>
          <w:rFonts w:hint="eastAsia"/>
          <w:szCs w:val="23"/>
        </w:rPr>
        <w:t>Spectral Justification of the Diversity-Based Graph Filtering</w:t>
      </w:r>
    </w:p>
    <w:p w14:paraId="142AC389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>This appendix provides the theoretical justification for applying low- and high-pass graph filtering to the diversity-based graph introduced in Section 4.3.1. Specifically, we clarify the source of the numerical asymmetry in the adjacency matrix constructed in Eq. (1), show that the resulting adjacency and degree-normalized propagation operators are similar to real symmetric matrices and therefore possess real eigenvalues, and further establish the low- and high-pass spectral characteristics of the propagation operators used in Eqs. (4)-(5).</w:t>
      </w:r>
    </w:p>
    <w:p w14:paraId="479C1DEF">
      <w:pPr>
        <w:ind w:firstLine="432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For notational simplicity, we omit the modality, granularity, and user indices used in the main text. We use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A</m:t>
        </m:r>
      </m:oMath>
      <w:r>
        <w:rPr>
          <w:rFonts w:cs="Times New Roman"/>
          <w:szCs w:val="23"/>
        </w:rPr>
        <w:t xml:space="preserve">,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D</m:t>
        </m:r>
      </m:oMath>
      <w:r>
        <w:rPr>
          <w:rFonts w:cs="Times New Roman"/>
          <w:szCs w:val="23"/>
        </w:rPr>
        <w:t xml:space="preserve">, and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Cs w:val="23"/>
        </w:rPr>
        <w:t xml:space="preserve"> to denote, respectively, the adjacency matrix, its degree matrix, and the degree-normalized propagation operator corresponding to those defined in the paper. Note that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D</m:t>
        </m:r>
      </m:oMath>
      <w:r>
        <w:rPr>
          <w:rFonts w:cs="Times New Roman"/>
          <w:szCs w:val="23"/>
        </w:rPr>
        <w:t xml:space="preserve"> is distinct from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ϵ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, introduced below, which is used only to characterize the row-wise normalization of the underlying diversity relation. Let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s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 denote the query-relevance score of knowledge node </w:t>
      </w:r>
      <m:oMath>
        <m:r>
          <m:rPr/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j</m:t>
        </m:r>
      </m:oMath>
      <w:r>
        <w:rPr>
          <w:rFonts w:cs="Times New Roman"/>
          <w:szCs w:val="23"/>
        </w:rPr>
        <w:t xml:space="preserve">, and define the underlying diversity relation between nodes </w:t>
      </w:r>
      <m:oMath>
        <m:r>
          <m:rPr/>
          <w:rPr>
            <w:rFonts w:ascii="Cambria Math" w:hAnsi="Cambria Math" w:eastAsia="Cambria Math" w:cs="Cambria Math"/>
            <w:szCs w:val="23"/>
          </w:rPr>
          <m:t>j</m:t>
        </m:r>
      </m:oMath>
      <w:r>
        <w:rPr>
          <w:rFonts w:cs="Times New Roman"/>
          <w:szCs w:val="23"/>
        </w:rPr>
        <w:t xml:space="preserve"> and </w:t>
      </w:r>
      <m:oMath>
        <m:r>
          <m:rPr/>
          <w:rPr>
            <w:rFonts w:ascii="Cambria Math" w:hAnsi="Cambria Math" w:eastAsia="Cambria Math" w:cs="Cambria Math"/>
            <w:szCs w:val="23"/>
          </w:rPr>
          <m:t>h</m:t>
        </m:r>
      </m:oMath>
      <w:r>
        <w:rPr>
          <w:rFonts w:cs="Times New Roman"/>
          <w:szCs w:val="23"/>
        </w:rPr>
        <w:t xml:space="preserve"> as</w:t>
      </w:r>
    </w:p>
    <w:p w14:paraId="4B353862">
      <w:pPr>
        <w:ind w:firstLine="432"/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W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jh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s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h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d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53C0EA48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Because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W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jh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  <m:r>
          <m:rPr/>
          <w:rPr>
            <w:rFonts w:ascii="Cambria Math" w:hAnsi="Cambria Math" w:eastAsia="Cambria Math" w:cs="Cambria Math"/>
            <w:szCs w:val="23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W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hj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, the matrix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W</m:t>
        </m:r>
      </m:oMath>
      <w:r>
        <w:rPr>
          <w:rFonts w:cs="Times New Roman"/>
          <w:szCs w:val="23"/>
        </w:rPr>
        <w:t xml:space="preserve"> is symmetric, i.e.,</w:t>
      </w:r>
      <w:r>
        <w:rPr>
          <w:rFonts w:hint="eastAsia" w:cs="Times New Roman"/>
          <w:szCs w:val="23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W=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napToGrid w:val="0"/>
                <w:kern w:val="0"/>
                <w:sz w:val="23"/>
                <w:szCs w:val="23"/>
              </w:rPr>
              <m:t>W</m:t>
            </m: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napToGrid w:val="0"/>
                <w:kern w:val="0"/>
                <w:sz w:val="23"/>
                <w:szCs w:val="23"/>
              </w:rPr>
              <m:t>T</m:t>
            </m: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sup>
        </m:sSup>
      </m:oMath>
      <w:r>
        <w:rPr>
          <w:rFonts w:cs="Times New Roman"/>
          <w:iCs/>
          <w:snapToGrid w:val="0"/>
          <w:kern w:val="0"/>
          <w:sz w:val="23"/>
          <w:szCs w:val="23"/>
        </w:rPr>
        <w:t>.</w:t>
      </w:r>
      <w:r>
        <w:rPr>
          <w:rFonts w:cs="Times New Roman"/>
          <w:szCs w:val="23"/>
        </w:rPr>
        <w:t>We further define</w:t>
      </w:r>
    </w:p>
    <w:p w14:paraId="2AE8AE77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zCs w:val="23"/>
                </w:rPr>
                <m:t>diag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h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  <m:sup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W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jh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</m:nary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+ϵ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d>
              <m:r>
                <m:rPr/>
                <w:rPr>
                  <w:rFonts w:ascii="Cambria Math" w:hAnsi="Cambria Math" w:eastAsia="Cambria Math" w:cs="Cambria Math"/>
                  <w:kern w:val="0"/>
                  <w:szCs w:val="23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3B79CAB2">
      <w:pPr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where </w:t>
      </w:r>
      <m:oMath>
        <m:r>
          <m:rPr/>
          <w:rPr>
            <w:rFonts w:ascii="Cambria Math" w:hAnsi="Cambria Math" w:eastAsia="Cambria Math" w:cs="Cambria Math"/>
            <w:szCs w:val="23"/>
          </w:rPr>
          <m:t>ϵ&gt;0</m:t>
        </m:r>
      </m:oMath>
      <w:r>
        <w:rPr>
          <w:rFonts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 xml:space="preserve">is the numerical-stability term used in the actual implementation. This term avoids a zero denominator when all query-relevance differences associated with a node are zero and guarantees that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ϵ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eastAsia="宋体" w:cs="Times New Roman"/>
          <w:szCs w:val="23"/>
        </w:rPr>
        <w:t xml:space="preserve"> is invertible.</w:t>
      </w:r>
      <w:r>
        <w:rPr>
          <w:rFonts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>The row-normalized diversity component can then be written as</w:t>
      </w:r>
      <w:r>
        <w:rPr>
          <w:rFonts w:hint="eastAsia" w:eastAsia="宋体" w:cs="Times New Roman"/>
          <w:szCs w:val="23"/>
        </w:rPr>
        <w:t xml:space="preserve"> </w:t>
      </w:r>
      <m:oMath>
        <m:eqArr>
          <m:eqArrPr>
            <m:ctrlPr>
              <w:rPr>
                <w:rFonts w:ascii="Cambria Math" w:hAnsi="Cambria Math" w:cs="Times New Roman"/>
                <w:i/>
                <w:iCs/>
                <w:kern w:val="0"/>
                <w:szCs w:val="23"/>
              </w:rPr>
            </m:ctrlPr>
          </m:eqArrPr>
          <m:e>
            <m:sSup>
              <m:sSupPr>
                <m:ctrlPr>
                  <w:rPr>
                    <w:rFonts w:ascii="Cambria Math" w:hAnsi="Cambria Math" w:eastAsia="宋体" w:cs="Times New Roman"/>
                    <w:i/>
                    <w:iCs/>
                    <w:szCs w:val="23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Cs w:val="23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Cambria Math" w:cs="Cambria Math"/>
                        <w:szCs w:val="23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Cs w:val="23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 w:cs="Cambria Math"/>
                        <w:szCs w:val="23"/>
                      </w:rPr>
                      <m:t>ϵ</m:t>
                    </m:r>
                    <m:ctrlPr>
                      <w:rPr>
                        <w:rFonts w:ascii="Cambria Math" w:hAnsi="Cambria Math" w:cs="Times New Roman"/>
                        <w:i/>
                        <w:iCs/>
                        <w:szCs w:val="23"/>
                      </w:rPr>
                    </m:ctrlPr>
                  </m:sub>
                </m:sSub>
                <m:ctrlPr>
                  <w:rPr>
                    <w:rFonts w:ascii="Cambria Math" w:hAnsi="Cambria Math" w:eastAsia="宋体" w:cs="Times New Roman"/>
                    <w:i/>
                    <w:iCs/>
                    <w:szCs w:val="23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Cambria Math"/>
                    <w:sz w:val="23"/>
                    <w:szCs w:val="23"/>
                  </w:rPr>
                  <m:t>−1</m:t>
                </m:r>
                <m:ctrlPr>
                  <w:rPr>
                    <w:rFonts w:ascii="Cambria Math" w:hAnsi="Cambria Math" w:eastAsia="宋体" w:cs="Times New Roman"/>
                    <w:i/>
                    <w:iCs/>
                    <w:szCs w:val="23"/>
                  </w:rPr>
                </m:ctrlPr>
              </m:sup>
            </m:sSup>
            <m:r>
              <m:rPr>
                <m:sty m:val="bi"/>
              </m:rPr>
              <w:rPr>
                <w:rFonts w:ascii="Cambria Math" w:hAnsi="Cambria Math" w:eastAsia="Cambria Math" w:cs="Cambria Math"/>
                <w:snapToGrid w:val="0"/>
                <w:kern w:val="0"/>
                <w:sz w:val="23"/>
                <w:szCs w:val="23"/>
              </w:rPr>
              <m:t>W</m:t>
            </m:r>
            <m:r>
              <m:rPr/>
              <w:rPr>
                <w:rFonts w:ascii="Cambria Math" w:hAnsi="Cambria Math" w:eastAsia="Cambria Math" w:cs="Cambria Math"/>
                <w:kern w:val="0"/>
                <w:szCs w:val="23"/>
              </w:rPr>
              <m:t>,</m:t>
            </m:r>
            <m:ctrlPr>
              <w:rPr>
                <w:rFonts w:ascii="Cambria Math" w:hAnsi="Cambria Math" w:cs="Times New Roman"/>
                <w:i/>
                <w:iCs/>
                <w:kern w:val="0"/>
                <w:szCs w:val="23"/>
              </w:rPr>
            </m:ctrlPr>
          </m:e>
        </m:eqArr>
      </m:oMath>
      <w:r>
        <w:rPr>
          <w:rFonts w:hint="eastAsia" w:eastAsia="宋体" w:cs="Times New Roman"/>
          <w:iCs/>
          <w:kern w:val="0"/>
          <w:szCs w:val="23"/>
        </w:rPr>
        <w:t xml:space="preserve"> </w:t>
      </w:r>
      <w:r>
        <w:rPr>
          <w:rFonts w:eastAsia="宋体" w:cs="Times New Roman"/>
          <w:szCs w:val="23"/>
        </w:rPr>
        <w:t xml:space="preserve">whose </w:t>
      </w:r>
      <m:oMath>
        <m:d>
          <m:d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dPr>
          <m:e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j, h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d>
      </m:oMath>
      <w:r>
        <w:rPr>
          <w:rFonts w:cs="Times New Roman"/>
          <w:szCs w:val="23"/>
        </w:rPr>
        <w:t xml:space="preserve">-th </w:t>
      </w:r>
      <w:r>
        <w:rPr>
          <w:rFonts w:eastAsia="宋体" w:cs="Times New Roman"/>
          <w:szCs w:val="23"/>
        </w:rPr>
        <w:t>element is</w:t>
      </w:r>
    </w:p>
    <w:p w14:paraId="4A61E2BC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szCs w:val="2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szCs w:val="23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eastAsia="Cambria Math" w:cs="Cambria Math"/>
                                  <w:szCs w:val="23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Cs w:val="23"/>
                                </w:rPr>
                                <m:t>ϵ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3"/>
                              <w:szCs w:val="23"/>
                            </w:rPr>
                            <m:t>−1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szCs w:val="23"/>
                            </w:rPr>
                          </m:ctrlP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napToGrid w:val="0"/>
                          <w:kern w:val="0"/>
                          <w:sz w:val="23"/>
                          <w:szCs w:val="23"/>
                        </w:rPr>
                        <m:t>W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szCs w:val="23"/>
                        </w:rPr>
                      </m:ctrlPr>
                    </m:e>
                  </m:d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jh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s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j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s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kern w:val="0"/>
                          <w:szCs w:val="23"/>
                        </w:rPr>
                        <m:t>k=1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kern w:val="0"/>
                          <w:szCs w:val="23"/>
                        </w:rPr>
                        <m:t>K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kern w:val="0"/>
                              <w:szCs w:val="23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Cs w:val="23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Cs w:val="23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Cs w:val="23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Cs w:val="23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23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kern w:val="0"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e>
                  </m:nary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+ϵ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kern w:val="0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2844187F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This corresponds to the normalized off-diagonal diversity weight defined in Eq. (1) of the main text.</w:t>
      </w:r>
      <w:r>
        <w:rPr>
          <w:rFonts w:hint="eastAsia" w:eastAsia="宋体"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 xml:space="preserve">Meanwhile, </w:t>
      </w:r>
      <w:r>
        <w:rPr>
          <w:rFonts w:hint="eastAsia" w:cs="Times New Roman"/>
          <w:szCs w:val="23"/>
        </w:rPr>
        <w:t>l</w:t>
      </w:r>
      <w:r>
        <w:rPr>
          <w:rFonts w:cs="Times New Roman"/>
          <w:szCs w:val="23"/>
        </w:rPr>
        <w:t xml:space="preserve">et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e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 xml:space="preserve">denote the query-relevance weight of node </w:t>
      </w:r>
      <m:oMath>
        <m:r>
          <m:rPr/>
          <w:rPr>
            <w:rFonts w:ascii="Cambria Math" w:hAnsi="Cambria Math" w:eastAsia="Cambria Math" w:cs="Cambria Math"/>
            <w:sz w:val="23"/>
            <w:szCs w:val="23"/>
          </w:rPr>
          <m:t>j</m:t>
        </m:r>
      </m:oMath>
      <w:r>
        <w:rPr>
          <w:rFonts w:hint="eastAsia" w:eastAsia="宋体" w:cs="Times New Roman"/>
          <w:szCs w:val="23"/>
        </w:rPr>
        <w:t xml:space="preserve"> (see </w:t>
      </w:r>
      <w:r>
        <w:rPr>
          <w:rFonts w:eastAsia="宋体" w:cs="Times New Roman"/>
          <w:szCs w:val="23"/>
        </w:rPr>
        <w:t>Eq. (2)</w:t>
      </w:r>
      <w:r>
        <w:rPr>
          <w:rFonts w:hint="eastAsia" w:eastAsia="宋体" w:cs="Times New Roman"/>
          <w:szCs w:val="23"/>
        </w:rPr>
        <w:t>), w</w:t>
      </w:r>
      <w:r>
        <w:rPr>
          <w:rFonts w:eastAsia="宋体" w:cs="Times New Roman"/>
          <w:szCs w:val="23"/>
        </w:rPr>
        <w:t>e further define</w:t>
      </w:r>
    </w:p>
    <w:p w14:paraId="576C7D94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S=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diag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1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,...,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K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e>
              </m:d>
              <m:r>
                <m:rPr/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81A6E81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Because</w:t>
      </w:r>
      <w:r>
        <w:rPr>
          <w:rFonts w:eastAsia="宋体" w:cs="Times New Roman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W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jj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  <m:r>
          <m:rPr/>
          <w:rPr>
            <w:rFonts w:ascii="Cambria Math" w:hAnsi="Cambria Math" w:eastAsia="Cambria Math" w:cs="Cambria Math"/>
            <w:szCs w:val="23"/>
          </w:rPr>
          <m:t>=0</m:t>
        </m:r>
      </m:oMath>
      <w:r>
        <w:rPr>
          <w:rFonts w:eastAsia="宋体" w:cs="Times New Roman"/>
          <w:szCs w:val="23"/>
        </w:rPr>
        <w:t>, the complete adjacency matrix can equivalently be expressed as</w:t>
      </w:r>
    </w:p>
    <w:p w14:paraId="290E3F9A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A=S+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−1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W</m:t>
              </m:r>
              <m:r>
                <m:rPr/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5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22AAD0C9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Although the underlying diversity relation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W</m:t>
        </m:r>
      </m:oMath>
      <w:r>
        <w:rPr>
          <w:rFonts w:cs="Times New Roman"/>
          <w:szCs w:val="23"/>
        </w:rPr>
        <w:t xml:space="preserve"> is symmetric, </w:t>
      </w:r>
      <w:r>
        <w:rPr>
          <w:rFonts w:eastAsia="宋体" w:cs="Times New Roman"/>
          <w:szCs w:val="23"/>
        </w:rPr>
        <w:t>the complete adjacency matrix</w:t>
      </w:r>
      <w:r>
        <w:rPr>
          <w:rFonts w:cs="Times New Roman"/>
          <w:szCs w:val="23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A</m:t>
        </m:r>
      </m:oMath>
      <w:r>
        <w:rPr>
          <w:rFonts w:cs="Times New Roman"/>
          <w:szCs w:val="23"/>
        </w:rPr>
        <w:t xml:space="preserve"> is generally asymmetric </w:t>
      </w:r>
      <w:r>
        <w:rPr>
          <w:rFonts w:eastAsia="宋体" w:cs="Times New Roman"/>
          <w:szCs w:val="23"/>
        </w:rPr>
        <w:t xml:space="preserve">because row-wise normalization introduces node-specific scaling factors, such that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jh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  <m:r>
          <m:rPr/>
          <w:rPr>
            <w:rFonts w:ascii="Cambria Math" w:hAnsi="Cambria Math" w:eastAsia="Cambria Math" w:cs="Cambria Math"/>
            <w:szCs w:val="23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hj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 xml:space="preserve">in general. Thus, the numerical asymmetry of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A</m:t>
        </m:r>
      </m:oMath>
      <w:r>
        <w:rPr>
          <w:rFonts w:eastAsia="宋体" w:cs="Times New Roman"/>
          <w:szCs w:val="23"/>
        </w:rPr>
        <w:t xml:space="preserve"> does not arise from an intrinsically directed relation between knowledge nodes. Rather, it results from applying node-specific row normalization to an underlying symmetric diversity relation.</w:t>
      </w:r>
    </w:p>
    <w:p w14:paraId="0E1880B2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 xml:space="preserve">We next show that although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A</m:t>
        </m:r>
      </m:oMath>
      <w:r>
        <w:rPr>
          <w:rFonts w:eastAsia="宋体" w:cs="Times New Roman"/>
          <w:szCs w:val="23"/>
        </w:rPr>
        <w:t xml:space="preserve"> is numerically asymmetric, it is similar to a real symmetric matrix and therefore possesses a real-valued eigenspectrum.</w:t>
      </w:r>
      <w:r>
        <w:rPr>
          <w:rFonts w:cs="Times New Roman"/>
          <w:szCs w:val="23"/>
        </w:rPr>
        <w:t xml:space="preserve"> Since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S</m:t>
        </m:r>
      </m:oMath>
      <w:r>
        <w:rPr>
          <w:rFonts w:cs="Times New Roman"/>
          <w:szCs w:val="23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ϵ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 are both diagonal matrices, they commute. Together with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W=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napToGrid w:val="0"/>
                <w:kern w:val="0"/>
                <w:sz w:val="23"/>
                <w:szCs w:val="23"/>
              </w:rPr>
              <m:t>W</m:t>
            </m: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napToGrid w:val="0"/>
                <w:kern w:val="0"/>
                <w:sz w:val="23"/>
                <w:szCs w:val="23"/>
              </w:rPr>
              <m:t>T</m:t>
            </m: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sup>
        </m:sSup>
      </m:oMath>
      <w:r>
        <w:rPr>
          <w:rFonts w:cs="Times New Roman"/>
          <w:szCs w:val="23"/>
        </w:rPr>
        <w:t xml:space="preserve">, we </w:t>
      </w:r>
      <w:r>
        <w:rPr>
          <w:rFonts w:eastAsia="宋体" w:cs="Times New Roman"/>
          <w:szCs w:val="23"/>
        </w:rPr>
        <w:t>obtain</w:t>
      </w:r>
    </w:p>
    <w:p w14:paraId="5D0DDFB0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A=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eastAsia="Cambria Math" w:cs="Cambria Math"/>
                      <w:b/>
                      <w:i/>
                      <w:snapToGrid w:val="0"/>
                      <w:kern w:val="0"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S+W=S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eastAsia="Cambria Math" w:cs="Cambria Math"/>
                      <w:b/>
                      <w:i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Cs w:val="23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W</m:t>
                  </m:r>
                  <m:ctrlPr>
                    <w:rPr>
                      <w:rFonts w:ascii="Cambria Math" w:hAnsi="Cambria Math" w:eastAsia="Cambria Math" w:cs="Cambria Math"/>
                      <w:i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=</m:t>
              </m:r>
              <m:d>
                <m:dPr>
                  <m:ctrlPr>
                    <w:rPr>
                      <w:rFonts w:ascii="Cambria Math" w:hAnsi="Cambria Math" w:eastAsia="Cambria Math" w:cs="Cambria Math"/>
                      <w:b/>
                      <w:i/>
                      <w:snapToGrid w:val="0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S+W</m:t>
                  </m:r>
                  <m:sSup>
                    <m:sSupP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ϵ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−1</m:t>
                      </m:r>
                      <m:ctrlPr>
                        <w:rPr>
                          <w:rFonts w:ascii="Cambria Math" w:hAnsi="Cambria Math" w:eastAsia="宋体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eastAsia="Cambria Math" w:cs="Cambria Math"/>
                      <w:b/>
                      <w:i/>
                      <w:snapToGrid w:val="0"/>
                      <w:kern w:val="0"/>
                      <w:szCs w:val="23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eastAsia="Cambria Math" w:cs="Cambria Math"/>
                      <w:b/>
                      <w:i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A</m:t>
                  </m:r>
                  <m:ctrlPr>
                    <w:rPr>
                      <w:rFonts w:ascii="Cambria Math" w:hAnsi="Cambria Math" w:eastAsia="Cambria Math" w:cs="Cambria Math"/>
                      <w:b/>
                      <w:i/>
                      <w:snapToGrid w:val="0"/>
                      <w:kern w:val="0"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eastAsia="Cambria Math" w:cs="Cambria Math"/>
                      <w:b/>
                      <w:i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6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84B5786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Equivalently,</w:t>
      </w:r>
    </w:p>
    <w:p w14:paraId="7D69A1CB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A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−1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7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5870DB29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We then define</w:t>
      </w:r>
    </w:p>
    <w:p w14:paraId="7C949BD1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B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8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6C2A9EA7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>Using Eq. (</w:t>
      </w:r>
      <w:r>
        <w:rPr>
          <w:rFonts w:hint="eastAsia" w:cs="Times New Roman"/>
          <w:szCs w:val="23"/>
        </w:rPr>
        <w:t>G7</w:t>
      </w:r>
      <w:r>
        <w:rPr>
          <w:rFonts w:cs="Times New Roman"/>
          <w:szCs w:val="23"/>
        </w:rPr>
        <w:t>),</w:t>
      </w:r>
    </w:p>
    <w:p w14:paraId="3A156514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B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napToGrid w:val="0"/>
                      <w:kern w:val="0"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napToGrid w:val="0"/>
                      <w:kern w:val="0"/>
                      <w:sz w:val="23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A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−1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=B.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9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61D38635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Hence,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B</m:t>
        </m:r>
      </m:oMath>
      <w:r>
        <w:rPr>
          <w:rFonts w:cs="Times New Roman"/>
          <w:szCs w:val="23"/>
        </w:rPr>
        <w:t xml:space="preserve"> is a real symmetric matrix. Moreover,</w:t>
      </w:r>
    </w:p>
    <w:p w14:paraId="0AD08635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A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napToGrid w:val="0"/>
                  <w:kern w:val="0"/>
                  <w:sz w:val="23"/>
                  <w:szCs w:val="23"/>
                </w:rPr>
                <m:t>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kern w:val="0"/>
                  <w:szCs w:val="23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G10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CB968C1">
      <w:pPr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which shows that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A</m:t>
        </m:r>
      </m:oMath>
      <w:r>
        <w:rPr>
          <w:rFonts w:cs="Times New Roman"/>
          <w:szCs w:val="23"/>
        </w:rPr>
        <w:t xml:space="preserve"> is similar to the real symmetric matrix </w:t>
      </w:r>
      <m:oMath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B</m:t>
        </m:r>
      </m:oMath>
      <w:r>
        <w:rPr>
          <w:rFonts w:cs="Times New Roman"/>
          <w:szCs w:val="23"/>
        </w:rPr>
        <w:t>.</w:t>
      </w:r>
    </w:p>
    <w:p w14:paraId="6FF4BB95">
      <w:pPr>
        <w:ind w:firstLine="460" w:firstLineChars="200"/>
        <w:jc w:val="both"/>
        <w:rPr>
          <w:rFonts w:eastAsia="宋体" w:cs="Times New Roman"/>
          <w:szCs w:val="23"/>
        </w:rPr>
      </w:pPr>
      <w:r>
        <w:rPr>
          <w:rFonts w:eastAsia="宋体" w:cs="Times New Roman"/>
          <w:szCs w:val="23"/>
        </w:rPr>
        <w:t xml:space="preserve">Since similar matrices have the same eigenvalues and a real symmetric matrix has real eigenvalues,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A</m:t>
        </m:r>
      </m:oMath>
      <w:r>
        <w:rPr>
          <w:rFonts w:eastAsia="宋体" w:cs="Times New Roman"/>
          <w:szCs w:val="23"/>
        </w:rPr>
        <w:t xml:space="preserve"> therefore has real eigenvalues and is diagonalizable. Thus, although row-wise normalization makes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A</m:t>
        </m:r>
      </m:oMath>
      <w:r>
        <w:rPr>
          <w:rFonts w:eastAsia="宋体" w:cs="Times New Roman"/>
          <w:szCs w:val="23"/>
        </w:rPr>
        <w:t xml:space="preserve"> numerically asymmetric, its spectral structure remains well defined.</w:t>
      </w:r>
      <w:r>
        <w:rPr>
          <w:rFonts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 xml:space="preserve">This property is consistent with the standard spectral correspondence between row-normalized and symmetrically normalized graph operators derived from symmetric weighted relations </w:t>
      </w:r>
      <w:r>
        <w:rPr>
          <w:rFonts w:cs="Times New Roman"/>
          <w:kern w:val="0"/>
          <w:szCs w:val="23"/>
        </w:rPr>
        <w:fldChar w:fldCharType="begin"/>
      </w:r>
      <w:r>
        <w:rPr>
          <w:rFonts w:cs="Times New Roman"/>
          <w:kern w:val="0"/>
          <w:szCs w:val="23"/>
        </w:rPr>
        <w:instrText xml:space="preserve"> ADDIN EN.CITE &lt;EndNote&gt;&lt;Cite&gt;&lt;Author&gt;Li&lt;/Author&gt;&lt;Year&gt;2016&lt;/Year&gt;&lt;RecNum&gt;672&lt;/RecNum&gt;&lt;DisplayText&gt;[1]&lt;/DisplayText&gt;&lt;record&gt;&lt;rec-number&gt;672&lt;/rec-number&gt;&lt;foreign-keys&gt;&lt;key app="EN" db-id="0a9xa09eueardse2zrl5szdcr9tfwf0pz5ax" timestamp="1769590935"&gt;672&lt;/key&gt;&lt;/foreign-keys&gt;&lt;ref-type name="Conference Proceedings"&gt;10&lt;/ref-type&gt;&lt;contributors&gt;&lt;authors&gt;&lt;author&gt;Li, Jiwei&lt;/author&gt;&lt;author&gt;Galley, Michel&lt;/author&gt;&lt;author&gt;Brockett, Chris&lt;/author&gt;&lt;author&gt;Gao, Jianfeng&lt;/author&gt;&lt;author&gt;Dolan, Bill&lt;/author&gt;&lt;/authors&gt;&lt;tertiary-authors&gt;&lt;author&gt;Knight, Kevin&lt;/author&gt;&lt;author&gt;Nenkova, Ani&lt;/author&gt;&lt;author&gt;Rambow, Owen&lt;/author&gt;&lt;/tertiary-authors&gt;&lt;/contributors&gt;&lt;titles&gt;&lt;title&gt;A Diversity-Promoting Objective Function for Neural Conversation Models&lt;/title&gt;&lt;tertiary-title&gt;Proceedings of the 2016 Conference of the North American Chapter of the Association for Computational Linguistics: Human Language Technologies&lt;/tertiary-title&gt;&lt;/titles&gt;&lt;pages&gt;110-119&lt;/pages&gt;&lt;dates&gt;&lt;year&gt;2016&lt;/year&gt;&lt;pub-dates&gt;&lt;date&gt;June&lt;/date&gt;&lt;/pub-dates&gt;&lt;/dates&gt;&lt;pub-location&gt;San Diego, California&lt;/pub-location&gt;&lt;publisher&gt;Association for Computational Linguistics&lt;/publisher&gt;&lt;label&gt;li-etal-2016-diversity&lt;/label&gt;&lt;urls&gt;&lt;related-urls&gt;&lt;url&gt;https://aclanthology.org/N16-1014/&lt;/url&gt;&lt;url&gt;https://doi.org/10.18653/v1/N16-1014&lt;/url&gt;&lt;/related-urls&gt;&lt;/urls&gt;&lt;electronic-resource-num&gt;10.18653/v1/N16-1014&lt;/electronic-resource-num&gt;&lt;/record&gt;&lt;/Cite&gt;&lt;/EndNote&gt;</w:instrText>
      </w:r>
      <w:r>
        <w:rPr>
          <w:rFonts w:cs="Times New Roman"/>
          <w:kern w:val="0"/>
          <w:szCs w:val="23"/>
        </w:rPr>
        <w:fldChar w:fldCharType="separate"/>
      </w:r>
      <w:r>
        <w:rPr>
          <w:rFonts w:cs="Times New Roman"/>
          <w:kern w:val="0"/>
          <w:szCs w:val="23"/>
        </w:rPr>
        <w:t>[</w:t>
      </w:r>
      <w:r>
        <w:rPr>
          <w:rFonts w:cs="Times New Roman"/>
          <w:szCs w:val="23"/>
        </w:rPr>
        <w:t>2</w:t>
      </w:r>
      <w:r>
        <w:rPr>
          <w:rFonts w:cs="Times New Roman"/>
          <w:kern w:val="0"/>
          <w:szCs w:val="23"/>
        </w:rPr>
        <w:t>]</w:t>
      </w:r>
      <w:r>
        <w:rPr>
          <w:rFonts w:cs="Times New Roman"/>
          <w:kern w:val="0"/>
          <w:szCs w:val="23"/>
        </w:rPr>
        <w:fldChar w:fldCharType="end"/>
      </w:r>
      <w:r>
        <w:rPr>
          <w:rFonts w:eastAsia="宋体" w:cs="Times New Roman"/>
          <w:szCs w:val="23"/>
        </w:rPr>
        <w:t>.</w:t>
      </w:r>
    </w:p>
    <w:p w14:paraId="1ACD2C8E">
      <w:pPr>
        <w:jc w:val="both"/>
        <w:rPr>
          <w:rFonts w:cs="Times New Roman"/>
          <w:bCs/>
          <w:szCs w:val="23"/>
        </w:rPr>
      </w:pPr>
      <w:r>
        <w:rPr>
          <w:rFonts w:eastAsia="宋体" w:cs="Times New Roman"/>
          <w:b/>
          <w:bCs/>
          <w:sz w:val="23"/>
          <w:szCs w:val="23"/>
        </w:rPr>
        <w:t>Spectral Property of the Degree-Normalized Propagation Operator</w:t>
      </w:r>
    </w:p>
    <w:p w14:paraId="4C330CF1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We next show that the above spectral property is preserved after the degree normalization actually used for graph filtering in the main text.</w:t>
      </w:r>
      <w:r>
        <w:rPr>
          <w:rFonts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 xml:space="preserve">Let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D</m:t>
        </m:r>
      </m:oMath>
      <w:r>
        <w:rPr>
          <w:rFonts w:eastAsia="宋体" w:cs="Times New Roman"/>
          <w:szCs w:val="23"/>
        </w:rPr>
        <w:t xml:space="preserve"> denote the degree matrix of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A</m:t>
        </m:r>
      </m:oMath>
      <w:r>
        <w:rPr>
          <w:rFonts w:eastAsia="宋体" w:cs="Times New Roman"/>
          <w:szCs w:val="23"/>
        </w:rPr>
        <w:t>. The degree-normalized propagation operator is defined as</w:t>
      </w:r>
    </w:p>
    <w:p w14:paraId="5D844CB8">
      <w:pPr>
        <w:ind w:firstLine="460" w:firstLineChars="200"/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D+I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A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I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D+I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G11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37802083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From Eq. (</w:t>
      </w:r>
      <w:r>
        <w:rPr>
          <w:rFonts w:hint="eastAsia" w:eastAsia="宋体" w:cs="Times New Roman"/>
          <w:szCs w:val="23"/>
        </w:rPr>
        <w:t>G</w:t>
      </w:r>
      <w:r>
        <w:rPr>
          <w:rFonts w:hint="eastAsia" w:cs="Times New Roman"/>
          <w:szCs w:val="23"/>
        </w:rPr>
        <w:t>6</w:t>
      </w:r>
      <w:r>
        <w:rPr>
          <w:rFonts w:eastAsia="宋体" w:cs="Times New Roman"/>
          <w:szCs w:val="23"/>
        </w:rPr>
        <w:t>),</w:t>
      </w:r>
      <w:r>
        <w:rPr>
          <w:rFonts w:cs="Times New Roman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ϵ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  <m:r>
          <m:rPr>
            <m:sty m:val="bi"/>
          </m:rPr>
          <w:rPr>
            <w:rFonts w:ascii="Cambria Math" w:hAnsi="Cambria Math" w:eastAsia="Cambria Math" w:cs="Cambria Math"/>
            <w:snapToGrid w:val="0"/>
            <w:kern w:val="0"/>
            <w:sz w:val="23"/>
            <w:szCs w:val="23"/>
          </w:rPr>
          <m:t>A=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napToGrid w:val="0"/>
                <w:kern w:val="0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napToGrid w:val="0"/>
                <w:kern w:val="0"/>
                <w:sz w:val="23"/>
                <w:szCs w:val="23"/>
              </w:rPr>
              <m:t>T</m:t>
            </m:r>
            <m:ctrlPr>
              <w:rPr>
                <w:rFonts w:ascii="Cambria Math" w:hAnsi="Cambria Math" w:cs="Times New Roman"/>
                <w:b/>
                <w:bCs/>
                <w:i/>
                <w:iCs/>
                <w:snapToGrid w:val="0"/>
                <w:kern w:val="0"/>
                <w:szCs w:val="23"/>
              </w:rPr>
            </m:ctrlPr>
          </m:sup>
        </m:sSup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ϵ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>,</w:t>
      </w:r>
      <w:r>
        <w:rPr>
          <w:rFonts w:hint="eastAsia"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>therefore</w:t>
      </w:r>
    </w:p>
    <w:p w14:paraId="496C0A1F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Cs w:val="23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I+A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)=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I+A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G12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50CD1A82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Because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ϵ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(</m:t>
            </m:r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D+I</m:t>
            </m:r>
            <m:r>
              <m:rPr/>
              <w:rPr>
                <w:rFonts w:ascii="Cambria Math" w:hAnsi="Cambria Math" w:eastAsia="Cambria Math" w:cs="Cambria Math"/>
                <w:szCs w:val="23"/>
              </w:rPr>
              <m:t>)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szCs w:val="23"/>
              </w:rPr>
              <m:t>−1/2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p>
        </m:sSup>
      </m:oMath>
      <w:r>
        <w:rPr>
          <w:rFonts w:cs="Times New Roman"/>
          <w:szCs w:val="23"/>
        </w:rPr>
        <w:t xml:space="preserve"> are both diagonal matrices, they commute. </w:t>
      </w:r>
      <w:r>
        <w:rPr>
          <w:rFonts w:eastAsia="宋体" w:cs="Times New Roman"/>
          <w:szCs w:val="23"/>
        </w:rPr>
        <w:t>Hence,</w:t>
      </w:r>
    </w:p>
    <w:p w14:paraId="677EBF7F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Cs w:val="23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 w:eastAsia="Cambria Math" w:cs="Cambria Math"/>
                      <w:i/>
                      <w:iCs/>
                      <w:szCs w:val="23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A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iCs/>
                          <w:szCs w:val="23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d>
                    <m:dPr>
                      <m:ctrlPr>
                        <w:rPr>
                          <w:rFonts w:ascii="Cambria Math" w:hAnsi="Cambria Math" w:eastAsia="Cambria Math" w:cs="Cambria Math"/>
                          <w:i/>
                          <w:iCs/>
                          <w:szCs w:val="23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I+A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iCs/>
                          <w:szCs w:val="23"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eastAsia="Cambria Math" w:cs="Cambria Math"/>
                      <w:i/>
                      <w:iCs/>
                      <w:kern w:val="0"/>
                      <w:szCs w:val="23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="Cambria Math" w:cs="Cambria Math"/>
                          <w:i/>
                          <w:iCs/>
                          <w:szCs w:val="23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I+A</m:t>
                      </m:r>
                      <m:ctrlPr>
                        <w:rPr>
                          <w:rFonts w:ascii="Cambria Math" w:hAnsi="Cambria Math" w:eastAsia="Cambria Math" w:cs="Cambria Math"/>
                          <w:i/>
                          <w:iCs/>
                          <w:szCs w:val="23"/>
                        </w:rPr>
                      </m:ctrlPr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eastAsia="Cambria Math" w:cs="Cambria Math"/>
                      <w:i/>
                      <w:iCs/>
                      <w:kern w:val="0"/>
                      <w:szCs w:val="23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I+A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eastAsia="Cambria Math" w:cs="Cambria Math"/>
                      <w:i/>
                      <w:iCs/>
                      <w:kern w:val="0"/>
                      <w:szCs w:val="23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I+A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D+I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iCs/>
                              <w:szCs w:val="23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 w:cs="Cambria Math"/>
                      <w:i/>
                      <w:iCs/>
                      <w:kern w:val="0"/>
                      <w:szCs w:val="23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eastAsia="Cambria Math" w:cs="Cambria Math"/>
                              <w:szCs w:val="23"/>
                            </w:rPr>
                            <m:t>A</m:t>
                          </m: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3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="Cambria Math" w:cs="Cambria Math"/>
                          <w:i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eastAsia="Cambria Math" w:cs="Cambria Math"/>
                          <w:b/>
                          <w:i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.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eqArr>
              <m:r>
                <m:rPr/>
                <w:rPr>
                  <w:rFonts w:ascii="Cambria Math" w:hAnsi="Cambria Math" w:cs="Times New Roman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3"/>
                    </w:rPr>
                    <m:t>G13</m:t>
                  </m:r>
                  <m:ctrlPr>
                    <w:rPr>
                      <w:rFonts w:ascii="Cambria Math" w:hAnsi="Cambria Math" w:cs="Times New Roman"/>
                      <w:i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szCs w:val="23"/>
                </w:rPr>
              </m:ctrlPr>
            </m:e>
          </m:eqArr>
        </m:oMath>
      </m:oMathPara>
    </w:p>
    <w:p w14:paraId="048555EA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Therefore</w:t>
      </w:r>
      <w:r>
        <w:rPr>
          <w:rFonts w:cs="Times New Roman"/>
          <w:szCs w:val="23"/>
        </w:rPr>
        <w:t>,</w:t>
      </w:r>
    </w:p>
    <w:p w14:paraId="0A3D9F45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−1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G14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913C273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We further define</w:t>
      </w:r>
    </w:p>
    <w:p w14:paraId="0617B250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G15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56205657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Then,</w:t>
      </w:r>
    </w:p>
    <w:p w14:paraId="319D390C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−1</m:t>
                  </m:r>
                  <m:ctrlPr>
                    <w:rPr>
                      <w:rFonts w:ascii="Cambria Math" w:hAnsi="Cambria Math" w:eastAsia="宋体" w:cs="Times New Roman"/>
                      <w:i/>
                      <w:iCs/>
                      <w:szCs w:val="23"/>
                    </w:rPr>
                  </m:ctrlP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)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G16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7A25B58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Thus,</w:t>
      </w:r>
      <w:r>
        <w:rPr>
          <w:rFonts w:cs="Times New Roman"/>
          <w:szCs w:val="23"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B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eastAsia="宋体" w:cs="Times New Roman"/>
          <w:szCs w:val="23"/>
        </w:rPr>
        <w:t xml:space="preserve"> is a real symmetric matrix. Moreover,</w:t>
      </w:r>
    </w:p>
    <w:p w14:paraId="2A9744F1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eastAsia="Cambria Math" w:cs="Cambria Math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Cs w:val="23"/>
                        </w:rPr>
                        <m:t>ϵ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G17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083CA2B4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Therefore, although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Cs w:val="23"/>
        </w:rPr>
        <w:t xml:space="preserve"> is generally asymmetric in numerical form, it is likewise similar to a real symmetric matrix and consequently possesses a real-valued eigenspectrum. This establishes that the numerical asymmetry introduced by row-wise normalization does not invalidate the spectral basis of the degree-normalized propagation operator actually used in the subsequent graph filtering.</w:t>
      </w:r>
    </w:p>
    <w:p w14:paraId="193A7C01">
      <w:pPr>
        <w:jc w:val="both"/>
        <w:rPr>
          <w:rFonts w:cs="Times New Roman"/>
          <w:bCs/>
          <w:sz w:val="23"/>
          <w:szCs w:val="23"/>
        </w:rPr>
      </w:pPr>
      <w:r>
        <w:rPr>
          <w:rFonts w:cs="Times New Roman"/>
          <w:b/>
          <w:bCs/>
          <w:szCs w:val="23"/>
        </w:rPr>
        <w:t>Low-pass and high-pass spectral responses</w:t>
      </w:r>
    </w:p>
    <w:p w14:paraId="73B3F712">
      <w:pPr>
        <w:ind w:firstLine="432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 xml:space="preserve">We further show why the two propagation operators employed in Eqs. (4)-(5), namely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eastAsia="宋体" w:cs="Times New Roman"/>
          <w:szCs w:val="23"/>
        </w:rPr>
        <w:t xml:space="preserve"> and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I</m:t>
        </m:r>
        <m:r>
          <m:rPr/>
          <w:rPr>
            <w:rFonts w:ascii="Cambria Math" w:hAnsi="Cambria Math" w:eastAsia="Cambria Math" w:cs="Cambria Math"/>
            <w:sz w:val="23"/>
            <w:szCs w:val="23"/>
          </w:rPr>
          <m:t>−</m:t>
        </m:r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eastAsia="宋体" w:cs="Times New Roman"/>
          <w:szCs w:val="23"/>
        </w:rPr>
        <w:t>, exhibit low-pass and high-pass spectral characteristics, respectively.</w:t>
      </w:r>
      <w:r>
        <w:rPr>
          <w:rFonts w:cs="Times New Roman"/>
          <w:szCs w:val="23"/>
        </w:rPr>
        <w:t xml:space="preserve"> Define the corresponding row-normalized propagation operator as</w:t>
      </w:r>
    </w:p>
    <w:p w14:paraId="5A1A5D08">
      <w:pPr>
        <w:ind w:firstLine="432"/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P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D+I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A+I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).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</m:t>
                  </m:r>
                  <m:r>
                    <m:rPr/>
                    <w:rPr>
                      <w:rFonts w:ascii="Cambria Math" w:hAnsi="Cambria Math" w:cs="Cambria Math"/>
                      <w:kern w:val="0"/>
                      <w:szCs w:val="23"/>
                    </w:rPr>
                    <m:t>8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406FE089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 xml:space="preserve">Since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D+I</m:t>
        </m:r>
      </m:oMath>
      <w:r>
        <w:rPr>
          <w:rFonts w:eastAsia="宋体" w:cs="Times New Roman"/>
          <w:szCs w:val="23"/>
        </w:rPr>
        <w:t xml:space="preserve"> contains the row sums of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A+I</m:t>
        </m:r>
      </m:oMath>
      <w:r>
        <w:rPr>
          <w:rFonts w:eastAsia="宋体" w:cs="Times New Roman"/>
          <w:szCs w:val="23"/>
        </w:rPr>
        <w:t>,</w:t>
      </w:r>
    </w:p>
    <w:p w14:paraId="1F05BF70">
      <w:pPr>
        <w:ind w:firstLine="432"/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P1=1.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G1</m:t>
                  </m:r>
                  <m:r>
                    <m:rPr/>
                    <w:rPr>
                      <w:rFonts w:ascii="Cambria Math" w:hAnsi="Cambria Math" w:cs="Cambria Math"/>
                      <w:kern w:val="0"/>
                      <w:szCs w:val="23"/>
                    </w:rPr>
                    <m:t>9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3A8DF318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Thus,</w:t>
      </w:r>
      <w:r>
        <w:rPr>
          <w:rFonts w:cs="Times New Roman"/>
          <w:szCs w:val="23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P</m:t>
        </m:r>
      </m:oMath>
      <w:r>
        <w:rPr>
          <w:rFonts w:cs="Times New Roman"/>
          <w:szCs w:val="23"/>
        </w:rPr>
        <w:t xml:space="preserve"> is a nonnegative row-stochastic matrix. Moreover,</w:t>
      </w:r>
    </w:p>
    <w:p w14:paraId="72B3BD87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D+I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A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I</m:t>
              </m:r>
              <m:r>
                <m:rPr/>
                <w:rPr>
                  <w:rFonts w:ascii="Cambria Math" w:hAnsi="Cambria Math" w:eastAsia="Cambria Math" w:cs="Cambria Math"/>
                  <w:szCs w:val="23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D+I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szCs w:val="23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D+I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P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D+I</m:t>
                  </m:r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)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Cs w:val="23"/>
                    </w:rPr>
                    <m:t>−1/2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</m:sSup>
              <m:r>
                <m:rPr/>
                <w:rPr>
                  <w:rFonts w:ascii="Cambria Math" w:hAnsi="Cambria Math" w:eastAsia="Cambria Math" w:cs="Cambria Math"/>
                  <w:kern w:val="0"/>
                  <w:szCs w:val="23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G20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47ACDC4">
      <w:pPr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which shows that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3"/>
            <w:szCs w:val="23"/>
          </w:rPr>
          <m:t>P</m:t>
        </m:r>
      </m:oMath>
      <w:r>
        <w:rPr>
          <w:rFonts w:cs="Times New Roman"/>
          <w:szCs w:val="23"/>
        </w:rPr>
        <w:t xml:space="preserve"> and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Cs w:val="23"/>
        </w:rPr>
        <w:t xml:space="preserve"> are similar and therefore possess identical eigenvalues. </w:t>
      </w:r>
      <w:r>
        <w:rPr>
          <w:rFonts w:cs="Times New Roman"/>
          <w:sz w:val="23"/>
          <w:szCs w:val="23"/>
        </w:rPr>
        <w:t xml:space="preserve">Because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e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 w:val="23"/>
          <w:szCs w:val="23"/>
        </w:rPr>
        <w:t xml:space="preserve"> is obtained through the softmax operation,</w:t>
      </w:r>
      <w:r>
        <w:rPr>
          <w:rFonts w:hint="eastAsia" w:cs="Times New Roman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e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3"/>
            <w:szCs w:val="23"/>
          </w:rPr>
          <m:t>&gt;0</m:t>
        </m:r>
      </m:oMath>
      <w:r>
        <w:rPr>
          <w:rFonts w:cs="Times New Roman"/>
          <w:sz w:val="23"/>
          <w:szCs w:val="23"/>
        </w:rPr>
        <w:t xml:space="preserve">. </w:t>
      </w:r>
      <w:r>
        <w:rPr>
          <w:rFonts w:cs="Times New Roman"/>
          <w:szCs w:val="23"/>
        </w:rPr>
        <w:t xml:space="preserve">Meanwhile, because </w:t>
      </w:r>
      <m:oMath>
        <m:r>
          <m:rPr/>
          <w:rPr>
            <w:rFonts w:ascii="Cambria Math" w:hAnsi="Cambria Math" w:eastAsia="Cambria Math" w:cs="Cambria Math"/>
            <w:szCs w:val="23"/>
          </w:rPr>
          <m:t>ϵ</m:t>
        </m:r>
        <m:r>
          <m:rPr/>
          <w:rPr>
            <w:rFonts w:ascii="Cambria Math" w:hAnsi="Cambria Math" w:eastAsia="Cambria Math" w:cs="Cambria Math"/>
            <w:sz w:val="23"/>
            <w:szCs w:val="23"/>
          </w:rPr>
          <m:t>&gt;0</m:t>
        </m:r>
      </m:oMath>
      <w:r>
        <w:rPr>
          <w:rFonts w:cs="Times New Roman"/>
          <w:szCs w:val="23"/>
        </w:rPr>
        <w:t xml:space="preserve">, the sum of the off-diagonal diversity weights in row </w:t>
      </w:r>
      <m:oMath>
        <m:r>
          <m:rPr/>
          <w:rPr>
            <w:rFonts w:ascii="Cambria Math" w:hAnsi="Cambria Math" w:eastAsia="Cambria Math" w:cs="Cambria Math"/>
            <w:szCs w:val="23"/>
          </w:rPr>
          <m:t>j</m:t>
        </m:r>
      </m:oMath>
      <w:r>
        <w:rPr>
          <w:rFonts w:cs="Times New Roman"/>
          <w:szCs w:val="23"/>
        </w:rPr>
        <w:t xml:space="preserve"> satisfies</w:t>
      </w:r>
    </w:p>
    <w:p w14:paraId="2634BD6F">
      <w:pPr>
        <w:jc w:val="both"/>
        <w:rPr>
          <w:rFonts w:cs="Times New Roman"/>
          <w:sz w:val="23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h≠j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jh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nary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h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  <m:sup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3"/>
                              <w:szCs w:val="23"/>
                            </w:rPr>
                            <m:t>W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3"/>
                              <w:szCs w:val="23"/>
                            </w:rPr>
                            <m:t>jh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num>
                <m:den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h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  <m:sup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3"/>
                              <w:szCs w:val="23"/>
                            </w:rPr>
                            <m:t>W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3"/>
                              <w:szCs w:val="23"/>
                            </w:rPr>
                            <m:t>jh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</m:nary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+ϵ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&lt;1.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 w:val="23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 w:val="23"/>
                      <w:szCs w:val="23"/>
                    </w:rPr>
                    <m:t>21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50540E16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The diagonal element of</w:t>
      </w:r>
      <w:r>
        <w:rPr>
          <w:rFonts w:hint="eastAsia" w:eastAsia="宋体" w:cs="Times New Roman"/>
          <w:szCs w:val="23"/>
        </w:rPr>
        <w:t xml:space="preserve">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P</m:t>
        </m:r>
      </m:oMath>
      <w:r>
        <w:rPr>
          <w:rFonts w:eastAsia="宋体" w:cs="Times New Roman"/>
          <w:szCs w:val="23"/>
        </w:rPr>
        <w:t xml:space="preserve"> is therefore</w:t>
      </w:r>
    </w:p>
    <w:p w14:paraId="43AD35C3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P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jj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naryPr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h≠j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  <m:sup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3"/>
                              <w:szCs w:val="23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3"/>
                              <w:szCs w:val="23"/>
                            </w:rPr>
                            <m:t>jh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Cs w:val="23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</m:nary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&gt;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den>
              </m:f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G22</m:t>
                  </m:r>
                  <m:ctrlPr>
                    <w:rPr>
                      <w:rFonts w:ascii="Cambria Math" w:hAnsi="Cambria Math" w:cs="Times New Roman"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66F45686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Because each row of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3"/>
            <w:szCs w:val="23"/>
          </w:rPr>
          <m:t>P</m:t>
        </m:r>
      </m:oMath>
      <w:r>
        <w:rPr>
          <w:rFonts w:cs="Times New Roman"/>
          <w:szCs w:val="23"/>
        </w:rPr>
        <w:t xml:space="preserve"> sums to one, the radius of the </w:t>
      </w:r>
      <m:oMath>
        <m:r>
          <m:rPr/>
          <w:rPr>
            <w:rFonts w:ascii="Cambria Math" w:hAnsi="Cambria Math" w:eastAsia="Cambria Math" w:cs="Cambria Math"/>
            <w:szCs w:val="23"/>
          </w:rPr>
          <m:t>j</m:t>
        </m:r>
      </m:oMath>
      <w:r>
        <w:rPr>
          <w:rFonts w:cs="Times New Roman"/>
          <w:szCs w:val="23"/>
        </w:rPr>
        <w:t xml:space="preserve">-th Gershgorin disc is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Cs w:val="23"/>
              </w:rPr>
              <m:t>1−P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Cs w:val="23"/>
              </w:rPr>
              <m:t>jj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  <m:r>
          <m:rPr/>
          <w:rPr>
            <w:rFonts w:ascii="Cambria Math" w:hAnsi="Cambria Math" w:eastAsia="Cambria Math" w:cs="Cambria Math"/>
            <w:szCs w:val="23"/>
          </w:rPr>
          <m:t>&lt;</m:t>
        </m:r>
        <m:f>
          <m:f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Cs w:val="23"/>
              </w:rPr>
              <m:t>1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Cs w:val="23"/>
              </w:rPr>
              <m:t>2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den>
        </m:f>
      </m:oMath>
      <w:r>
        <w:rPr>
          <w:rFonts w:cs="Times New Roman"/>
          <w:szCs w:val="23"/>
        </w:rPr>
        <w:t xml:space="preserve">. Therefore, all eigenvalues of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3"/>
            <w:szCs w:val="23"/>
          </w:rPr>
          <m:t>P</m:t>
        </m:r>
      </m:oMath>
      <w:r>
        <w:rPr>
          <w:rFonts w:cs="Times New Roman"/>
          <w:szCs w:val="23"/>
        </w:rPr>
        <w:t xml:space="preserve"> lie in the open right half-plane. In addition, because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3"/>
            <w:szCs w:val="23"/>
          </w:rPr>
          <m:t>P</m:t>
        </m:r>
      </m:oMath>
      <w:r>
        <w:rPr>
          <w:rFonts w:cs="Times New Roman"/>
          <w:szCs w:val="23"/>
        </w:rPr>
        <w:t xml:space="preserve"> is row-stochastic, </w:t>
      </w:r>
      <w:r>
        <w:rPr>
          <w:rFonts w:hint="eastAsia" w:cs="Times New Roman"/>
          <w:szCs w:val="23"/>
        </w:rPr>
        <w:t xml:space="preserve">1 </w:t>
      </w:r>
      <w:r>
        <w:rPr>
          <w:rFonts w:cs="Times New Roman"/>
          <w:szCs w:val="23"/>
        </w:rPr>
        <w:t xml:space="preserve">is an eigenvalue of </w:t>
      </w:r>
      <m:oMath>
        <m:r>
          <m:rPr/>
          <w:rPr>
            <w:rFonts w:ascii="Cambria Math" w:hAnsi="Cambria Math" w:eastAsia="Cambria Math" w:cs="Cambria Math"/>
            <w:szCs w:val="23"/>
          </w:rPr>
          <m:t>P</m:t>
        </m:r>
      </m:oMath>
      <w:r>
        <w:rPr>
          <w:rFonts w:cs="Times New Roman"/>
          <w:szCs w:val="23"/>
        </w:rPr>
        <w:t>, and its spectral radius is therefore equal to one</w:t>
      </w:r>
      <w:r>
        <w:rPr>
          <w:rFonts w:hint="eastAsia" w:cs="Times New Roman"/>
          <w:szCs w:val="23"/>
        </w:rPr>
        <w:t>.</w:t>
      </w:r>
    </w:p>
    <w:p w14:paraId="46A846F8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As shown above,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3"/>
            <w:szCs w:val="23"/>
          </w:rPr>
          <m:t>P</m:t>
        </m:r>
      </m:oMath>
      <w:r>
        <w:rPr>
          <w:rFonts w:cs="Times New Roman"/>
          <w:szCs w:val="23"/>
        </w:rPr>
        <w:t xml:space="preserve"> is similar to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Cs w:val="23"/>
        </w:rPr>
        <w:t xml:space="preserve">, while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Cs w:val="23"/>
        </w:rPr>
        <w:t xml:space="preserve"> possesses a real-valued eigenspectrum. Hence, every eigenvalue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μ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 of </w:t>
      </w:r>
      <m:oMath>
        <m:r>
          <m:rPr>
            <m:sty m:val="bi"/>
          </m:rPr>
          <w:rPr>
            <w:rFonts w:ascii="Cambria Math" w:hAnsi="Cambria Math" w:eastAsia="Cambria Math" w:cs="Cambria Math"/>
            <w:sz w:val="23"/>
            <w:szCs w:val="23"/>
          </w:rPr>
          <m:t>P</m:t>
        </m:r>
      </m:oMath>
      <w:r>
        <w:rPr>
          <w:rFonts w:cs="Times New Roman"/>
          <w:szCs w:val="23"/>
        </w:rPr>
        <w:t xml:space="preserve"> and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Cs w:val="23"/>
        </w:rPr>
        <w:t xml:space="preserve"> is real. Combining these properties gives</w:t>
      </w:r>
    </w:p>
    <w:p w14:paraId="40B76E56">
      <w:pPr>
        <w:ind w:firstLine="460" w:firstLineChars="200"/>
        <w:jc w:val="both"/>
        <w:rPr>
          <w:rFonts w:cs="Times New Roman"/>
          <w:sz w:val="23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0&lt;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≤1.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 w:val="23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 w:val="23"/>
                      <w:szCs w:val="23"/>
                    </w:rPr>
                    <m:t>2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 w:val="23"/>
                      <w:szCs w:val="23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5810B5B4">
      <w:pPr>
        <w:ind w:firstLine="460" w:firstLineChars="200"/>
        <w:jc w:val="both"/>
        <w:rPr>
          <w:rFonts w:cs="Times New Roman"/>
          <w:szCs w:val="23"/>
        </w:rPr>
      </w:pPr>
      <w:r>
        <w:rPr>
          <w:rFonts w:cs="Times New Roman"/>
          <w:szCs w:val="23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v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 xml:space="preserve"> denote an eigenvector of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Cs w:val="23"/>
        </w:rPr>
        <w:t xml:space="preserve"> associated with eigenvalue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μ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cs="Times New Roman"/>
          <w:szCs w:val="23"/>
        </w:rPr>
        <w:t>:</w:t>
      </w:r>
    </w:p>
    <w:p w14:paraId="141799C7">
      <w:pPr>
        <w:jc w:val="both"/>
        <w:rPr>
          <w:rFonts w:cs="Times New Roman"/>
          <w:sz w:val="23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μ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k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 w:val="23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 w:val="23"/>
                      <w:szCs w:val="23"/>
                    </w:rPr>
                    <m:t>2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 w:val="23"/>
                      <w:szCs w:val="23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68732388">
      <w:pPr>
        <w:ind w:firstLine="460" w:firstLineChars="200"/>
        <w:jc w:val="both"/>
        <w:rPr>
          <w:rFonts w:eastAsia="宋体" w:cs="Times New Roman"/>
          <w:szCs w:val="23"/>
        </w:rPr>
      </w:pPr>
      <w:r>
        <w:rPr>
          <w:rFonts w:eastAsia="宋体" w:cs="Times New Roman"/>
          <w:szCs w:val="23"/>
        </w:rPr>
        <w:t>Following the graph-shift-based frequency interpretation in graph signal processing, a spectral component corresponds to a lower graph frequency when it changes less after application of the graph shift, whereas a larger change corresponds to a higher graph frequency</w:t>
      </w:r>
      <w:r>
        <w:rPr>
          <w:rFonts w:cs="Times New Roman"/>
          <w:szCs w:val="23"/>
        </w:rPr>
        <w:t xml:space="preserve"> [3]</w:t>
      </w:r>
      <w:r>
        <w:rPr>
          <w:rFonts w:eastAsia="宋体" w:cs="Times New Roman"/>
          <w:szCs w:val="23"/>
        </w:rPr>
        <w:t>.</w:t>
      </w:r>
      <w:r>
        <w:rPr>
          <w:rFonts w:cs="Times New Roman"/>
          <w:szCs w:val="23"/>
        </w:rPr>
        <w:t xml:space="preserve"> </w:t>
      </w:r>
      <w:r>
        <w:rPr>
          <w:rFonts w:eastAsia="宋体" w:cs="Times New Roman"/>
          <w:szCs w:val="23"/>
        </w:rPr>
        <w:t>For</w:t>
      </w:r>
      <w:r>
        <w:rPr>
          <w:rFonts w:eastAsia="宋体" w:cs="Times New Roman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v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eastAsia="宋体" w:cs="Times New Roman"/>
          <w:sz w:val="23"/>
          <w:szCs w:val="23"/>
        </w:rPr>
        <w:t>,</w:t>
      </w:r>
    </w:p>
    <w:p w14:paraId="24271A1C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−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=(1−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G25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0B2167C3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Under a common normalization of the eigenvectors, the corresponding graph-frequency ordering can therefore be represented as</w:t>
      </w:r>
    </w:p>
    <w:p w14:paraId="1B96512D">
      <w:pPr>
        <w:ind w:firstLine="460" w:firstLineChars="200"/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=1−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G2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6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0B4DAB3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Cs w:val="23"/>
        </w:rPr>
        <w:t>From Eq. (</w:t>
      </w:r>
      <w:r>
        <w:rPr>
          <w:rFonts w:hint="eastAsia" w:eastAsia="宋体" w:cs="Times New Roman"/>
          <w:szCs w:val="23"/>
        </w:rPr>
        <w:t>G</w:t>
      </w:r>
      <w:r>
        <w:rPr>
          <w:rFonts w:cs="Times New Roman"/>
          <w:szCs w:val="23"/>
        </w:rPr>
        <w:t>2</w:t>
      </w:r>
      <w:r>
        <w:rPr>
          <w:rFonts w:hint="eastAsia" w:cs="Times New Roman"/>
          <w:szCs w:val="23"/>
        </w:rPr>
        <w:t>3</w:t>
      </w:r>
      <w:r>
        <w:rPr>
          <w:rFonts w:eastAsia="宋体" w:cs="Times New Roman"/>
          <w:szCs w:val="23"/>
        </w:rPr>
        <w:t>),</w:t>
      </w:r>
    </w:p>
    <w:p w14:paraId="6536FD6F">
      <w:pPr>
        <w:ind w:firstLine="460" w:firstLineChars="200"/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0≤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&lt;1.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G2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7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09A587A2">
      <w:pPr>
        <w:ind w:firstLine="460" w:firstLineChars="200"/>
        <w:jc w:val="both"/>
        <w:rPr>
          <w:rFonts w:cs="Times New Roman"/>
          <w:sz w:val="23"/>
          <w:szCs w:val="23"/>
        </w:rPr>
      </w:pPr>
      <w:r>
        <w:rPr>
          <w:rFonts w:cstheme="minorBidi"/>
          <w:sz w:val="23"/>
          <w:szCs w:val="23"/>
        </w:rPr>
        <w:t xml:space="preserve">Thus, a larger </w:t>
      </w:r>
      <m:oMath>
        <m:sSub>
          <m:sSubPr>
            <m:ctrlPr>
              <w:rPr>
                <w:rFonts w:ascii="Cambria Math" w:hAnsi="Cambria Math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Theme="minorEastAsia" w:cstheme="minorBidi"/>
                <w:sz w:val="23"/>
                <w:szCs w:val="23"/>
              </w:rPr>
              <m:t>μ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Theme="minorEastAsia" w:cstheme="minorBidi"/>
                <w:sz w:val="23"/>
                <w:szCs w:val="23"/>
              </w:rPr>
              <m:t>k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sub>
        </m:sSub>
      </m:oMath>
      <w:r>
        <w:rPr>
          <w:rFonts w:cstheme="minorBidi"/>
          <w:sz w:val="23"/>
          <w:szCs w:val="23"/>
        </w:rPr>
        <w:t xml:space="preserve"> corresponds to smaller graph variation and hence a lower graph frequency, whereas a smaller </w:t>
      </w:r>
      <m:oMath>
        <m:sSub>
          <m:sSubPr>
            <m:ctrlPr>
              <w:rPr>
                <w:rFonts w:ascii="Cambria Math" w:hAnsi="Cambria Math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eastAsiaTheme="minorEastAsia" w:cstheme="minorBidi"/>
                <w:sz w:val="23"/>
                <w:szCs w:val="23"/>
              </w:rPr>
              <m:t>μ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Theme="minorEastAsia" w:cstheme="minorBidi"/>
                <w:sz w:val="23"/>
                <w:szCs w:val="23"/>
              </w:rPr>
              <m:t>k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sub>
        </m:sSub>
      </m:oMath>
      <w:r>
        <w:rPr>
          <w:rFonts w:cstheme="minorBidi"/>
          <w:sz w:val="23"/>
          <w:szCs w:val="23"/>
        </w:rPr>
        <w:t xml:space="preserve"> corresponds to larger graph variation and a higher graph frequency.</w:t>
      </w:r>
      <w:r>
        <w:rPr>
          <w:rFonts w:hint="eastAsia" w:cstheme="minorBidi"/>
          <w:sz w:val="23"/>
          <w:szCs w:val="23"/>
        </w:rPr>
        <w:t xml:space="preserve"> </w:t>
      </w:r>
      <w:r>
        <w:rPr>
          <w:rFonts w:cstheme="minorBidi"/>
          <w:sz w:val="23"/>
          <w:szCs w:val="23"/>
        </w:rPr>
        <w:t>For the</w:t>
      </w:r>
      <w:r>
        <w:rPr>
          <w:rFonts w:cs="Times New Roman"/>
          <w:sz w:val="23"/>
          <w:szCs w:val="23"/>
        </w:rPr>
        <w:t xml:space="preserve"> low-pass branch, applying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cs="Times New Roman"/>
          <w:sz w:val="23"/>
          <w:szCs w:val="23"/>
        </w:rPr>
        <w:t xml:space="preserve"> </w:t>
      </w:r>
      <w:r>
        <w:rPr>
          <w:rFonts w:hint="eastAsia" w:cs="Times New Roman"/>
          <w:sz w:val="23"/>
          <w:szCs w:val="23"/>
        </w:rPr>
        <w:t xml:space="preserve">to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v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hint="eastAsia" w:cs="Times New Roman"/>
          <w:sz w:val="23"/>
          <w:szCs w:val="23"/>
        </w:rPr>
        <w:t xml:space="preserve"> </w:t>
      </w:r>
      <w:r>
        <w:rPr>
          <w:rFonts w:cs="Times New Roman"/>
          <w:sz w:val="23"/>
          <w:szCs w:val="23"/>
        </w:rPr>
        <w:t>gives</w:t>
      </w:r>
    </w:p>
    <w:p w14:paraId="2E511271">
      <w:pPr>
        <w:jc w:val="both"/>
        <w:rPr>
          <w:rFonts w:cs="Times New Roman"/>
          <w:sz w:val="23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μ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3"/>
                          <w:szCs w:val="23"/>
                        </w:rPr>
                        <m:t>k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3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=(1−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 w:val="23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 w:val="23"/>
                      <w:szCs w:val="23"/>
                    </w:rPr>
                    <m:t>2</m:t>
                  </m:r>
                  <m:r>
                    <m:rPr/>
                    <w:rPr>
                      <w:rFonts w:ascii="Cambria Math" w:hAnsi="Cambria Math" w:cs="Cambria Math"/>
                      <w:kern w:val="0"/>
                      <w:sz w:val="23"/>
                      <w:szCs w:val="23"/>
                    </w:rPr>
                    <m:t>8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773D428D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 w:val="23"/>
          <w:szCs w:val="23"/>
        </w:rPr>
        <w:t>Therefore, its spectral response is</w:t>
      </w:r>
    </w:p>
    <w:p w14:paraId="042F22B2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low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)=1−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G2</m:t>
                  </m:r>
                  <m:r>
                    <m:rPr/>
                    <w:rPr>
                      <w:rFonts w:ascii="Cambria Math" w:hAnsi="Cambria Math" w:cs="Cambria Math"/>
                      <w:kern w:val="0"/>
                      <w:szCs w:val="23"/>
                    </w:rPr>
                    <m:t>9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1F52C9BA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 w:val="23"/>
          <w:szCs w:val="23"/>
        </w:rPr>
        <w:t xml:space="preserve">This response decreases monotonically with graph frequency. Accordingly, lower-frequency components receive larger responses, whereas higher-frequency components are increasingly attenuated. Hence,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eastAsia="宋体" w:cs="Times New Roman"/>
          <w:sz w:val="23"/>
          <w:szCs w:val="23"/>
        </w:rPr>
        <w:t xml:space="preserve"> exhibits a low-pass spectral response.</w:t>
      </w:r>
      <w:r>
        <w:rPr>
          <w:rFonts w:cs="Times New Roman"/>
          <w:sz w:val="23"/>
          <w:szCs w:val="23"/>
        </w:rPr>
        <w:t xml:space="preserve"> </w:t>
      </w:r>
      <w:r>
        <w:rPr>
          <w:rFonts w:eastAsia="宋体" w:cs="Times New Roman"/>
          <w:sz w:val="23"/>
          <w:szCs w:val="23"/>
        </w:rPr>
        <w:t xml:space="preserve">Correspondingly, the high-pass branch employs the complementary propagation operator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I</m:t>
        </m:r>
        <m:r>
          <m:rPr/>
          <w:rPr>
            <w:rFonts w:ascii="Cambria Math" w:hAnsi="Cambria Math" w:eastAsia="Cambria Math" w:cs="Cambria Math"/>
            <w:sz w:val="23"/>
            <w:szCs w:val="23"/>
          </w:rPr>
          <m:t>−</m:t>
        </m:r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eastAsia="宋体" w:cs="Times New Roman"/>
          <w:sz w:val="23"/>
          <w:szCs w:val="23"/>
        </w:rPr>
        <w:t xml:space="preserve">. For the same eigenvector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 w:val="23"/>
                <w:szCs w:val="23"/>
              </w:rPr>
              <m:t>v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3"/>
                <w:szCs w:val="23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</m:oMath>
      <w:r>
        <w:rPr>
          <w:rFonts w:eastAsia="宋体" w:cs="Times New Roman"/>
          <w:sz w:val="23"/>
          <w:szCs w:val="23"/>
        </w:rPr>
        <w:t>,</w:t>
      </w:r>
    </w:p>
    <w:p w14:paraId="4611ADDA">
      <w:pPr>
        <w:ind w:firstLine="460" w:firstLineChars="200"/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r>
                <m:rPr/>
                <w:rPr>
                  <w:rFonts w:ascii="Cambria Math" w:hAnsi="Cambria Math" w:eastAsia="Cambria Math" w:cs="Cambria Math"/>
                  <w:szCs w:val="23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eastAsia="Cambria Math" w:cs="Cambria Math"/>
                  <w:szCs w:val="23"/>
                </w:rPr>
                <m:t>I</m:t>
              </m:r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−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Cs w:val="23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</m:acc>
              <m:r>
                <m:rPr/>
                <w:rPr>
                  <w:rFonts w:ascii="Cambria Math" w:hAnsi="Cambria Math" w:eastAsia="Cambria Math" w:cs="Cambria Math"/>
                  <w:szCs w:val="23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=(1−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μ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v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G3</m:t>
                  </m:r>
                  <m:r>
                    <m:rPr/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2F475066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 w:val="23"/>
          <w:szCs w:val="23"/>
        </w:rPr>
        <w:t>Its spectral response is therefore</w:t>
      </w:r>
    </w:p>
    <w:p w14:paraId="5DE4287A">
      <w:pPr>
        <w:jc w:val="both"/>
        <w:rPr>
          <w:rFonts w:cs="Times New Roman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high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)=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3"/>
                      <w:szCs w:val="23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iCs/>
                      <w:szCs w:val="23"/>
                    </w:rPr>
                  </m:ctrlPr>
                </m:sub>
              </m:sSub>
              <m:r>
                <m:rPr/>
                <w:rPr>
                  <w:rFonts w:ascii="Cambria Math" w:hAnsi="Cambria Math" w:eastAsia="Cambria Math" w:cs="Cambria Math"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eastAsia="Cambria Math" w:cs="Cambria Math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kern w:val="0"/>
                      <w:szCs w:val="23"/>
                    </w:rPr>
                    <m:t>G31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iCs/>
                  <w:kern w:val="0"/>
                  <w:szCs w:val="23"/>
                </w:rPr>
              </m:ctrlPr>
            </m:e>
          </m:eqArr>
        </m:oMath>
      </m:oMathPara>
    </w:p>
    <w:p w14:paraId="14F1BED8">
      <w:pPr>
        <w:ind w:firstLine="460" w:firstLineChars="200"/>
        <w:jc w:val="both"/>
        <w:rPr>
          <w:rFonts w:cs="Times New Roman"/>
          <w:szCs w:val="23"/>
        </w:rPr>
      </w:pPr>
      <w:r>
        <w:rPr>
          <w:rFonts w:eastAsia="宋体" w:cs="Times New Roman"/>
          <w:sz w:val="23"/>
          <w:szCs w:val="23"/>
        </w:rPr>
        <w:t xml:space="preserve">This response increases monotonically with graph frequency. Consequently, low-frequency components are suppressed, whereas components exhibiting larger variation across diversity-connected nodes receive stronger responses. Hence, </w:t>
      </w:r>
      <m:oMath>
        <m:r>
          <m:rPr>
            <m:sty m:val="bi"/>
          </m:rPr>
          <w:rPr>
            <w:rFonts w:ascii="Cambria Math" w:hAnsi="Cambria Math" w:eastAsia="Cambria Math" w:cs="Cambria Math"/>
            <w:szCs w:val="23"/>
          </w:rPr>
          <m:t>I</m:t>
        </m:r>
        <m:r>
          <m:rPr/>
          <w:rPr>
            <w:rFonts w:ascii="Cambria Math" w:hAnsi="Cambria Math" w:eastAsia="Cambria Math" w:cs="Cambria Math"/>
            <w:sz w:val="23"/>
            <w:szCs w:val="23"/>
          </w:rPr>
          <m:t>−</m:t>
        </m:r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eastAsia="Cambria Math" w:cs="Cambria Math"/>
                <w:szCs w:val="23"/>
              </w:rPr>
              <m:t>A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acc>
      </m:oMath>
      <w:r>
        <w:rPr>
          <w:rFonts w:eastAsia="宋体" w:cs="Times New Roman"/>
          <w:sz w:val="23"/>
          <w:szCs w:val="23"/>
        </w:rPr>
        <w:t xml:space="preserve"> exhibits a high-pass spectral response.</w:t>
      </w:r>
    </w:p>
    <w:p w14:paraId="193314E0">
      <w:pPr>
        <w:ind w:firstLine="460" w:firstLineChars="200"/>
        <w:jc w:val="both"/>
        <w:rPr>
          <w:rFonts w:cs="Times New Roman"/>
          <w:sz w:val="24"/>
        </w:rPr>
      </w:pPr>
      <w:r>
        <w:rPr>
          <w:rFonts w:cs="Times New Roman"/>
          <w:sz w:val="23"/>
          <w:szCs w:val="23"/>
        </w:rPr>
        <w:t>Taken together, these results show that the propagation operators used in Eqs. (4)</w:t>
      </w:r>
      <w:r>
        <w:rPr>
          <w:rFonts w:hint="eastAsia" w:cs="Times New Roman"/>
          <w:sz w:val="23"/>
          <w:szCs w:val="23"/>
        </w:rPr>
        <w:t>-</w:t>
      </w:r>
      <w:r>
        <w:rPr>
          <w:rFonts w:cs="Times New Roman"/>
          <w:sz w:val="23"/>
          <w:szCs w:val="23"/>
        </w:rPr>
        <w:t>(5) have complementary low- and high-pass spectral characteristics. In the context of the proposed diversity-based graph, the low-pass branch preserves information that varies consistently across different query-conditioned knowledge perspectives, whereas the high-pass branch emphasizes differentiated information that varies more substantially across these perspectives. Thus, although row-wise normalization makes the adjacency matrix numerically asymmetric, the resulting graph-filtering operations retain a well-defined spectral interpretation.</w:t>
      </w:r>
    </w:p>
    <w:p w14:paraId="704947BD">
      <w:pPr>
        <w:pStyle w:val="82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H</w:t>
      </w:r>
      <w:r>
        <w:t>. Inference Efficiency Analysis</w:t>
      </w:r>
    </w:p>
    <w:p w14:paraId="46522056">
      <w:pPr>
        <w:ind w:firstLine="432"/>
        <w:jc w:val="both"/>
      </w:pPr>
      <w:r>
        <w:t>We measured the average single-sample inference time of UAP-DL</w:t>
      </w:r>
      <w:r>
        <w:rPr>
          <w:rFonts w:hint="eastAsia"/>
        </w:rPr>
        <w:t xml:space="preserve"> </w:t>
      </w:r>
      <w:r>
        <w:t xml:space="preserve">and all benchmark methods. </w:t>
      </w:r>
      <w:r>
        <w:rPr>
          <w:rFonts w:hint="eastAsia"/>
        </w:rPr>
        <w:t>The t</w:t>
      </w:r>
      <w:r>
        <w:t>otal inference time denotes the end-to-end inference time</w:t>
      </w:r>
      <w:r>
        <w:rPr>
          <w:rFonts w:hint="eastAsia"/>
        </w:rPr>
        <w:t>, and the o</w:t>
      </w:r>
      <w:r>
        <w:t xml:space="preserve">nline non-generation time refers to the online computation remaining after excluding LLM response generation from the end-to-end inference time. For UAP-DL, this includes query relevance estimation, graph construction, and multi-aspect and multi-granularity knowledge retrieval. The hotel knowledge base </w:t>
      </w:r>
      <w:r>
        <w:rPr>
          <w:rFonts w:hint="eastAsia"/>
        </w:rPr>
        <w:t>was</w:t>
      </w:r>
      <w:r>
        <w:t xml:space="preserve"> constructed offline in advance, including review partitioning, representation encoding, and aspect clustering; these preprocessing costs are therefore excluded from online inference time.</w:t>
      </w:r>
    </w:p>
    <w:p w14:paraId="4319CF9C">
      <w:pPr>
        <w:ind w:firstLine="432"/>
        <w:jc w:val="both"/>
        <w:rPr>
          <w:rFonts w:hint="eastAsia"/>
        </w:rPr>
      </w:pPr>
      <w:r>
        <w:t xml:space="preserve">As shown in Table </w:t>
      </w:r>
      <w:r>
        <w:rPr>
          <w:rFonts w:hint="eastAsia"/>
        </w:rPr>
        <w:t>H</w:t>
      </w:r>
      <w:r>
        <w:t>1, UAP-DL require</w:t>
      </w:r>
      <w:r>
        <w:rPr>
          <w:rFonts w:hint="eastAsia"/>
        </w:rPr>
        <w:t>d</w:t>
      </w:r>
      <w:r>
        <w:t xml:space="preserve"> an average end-to-end inference time of 4</w:t>
      </w:r>
      <w:r>
        <w:rPr>
          <w:rFonts w:hint="eastAsia"/>
        </w:rPr>
        <w:t>,</w:t>
      </w:r>
      <w:r>
        <w:t>085.5</w:t>
      </w:r>
      <w:r>
        <w:rPr>
          <w:rFonts w:hint="eastAsia"/>
        </w:rPr>
        <w:t>5</w:t>
      </w:r>
      <w:r>
        <w:t xml:space="preserve"> ms, </w:t>
      </w:r>
    </w:p>
    <w:p w14:paraId="503E5E60">
      <w:pPr>
        <w:pStyle w:val="43"/>
        <w:jc w:val="both"/>
        <w:rPr>
          <w:b/>
          <w:bCs/>
        </w:rPr>
      </w:pPr>
      <w:r>
        <w:rPr>
          <w:b/>
          <w:bCs/>
        </w:rPr>
        <w:t xml:space="preserve">Table </w:t>
      </w:r>
      <w:r>
        <w:rPr>
          <w:rFonts w:hint="eastAsia"/>
          <w:b/>
          <w:bCs/>
          <w:lang w:eastAsia="zh-CN"/>
        </w:rPr>
        <w:t>H</w:t>
      </w:r>
      <w:r>
        <w:rPr>
          <w:b/>
          <w:bCs/>
        </w:rPr>
        <w:t>1. Single-Sample Inference Time (ms) of UAP-DL and the Benchmark Methods.</w:t>
      </w:r>
    </w:p>
    <w:tbl>
      <w:tblPr>
        <w:tblStyle w:val="22"/>
        <w:tblW w:w="0" w:type="auto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1998"/>
        <w:gridCol w:w="2665"/>
      </w:tblGrid>
      <w:tr w14:paraId="40517B1C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03B76664">
            <w:pPr>
              <w:pStyle w:val="43"/>
              <w:adjustRightInd w:val="0"/>
              <w:snapToGrid w:val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>ethod</w:t>
            </w:r>
          </w:p>
        </w:tc>
        <w:tc>
          <w:tcPr>
            <w:tcW w:w="0" w:type="auto"/>
            <w:vAlign w:val="center"/>
          </w:tcPr>
          <w:p w14:paraId="2DDFB1D1">
            <w:pPr>
              <w:pStyle w:val="43"/>
              <w:adjustRightInd w:val="0"/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Total Inference Time</w:t>
            </w:r>
          </w:p>
        </w:tc>
        <w:tc>
          <w:tcPr>
            <w:tcW w:w="0" w:type="auto"/>
            <w:vAlign w:val="center"/>
          </w:tcPr>
          <w:p w14:paraId="79B56E32">
            <w:pPr>
              <w:pStyle w:val="43"/>
              <w:adjustRightInd w:val="0"/>
              <w:snapToGrid w:val="0"/>
              <w:rPr>
                <w:b/>
                <w:bCs/>
              </w:rPr>
            </w:pPr>
            <w:r>
              <w:rPr>
                <w:b/>
                <w:bCs/>
              </w:rPr>
              <w:t>Online Non-generation Time</w:t>
            </w:r>
          </w:p>
        </w:tc>
      </w:tr>
      <w:tr w14:paraId="4B3E28D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10ECC042">
            <w:pPr>
              <w:pStyle w:val="43"/>
              <w:adjustRightInd w:val="0"/>
              <w:snapToGrid w:val="0"/>
            </w:pPr>
            <w:r>
              <w:t>EchoSight</w:t>
            </w:r>
          </w:p>
        </w:tc>
        <w:tc>
          <w:tcPr>
            <w:tcW w:w="0" w:type="auto"/>
            <w:vAlign w:val="center"/>
          </w:tcPr>
          <w:p w14:paraId="65986AB5">
            <w:pPr>
              <w:pStyle w:val="43"/>
              <w:adjustRightInd w:val="0"/>
              <w:snapToGrid w:val="0"/>
              <w:jc w:val="right"/>
            </w:pPr>
            <w:r>
              <w:t>4</w:t>
            </w:r>
            <w:r>
              <w:rPr>
                <w:rFonts w:hint="eastAsia"/>
              </w:rPr>
              <w:t>,</w:t>
            </w:r>
            <w:r>
              <w:t>578.3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vAlign w:val="center"/>
          </w:tcPr>
          <w:p w14:paraId="23428D94">
            <w:pPr>
              <w:pStyle w:val="43"/>
              <w:adjustRightInd w:val="0"/>
              <w:snapToGrid w:val="0"/>
              <w:jc w:val="right"/>
            </w:pPr>
            <w:r>
              <w:t>81.63</w:t>
            </w:r>
          </w:p>
        </w:tc>
      </w:tr>
      <w:tr w14:paraId="4DDABA45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2AB214FA">
            <w:pPr>
              <w:pStyle w:val="43"/>
              <w:adjustRightInd w:val="0"/>
              <w:snapToGrid w:val="0"/>
            </w:pPr>
            <w:r>
              <w:t>MORE</w:t>
            </w:r>
          </w:p>
        </w:tc>
        <w:tc>
          <w:tcPr>
            <w:tcW w:w="0" w:type="auto"/>
            <w:vAlign w:val="center"/>
          </w:tcPr>
          <w:p w14:paraId="0CDB963C">
            <w:pPr>
              <w:pStyle w:val="43"/>
              <w:adjustRightInd w:val="0"/>
              <w:snapToGrid w:val="0"/>
              <w:jc w:val="right"/>
            </w:pPr>
            <w:r>
              <w:t>3</w:t>
            </w:r>
            <w:r>
              <w:rPr>
                <w:rFonts w:hint="eastAsia"/>
              </w:rPr>
              <w:t>,</w:t>
            </w:r>
            <w:r>
              <w:t>046.5</w:t>
            </w: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vAlign w:val="center"/>
          </w:tcPr>
          <w:p w14:paraId="5F1F4659">
            <w:pPr>
              <w:pStyle w:val="43"/>
              <w:adjustRightInd w:val="0"/>
              <w:snapToGrid w:val="0"/>
              <w:jc w:val="right"/>
            </w:pPr>
            <w:r>
              <w:t>4.2</w:t>
            </w:r>
            <w:r>
              <w:rPr>
                <w:rFonts w:hint="eastAsia"/>
              </w:rPr>
              <w:t>5</w:t>
            </w:r>
          </w:p>
        </w:tc>
      </w:tr>
      <w:tr w14:paraId="568E9FFE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5B28BF28">
            <w:pPr>
              <w:pStyle w:val="43"/>
              <w:adjustRightInd w:val="0"/>
              <w:snapToGrid w:val="0"/>
            </w:pPr>
            <w:r>
              <w:t>G-Retriever</w:t>
            </w:r>
          </w:p>
        </w:tc>
        <w:tc>
          <w:tcPr>
            <w:tcW w:w="0" w:type="auto"/>
            <w:vAlign w:val="center"/>
          </w:tcPr>
          <w:p w14:paraId="453A566B">
            <w:pPr>
              <w:pStyle w:val="43"/>
              <w:adjustRightInd w:val="0"/>
              <w:snapToGrid w:val="0"/>
              <w:jc w:val="right"/>
            </w:pPr>
            <w:r>
              <w:t>2</w:t>
            </w:r>
            <w:r>
              <w:rPr>
                <w:rFonts w:hint="eastAsia"/>
              </w:rPr>
              <w:t>,</w:t>
            </w:r>
            <w:r>
              <w:t>957.04</w:t>
            </w:r>
          </w:p>
        </w:tc>
        <w:tc>
          <w:tcPr>
            <w:tcW w:w="0" w:type="auto"/>
            <w:vAlign w:val="center"/>
          </w:tcPr>
          <w:p w14:paraId="6A122E7F">
            <w:pPr>
              <w:pStyle w:val="43"/>
              <w:adjustRightInd w:val="0"/>
              <w:snapToGrid w:val="0"/>
              <w:jc w:val="right"/>
            </w:pPr>
            <w:r>
              <w:t>32.99</w:t>
            </w:r>
          </w:p>
        </w:tc>
      </w:tr>
      <w:tr w14:paraId="5B5DFC5B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389CB5A8">
            <w:pPr>
              <w:pStyle w:val="43"/>
              <w:adjustRightInd w:val="0"/>
              <w:snapToGrid w:val="0"/>
            </w:pPr>
            <w:r>
              <w:t>GNP</w:t>
            </w:r>
          </w:p>
        </w:tc>
        <w:tc>
          <w:tcPr>
            <w:tcW w:w="0" w:type="auto"/>
            <w:vAlign w:val="center"/>
          </w:tcPr>
          <w:p w14:paraId="6EF1B476">
            <w:pPr>
              <w:pStyle w:val="43"/>
              <w:adjustRightInd w:val="0"/>
              <w:snapToGrid w:val="0"/>
              <w:jc w:val="right"/>
            </w:pPr>
            <w:r>
              <w:t>3</w:t>
            </w:r>
            <w:r>
              <w:rPr>
                <w:rFonts w:hint="eastAsia"/>
              </w:rPr>
              <w:t>,</w:t>
            </w:r>
            <w:r>
              <w:t>766.43</w:t>
            </w:r>
          </w:p>
        </w:tc>
        <w:tc>
          <w:tcPr>
            <w:tcW w:w="0" w:type="auto"/>
            <w:vAlign w:val="center"/>
          </w:tcPr>
          <w:p w14:paraId="49A5092E">
            <w:pPr>
              <w:pStyle w:val="43"/>
              <w:adjustRightInd w:val="0"/>
              <w:snapToGrid w:val="0"/>
              <w:jc w:val="right"/>
            </w:pPr>
            <w:r>
              <w:t>4.10</w:t>
            </w:r>
          </w:p>
        </w:tc>
      </w:tr>
      <w:tr w14:paraId="7F522C62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3FA7164F">
            <w:pPr>
              <w:pStyle w:val="43"/>
              <w:adjustRightInd w:val="0"/>
              <w:snapToGrid w:val="0"/>
            </w:pPr>
            <w:r>
              <w:t>CoA</w:t>
            </w:r>
          </w:p>
        </w:tc>
        <w:tc>
          <w:tcPr>
            <w:tcW w:w="0" w:type="auto"/>
            <w:vAlign w:val="center"/>
          </w:tcPr>
          <w:p w14:paraId="080FBA15">
            <w:pPr>
              <w:pStyle w:val="43"/>
              <w:adjustRightInd w:val="0"/>
              <w:snapToGrid w:val="0"/>
              <w:jc w:val="right"/>
            </w:pPr>
            <w:r>
              <w:t>10</w:t>
            </w:r>
            <w:r>
              <w:rPr>
                <w:rFonts w:hint="eastAsia"/>
              </w:rPr>
              <w:t>,</w:t>
            </w:r>
            <w:r>
              <w:t>533.54</w:t>
            </w:r>
          </w:p>
        </w:tc>
        <w:tc>
          <w:tcPr>
            <w:tcW w:w="0" w:type="auto"/>
            <w:vAlign w:val="center"/>
          </w:tcPr>
          <w:p w14:paraId="5E6261E3">
            <w:pPr>
              <w:pStyle w:val="43"/>
              <w:adjustRightInd w:val="0"/>
              <w:snapToGrid w:val="0"/>
              <w:jc w:val="right"/>
            </w:pPr>
            <w:r>
              <w:t>5</w:t>
            </w:r>
            <w:r>
              <w:rPr>
                <w:rFonts w:hint="eastAsia"/>
              </w:rPr>
              <w:t>,</w:t>
            </w:r>
            <w:r>
              <w:t>249.90</w:t>
            </w:r>
          </w:p>
        </w:tc>
      </w:tr>
      <w:tr w14:paraId="3FE59F4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0E7DB386">
            <w:pPr>
              <w:pStyle w:val="43"/>
              <w:adjustRightInd w:val="0"/>
              <w:snapToGrid w:val="0"/>
            </w:pPr>
            <w:r>
              <w:t>T</w:t>
            </w:r>
            <w:r>
              <w:rPr>
                <w:rFonts w:hint="eastAsia"/>
              </w:rPr>
              <w:t>o</w:t>
            </w:r>
            <w:r>
              <w:t>G</w:t>
            </w:r>
          </w:p>
        </w:tc>
        <w:tc>
          <w:tcPr>
            <w:tcW w:w="0" w:type="auto"/>
            <w:vAlign w:val="center"/>
          </w:tcPr>
          <w:p w14:paraId="075CE257">
            <w:pPr>
              <w:pStyle w:val="43"/>
              <w:adjustRightInd w:val="0"/>
              <w:snapToGrid w:val="0"/>
              <w:jc w:val="right"/>
            </w:pPr>
            <w:r>
              <w:t>9</w:t>
            </w:r>
            <w:r>
              <w:rPr>
                <w:rFonts w:hint="eastAsia"/>
              </w:rPr>
              <w:t>,</w:t>
            </w:r>
            <w:r>
              <w:t>931.55</w:t>
            </w:r>
          </w:p>
        </w:tc>
        <w:tc>
          <w:tcPr>
            <w:tcW w:w="0" w:type="auto"/>
            <w:vAlign w:val="center"/>
          </w:tcPr>
          <w:p w14:paraId="1163E219">
            <w:pPr>
              <w:pStyle w:val="43"/>
              <w:adjustRightInd w:val="0"/>
              <w:snapToGrid w:val="0"/>
              <w:jc w:val="right"/>
            </w:pPr>
            <w:r>
              <w:t>5</w:t>
            </w:r>
            <w:r>
              <w:rPr>
                <w:rFonts w:hint="eastAsia"/>
              </w:rPr>
              <w:t>,</w:t>
            </w:r>
            <w:r>
              <w:t>326.55</w:t>
            </w:r>
          </w:p>
        </w:tc>
      </w:tr>
      <w:tr w14:paraId="60BBEAB1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671CBB4A">
            <w:pPr>
              <w:pStyle w:val="43"/>
              <w:adjustRightInd w:val="0"/>
              <w:snapToGrid w:val="0"/>
            </w:pPr>
            <w:r>
              <w:t>MiRAG</w:t>
            </w:r>
          </w:p>
        </w:tc>
        <w:tc>
          <w:tcPr>
            <w:tcW w:w="0" w:type="auto"/>
            <w:vAlign w:val="center"/>
          </w:tcPr>
          <w:p w14:paraId="5449E4D1">
            <w:pPr>
              <w:pStyle w:val="43"/>
              <w:adjustRightInd w:val="0"/>
              <w:snapToGrid w:val="0"/>
              <w:jc w:val="right"/>
            </w:pPr>
            <w:r>
              <w:t>4</w:t>
            </w:r>
            <w:r>
              <w:rPr>
                <w:rFonts w:hint="eastAsia"/>
              </w:rPr>
              <w:t>,</w:t>
            </w:r>
            <w:r>
              <w:t>428.92</w:t>
            </w:r>
          </w:p>
        </w:tc>
        <w:tc>
          <w:tcPr>
            <w:tcW w:w="0" w:type="auto"/>
            <w:vAlign w:val="center"/>
          </w:tcPr>
          <w:p w14:paraId="31DC0516">
            <w:pPr>
              <w:pStyle w:val="43"/>
              <w:adjustRightInd w:val="0"/>
              <w:snapToGrid w:val="0"/>
              <w:jc w:val="right"/>
            </w:pPr>
            <w:r>
              <w:t>7.36</w:t>
            </w:r>
          </w:p>
        </w:tc>
      </w:tr>
      <w:tr w14:paraId="45703BD1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24277001">
            <w:pPr>
              <w:pStyle w:val="43"/>
              <w:adjustRightInd w:val="0"/>
              <w:snapToGrid w:val="0"/>
            </w:pPr>
            <w:r>
              <w:rPr>
                <w:rFonts w:hint="eastAsia"/>
              </w:rPr>
              <w:t>VDocRAG</w:t>
            </w:r>
          </w:p>
        </w:tc>
        <w:tc>
          <w:tcPr>
            <w:tcW w:w="0" w:type="auto"/>
            <w:vAlign w:val="center"/>
          </w:tcPr>
          <w:p w14:paraId="180098D4">
            <w:pPr>
              <w:pStyle w:val="43"/>
              <w:adjustRightInd w:val="0"/>
              <w:snapToGrid w:val="0"/>
              <w:jc w:val="right"/>
            </w:pPr>
            <w:r>
              <w:t>4</w:t>
            </w:r>
            <w:r>
              <w:rPr>
                <w:rFonts w:hint="eastAsia"/>
              </w:rPr>
              <w:t>,</w:t>
            </w:r>
            <w:r>
              <w:t>348.25</w:t>
            </w:r>
          </w:p>
        </w:tc>
        <w:tc>
          <w:tcPr>
            <w:tcW w:w="0" w:type="auto"/>
            <w:vAlign w:val="center"/>
          </w:tcPr>
          <w:p w14:paraId="69F3B4E9">
            <w:pPr>
              <w:pStyle w:val="43"/>
              <w:adjustRightInd w:val="0"/>
              <w:snapToGrid w:val="0"/>
              <w:jc w:val="right"/>
            </w:pPr>
            <w:r>
              <w:t>310.94</w:t>
            </w:r>
          </w:p>
        </w:tc>
      </w:tr>
      <w:tr w14:paraId="0CCB2D15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7DB38D59">
            <w:pPr>
              <w:pStyle w:val="43"/>
              <w:adjustRightInd w:val="0"/>
              <w:snapToGrid w:val="0"/>
            </w:pPr>
            <w:r>
              <w:rPr>
                <w:rFonts w:hint="eastAsia"/>
              </w:rPr>
              <w:t>Adaptive-RAG</w:t>
            </w:r>
          </w:p>
        </w:tc>
        <w:tc>
          <w:tcPr>
            <w:tcW w:w="0" w:type="auto"/>
            <w:vAlign w:val="center"/>
          </w:tcPr>
          <w:p w14:paraId="6C429A06">
            <w:pPr>
              <w:pStyle w:val="43"/>
              <w:adjustRightInd w:val="0"/>
              <w:snapToGrid w:val="0"/>
              <w:jc w:val="right"/>
            </w:pPr>
            <w:r>
              <w:t>5</w:t>
            </w:r>
            <w:r>
              <w:rPr>
                <w:rFonts w:hint="eastAsia"/>
              </w:rPr>
              <w:t>,</w:t>
            </w:r>
            <w:r>
              <w:t>328.13</w:t>
            </w:r>
          </w:p>
        </w:tc>
        <w:tc>
          <w:tcPr>
            <w:tcW w:w="0" w:type="auto"/>
            <w:vAlign w:val="center"/>
          </w:tcPr>
          <w:p w14:paraId="521BBA69">
            <w:pPr>
              <w:pStyle w:val="43"/>
              <w:adjustRightInd w:val="0"/>
              <w:snapToGrid w:val="0"/>
              <w:jc w:val="right"/>
            </w:pPr>
            <w:r>
              <w:t>7.13</w:t>
            </w:r>
          </w:p>
        </w:tc>
      </w:tr>
      <w:tr w14:paraId="2F7F8C86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  <w:jc w:val="center"/>
        </w:trPr>
        <w:tc>
          <w:tcPr>
            <w:tcW w:w="0" w:type="auto"/>
            <w:vAlign w:val="center"/>
          </w:tcPr>
          <w:p w14:paraId="698D376C">
            <w:pPr>
              <w:pStyle w:val="43"/>
              <w:adjustRightInd w:val="0"/>
              <w:snapToGrid w:val="0"/>
              <w:rPr>
                <w:lang w:eastAsia="zh-CN"/>
              </w:rPr>
            </w:pPr>
            <w:r>
              <w:t>UAP-DL</w:t>
            </w:r>
          </w:p>
        </w:tc>
        <w:tc>
          <w:tcPr>
            <w:tcW w:w="0" w:type="auto"/>
            <w:vAlign w:val="center"/>
          </w:tcPr>
          <w:p w14:paraId="69941E4C">
            <w:pPr>
              <w:pStyle w:val="43"/>
              <w:adjustRightInd w:val="0"/>
              <w:snapToGrid w:val="0"/>
              <w:jc w:val="right"/>
            </w:pPr>
            <w:r>
              <w:t>4</w:t>
            </w:r>
            <w:r>
              <w:rPr>
                <w:rFonts w:hint="eastAsia"/>
              </w:rPr>
              <w:t>,</w:t>
            </w:r>
            <w:r>
              <w:t>085.5</w:t>
            </w: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vAlign w:val="center"/>
          </w:tcPr>
          <w:p w14:paraId="725B314F">
            <w:pPr>
              <w:pStyle w:val="43"/>
              <w:adjustRightInd w:val="0"/>
              <w:snapToGrid w:val="0"/>
              <w:jc w:val="right"/>
            </w:pPr>
            <w:r>
              <w:t>13.8</w:t>
            </w:r>
            <w:r>
              <w:rPr>
                <w:rFonts w:hint="eastAsia"/>
              </w:rPr>
              <w:t>3</w:t>
            </w:r>
          </w:p>
        </w:tc>
      </w:tr>
    </w:tbl>
    <w:p w14:paraId="4B3ECF04">
      <w:pPr>
        <w:pStyle w:val="43"/>
        <w:spacing w:before="80"/>
        <w:jc w:val="both"/>
      </w:pPr>
      <w:r>
        <w:rPr>
          <w:i/>
          <w:sz w:val="19"/>
        </w:rPr>
        <w:t xml:space="preserve">Notes. </w:t>
      </w:r>
      <w:r>
        <w:rPr>
          <w:iCs/>
          <w:sz w:val="19"/>
        </w:rPr>
        <w:t>All inference times are reported in milliseconds per sample.</w:t>
      </w:r>
    </w:p>
    <w:p w14:paraId="56818FE8">
      <w:pPr>
        <w:jc w:val="both"/>
        <w:rPr>
          <w:rFonts w:hint="eastAsia"/>
        </w:rPr>
      </w:pPr>
      <w:r>
        <w:t>of which only 13.8</w:t>
      </w:r>
      <w:r>
        <w:rPr>
          <w:rFonts w:hint="eastAsia"/>
        </w:rPr>
        <w:t>3</w:t>
      </w:r>
      <w:r>
        <w:t xml:space="preserve"> ms was attributable to online non-generation computation. These results indicate that query-conditioned graph construction and multi-aspect and multi-granularity knowledge retrieval introduce limited additional online overhead, and that most end-to-end latency is attributable to LLM response generation rather than the proposed knowledge-routing architecture.</w:t>
      </w:r>
    </w:p>
    <w:p w14:paraId="57B495E3">
      <w:pPr>
        <w:pStyle w:val="82"/>
        <w:numPr>
          <w:ilvl w:val="0"/>
          <w:numId w:val="0"/>
        </w:numPr>
        <w:ind w:left="425" w:hanging="425"/>
      </w:pPr>
      <w:r>
        <w:t xml:space="preserve">Appendix </w:t>
      </w:r>
      <w:r>
        <w:rPr>
          <w:rFonts w:hint="eastAsia"/>
        </w:rPr>
        <w:t>I.</w:t>
      </w:r>
      <w:r>
        <w:t xml:space="preserve"> Cross-Fold Near-Duplicate Question Analysis</w:t>
      </w:r>
    </w:p>
    <w:p w14:paraId="45E70E5D">
      <w:pPr>
        <w:ind w:firstLine="460" w:firstLineChars="200"/>
        <w:jc w:val="both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>To examine whether near-duplicate questions appeared across the training and test sets, we conducted a semantic</w:t>
      </w:r>
      <w:r>
        <w:rPr>
          <w:rFonts w:hint="eastAsia" w:cs="Times New Roman"/>
          <w:sz w:val="23"/>
          <w:szCs w:val="23"/>
        </w:rPr>
        <w:t xml:space="preserve"> similarity</w:t>
      </w:r>
      <w:r>
        <w:rPr>
          <w:rFonts w:cs="Times New Roman"/>
          <w:sz w:val="23"/>
          <w:szCs w:val="23"/>
        </w:rPr>
        <w:t xml:space="preserve"> analysis under the original five independent 10-fold cross-validation splits used in Experiment 1. For each test question</w:t>
      </w:r>
      <w:r>
        <w:rPr>
          <w:rFonts w:hint="eastAsia" w:cs="Times New Roman"/>
          <w:sz w:val="23"/>
          <w:szCs w:val="23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  <w:szCs w:val="23"/>
              </w:rPr>
            </m:ctrlPr>
          </m:sSupPr>
          <m:e>
            <m:r>
              <m:rPr/>
              <w:rPr>
                <w:rFonts w:ascii="Cambria Math" w:hAnsi="Cambria Math"/>
                <w:szCs w:val="23"/>
              </w:rPr>
              <m:t>Q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e>
          <m:sup>
            <m:r>
              <m:rPr/>
              <w:rPr>
                <w:rFonts w:ascii="Cambria Math" w:hAnsi="Cambria Math"/>
                <w:szCs w:val="23"/>
              </w:rPr>
              <m:t>i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sup>
        </m:sSup>
      </m:oMath>
      <w:r>
        <w:rPr>
          <w:rFonts w:cs="Times New Roman"/>
          <w:sz w:val="23"/>
          <w:szCs w:val="23"/>
        </w:rPr>
        <w:t>, we compared it with all questions in the corresponding training set.</w:t>
      </w:r>
      <w:r>
        <w:rPr>
          <w:rFonts w:hint="eastAsia" w:cs="Times New Roman"/>
          <w:sz w:val="23"/>
          <w:szCs w:val="23"/>
        </w:rPr>
        <w:t xml:space="preserve"> </w:t>
      </w:r>
      <w:r>
        <w:rPr>
          <w:rFonts w:cs="Times New Roman"/>
          <w:sz w:val="23"/>
          <w:szCs w:val="23"/>
        </w:rPr>
        <w:t xml:space="preserve">We first calculated character </w:t>
      </w:r>
      <m:oMath>
        <m:r>
          <m:rPr/>
          <w:rPr>
            <w:rFonts w:ascii="Cambria Math" w:hAnsi="Cambria Math" w:cs="Times New Roman"/>
            <w:sz w:val="23"/>
            <w:szCs w:val="23"/>
          </w:rPr>
          <m:t>n</m:t>
        </m:r>
      </m:oMath>
      <w:r>
        <w:rPr>
          <w:rFonts w:hint="eastAsia" w:cs="Times New Roman"/>
          <w:sz w:val="23"/>
          <w:szCs w:val="23"/>
        </w:rPr>
        <w:t>-</w:t>
      </w:r>
      <w:r>
        <w:rPr>
          <w:rFonts w:cs="Times New Roman"/>
          <w:sz w:val="23"/>
          <w:szCs w:val="23"/>
        </w:rPr>
        <w:t>gram Jaccard similarity at multiple granularities</w:t>
      </w:r>
      <w:r>
        <w:rPr>
          <w:rFonts w:hint="eastAsia" w:cs="Times New Roman"/>
          <w:sz w:val="23"/>
          <w:szCs w:val="23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Cs w:val="23"/>
              </w:rPr>
            </m:ctrlPr>
          </m:dPr>
          <m:e>
            <m:r>
              <m:rPr/>
              <w:rPr>
                <w:rFonts w:ascii="Cambria Math" w:hAnsi="Cambria Math" w:cs="Times New Roman"/>
                <w:sz w:val="23"/>
                <w:szCs w:val="23"/>
              </w:rPr>
              <m:t>n=3,4,5,6</m:t>
            </m:r>
            <m:ctrlPr>
              <w:rPr>
                <w:rFonts w:ascii="Cambria Math" w:hAnsi="Cambria Math" w:cs="Times New Roman"/>
                <w:i/>
                <w:szCs w:val="23"/>
              </w:rPr>
            </m:ctrlPr>
          </m:e>
        </m:d>
      </m:oMath>
      <w:r>
        <w:rPr>
          <w:rFonts w:cs="Times New Roman"/>
          <w:sz w:val="23"/>
          <w:szCs w:val="23"/>
        </w:rPr>
        <w:t>:</w:t>
      </w:r>
    </w:p>
    <w:p w14:paraId="4C1EEB03">
      <w:pPr>
        <w:jc w:val="both"/>
        <w:rPr>
          <w:rFonts w:cs="Times New Roman"/>
          <w:sz w:val="23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J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Cs w:val="23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ascii="Cambria Math" w:hAnsi="Cambria Math" w:cs="Times New Roman"/>
                  <w:iCs/>
                  <w:kern w:val="0"/>
                  <w:szCs w:val="23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3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G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cs="Times New Roman"/>
                          <w:kern w:val="0"/>
                          <w:szCs w:val="23"/>
                        </w:rPr>
                        <m:t>∩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G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3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3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G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cs="Times New Roman"/>
                          <w:kern w:val="0"/>
                          <w:szCs w:val="23"/>
                        </w:rPr>
                        <m:t>∪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G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Times New Roman"/>
                              <w:kern w:val="0"/>
                              <w:szCs w:val="23"/>
                            </w:rPr>
                            <m:t>n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3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3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Cs w:val="23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3"/>
                    </w:rPr>
                    <m:t>I</m:t>
                  </m:r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>
          </m:eqArr>
        </m:oMath>
      </m:oMathPara>
    </w:p>
    <w:p w14:paraId="592ABB23">
      <w:pPr>
        <w:jc w:val="both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Cs w:val="23"/>
              </w:rPr>
            </m:ctrlPr>
          </m:sSubPr>
          <m:e>
            <m:r>
              <m:rPr/>
              <w:rPr>
                <w:rFonts w:ascii="Cambria Math" w:hAnsi="Cambria Math" w:cs="Times New Roman"/>
                <w:kern w:val="0"/>
                <w:szCs w:val="23"/>
              </w:rPr>
              <m:t>G</m:t>
            </m:r>
            <m:ctrlPr>
              <w:rPr>
                <w:rFonts w:ascii="Cambria Math" w:hAnsi="Cambria Math" w:cs="Times New Roman"/>
                <w:i/>
                <w:kern w:val="0"/>
                <w:szCs w:val="23"/>
              </w:rPr>
            </m:ctrlPr>
          </m:e>
          <m:sub>
            <m:r>
              <m:rPr/>
              <w:rPr>
                <w:rFonts w:ascii="Cambria Math" w:hAnsi="Cambria Math" w:cs="Times New Roman"/>
                <w:kern w:val="0"/>
                <w:szCs w:val="23"/>
              </w:rPr>
              <m:t>n</m:t>
            </m:r>
            <m:ctrlPr>
              <w:rPr>
                <w:rFonts w:ascii="Cambria Math" w:hAnsi="Cambria Math" w:cs="Times New Roman"/>
                <w:i/>
                <w:kern w:val="0"/>
                <w:szCs w:val="23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Cs w:val="23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3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3"/>
                  </w:rPr>
                  <m:t>Q</m:t>
                </m:r>
                <m:ctrlPr>
                  <w:rPr>
                    <w:rFonts w:ascii="Cambria Math" w:hAnsi="Cambria Math"/>
                    <w:i/>
                    <w:szCs w:val="23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3"/>
                  </w:rPr>
                  <m:t>i</m:t>
                </m:r>
                <m:ctrlPr>
                  <w:rPr>
                    <w:rFonts w:ascii="Cambria Math" w:hAnsi="Cambria Math"/>
                    <w:i/>
                    <w:szCs w:val="23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kern w:val="0"/>
                <w:szCs w:val="23"/>
              </w:rPr>
            </m:ctrlPr>
          </m:e>
        </m:d>
      </m:oMath>
      <w:r>
        <w:rPr>
          <w:rFonts w:hint="eastAsia" w:hAnsi="Cambria Math" w:cs="Times New Roman"/>
          <w:kern w:val="0"/>
          <w:szCs w:val="23"/>
        </w:rPr>
        <w:t xml:space="preserve"> </w:t>
      </w:r>
      <w:r>
        <w:rPr>
          <w:rFonts w:cs="Times New Roman"/>
          <w:sz w:val="23"/>
          <w:szCs w:val="23"/>
        </w:rPr>
        <w:t xml:space="preserve">denotes the set of character </w:t>
      </w:r>
      <m:oMath>
        <m:r>
          <m:rPr/>
          <w:rPr>
            <w:rFonts w:ascii="Cambria Math" w:hAnsi="Cambria Math" w:cs="Times New Roman"/>
            <w:sz w:val="23"/>
            <w:szCs w:val="23"/>
          </w:rPr>
          <m:t>n</m:t>
        </m:r>
      </m:oMath>
      <w:r>
        <w:rPr>
          <w:rFonts w:cs="Times New Roman"/>
          <w:sz w:val="23"/>
          <w:szCs w:val="23"/>
        </w:rPr>
        <w:t xml:space="preserve">-gram in question </w:t>
      </w:r>
      <m:oMath>
        <m:sSup>
          <m:sSupPr>
            <m:ctrlPr>
              <w:rPr>
                <w:rFonts w:ascii="Cambria Math" w:hAnsi="Cambria Math"/>
                <w:i/>
                <w:iCs/>
                <w:szCs w:val="23"/>
              </w:rPr>
            </m:ctrlPr>
          </m:sSupPr>
          <m:e>
            <m:r>
              <m:rPr/>
              <w:rPr>
                <w:rFonts w:ascii="Cambria Math" w:hAnsi="Cambria Math"/>
                <w:szCs w:val="23"/>
              </w:rPr>
              <m:t>Q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e>
          <m:sup>
            <m:r>
              <m:rPr/>
              <w:rPr>
                <w:rFonts w:ascii="Cambria Math" w:hAnsi="Cambria Math"/>
                <w:szCs w:val="23"/>
              </w:rPr>
              <m:t>i</m:t>
            </m:r>
            <m:ctrlPr>
              <w:rPr>
                <w:rFonts w:ascii="Cambria Math" w:hAnsi="Cambria Math"/>
                <w:i/>
                <w:iCs/>
                <w:szCs w:val="23"/>
              </w:rPr>
            </m:ctrlPr>
          </m:sup>
        </m:sSup>
      </m:oMath>
      <w:r>
        <w:rPr>
          <w:rFonts w:cs="Times New Roman"/>
          <w:sz w:val="23"/>
          <w:szCs w:val="23"/>
        </w:rPr>
        <w:t>. For each test question, its maximum cross-fold Jaccard similarity was calculated as</w:t>
      </w:r>
    </w:p>
    <w:p w14:paraId="575A20E1">
      <w:pPr>
        <w:jc w:val="both"/>
        <w:rPr>
          <w:rFonts w:hAnsi="Cambria Math" w:cs="Times New Roman"/>
          <w:kern w:val="0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J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i,n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ascii="Cambria Math" w:hAnsi="Cambria Math" w:cs="Times New Roman"/>
                  <w:kern w:val="0"/>
                  <w:szCs w:val="23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3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Cs w:val="23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train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J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n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Cs w:val="23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i/>
                  <w:iCs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3"/>
                    </w:rPr>
                    <m:t>I2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>
          </m:eqArr>
        </m:oMath>
      </m:oMathPara>
    </w:p>
    <w:p w14:paraId="37AC388C">
      <w:pPr>
        <w:ind w:firstLine="460" w:firstLineChars="200"/>
        <w:jc w:val="both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>We additionally calculated normalized Levenshtein similarity:</w:t>
      </w:r>
    </w:p>
    <w:p w14:paraId="65022069">
      <w:pPr>
        <w:jc w:val="both"/>
        <w:rPr>
          <w:rFonts w:hAnsi="Cambria Math" w:cs="Times New Roman"/>
          <w:kern w:val="0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qArrPr>
            <m:e>
              <m:r>
                <m:rPr/>
                <w:rPr>
                  <w:rFonts w:ascii="Cambria Math" w:hAnsi="Cambria Math" w:cs="Times New Roman"/>
                  <w:kern w:val="0"/>
                  <w:szCs w:val="23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Cs w:val="23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ascii="Cambria Math" w:hAnsi="Cambria Math" w:cs="Times New Roman"/>
                  <w:kern w:val="0"/>
                  <w:szCs w:val="23"/>
                </w:rPr>
                <m:t>=1</m:t>
              </m:r>
              <m:r>
                <m:rPr/>
                <w:rPr>
                  <w:rFonts w:ascii="Cambria Math" w:hAnsi="Cambria Math" w:cs="Times New Roman"/>
                  <w:kern w:val="0"/>
                  <w:szCs w:val="23"/>
                </w:rPr>
                <m:t>−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cs="Times New Roman"/>
                          <w:kern w:val="0"/>
                          <w:szCs w:val="23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cs="Times New Roman"/>
                          <w:kern w:val="0"/>
                          <w:szCs w:val="23"/>
                        </w:rPr>
                        <m:t>lev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3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Cs w:val="23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3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Cs w:val="23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3"/>
                            </w:rPr>
                          </m:ctrlPr>
                        </m:sup>
                      </m:s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3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Cs w:val="23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3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Cs w:val="23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3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3"/>
                    </w:rPr>
                    <m:t>max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Cs w:val="23"/>
                        </w:rPr>
                        <m:t>len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kern w:val="0"/>
                              <w:szCs w:val="2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3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3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kern w:val="0"/>
                              <w:szCs w:val="23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cs="Times New Roman"/>
                          <w:kern w:val="0"/>
                          <w:szCs w:val="23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Cs w:val="23"/>
                        </w:rPr>
                        <m:t>len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kern w:val="0"/>
                              <w:szCs w:val="2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3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3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3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3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kern w:val="0"/>
                              <w:szCs w:val="23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0"/>
                          <w:szCs w:val="23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Cs w:val="23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3"/>
                    </w:rPr>
                    <m:t>I3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>
          </m:eqArr>
        </m:oMath>
      </m:oMathPara>
    </w:p>
    <w:p w14:paraId="1DA235E9">
      <w:pPr>
        <w:jc w:val="both"/>
        <w:rPr>
          <w:rFonts w:cs="Times New Roman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SubPr>
          <m:e>
            <m:r>
              <m:rPr/>
              <w:rPr>
                <w:rFonts w:ascii="Cambria Math" w:hAnsi="Cambria Math" w:cs="Times New Roman"/>
                <w:sz w:val="23"/>
                <w:szCs w:val="23"/>
              </w:rPr>
              <m:t>d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  <m:sub>
            <m:r>
              <m:rPr/>
              <w:rPr>
                <w:rFonts w:ascii="Cambria Math" w:hAnsi="Cambria Math" w:cs="Times New Roman"/>
                <w:sz w:val="23"/>
                <w:szCs w:val="23"/>
              </w:rPr>
              <m:t>lev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dPr>
          <m:e>
            <m:r>
              <m:rPr/>
              <w:rPr>
                <w:rFonts w:ascii="Cambria Math" w:hAnsi="Cambria Math" w:cs="Times New Roman"/>
                <w:sz w:val="23"/>
                <w:szCs w:val="23"/>
              </w:rPr>
              <m:t>∙</m:t>
            </m:r>
            <m:ctrlPr>
              <w:rPr>
                <w:rFonts w:ascii="Cambria Math" w:hAnsi="Cambria Math" w:cs="Times New Roman"/>
                <w:i/>
                <w:iCs/>
                <w:szCs w:val="23"/>
              </w:rPr>
            </m:ctrlPr>
          </m:e>
        </m:d>
      </m:oMath>
      <w:r>
        <w:rPr>
          <w:rFonts w:cs="Times New Roman"/>
          <w:sz w:val="23"/>
          <w:szCs w:val="23"/>
        </w:rPr>
        <w:t xml:space="preserve"> denotes the Levenshtein edit distance and </w:t>
      </w:r>
      <m:oMath>
        <m:r>
          <m:rPr>
            <m:sty m:val="p"/>
          </m:rPr>
          <w:rPr>
            <w:rFonts w:ascii="Cambria Math" w:hAnsi="Cambria Math" w:cs="Times New Roman"/>
            <w:kern w:val="0"/>
            <w:szCs w:val="23"/>
          </w:rPr>
          <m:t>len</m:t>
        </m:r>
        <m:d>
          <m:dPr>
            <m:ctrlPr>
              <w:rPr>
                <w:rFonts w:ascii="Cambria Math" w:hAnsi="Cambria Math" w:cs="Times New Roman"/>
                <w:i/>
                <w:iCs/>
                <w:kern w:val="0"/>
                <w:szCs w:val="23"/>
              </w:rPr>
            </m:ctrlPr>
          </m:dPr>
          <m:e>
            <m:r>
              <m:rPr/>
              <w:rPr>
                <w:rFonts w:ascii="Cambria Math" w:hAnsi="Cambria Math" w:cs="Times New Roman"/>
                <w:kern w:val="0"/>
                <w:szCs w:val="23"/>
              </w:rPr>
              <m:t>∙</m:t>
            </m:r>
            <m:ctrlPr>
              <w:rPr>
                <w:rFonts w:ascii="Cambria Math" w:hAnsi="Cambria Math" w:cs="Times New Roman"/>
                <w:i/>
                <w:iCs/>
                <w:kern w:val="0"/>
                <w:szCs w:val="23"/>
              </w:rPr>
            </m:ctrlPr>
          </m:e>
        </m:d>
      </m:oMath>
      <w:r>
        <w:rPr>
          <w:rFonts w:cs="Times New Roman"/>
          <w:sz w:val="23"/>
          <w:szCs w:val="23"/>
        </w:rPr>
        <w:t xml:space="preserve"> denotes the number of characters in a question. For each test question, its maximum normalized edit similarity with all questions in the corresponding training set was calculated as</w:t>
      </w:r>
    </w:p>
    <w:p w14:paraId="72FAF658">
      <w:pPr>
        <w:jc w:val="both"/>
        <w:rPr>
          <w:rFonts w:hAnsi="Cambria Math" w:cs="Times New Roman"/>
          <w:kern w:val="0"/>
          <w:szCs w:val="23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i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ub>
                <m:sup>
                  <m:r>
                    <m:rPr/>
                    <w:rPr>
                      <w:rFonts w:ascii="Cambria Math" w:hAnsi="Cambria Math" w:cs="Times New Roman"/>
                      <w:kern w:val="0"/>
                      <w:szCs w:val="23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ascii="Cambria Math" w:hAnsi="Cambria Math" w:cs="Times New Roman"/>
                  <w:kern w:val="0"/>
                  <w:szCs w:val="23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3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Cs w:val="23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train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b>
                  </m:sSub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sub>
              </m:sSub>
              <m:r>
                <m:rPr>
                  <m:nor/>
                </m:rPr>
                <w:rPr>
                  <w:rFonts w:ascii="Cambria Math" w:hAnsi="Cambria Math" w:cs="Times New Roman"/>
                  <w:i/>
                  <w:kern w:val="0"/>
                  <w:szCs w:val="23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Cs w:val="23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3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3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Cs w:val="23"/>
                    </w:rPr>
                  </m:ctrlP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i/>
                  <w:iCs/>
                  <w:sz w:val="23"/>
                  <w:szCs w:val="23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Cs w:val="23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3"/>
                    </w:rPr>
                    <m:t>I4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Cs w:val="23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kern w:val="0"/>
                  <w:szCs w:val="23"/>
                </w:rPr>
              </m:ctrlPr>
            </m:e>
          </m:eqArr>
        </m:oMath>
      </m:oMathPara>
    </w:p>
    <w:p w14:paraId="3D640D84">
      <w:pPr>
        <w:ind w:firstLine="460" w:firstLineChars="200"/>
        <w:jc w:val="both"/>
        <w:rPr>
          <w:rFonts w:hint="eastAsia" w:hAnsi="Cambria Math" w:cs="Times New Roman"/>
          <w:kern w:val="0"/>
          <w:szCs w:val="23"/>
        </w:rPr>
      </w:pPr>
      <w:r>
        <w:rPr>
          <w:rFonts w:cs="Times New Roman"/>
          <w:sz w:val="23"/>
          <w:szCs w:val="23"/>
        </w:rPr>
        <w:t xml:space="preserve">For each similarity measure and threshold, we calculated the percentage of test questions whose maximum similarity to any question in the corresponding training set exceeded that threshold. Table </w:t>
      </w:r>
      <w:r>
        <w:rPr>
          <w:rFonts w:hint="eastAsia" w:cs="Times New Roman"/>
          <w:szCs w:val="23"/>
        </w:rPr>
        <w:t>I</w:t>
      </w:r>
      <w:r>
        <w:rPr>
          <w:rFonts w:cs="Times New Roman"/>
          <w:sz w:val="23"/>
          <w:szCs w:val="23"/>
        </w:rPr>
        <w:t xml:space="preserve">1 </w:t>
      </w:r>
      <w:r>
        <w:rPr>
          <w:rFonts w:cs="Times New Roman"/>
          <w:sz w:val="23"/>
          <w:szCs w:val="23"/>
        </w:rPr>
        <w:t xml:space="preserve">reports the mean and standard deviation across the five independent runs. Overall, the proportion of highly similar questions decreased substantially as the similarity threshold increased. Across the four character </w:t>
      </w:r>
      <m:oMath>
        <m:r>
          <m:rPr/>
          <w:rPr>
            <w:rFonts w:ascii="Cambria Math" w:hAnsi="Cambria Math" w:cs="Times New Roman"/>
            <w:sz w:val="23"/>
            <w:szCs w:val="23"/>
          </w:rPr>
          <m:t>n</m:t>
        </m:r>
      </m:oMath>
      <w:r>
        <w:rPr>
          <w:rFonts w:cs="Times New Roman"/>
          <w:sz w:val="23"/>
          <w:szCs w:val="23"/>
        </w:rPr>
        <w:t>-gram specifications, only 2.97%</w:t>
      </w:r>
      <w:r>
        <w:rPr>
          <w:rFonts w:hint="eastAsia" w:cs="Times New Roman"/>
          <w:sz w:val="23"/>
          <w:szCs w:val="23"/>
        </w:rPr>
        <w:t>-</w:t>
      </w:r>
      <w:r>
        <w:rPr>
          <w:rFonts w:cs="Times New Roman"/>
          <w:sz w:val="23"/>
          <w:szCs w:val="23"/>
        </w:rPr>
        <w:t>3.13% of test questions exceeded the 0.90 similarity threshold, while the corresponding proportion for normalized edit similarity was 6.92%.</w:t>
      </w:r>
    </w:p>
    <w:p w14:paraId="426765CF">
      <w:pPr>
        <w:pStyle w:val="43"/>
        <w:rPr>
          <w:b/>
          <w:bCs/>
          <w:lang w:eastAsia="zh-CN"/>
        </w:rPr>
      </w:pPr>
      <w:r>
        <w:rPr>
          <w:b/>
          <w:bCs/>
        </w:rPr>
        <w:t xml:space="preserve">Table </w:t>
      </w:r>
      <w:r>
        <w:rPr>
          <w:rFonts w:hint="eastAsia"/>
          <w:b/>
          <w:bCs/>
          <w:lang w:eastAsia="zh-CN"/>
        </w:rPr>
        <w:t>I</w:t>
      </w:r>
      <w:r>
        <w:rPr>
          <w:b/>
          <w:bCs/>
        </w:rPr>
        <w:t>1. Percentage of Test Questions Exceeding Cross-Fold Similarity Thresholds</w:t>
      </w:r>
      <w:r>
        <w:rPr>
          <w:rFonts w:hint="eastAsia"/>
          <w:b/>
          <w:bCs/>
          <w:lang w:eastAsia="zh-CN"/>
        </w:rPr>
        <w:t>.</w:t>
      </w:r>
    </w:p>
    <w:tbl>
      <w:tblPr>
        <w:tblStyle w:val="23"/>
        <w:tblW w:w="72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1626"/>
        <w:gridCol w:w="1626"/>
        <w:gridCol w:w="1626"/>
      </w:tblGrid>
      <w:tr w14:paraId="116A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2336" w:type="dxa"/>
            <w:tcBorders>
              <w:top w:val="double" w:color="auto" w:sz="4" w:space="0"/>
              <w:left w:val="nil"/>
            </w:tcBorders>
            <w:vAlign w:val="center"/>
          </w:tcPr>
          <w:p w14:paraId="13B97C69">
            <w:pPr>
              <w:pStyle w:val="43"/>
              <w:adjustRightInd w:val="0"/>
              <w:snapToGri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Measure</w:t>
            </w:r>
          </w:p>
        </w:tc>
        <w:tc>
          <w:tcPr>
            <w:tcW w:w="1626" w:type="dxa"/>
            <w:tcBorders>
              <w:top w:val="double" w:color="auto" w:sz="4" w:space="0"/>
            </w:tcBorders>
            <w:vAlign w:val="center"/>
          </w:tcPr>
          <w:p w14:paraId="4DE68330">
            <w:pPr>
              <w:pStyle w:val="43"/>
              <w:adjustRightInd w:val="0"/>
              <w:snapToGrid w:val="0"/>
              <w:jc w:val="center"/>
              <w:rPr>
                <w:b/>
                <w:sz w:val="20"/>
                <w:szCs w:val="20"/>
                <w:lang w:eastAsia="zh-CN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  <w:lang w:eastAsia="zh-CN"/>
                </w:rPr>
                <m:t>≥</m:t>
              </m:r>
            </m:oMath>
            <w:r>
              <w:rPr>
                <w:rFonts w:hint="eastAsia"/>
                <w:b/>
                <w:sz w:val="20"/>
                <w:szCs w:val="20"/>
                <w:lang w:eastAsia="zh-CN"/>
              </w:rPr>
              <w:t>0.70</w:t>
            </w:r>
          </w:p>
        </w:tc>
        <w:tc>
          <w:tcPr>
            <w:tcW w:w="1626" w:type="dxa"/>
            <w:tcBorders>
              <w:top w:val="double" w:color="auto" w:sz="4" w:space="0"/>
            </w:tcBorders>
            <w:vAlign w:val="center"/>
          </w:tcPr>
          <w:p w14:paraId="1F43A760">
            <w:pPr>
              <w:pStyle w:val="43"/>
              <w:adjustRightInd w:val="0"/>
              <w:snapToGrid w:val="0"/>
              <w:jc w:val="center"/>
              <w:rPr>
                <w:b/>
                <w:sz w:val="20"/>
                <w:szCs w:val="20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</w:rPr>
                <m:t>≥</m:t>
              </m:r>
            </m:oMath>
            <w:r>
              <w:rPr>
                <w:rFonts w:hint="eastAsia"/>
                <w:b/>
                <w:sz w:val="20"/>
                <w:szCs w:val="20"/>
              </w:rPr>
              <w:t>0.</w:t>
            </w:r>
            <w:r>
              <w:rPr>
                <w:rFonts w:hint="eastAsia"/>
                <w:b/>
                <w:sz w:val="20"/>
                <w:szCs w:val="20"/>
                <w:lang w:eastAsia="zh-CN"/>
              </w:rPr>
              <w:t>8</w:t>
            </w:r>
            <w:r>
              <w:rPr>
                <w:rFonts w:hint="eastAsia"/>
                <w:b/>
                <w:sz w:val="20"/>
                <w:szCs w:val="20"/>
              </w:rPr>
              <w:t>0</w:t>
            </w:r>
          </w:p>
        </w:tc>
        <w:tc>
          <w:tcPr>
            <w:tcW w:w="1626" w:type="dxa"/>
            <w:tcBorders>
              <w:top w:val="double" w:color="auto" w:sz="4" w:space="0"/>
            </w:tcBorders>
            <w:vAlign w:val="center"/>
          </w:tcPr>
          <w:p w14:paraId="0178C6AD">
            <w:pPr>
              <w:pStyle w:val="43"/>
              <w:adjustRightInd w:val="0"/>
              <w:snapToGrid w:val="0"/>
              <w:jc w:val="center"/>
              <w:rPr>
                <w:b/>
                <w:sz w:val="20"/>
                <w:szCs w:val="20"/>
                <w:lang w:eastAsia="zh-CN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sz w:val="20"/>
                  <w:szCs w:val="20"/>
                  <w:lang w:eastAsia="zh-CN"/>
                </w:rPr>
                <m:t>≥</m:t>
              </m:r>
            </m:oMath>
            <w:r>
              <w:rPr>
                <w:rFonts w:hint="eastAsia"/>
                <w:b/>
                <w:sz w:val="20"/>
                <w:szCs w:val="20"/>
                <w:lang w:eastAsia="zh-CN"/>
              </w:rPr>
              <w:t>0.90</w:t>
            </w:r>
          </w:p>
        </w:tc>
      </w:tr>
      <w:tr w14:paraId="2D9FA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2336" w:type="dxa"/>
            <w:tcBorders>
              <w:left w:val="nil"/>
            </w:tcBorders>
            <w:vAlign w:val="center"/>
          </w:tcPr>
          <w:p w14:paraId="3E112CC7">
            <w:pPr>
              <w:pStyle w:val="43"/>
              <w:adjustRightInd w:val="0"/>
              <w:snapToGrid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Character 3-gram Jaccard</w:t>
            </w:r>
          </w:p>
        </w:tc>
        <w:tc>
          <w:tcPr>
            <w:tcW w:w="1626" w:type="dxa"/>
            <w:vAlign w:val="center"/>
          </w:tcPr>
          <w:p w14:paraId="33EF9C42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7.85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6)</w:t>
            </w:r>
          </w:p>
        </w:tc>
        <w:tc>
          <w:tcPr>
            <w:tcW w:w="1626" w:type="dxa"/>
            <w:vAlign w:val="center"/>
          </w:tcPr>
          <w:p w14:paraId="0A4A5690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4.98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0.13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vAlign w:val="center"/>
          </w:tcPr>
          <w:p w14:paraId="60E789D5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3.13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0.11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</w:tr>
      <w:tr w14:paraId="2F75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2336" w:type="dxa"/>
            <w:tcBorders>
              <w:left w:val="nil"/>
            </w:tcBorders>
            <w:vAlign w:val="center"/>
          </w:tcPr>
          <w:p w14:paraId="5FF31092">
            <w:pPr>
              <w:pStyle w:val="43"/>
              <w:adjustRightInd w:val="0"/>
              <w:snapToGrid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Character 4-gram Jaccard</w:t>
            </w:r>
          </w:p>
        </w:tc>
        <w:tc>
          <w:tcPr>
            <w:tcW w:w="1626" w:type="dxa"/>
            <w:vAlign w:val="center"/>
          </w:tcPr>
          <w:p w14:paraId="0ACF9380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6.10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0.11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vAlign w:val="center"/>
          </w:tcPr>
          <w:p w14:paraId="585A3C89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4.15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0.14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vAlign w:val="center"/>
          </w:tcPr>
          <w:p w14:paraId="18D145F7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3.09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0.11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</w:tr>
      <w:tr w14:paraId="50B32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2336" w:type="dxa"/>
            <w:tcBorders>
              <w:left w:val="nil"/>
            </w:tcBorders>
            <w:vAlign w:val="center"/>
          </w:tcPr>
          <w:p w14:paraId="5385F6D3">
            <w:pPr>
              <w:pStyle w:val="43"/>
              <w:adjustRightInd w:val="0"/>
              <w:snapToGrid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Character 5-gram Jaccard</w:t>
            </w:r>
          </w:p>
        </w:tc>
        <w:tc>
          <w:tcPr>
            <w:tcW w:w="1626" w:type="dxa"/>
            <w:vAlign w:val="center"/>
          </w:tcPr>
          <w:p w14:paraId="555AD18C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5.28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0.08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vAlign w:val="center"/>
          </w:tcPr>
          <w:p w14:paraId="1825B9FC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3.95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0.13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vAlign w:val="center"/>
          </w:tcPr>
          <w:p w14:paraId="7A5CAF04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2.97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0.10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</w:tr>
      <w:tr w14:paraId="5A42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2336" w:type="dxa"/>
            <w:tcBorders>
              <w:left w:val="nil"/>
            </w:tcBorders>
            <w:vAlign w:val="center"/>
          </w:tcPr>
          <w:p w14:paraId="0512975D">
            <w:pPr>
              <w:pStyle w:val="43"/>
              <w:adjustRightInd w:val="0"/>
              <w:snapToGrid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Character 6-gram Jaccard</w:t>
            </w:r>
          </w:p>
        </w:tc>
        <w:tc>
          <w:tcPr>
            <w:tcW w:w="1626" w:type="dxa"/>
            <w:vAlign w:val="center"/>
          </w:tcPr>
          <w:p w14:paraId="35458F92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>5.04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 xml:space="preserve"> (</w:t>
            </w:r>
            <w:r>
              <w:rPr>
                <w:bCs/>
                <w:sz w:val="20"/>
                <w:szCs w:val="20"/>
              </w:rPr>
              <w:t>0.10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vAlign w:val="center"/>
          </w:tcPr>
          <w:p w14:paraId="48A1A423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3.95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0.13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vAlign w:val="center"/>
          </w:tcPr>
          <w:p w14:paraId="7C22B338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2.97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0.10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</w:tr>
      <w:tr w14:paraId="1606E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  <w:jc w:val="center"/>
        </w:trPr>
        <w:tc>
          <w:tcPr>
            <w:tcW w:w="2336" w:type="dxa"/>
            <w:tcBorders>
              <w:left w:val="nil"/>
              <w:bottom w:val="double" w:color="auto" w:sz="4" w:space="0"/>
            </w:tcBorders>
            <w:vAlign w:val="center"/>
          </w:tcPr>
          <w:p w14:paraId="40DFAEB6">
            <w:pPr>
              <w:pStyle w:val="43"/>
              <w:adjustRightInd w:val="0"/>
              <w:snapToGrid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Normalized edit similarity</w:t>
            </w:r>
          </w:p>
        </w:tc>
        <w:tc>
          <w:tcPr>
            <w:tcW w:w="1626" w:type="dxa"/>
            <w:tcBorders>
              <w:bottom w:val="double" w:color="auto" w:sz="4" w:space="0"/>
            </w:tcBorders>
            <w:vAlign w:val="center"/>
          </w:tcPr>
          <w:p w14:paraId="603E4C4A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24.96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 xml:space="preserve"> (</w:t>
            </w:r>
            <w:r>
              <w:rPr>
                <w:bCs/>
                <w:sz w:val="20"/>
                <w:szCs w:val="20"/>
              </w:rPr>
              <w:t>0.10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tcBorders>
              <w:bottom w:val="double" w:color="auto" w:sz="4" w:space="0"/>
            </w:tcBorders>
            <w:vAlign w:val="center"/>
          </w:tcPr>
          <w:p w14:paraId="51019A5C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  <w:lang w:eastAsia="zh-CN"/>
              </w:rPr>
            </w:pPr>
            <w:r>
              <w:rPr>
                <w:bCs/>
                <w:sz w:val="20"/>
                <w:szCs w:val="20"/>
              </w:rPr>
              <w:t xml:space="preserve">15.16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0.19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26" w:type="dxa"/>
            <w:tcBorders>
              <w:bottom w:val="double" w:color="auto" w:sz="4" w:space="0"/>
            </w:tcBorders>
            <w:vAlign w:val="center"/>
          </w:tcPr>
          <w:p w14:paraId="458B8F57">
            <w:pPr>
              <w:pStyle w:val="43"/>
              <w:adjustRightInd w:val="0"/>
              <w:snapToGrid w:val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6.92 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(</w:t>
            </w:r>
            <w:r>
              <w:rPr>
                <w:bCs/>
                <w:sz w:val="20"/>
                <w:szCs w:val="20"/>
              </w:rPr>
              <w:t>0.16</w:t>
            </w:r>
            <w:r>
              <w:rPr>
                <w:rFonts w:hint="eastAsia"/>
                <w:bCs/>
                <w:sz w:val="20"/>
                <w:szCs w:val="20"/>
                <w:lang w:eastAsia="zh-CN"/>
              </w:rPr>
              <w:t>)</w:t>
            </w:r>
          </w:p>
        </w:tc>
      </w:tr>
    </w:tbl>
    <w:p w14:paraId="21E1881E">
      <w:pPr>
        <w:pStyle w:val="43"/>
        <w:spacing w:before="80"/>
        <w:rPr>
          <w:iCs/>
          <w:sz w:val="21"/>
          <w:szCs w:val="20"/>
        </w:rPr>
      </w:pPr>
      <w:r>
        <w:rPr>
          <w:i/>
          <w:sz w:val="21"/>
          <w:szCs w:val="20"/>
        </w:rPr>
        <w:t xml:space="preserve">Notes. </w:t>
      </w:r>
      <w:r>
        <w:rPr>
          <w:iCs/>
          <w:sz w:val="21"/>
          <w:szCs w:val="20"/>
        </w:rPr>
        <w:t xml:space="preserve">Values are mean percentages of test questions with maximum similarity </w:t>
      </w:r>
      <m:oMath>
        <m:r>
          <m:rPr/>
          <w:rPr>
            <w:rFonts w:ascii="Cambria Math" w:hAnsi="Cambria Math"/>
            <w:sz w:val="21"/>
            <w:szCs w:val="20"/>
          </w:rPr>
          <m:t>≥</m:t>
        </m:r>
      </m:oMath>
      <w:r>
        <w:rPr>
          <w:iCs/>
          <w:sz w:val="21"/>
          <w:szCs w:val="20"/>
        </w:rPr>
        <w:t xml:space="preserve"> each threshold</w:t>
      </w:r>
      <w:r>
        <w:rPr>
          <w:rFonts w:hint="eastAsia"/>
          <w:iCs/>
          <w:sz w:val="21"/>
          <w:szCs w:val="20"/>
          <w:lang w:eastAsia="zh-CN"/>
        </w:rPr>
        <w:t>. S</w:t>
      </w:r>
      <w:r>
        <w:rPr>
          <w:iCs/>
          <w:sz w:val="21"/>
          <w:szCs w:val="20"/>
        </w:rPr>
        <w:t>tandard deviations across five runs are in parentheses.</w:t>
      </w:r>
    </w:p>
    <w:p w14:paraId="1694A940">
      <w:pPr>
        <w:jc w:val="both"/>
        <w:rPr>
          <w:b/>
          <w:bCs/>
          <w:szCs w:val="23"/>
        </w:rPr>
      </w:pPr>
      <w:r>
        <w:rPr>
          <w:rFonts w:hint="eastAsia"/>
          <w:b/>
          <w:bCs/>
          <w:szCs w:val="23"/>
        </w:rPr>
        <w:t>References</w:t>
      </w:r>
    </w:p>
    <w:p w14:paraId="602DB26C">
      <w:pPr>
        <w:pStyle w:val="38"/>
        <w:ind w:left="460" w:hanging="460" w:hangingChars="200"/>
        <w:jc w:val="both"/>
        <w:rPr>
          <w:sz w:val="23"/>
          <w:szCs w:val="23"/>
        </w:rPr>
      </w:pPr>
      <w:r>
        <w:rPr>
          <w:sz w:val="23"/>
          <w:szCs w:val="23"/>
        </w:rPr>
        <w:fldChar w:fldCharType="begin"/>
      </w:r>
      <w:r>
        <w:rPr>
          <w:sz w:val="23"/>
          <w:szCs w:val="23"/>
        </w:rPr>
        <w:instrText xml:space="preserve"> ADDIN EN.REFLIST </w:instrText>
      </w:r>
      <w:r>
        <w:rPr>
          <w:sz w:val="23"/>
          <w:szCs w:val="23"/>
        </w:rPr>
        <w:fldChar w:fldCharType="separate"/>
      </w:r>
      <w:bookmarkStart w:id="7" w:name="_ENREF_1"/>
      <w:r>
        <w:rPr>
          <w:sz w:val="23"/>
          <w:szCs w:val="23"/>
        </w:rPr>
        <w:t xml:space="preserve">[1] </w:t>
      </w:r>
      <w:r>
        <w:rPr>
          <w:rFonts w:hint="eastAsia"/>
          <w:sz w:val="23"/>
          <w:szCs w:val="23"/>
        </w:rPr>
        <w:t>J. Li, M. Galley, C. Brockett, J. Gao, B. Dolan, A Diversity-Promoting Objective Function for Neural Conversation Models, Association for Computational Linguistics: Human Language Technologies, (2016) 110-119.</w:t>
      </w:r>
      <w:bookmarkEnd w:id="7"/>
    </w:p>
    <w:p w14:paraId="5422BF96">
      <w:pPr>
        <w:pStyle w:val="38"/>
        <w:ind w:left="480" w:hanging="480" w:hangingChars="200"/>
        <w:jc w:val="both"/>
        <w:rPr>
          <w:sz w:val="23"/>
          <w:szCs w:val="23"/>
        </w:rPr>
      </w:pPr>
      <w:r>
        <w:rPr>
          <w:szCs w:val="23"/>
        </w:rPr>
        <w:fldChar w:fldCharType="end"/>
      </w:r>
      <w:r>
        <w:rPr>
          <w:sz w:val="23"/>
          <w:szCs w:val="23"/>
        </w:rPr>
        <w:t xml:space="preserve">[2] </w:t>
      </w:r>
      <w:r>
        <w:rPr>
          <w:rFonts w:hint="eastAsia"/>
          <w:sz w:val="23"/>
          <w:szCs w:val="23"/>
        </w:rPr>
        <w:t>U. von Luxburg, A Tutorial on Spectral Clustering, Stat. Comput., 17(4) (2007) 395–416.</w:t>
      </w:r>
    </w:p>
    <w:p w14:paraId="541CBBFA">
      <w:pPr>
        <w:pStyle w:val="38"/>
        <w:ind w:left="460" w:hanging="460" w:hangingChars="20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[3] </w:t>
      </w:r>
      <w:r>
        <w:rPr>
          <w:rFonts w:hint="eastAsia"/>
          <w:sz w:val="23"/>
          <w:szCs w:val="23"/>
        </w:rPr>
        <w:t>A. Sandryhaila, J.M.F. Moura, Discrete Signal Processing on Graphs: Frequency Analysis, IEEE Trans. Signal Process., 62(12) (2014) 3042-3054.</w:t>
      </w:r>
    </w:p>
    <w:p w14:paraId="6D644188">
      <w:pPr>
        <w:spacing w:line="240" w:lineRule="auto"/>
        <w:jc w:val="both"/>
        <w:rPr>
          <w:szCs w:val="23"/>
        </w:rPr>
      </w:pPr>
    </w:p>
    <w:sectPr>
      <w:footerReference r:id="rId5" w:type="default"/>
      <w:pgSz w:w="12240" w:h="15840"/>
      <w:pgMar w:top="1440" w:right="1440" w:bottom="1440" w:left="1440" w:header="851" w:footer="851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4887408"/>
    </w:sdtPr>
    <w:sdtContent>
      <w:p w14:paraId="7E1577D3">
        <w:pPr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</w:p>
  </w:footnote>
  <w:footnote w:type="continuationSeparator" w:id="1">
    <w:p>
      <w:pPr>
        <w:spacing w:line="48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suff w:val="space"/>
      <w:lvlText w:val="第%1章"/>
      <w:lvlJc w:val="left"/>
      <w:pPr>
        <w:ind w:left="3171" w:hanging="432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40C574AF"/>
    <w:multiLevelType w:val="multilevel"/>
    <w:tmpl w:val="40C574AF"/>
    <w:lvl w:ilvl="0" w:tentative="0">
      <w:start w:val="1"/>
      <w:numFmt w:val="decimal"/>
      <w:pStyle w:val="3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pStyle w:val="48"/>
      <w:suff w:val="space"/>
      <w:lvlText w:val="%1.%2.%3"/>
      <w:lvlJc w:val="left"/>
      <w:pPr>
        <w:ind w:left="1304" w:hanging="1304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62CA3781"/>
    <w:multiLevelType w:val="multilevel"/>
    <w:tmpl w:val="62CA3781"/>
    <w:lvl w:ilvl="0" w:tentative="0">
      <w:start w:val="1"/>
      <w:numFmt w:val="decimal"/>
      <w:pStyle w:val="82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8"/>
      <w:suff w:val="space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pStyle w:val="68"/>
      <w:suff w:val="space"/>
      <w:lvlText w:val="%1.%2.%3"/>
      <w:lvlJc w:val="left"/>
      <w:pPr>
        <w:ind w:left="1304" w:hanging="1304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trackRevisions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Decision Support Systems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0a9xa09eueardse2zrl5szdcr9tfwf0pz5ax&quot;&gt;My EndNote Library&lt;record-ids&gt;&lt;item&gt;672&lt;/item&gt;&lt;/record-ids&gt;&lt;/item&gt;&lt;/Libraries&gt;"/>
    <w:docVar w:name="EN.ReferenceGroups" w:val="&lt;reference-groups&gt;&lt;reference-group&gt;&lt;kind&gt;1&lt;/kind&gt;&lt;heading&gt;Primary Sources&lt;/heading&gt;&lt;alignment&gt;-1&lt;/alignment&gt;&lt;records&gt;&lt;/records&gt;&lt;/reference-group&gt;&lt;reference-group&gt;&lt;kind&gt;1&lt;/kind&gt;&lt;heading&gt;Secondary Sources&lt;/heading&gt;&lt;alignment&gt;-1&lt;/alignment&gt;&lt;records&gt;&lt;/records&gt;&lt;/reference-group&gt;&lt;/reference-groups&gt;"/>
    <w:docVar w:name="EN.UseJSCitationFormat" w:val="False"/>
  </w:docVars>
  <w:rsids>
    <w:rsidRoot w:val="00172A27"/>
    <w:rsid w:val="00001094"/>
    <w:rsid w:val="000022E2"/>
    <w:rsid w:val="000022F8"/>
    <w:rsid w:val="0000289D"/>
    <w:rsid w:val="00003974"/>
    <w:rsid w:val="00003D60"/>
    <w:rsid w:val="00004088"/>
    <w:rsid w:val="0000433F"/>
    <w:rsid w:val="00004DDB"/>
    <w:rsid w:val="00006CC5"/>
    <w:rsid w:val="000110D1"/>
    <w:rsid w:val="000113C3"/>
    <w:rsid w:val="000115DF"/>
    <w:rsid w:val="0001294D"/>
    <w:rsid w:val="00012E27"/>
    <w:rsid w:val="000133B4"/>
    <w:rsid w:val="00013BC9"/>
    <w:rsid w:val="00014CA0"/>
    <w:rsid w:val="0001623D"/>
    <w:rsid w:val="0001763B"/>
    <w:rsid w:val="0002078A"/>
    <w:rsid w:val="0002149E"/>
    <w:rsid w:val="00022041"/>
    <w:rsid w:val="000220FB"/>
    <w:rsid w:val="00025817"/>
    <w:rsid w:val="00025BEF"/>
    <w:rsid w:val="00030FE7"/>
    <w:rsid w:val="000314E5"/>
    <w:rsid w:val="00031749"/>
    <w:rsid w:val="0003235A"/>
    <w:rsid w:val="000324FD"/>
    <w:rsid w:val="00033004"/>
    <w:rsid w:val="000337FE"/>
    <w:rsid w:val="0003412C"/>
    <w:rsid w:val="0003428F"/>
    <w:rsid w:val="00034726"/>
    <w:rsid w:val="000359A9"/>
    <w:rsid w:val="000359E7"/>
    <w:rsid w:val="00035E37"/>
    <w:rsid w:val="000406B6"/>
    <w:rsid w:val="00044ECC"/>
    <w:rsid w:val="00046727"/>
    <w:rsid w:val="0004692E"/>
    <w:rsid w:val="0005093B"/>
    <w:rsid w:val="000555FD"/>
    <w:rsid w:val="000567B0"/>
    <w:rsid w:val="0006016B"/>
    <w:rsid w:val="00060576"/>
    <w:rsid w:val="0006078B"/>
    <w:rsid w:val="00061A7A"/>
    <w:rsid w:val="00062BFC"/>
    <w:rsid w:val="00063170"/>
    <w:rsid w:val="000648A2"/>
    <w:rsid w:val="00067C88"/>
    <w:rsid w:val="00070362"/>
    <w:rsid w:val="00070B3B"/>
    <w:rsid w:val="00070C0B"/>
    <w:rsid w:val="00071D9F"/>
    <w:rsid w:val="00072068"/>
    <w:rsid w:val="00075221"/>
    <w:rsid w:val="00075A5F"/>
    <w:rsid w:val="00075ACD"/>
    <w:rsid w:val="000770F6"/>
    <w:rsid w:val="0007790D"/>
    <w:rsid w:val="000800F9"/>
    <w:rsid w:val="00081311"/>
    <w:rsid w:val="00081822"/>
    <w:rsid w:val="00081C24"/>
    <w:rsid w:val="00084850"/>
    <w:rsid w:val="000849A6"/>
    <w:rsid w:val="00087DB8"/>
    <w:rsid w:val="000906E8"/>
    <w:rsid w:val="00091BBF"/>
    <w:rsid w:val="00091CC0"/>
    <w:rsid w:val="00091D74"/>
    <w:rsid w:val="0009309A"/>
    <w:rsid w:val="000940C1"/>
    <w:rsid w:val="00095BCB"/>
    <w:rsid w:val="00096E7A"/>
    <w:rsid w:val="000A0356"/>
    <w:rsid w:val="000A10C8"/>
    <w:rsid w:val="000A29CA"/>
    <w:rsid w:val="000A46E6"/>
    <w:rsid w:val="000A63AD"/>
    <w:rsid w:val="000A6F82"/>
    <w:rsid w:val="000A7F47"/>
    <w:rsid w:val="000B14EA"/>
    <w:rsid w:val="000B155E"/>
    <w:rsid w:val="000B1C44"/>
    <w:rsid w:val="000B2556"/>
    <w:rsid w:val="000B25C3"/>
    <w:rsid w:val="000B2AA6"/>
    <w:rsid w:val="000B2E44"/>
    <w:rsid w:val="000B32A5"/>
    <w:rsid w:val="000B3648"/>
    <w:rsid w:val="000B4750"/>
    <w:rsid w:val="000B6A17"/>
    <w:rsid w:val="000B6D1B"/>
    <w:rsid w:val="000B7B45"/>
    <w:rsid w:val="000B7BF6"/>
    <w:rsid w:val="000C0F1C"/>
    <w:rsid w:val="000C20F1"/>
    <w:rsid w:val="000C4B49"/>
    <w:rsid w:val="000D05ED"/>
    <w:rsid w:val="000D0A17"/>
    <w:rsid w:val="000D11F5"/>
    <w:rsid w:val="000D1E08"/>
    <w:rsid w:val="000D2AB5"/>
    <w:rsid w:val="000D2C1B"/>
    <w:rsid w:val="000D54AC"/>
    <w:rsid w:val="000D604F"/>
    <w:rsid w:val="000D6102"/>
    <w:rsid w:val="000D61D8"/>
    <w:rsid w:val="000D704A"/>
    <w:rsid w:val="000E15DD"/>
    <w:rsid w:val="000E1B90"/>
    <w:rsid w:val="000E273B"/>
    <w:rsid w:val="000E281D"/>
    <w:rsid w:val="000E359F"/>
    <w:rsid w:val="000E3615"/>
    <w:rsid w:val="000E4C10"/>
    <w:rsid w:val="000E57EC"/>
    <w:rsid w:val="000E63B9"/>
    <w:rsid w:val="000E6999"/>
    <w:rsid w:val="000E6DF4"/>
    <w:rsid w:val="000F17F5"/>
    <w:rsid w:val="000F18BD"/>
    <w:rsid w:val="000F19EB"/>
    <w:rsid w:val="000F1B90"/>
    <w:rsid w:val="000F1ECB"/>
    <w:rsid w:val="000F6928"/>
    <w:rsid w:val="00100653"/>
    <w:rsid w:val="0010287B"/>
    <w:rsid w:val="0010441C"/>
    <w:rsid w:val="00104948"/>
    <w:rsid w:val="001051CE"/>
    <w:rsid w:val="00105BC0"/>
    <w:rsid w:val="00106242"/>
    <w:rsid w:val="001074C2"/>
    <w:rsid w:val="0010752C"/>
    <w:rsid w:val="00107C88"/>
    <w:rsid w:val="00107D9B"/>
    <w:rsid w:val="00107E3B"/>
    <w:rsid w:val="001105F4"/>
    <w:rsid w:val="00110776"/>
    <w:rsid w:val="00112252"/>
    <w:rsid w:val="0011399E"/>
    <w:rsid w:val="001142ED"/>
    <w:rsid w:val="00116AFC"/>
    <w:rsid w:val="001177FC"/>
    <w:rsid w:val="00121F07"/>
    <w:rsid w:val="00122F02"/>
    <w:rsid w:val="00126E20"/>
    <w:rsid w:val="001272E4"/>
    <w:rsid w:val="001278E6"/>
    <w:rsid w:val="00130D5A"/>
    <w:rsid w:val="0013187F"/>
    <w:rsid w:val="00131A69"/>
    <w:rsid w:val="00131E9D"/>
    <w:rsid w:val="0013207C"/>
    <w:rsid w:val="001334E4"/>
    <w:rsid w:val="00134309"/>
    <w:rsid w:val="00134CCA"/>
    <w:rsid w:val="00135076"/>
    <w:rsid w:val="00135D68"/>
    <w:rsid w:val="00136E76"/>
    <w:rsid w:val="001376BC"/>
    <w:rsid w:val="00137A0C"/>
    <w:rsid w:val="00137C8B"/>
    <w:rsid w:val="00140657"/>
    <w:rsid w:val="00142513"/>
    <w:rsid w:val="00142E8E"/>
    <w:rsid w:val="0014394F"/>
    <w:rsid w:val="00145738"/>
    <w:rsid w:val="001465C5"/>
    <w:rsid w:val="001478FE"/>
    <w:rsid w:val="0015035D"/>
    <w:rsid w:val="00151D0D"/>
    <w:rsid w:val="00151D6F"/>
    <w:rsid w:val="00153A7D"/>
    <w:rsid w:val="001543C0"/>
    <w:rsid w:val="0015516B"/>
    <w:rsid w:val="00155648"/>
    <w:rsid w:val="0015573E"/>
    <w:rsid w:val="001577AB"/>
    <w:rsid w:val="00157D28"/>
    <w:rsid w:val="001602FB"/>
    <w:rsid w:val="00162DB5"/>
    <w:rsid w:val="00162DE6"/>
    <w:rsid w:val="0016325C"/>
    <w:rsid w:val="00163EA8"/>
    <w:rsid w:val="00165BD4"/>
    <w:rsid w:val="00166561"/>
    <w:rsid w:val="00167A94"/>
    <w:rsid w:val="00167C6A"/>
    <w:rsid w:val="00172A27"/>
    <w:rsid w:val="001746A8"/>
    <w:rsid w:val="00175ABF"/>
    <w:rsid w:val="00176AE1"/>
    <w:rsid w:val="00176AF9"/>
    <w:rsid w:val="00177BEF"/>
    <w:rsid w:val="00186BEB"/>
    <w:rsid w:val="001872F6"/>
    <w:rsid w:val="0019259C"/>
    <w:rsid w:val="00193360"/>
    <w:rsid w:val="00193535"/>
    <w:rsid w:val="00193CDE"/>
    <w:rsid w:val="0019521B"/>
    <w:rsid w:val="0019590F"/>
    <w:rsid w:val="00196BE5"/>
    <w:rsid w:val="00197B4E"/>
    <w:rsid w:val="001A1F06"/>
    <w:rsid w:val="001A2187"/>
    <w:rsid w:val="001A5162"/>
    <w:rsid w:val="001A53F9"/>
    <w:rsid w:val="001A7852"/>
    <w:rsid w:val="001B3D06"/>
    <w:rsid w:val="001B6E26"/>
    <w:rsid w:val="001B7B77"/>
    <w:rsid w:val="001C0027"/>
    <w:rsid w:val="001C3442"/>
    <w:rsid w:val="001C3D60"/>
    <w:rsid w:val="001C4885"/>
    <w:rsid w:val="001C6A81"/>
    <w:rsid w:val="001C7443"/>
    <w:rsid w:val="001C795B"/>
    <w:rsid w:val="001D01CE"/>
    <w:rsid w:val="001D0A78"/>
    <w:rsid w:val="001D59FC"/>
    <w:rsid w:val="001D5CBF"/>
    <w:rsid w:val="001D60C5"/>
    <w:rsid w:val="001D7587"/>
    <w:rsid w:val="001D7685"/>
    <w:rsid w:val="001E1755"/>
    <w:rsid w:val="001E3CBD"/>
    <w:rsid w:val="001E3FA0"/>
    <w:rsid w:val="001E47C0"/>
    <w:rsid w:val="001E6962"/>
    <w:rsid w:val="001E6DEF"/>
    <w:rsid w:val="001E786E"/>
    <w:rsid w:val="001F0CB7"/>
    <w:rsid w:val="001F3FAD"/>
    <w:rsid w:val="001F537E"/>
    <w:rsid w:val="001F5DBC"/>
    <w:rsid w:val="001F6F94"/>
    <w:rsid w:val="00201A7A"/>
    <w:rsid w:val="00204567"/>
    <w:rsid w:val="00206A4B"/>
    <w:rsid w:val="00207421"/>
    <w:rsid w:val="00207D10"/>
    <w:rsid w:val="00210B0D"/>
    <w:rsid w:val="002116D1"/>
    <w:rsid w:val="002126C4"/>
    <w:rsid w:val="00212D42"/>
    <w:rsid w:val="00214204"/>
    <w:rsid w:val="0021491A"/>
    <w:rsid w:val="00214E19"/>
    <w:rsid w:val="00217E0F"/>
    <w:rsid w:val="00217FDD"/>
    <w:rsid w:val="00220E7C"/>
    <w:rsid w:val="0022177D"/>
    <w:rsid w:val="00224283"/>
    <w:rsid w:val="00224DF4"/>
    <w:rsid w:val="0022605E"/>
    <w:rsid w:val="002262AC"/>
    <w:rsid w:val="00227276"/>
    <w:rsid w:val="002276FE"/>
    <w:rsid w:val="00227986"/>
    <w:rsid w:val="00231A7B"/>
    <w:rsid w:val="00233386"/>
    <w:rsid w:val="0023361D"/>
    <w:rsid w:val="00233631"/>
    <w:rsid w:val="00234A9F"/>
    <w:rsid w:val="00235705"/>
    <w:rsid w:val="00237B85"/>
    <w:rsid w:val="002410A7"/>
    <w:rsid w:val="00241922"/>
    <w:rsid w:val="0024198A"/>
    <w:rsid w:val="0024198E"/>
    <w:rsid w:val="00242A40"/>
    <w:rsid w:val="00244680"/>
    <w:rsid w:val="00244CD6"/>
    <w:rsid w:val="00244E3E"/>
    <w:rsid w:val="0024645B"/>
    <w:rsid w:val="00250518"/>
    <w:rsid w:val="00251436"/>
    <w:rsid w:val="00251EFF"/>
    <w:rsid w:val="00253928"/>
    <w:rsid w:val="00261508"/>
    <w:rsid w:val="00262499"/>
    <w:rsid w:val="00262E92"/>
    <w:rsid w:val="00263E3C"/>
    <w:rsid w:val="002643D1"/>
    <w:rsid w:val="002655B2"/>
    <w:rsid w:val="00267CBF"/>
    <w:rsid w:val="00270791"/>
    <w:rsid w:val="00272824"/>
    <w:rsid w:val="00272CD6"/>
    <w:rsid w:val="00273726"/>
    <w:rsid w:val="00273E44"/>
    <w:rsid w:val="002740CD"/>
    <w:rsid w:val="0027413E"/>
    <w:rsid w:val="0027435F"/>
    <w:rsid w:val="002745C6"/>
    <w:rsid w:val="00274BAF"/>
    <w:rsid w:val="00275183"/>
    <w:rsid w:val="00275A51"/>
    <w:rsid w:val="00276527"/>
    <w:rsid w:val="002777D0"/>
    <w:rsid w:val="00277BFC"/>
    <w:rsid w:val="00280408"/>
    <w:rsid w:val="00280AB9"/>
    <w:rsid w:val="00281849"/>
    <w:rsid w:val="002822CA"/>
    <w:rsid w:val="00283703"/>
    <w:rsid w:val="002900F8"/>
    <w:rsid w:val="00290CC2"/>
    <w:rsid w:val="00293752"/>
    <w:rsid w:val="00294B0E"/>
    <w:rsid w:val="00295A4C"/>
    <w:rsid w:val="002963CC"/>
    <w:rsid w:val="00296A7E"/>
    <w:rsid w:val="00297E42"/>
    <w:rsid w:val="002A0190"/>
    <w:rsid w:val="002A0CD8"/>
    <w:rsid w:val="002A24CA"/>
    <w:rsid w:val="002A3275"/>
    <w:rsid w:val="002A4BDF"/>
    <w:rsid w:val="002A4FA7"/>
    <w:rsid w:val="002A4FFD"/>
    <w:rsid w:val="002A5FD0"/>
    <w:rsid w:val="002A68D5"/>
    <w:rsid w:val="002A7265"/>
    <w:rsid w:val="002A7E95"/>
    <w:rsid w:val="002B1D80"/>
    <w:rsid w:val="002B22E3"/>
    <w:rsid w:val="002B2D1F"/>
    <w:rsid w:val="002B300B"/>
    <w:rsid w:val="002B3255"/>
    <w:rsid w:val="002B5736"/>
    <w:rsid w:val="002B68DE"/>
    <w:rsid w:val="002C1F6C"/>
    <w:rsid w:val="002C31AD"/>
    <w:rsid w:val="002C330E"/>
    <w:rsid w:val="002C5331"/>
    <w:rsid w:val="002C5D0C"/>
    <w:rsid w:val="002C6D35"/>
    <w:rsid w:val="002C7FA0"/>
    <w:rsid w:val="002D099F"/>
    <w:rsid w:val="002D3D9D"/>
    <w:rsid w:val="002D3DB6"/>
    <w:rsid w:val="002D6741"/>
    <w:rsid w:val="002E074D"/>
    <w:rsid w:val="002E10CF"/>
    <w:rsid w:val="002E245A"/>
    <w:rsid w:val="002E4764"/>
    <w:rsid w:val="002F089E"/>
    <w:rsid w:val="002F0CEB"/>
    <w:rsid w:val="002F2DC5"/>
    <w:rsid w:val="002F3717"/>
    <w:rsid w:val="002F49E3"/>
    <w:rsid w:val="002F4E0F"/>
    <w:rsid w:val="002F650F"/>
    <w:rsid w:val="00300960"/>
    <w:rsid w:val="00300C50"/>
    <w:rsid w:val="00303A77"/>
    <w:rsid w:val="00305609"/>
    <w:rsid w:val="0031221E"/>
    <w:rsid w:val="00312496"/>
    <w:rsid w:val="003158BF"/>
    <w:rsid w:val="00315D0B"/>
    <w:rsid w:val="003166DC"/>
    <w:rsid w:val="00316ADC"/>
    <w:rsid w:val="00320D3A"/>
    <w:rsid w:val="00320E4A"/>
    <w:rsid w:val="003218DA"/>
    <w:rsid w:val="00321B44"/>
    <w:rsid w:val="0032279C"/>
    <w:rsid w:val="0032375E"/>
    <w:rsid w:val="00325DD2"/>
    <w:rsid w:val="00326320"/>
    <w:rsid w:val="00326A9A"/>
    <w:rsid w:val="0032792F"/>
    <w:rsid w:val="00331287"/>
    <w:rsid w:val="00332A15"/>
    <w:rsid w:val="003331E3"/>
    <w:rsid w:val="00333A99"/>
    <w:rsid w:val="003350C0"/>
    <w:rsid w:val="00335B9E"/>
    <w:rsid w:val="003364B5"/>
    <w:rsid w:val="00343B1B"/>
    <w:rsid w:val="00343C7A"/>
    <w:rsid w:val="00343EF7"/>
    <w:rsid w:val="00344031"/>
    <w:rsid w:val="00344765"/>
    <w:rsid w:val="00350A69"/>
    <w:rsid w:val="00351086"/>
    <w:rsid w:val="00353F54"/>
    <w:rsid w:val="0035579A"/>
    <w:rsid w:val="003577D8"/>
    <w:rsid w:val="00360ED3"/>
    <w:rsid w:val="00360F59"/>
    <w:rsid w:val="00362206"/>
    <w:rsid w:val="003638C8"/>
    <w:rsid w:val="00363CE4"/>
    <w:rsid w:val="00364CCF"/>
    <w:rsid w:val="00364D2B"/>
    <w:rsid w:val="00364EFC"/>
    <w:rsid w:val="00370E6C"/>
    <w:rsid w:val="00370FAE"/>
    <w:rsid w:val="0037191A"/>
    <w:rsid w:val="003722A1"/>
    <w:rsid w:val="0037294A"/>
    <w:rsid w:val="003735FA"/>
    <w:rsid w:val="0037517F"/>
    <w:rsid w:val="003762AE"/>
    <w:rsid w:val="003808ED"/>
    <w:rsid w:val="00383EBA"/>
    <w:rsid w:val="003854E3"/>
    <w:rsid w:val="003867E1"/>
    <w:rsid w:val="00386905"/>
    <w:rsid w:val="003913A9"/>
    <w:rsid w:val="003917D2"/>
    <w:rsid w:val="00392CC6"/>
    <w:rsid w:val="00393897"/>
    <w:rsid w:val="00393A89"/>
    <w:rsid w:val="00394425"/>
    <w:rsid w:val="00394DFA"/>
    <w:rsid w:val="003961BB"/>
    <w:rsid w:val="003966E1"/>
    <w:rsid w:val="00396848"/>
    <w:rsid w:val="003A49FE"/>
    <w:rsid w:val="003A521A"/>
    <w:rsid w:val="003A545A"/>
    <w:rsid w:val="003A57D3"/>
    <w:rsid w:val="003A5C2D"/>
    <w:rsid w:val="003A736A"/>
    <w:rsid w:val="003A7B85"/>
    <w:rsid w:val="003B06B8"/>
    <w:rsid w:val="003B0C15"/>
    <w:rsid w:val="003B0D26"/>
    <w:rsid w:val="003B1FE9"/>
    <w:rsid w:val="003B2776"/>
    <w:rsid w:val="003B4576"/>
    <w:rsid w:val="003B493F"/>
    <w:rsid w:val="003B5A7B"/>
    <w:rsid w:val="003B7BB4"/>
    <w:rsid w:val="003C6C3F"/>
    <w:rsid w:val="003D0249"/>
    <w:rsid w:val="003D12E0"/>
    <w:rsid w:val="003D341B"/>
    <w:rsid w:val="003D4034"/>
    <w:rsid w:val="003D4926"/>
    <w:rsid w:val="003D4B63"/>
    <w:rsid w:val="003D4E8C"/>
    <w:rsid w:val="003D5EF8"/>
    <w:rsid w:val="003D6140"/>
    <w:rsid w:val="003D6403"/>
    <w:rsid w:val="003D6F13"/>
    <w:rsid w:val="003D7085"/>
    <w:rsid w:val="003E0306"/>
    <w:rsid w:val="003E0BAC"/>
    <w:rsid w:val="003E23B3"/>
    <w:rsid w:val="003E2490"/>
    <w:rsid w:val="003E2B78"/>
    <w:rsid w:val="003E2D1E"/>
    <w:rsid w:val="003E4107"/>
    <w:rsid w:val="003E6317"/>
    <w:rsid w:val="003E6BE5"/>
    <w:rsid w:val="003E76E7"/>
    <w:rsid w:val="003F1FB0"/>
    <w:rsid w:val="003F28A2"/>
    <w:rsid w:val="003F42E6"/>
    <w:rsid w:val="003F5823"/>
    <w:rsid w:val="003F5BEE"/>
    <w:rsid w:val="003F6B42"/>
    <w:rsid w:val="003F760C"/>
    <w:rsid w:val="003F7E7A"/>
    <w:rsid w:val="004001E0"/>
    <w:rsid w:val="004020BD"/>
    <w:rsid w:val="00402CB0"/>
    <w:rsid w:val="00403B10"/>
    <w:rsid w:val="00407468"/>
    <w:rsid w:val="00407833"/>
    <w:rsid w:val="004108F4"/>
    <w:rsid w:val="0041227C"/>
    <w:rsid w:val="004135FA"/>
    <w:rsid w:val="00414DD0"/>
    <w:rsid w:val="00414E50"/>
    <w:rsid w:val="00416C8F"/>
    <w:rsid w:val="004171F1"/>
    <w:rsid w:val="00420328"/>
    <w:rsid w:val="00422415"/>
    <w:rsid w:val="00422B90"/>
    <w:rsid w:val="0042436D"/>
    <w:rsid w:val="00424571"/>
    <w:rsid w:val="00425B90"/>
    <w:rsid w:val="004267C9"/>
    <w:rsid w:val="00427871"/>
    <w:rsid w:val="00430133"/>
    <w:rsid w:val="004308EF"/>
    <w:rsid w:val="00430FD0"/>
    <w:rsid w:val="004324C6"/>
    <w:rsid w:val="00433791"/>
    <w:rsid w:val="00433BFA"/>
    <w:rsid w:val="00434998"/>
    <w:rsid w:val="00436191"/>
    <w:rsid w:val="004405E7"/>
    <w:rsid w:val="004412FD"/>
    <w:rsid w:val="00442066"/>
    <w:rsid w:val="0044338E"/>
    <w:rsid w:val="004436BF"/>
    <w:rsid w:val="00444749"/>
    <w:rsid w:val="0044747C"/>
    <w:rsid w:val="004476FC"/>
    <w:rsid w:val="00447A0F"/>
    <w:rsid w:val="00450290"/>
    <w:rsid w:val="00452581"/>
    <w:rsid w:val="004540DB"/>
    <w:rsid w:val="00456804"/>
    <w:rsid w:val="00456CA8"/>
    <w:rsid w:val="004577A5"/>
    <w:rsid w:val="00460E67"/>
    <w:rsid w:val="004620A5"/>
    <w:rsid w:val="0046361C"/>
    <w:rsid w:val="0046707E"/>
    <w:rsid w:val="00467842"/>
    <w:rsid w:val="00470581"/>
    <w:rsid w:val="00471CD1"/>
    <w:rsid w:val="00471D91"/>
    <w:rsid w:val="00472366"/>
    <w:rsid w:val="0047417F"/>
    <w:rsid w:val="0047438A"/>
    <w:rsid w:val="00475114"/>
    <w:rsid w:val="0047582D"/>
    <w:rsid w:val="00475A40"/>
    <w:rsid w:val="00476561"/>
    <w:rsid w:val="00476E88"/>
    <w:rsid w:val="00477816"/>
    <w:rsid w:val="004817B6"/>
    <w:rsid w:val="00483D7C"/>
    <w:rsid w:val="00485408"/>
    <w:rsid w:val="00485917"/>
    <w:rsid w:val="0048611F"/>
    <w:rsid w:val="004861B8"/>
    <w:rsid w:val="004875C1"/>
    <w:rsid w:val="0049023F"/>
    <w:rsid w:val="00491172"/>
    <w:rsid w:val="0049454A"/>
    <w:rsid w:val="00495889"/>
    <w:rsid w:val="004A0195"/>
    <w:rsid w:val="004A2BE6"/>
    <w:rsid w:val="004A4147"/>
    <w:rsid w:val="004A4877"/>
    <w:rsid w:val="004A4CC9"/>
    <w:rsid w:val="004A4F19"/>
    <w:rsid w:val="004A5438"/>
    <w:rsid w:val="004A66F3"/>
    <w:rsid w:val="004A73C4"/>
    <w:rsid w:val="004B1570"/>
    <w:rsid w:val="004B2840"/>
    <w:rsid w:val="004B2B90"/>
    <w:rsid w:val="004B56B4"/>
    <w:rsid w:val="004B68FF"/>
    <w:rsid w:val="004B6982"/>
    <w:rsid w:val="004B7839"/>
    <w:rsid w:val="004C04D4"/>
    <w:rsid w:val="004C12C8"/>
    <w:rsid w:val="004C2694"/>
    <w:rsid w:val="004C2DBE"/>
    <w:rsid w:val="004C5383"/>
    <w:rsid w:val="004C5D95"/>
    <w:rsid w:val="004C6EF9"/>
    <w:rsid w:val="004D004A"/>
    <w:rsid w:val="004D0191"/>
    <w:rsid w:val="004D3133"/>
    <w:rsid w:val="004D3FB7"/>
    <w:rsid w:val="004D7A20"/>
    <w:rsid w:val="004D7F7E"/>
    <w:rsid w:val="004E0080"/>
    <w:rsid w:val="004E01AE"/>
    <w:rsid w:val="004E1A35"/>
    <w:rsid w:val="004E48E8"/>
    <w:rsid w:val="004E50FF"/>
    <w:rsid w:val="004E70DF"/>
    <w:rsid w:val="004F0285"/>
    <w:rsid w:val="004F0F67"/>
    <w:rsid w:val="004F1572"/>
    <w:rsid w:val="004F2C0B"/>
    <w:rsid w:val="004F2D0D"/>
    <w:rsid w:val="004F2F89"/>
    <w:rsid w:val="004F3C7C"/>
    <w:rsid w:val="004F3EBF"/>
    <w:rsid w:val="004F41DA"/>
    <w:rsid w:val="004F5749"/>
    <w:rsid w:val="004F585B"/>
    <w:rsid w:val="004F5B49"/>
    <w:rsid w:val="004F71F7"/>
    <w:rsid w:val="004F7C1F"/>
    <w:rsid w:val="00500184"/>
    <w:rsid w:val="0050047F"/>
    <w:rsid w:val="00500FEA"/>
    <w:rsid w:val="00501A36"/>
    <w:rsid w:val="005028CF"/>
    <w:rsid w:val="00503702"/>
    <w:rsid w:val="00504529"/>
    <w:rsid w:val="005104FE"/>
    <w:rsid w:val="00515D32"/>
    <w:rsid w:val="00516035"/>
    <w:rsid w:val="00516A4C"/>
    <w:rsid w:val="00516EEE"/>
    <w:rsid w:val="00520443"/>
    <w:rsid w:val="00520B68"/>
    <w:rsid w:val="0052291A"/>
    <w:rsid w:val="00522F35"/>
    <w:rsid w:val="005247DC"/>
    <w:rsid w:val="0052518A"/>
    <w:rsid w:val="00525454"/>
    <w:rsid w:val="00526E5C"/>
    <w:rsid w:val="00527DD7"/>
    <w:rsid w:val="00527F64"/>
    <w:rsid w:val="005304A1"/>
    <w:rsid w:val="00531394"/>
    <w:rsid w:val="00532EC8"/>
    <w:rsid w:val="00533020"/>
    <w:rsid w:val="00533ECA"/>
    <w:rsid w:val="00534397"/>
    <w:rsid w:val="005357C7"/>
    <w:rsid w:val="00537DED"/>
    <w:rsid w:val="00541694"/>
    <w:rsid w:val="00541CD2"/>
    <w:rsid w:val="00541CFE"/>
    <w:rsid w:val="00544BFD"/>
    <w:rsid w:val="00545209"/>
    <w:rsid w:val="0054537A"/>
    <w:rsid w:val="00545768"/>
    <w:rsid w:val="00547840"/>
    <w:rsid w:val="005502CC"/>
    <w:rsid w:val="00550950"/>
    <w:rsid w:val="0055297D"/>
    <w:rsid w:val="00554239"/>
    <w:rsid w:val="005543E6"/>
    <w:rsid w:val="00554FD0"/>
    <w:rsid w:val="005551E4"/>
    <w:rsid w:val="005557C7"/>
    <w:rsid w:val="005614D8"/>
    <w:rsid w:val="005641A3"/>
    <w:rsid w:val="00564BA4"/>
    <w:rsid w:val="00564FCF"/>
    <w:rsid w:val="00565965"/>
    <w:rsid w:val="0056708A"/>
    <w:rsid w:val="00567D48"/>
    <w:rsid w:val="005701E7"/>
    <w:rsid w:val="00573B07"/>
    <w:rsid w:val="00573F0C"/>
    <w:rsid w:val="00580E4C"/>
    <w:rsid w:val="0058136D"/>
    <w:rsid w:val="0058206B"/>
    <w:rsid w:val="0058241C"/>
    <w:rsid w:val="00582B15"/>
    <w:rsid w:val="00583529"/>
    <w:rsid w:val="00587C79"/>
    <w:rsid w:val="00590072"/>
    <w:rsid w:val="005902CC"/>
    <w:rsid w:val="00593375"/>
    <w:rsid w:val="00595C5F"/>
    <w:rsid w:val="00595DDD"/>
    <w:rsid w:val="00596DDF"/>
    <w:rsid w:val="00596F29"/>
    <w:rsid w:val="005A0B29"/>
    <w:rsid w:val="005A1141"/>
    <w:rsid w:val="005A131C"/>
    <w:rsid w:val="005A201F"/>
    <w:rsid w:val="005A2199"/>
    <w:rsid w:val="005A3F04"/>
    <w:rsid w:val="005A6D83"/>
    <w:rsid w:val="005A71D4"/>
    <w:rsid w:val="005B0158"/>
    <w:rsid w:val="005B0258"/>
    <w:rsid w:val="005B02AD"/>
    <w:rsid w:val="005B099A"/>
    <w:rsid w:val="005B0D89"/>
    <w:rsid w:val="005B0F72"/>
    <w:rsid w:val="005B1AC2"/>
    <w:rsid w:val="005B3713"/>
    <w:rsid w:val="005B4C4F"/>
    <w:rsid w:val="005B58E2"/>
    <w:rsid w:val="005B5C96"/>
    <w:rsid w:val="005B7454"/>
    <w:rsid w:val="005B7B37"/>
    <w:rsid w:val="005C1DFF"/>
    <w:rsid w:val="005C2474"/>
    <w:rsid w:val="005C30F1"/>
    <w:rsid w:val="005C3A79"/>
    <w:rsid w:val="005C5CCD"/>
    <w:rsid w:val="005C66FC"/>
    <w:rsid w:val="005C71B3"/>
    <w:rsid w:val="005C7641"/>
    <w:rsid w:val="005D0305"/>
    <w:rsid w:val="005D23A3"/>
    <w:rsid w:val="005D3376"/>
    <w:rsid w:val="005D4710"/>
    <w:rsid w:val="005D4960"/>
    <w:rsid w:val="005D5DD3"/>
    <w:rsid w:val="005D7FE6"/>
    <w:rsid w:val="005E1C80"/>
    <w:rsid w:val="005E23B1"/>
    <w:rsid w:val="005E4121"/>
    <w:rsid w:val="005E452B"/>
    <w:rsid w:val="005E488C"/>
    <w:rsid w:val="005E4899"/>
    <w:rsid w:val="005E4CC7"/>
    <w:rsid w:val="005E5D2C"/>
    <w:rsid w:val="005E5F8D"/>
    <w:rsid w:val="005E6578"/>
    <w:rsid w:val="005E6CE7"/>
    <w:rsid w:val="005E6F77"/>
    <w:rsid w:val="005F1A15"/>
    <w:rsid w:val="005F5A9D"/>
    <w:rsid w:val="005F6491"/>
    <w:rsid w:val="0060067B"/>
    <w:rsid w:val="00601F8E"/>
    <w:rsid w:val="006028EB"/>
    <w:rsid w:val="00603C7F"/>
    <w:rsid w:val="006041F4"/>
    <w:rsid w:val="006058C3"/>
    <w:rsid w:val="006073A7"/>
    <w:rsid w:val="00610DCE"/>
    <w:rsid w:val="00612064"/>
    <w:rsid w:val="006128BC"/>
    <w:rsid w:val="00613F0E"/>
    <w:rsid w:val="0061452C"/>
    <w:rsid w:val="00614F20"/>
    <w:rsid w:val="00615D17"/>
    <w:rsid w:val="00617638"/>
    <w:rsid w:val="00617A5C"/>
    <w:rsid w:val="006212A3"/>
    <w:rsid w:val="00621E03"/>
    <w:rsid w:val="00623663"/>
    <w:rsid w:val="00624F5A"/>
    <w:rsid w:val="00625365"/>
    <w:rsid w:val="00625F60"/>
    <w:rsid w:val="00627454"/>
    <w:rsid w:val="00627E6D"/>
    <w:rsid w:val="00631623"/>
    <w:rsid w:val="006358B4"/>
    <w:rsid w:val="00635BE9"/>
    <w:rsid w:val="0063659D"/>
    <w:rsid w:val="00636F2D"/>
    <w:rsid w:val="0064122D"/>
    <w:rsid w:val="006416BE"/>
    <w:rsid w:val="0064575C"/>
    <w:rsid w:val="00645907"/>
    <w:rsid w:val="0064631B"/>
    <w:rsid w:val="00647598"/>
    <w:rsid w:val="00651B87"/>
    <w:rsid w:val="00651C9C"/>
    <w:rsid w:val="00652C51"/>
    <w:rsid w:val="006536D9"/>
    <w:rsid w:val="006549B3"/>
    <w:rsid w:val="0065644D"/>
    <w:rsid w:val="00657258"/>
    <w:rsid w:val="00660125"/>
    <w:rsid w:val="00660461"/>
    <w:rsid w:val="006616A3"/>
    <w:rsid w:val="006624D3"/>
    <w:rsid w:val="0066418C"/>
    <w:rsid w:val="00664F34"/>
    <w:rsid w:val="00665F18"/>
    <w:rsid w:val="00666352"/>
    <w:rsid w:val="00666EB9"/>
    <w:rsid w:val="006674D5"/>
    <w:rsid w:val="00670AD8"/>
    <w:rsid w:val="00670AE7"/>
    <w:rsid w:val="00670BCF"/>
    <w:rsid w:val="00671E81"/>
    <w:rsid w:val="006721F6"/>
    <w:rsid w:val="00672F87"/>
    <w:rsid w:val="00673551"/>
    <w:rsid w:val="00675C9A"/>
    <w:rsid w:val="006764BE"/>
    <w:rsid w:val="00677B0D"/>
    <w:rsid w:val="00681874"/>
    <w:rsid w:val="00682F6C"/>
    <w:rsid w:val="00683B52"/>
    <w:rsid w:val="00683DF0"/>
    <w:rsid w:val="00684136"/>
    <w:rsid w:val="006843D6"/>
    <w:rsid w:val="00684566"/>
    <w:rsid w:val="00684D20"/>
    <w:rsid w:val="006859C3"/>
    <w:rsid w:val="00686C1A"/>
    <w:rsid w:val="00687118"/>
    <w:rsid w:val="00687AAF"/>
    <w:rsid w:val="00690004"/>
    <w:rsid w:val="006911AF"/>
    <w:rsid w:val="006913F4"/>
    <w:rsid w:val="0069264D"/>
    <w:rsid w:val="006937E2"/>
    <w:rsid w:val="00695B77"/>
    <w:rsid w:val="00696A53"/>
    <w:rsid w:val="006A0B97"/>
    <w:rsid w:val="006A2914"/>
    <w:rsid w:val="006A2CEF"/>
    <w:rsid w:val="006A3B73"/>
    <w:rsid w:val="006A400B"/>
    <w:rsid w:val="006A7618"/>
    <w:rsid w:val="006A76D9"/>
    <w:rsid w:val="006B047D"/>
    <w:rsid w:val="006B074D"/>
    <w:rsid w:val="006B1FFC"/>
    <w:rsid w:val="006B2365"/>
    <w:rsid w:val="006B25A2"/>
    <w:rsid w:val="006B4C64"/>
    <w:rsid w:val="006B6982"/>
    <w:rsid w:val="006B758A"/>
    <w:rsid w:val="006C1FE7"/>
    <w:rsid w:val="006C2152"/>
    <w:rsid w:val="006C2925"/>
    <w:rsid w:val="006C39FF"/>
    <w:rsid w:val="006C420F"/>
    <w:rsid w:val="006C530B"/>
    <w:rsid w:val="006C571F"/>
    <w:rsid w:val="006C5EE8"/>
    <w:rsid w:val="006C613E"/>
    <w:rsid w:val="006C6700"/>
    <w:rsid w:val="006C6B37"/>
    <w:rsid w:val="006C7C93"/>
    <w:rsid w:val="006C7E73"/>
    <w:rsid w:val="006D0430"/>
    <w:rsid w:val="006D0D5B"/>
    <w:rsid w:val="006D34DF"/>
    <w:rsid w:val="006D51FA"/>
    <w:rsid w:val="006D5AB0"/>
    <w:rsid w:val="006E054A"/>
    <w:rsid w:val="006E151B"/>
    <w:rsid w:val="006E1E2B"/>
    <w:rsid w:val="006E3861"/>
    <w:rsid w:val="006E6516"/>
    <w:rsid w:val="006E7C3F"/>
    <w:rsid w:val="006F2509"/>
    <w:rsid w:val="006F2AAF"/>
    <w:rsid w:val="006F2D06"/>
    <w:rsid w:val="006F51B0"/>
    <w:rsid w:val="006F742D"/>
    <w:rsid w:val="00700D89"/>
    <w:rsid w:val="00701D2A"/>
    <w:rsid w:val="00702D03"/>
    <w:rsid w:val="00704AEF"/>
    <w:rsid w:val="00705F88"/>
    <w:rsid w:val="00707603"/>
    <w:rsid w:val="00710427"/>
    <w:rsid w:val="007105E7"/>
    <w:rsid w:val="00712B91"/>
    <w:rsid w:val="007140F2"/>
    <w:rsid w:val="00714FA4"/>
    <w:rsid w:val="0071502F"/>
    <w:rsid w:val="00715330"/>
    <w:rsid w:val="0071599F"/>
    <w:rsid w:val="00715E7D"/>
    <w:rsid w:val="007162E3"/>
    <w:rsid w:val="00717A58"/>
    <w:rsid w:val="00720524"/>
    <w:rsid w:val="00720B9D"/>
    <w:rsid w:val="007264D6"/>
    <w:rsid w:val="0072737A"/>
    <w:rsid w:val="00730FCF"/>
    <w:rsid w:val="00731AF2"/>
    <w:rsid w:val="007324C4"/>
    <w:rsid w:val="0073292D"/>
    <w:rsid w:val="00733524"/>
    <w:rsid w:val="00734CA6"/>
    <w:rsid w:val="0073516F"/>
    <w:rsid w:val="007352DE"/>
    <w:rsid w:val="007353E6"/>
    <w:rsid w:val="00735665"/>
    <w:rsid w:val="007357F5"/>
    <w:rsid w:val="00736ADB"/>
    <w:rsid w:val="007406FB"/>
    <w:rsid w:val="007423E4"/>
    <w:rsid w:val="0074257F"/>
    <w:rsid w:val="00742BE3"/>
    <w:rsid w:val="00742C3D"/>
    <w:rsid w:val="0074650E"/>
    <w:rsid w:val="00746689"/>
    <w:rsid w:val="00746BAE"/>
    <w:rsid w:val="007477BF"/>
    <w:rsid w:val="007505AD"/>
    <w:rsid w:val="007514A5"/>
    <w:rsid w:val="00751A07"/>
    <w:rsid w:val="00751C93"/>
    <w:rsid w:val="00752430"/>
    <w:rsid w:val="00752B7C"/>
    <w:rsid w:val="0075421B"/>
    <w:rsid w:val="00754587"/>
    <w:rsid w:val="0075668C"/>
    <w:rsid w:val="007606A4"/>
    <w:rsid w:val="00762110"/>
    <w:rsid w:val="007642E9"/>
    <w:rsid w:val="00766BF4"/>
    <w:rsid w:val="00766DAB"/>
    <w:rsid w:val="00767459"/>
    <w:rsid w:val="0076751A"/>
    <w:rsid w:val="00770783"/>
    <w:rsid w:val="00772AC6"/>
    <w:rsid w:val="007743F9"/>
    <w:rsid w:val="00774A5C"/>
    <w:rsid w:val="00775920"/>
    <w:rsid w:val="0077595C"/>
    <w:rsid w:val="00780650"/>
    <w:rsid w:val="00781271"/>
    <w:rsid w:val="0078158B"/>
    <w:rsid w:val="00781F99"/>
    <w:rsid w:val="00785D35"/>
    <w:rsid w:val="0079075A"/>
    <w:rsid w:val="007942E5"/>
    <w:rsid w:val="00794948"/>
    <w:rsid w:val="00794BC6"/>
    <w:rsid w:val="00796008"/>
    <w:rsid w:val="007A073F"/>
    <w:rsid w:val="007A0898"/>
    <w:rsid w:val="007A115D"/>
    <w:rsid w:val="007A11BC"/>
    <w:rsid w:val="007A202A"/>
    <w:rsid w:val="007A2F7B"/>
    <w:rsid w:val="007A3FC4"/>
    <w:rsid w:val="007A4E9D"/>
    <w:rsid w:val="007A669F"/>
    <w:rsid w:val="007A71BB"/>
    <w:rsid w:val="007A749E"/>
    <w:rsid w:val="007B07A5"/>
    <w:rsid w:val="007B0BC3"/>
    <w:rsid w:val="007B0D0C"/>
    <w:rsid w:val="007B10E6"/>
    <w:rsid w:val="007B132F"/>
    <w:rsid w:val="007B3F39"/>
    <w:rsid w:val="007B4B22"/>
    <w:rsid w:val="007B503F"/>
    <w:rsid w:val="007B5611"/>
    <w:rsid w:val="007B66A9"/>
    <w:rsid w:val="007B6F8C"/>
    <w:rsid w:val="007B71DE"/>
    <w:rsid w:val="007B7415"/>
    <w:rsid w:val="007B7BDF"/>
    <w:rsid w:val="007C143C"/>
    <w:rsid w:val="007C18EA"/>
    <w:rsid w:val="007C208F"/>
    <w:rsid w:val="007C35DB"/>
    <w:rsid w:val="007C4404"/>
    <w:rsid w:val="007C50F4"/>
    <w:rsid w:val="007C709E"/>
    <w:rsid w:val="007C7395"/>
    <w:rsid w:val="007D01E8"/>
    <w:rsid w:val="007D0BE2"/>
    <w:rsid w:val="007D10E7"/>
    <w:rsid w:val="007D141A"/>
    <w:rsid w:val="007D38E4"/>
    <w:rsid w:val="007D3C1A"/>
    <w:rsid w:val="007D4436"/>
    <w:rsid w:val="007D4514"/>
    <w:rsid w:val="007D4632"/>
    <w:rsid w:val="007D6795"/>
    <w:rsid w:val="007D798E"/>
    <w:rsid w:val="007E29DD"/>
    <w:rsid w:val="007E3A1B"/>
    <w:rsid w:val="007E5538"/>
    <w:rsid w:val="007E60E7"/>
    <w:rsid w:val="007E6223"/>
    <w:rsid w:val="007E6B02"/>
    <w:rsid w:val="007F0683"/>
    <w:rsid w:val="007F06DD"/>
    <w:rsid w:val="007F098B"/>
    <w:rsid w:val="007F0C1C"/>
    <w:rsid w:val="007F4A96"/>
    <w:rsid w:val="007F50A8"/>
    <w:rsid w:val="007F6633"/>
    <w:rsid w:val="008007F8"/>
    <w:rsid w:val="00800A84"/>
    <w:rsid w:val="00800DBD"/>
    <w:rsid w:val="00802803"/>
    <w:rsid w:val="00803A8A"/>
    <w:rsid w:val="00803AF8"/>
    <w:rsid w:val="00803F4F"/>
    <w:rsid w:val="00804597"/>
    <w:rsid w:val="0080480F"/>
    <w:rsid w:val="00804F1D"/>
    <w:rsid w:val="008072AA"/>
    <w:rsid w:val="00810C4D"/>
    <w:rsid w:val="008112B1"/>
    <w:rsid w:val="00811746"/>
    <w:rsid w:val="008153A5"/>
    <w:rsid w:val="00816F30"/>
    <w:rsid w:val="00817464"/>
    <w:rsid w:val="00822971"/>
    <w:rsid w:val="00823A9C"/>
    <w:rsid w:val="00823BAD"/>
    <w:rsid w:val="00824B36"/>
    <w:rsid w:val="00824D17"/>
    <w:rsid w:val="00825B3F"/>
    <w:rsid w:val="00826452"/>
    <w:rsid w:val="00826F8C"/>
    <w:rsid w:val="00827B3A"/>
    <w:rsid w:val="00830439"/>
    <w:rsid w:val="00831C7F"/>
    <w:rsid w:val="00831DBB"/>
    <w:rsid w:val="008329CA"/>
    <w:rsid w:val="008331B7"/>
    <w:rsid w:val="008336A3"/>
    <w:rsid w:val="008358BE"/>
    <w:rsid w:val="00835924"/>
    <w:rsid w:val="0084026F"/>
    <w:rsid w:val="00840907"/>
    <w:rsid w:val="0084131A"/>
    <w:rsid w:val="008424A5"/>
    <w:rsid w:val="00843023"/>
    <w:rsid w:val="0084345F"/>
    <w:rsid w:val="00843832"/>
    <w:rsid w:val="00844136"/>
    <w:rsid w:val="00846372"/>
    <w:rsid w:val="0085018C"/>
    <w:rsid w:val="00852214"/>
    <w:rsid w:val="008522AF"/>
    <w:rsid w:val="00856A7C"/>
    <w:rsid w:val="00856C43"/>
    <w:rsid w:val="00860305"/>
    <w:rsid w:val="008612D3"/>
    <w:rsid w:val="00861FAD"/>
    <w:rsid w:val="008627A0"/>
    <w:rsid w:val="00862A48"/>
    <w:rsid w:val="00862D15"/>
    <w:rsid w:val="00862E64"/>
    <w:rsid w:val="008651C6"/>
    <w:rsid w:val="008653A2"/>
    <w:rsid w:val="00865D93"/>
    <w:rsid w:val="00866826"/>
    <w:rsid w:val="00870F06"/>
    <w:rsid w:val="00872A53"/>
    <w:rsid w:val="0087489A"/>
    <w:rsid w:val="008752EB"/>
    <w:rsid w:val="00876E2A"/>
    <w:rsid w:val="0087792D"/>
    <w:rsid w:val="00877D1F"/>
    <w:rsid w:val="008804A0"/>
    <w:rsid w:val="00880816"/>
    <w:rsid w:val="008814D2"/>
    <w:rsid w:val="00882775"/>
    <w:rsid w:val="00882843"/>
    <w:rsid w:val="00884535"/>
    <w:rsid w:val="00884933"/>
    <w:rsid w:val="00884ED2"/>
    <w:rsid w:val="00886048"/>
    <w:rsid w:val="008879A8"/>
    <w:rsid w:val="0089110E"/>
    <w:rsid w:val="00893336"/>
    <w:rsid w:val="00893810"/>
    <w:rsid w:val="008947C5"/>
    <w:rsid w:val="00895731"/>
    <w:rsid w:val="00896E47"/>
    <w:rsid w:val="008A06B8"/>
    <w:rsid w:val="008A071E"/>
    <w:rsid w:val="008A1AC8"/>
    <w:rsid w:val="008A2B3C"/>
    <w:rsid w:val="008A4D71"/>
    <w:rsid w:val="008A4DC0"/>
    <w:rsid w:val="008A5015"/>
    <w:rsid w:val="008A6FA8"/>
    <w:rsid w:val="008A7BE7"/>
    <w:rsid w:val="008A7E01"/>
    <w:rsid w:val="008B004C"/>
    <w:rsid w:val="008B04B2"/>
    <w:rsid w:val="008B26C0"/>
    <w:rsid w:val="008B49A1"/>
    <w:rsid w:val="008B5A89"/>
    <w:rsid w:val="008B7332"/>
    <w:rsid w:val="008B7652"/>
    <w:rsid w:val="008C0A4C"/>
    <w:rsid w:val="008C1EB9"/>
    <w:rsid w:val="008C2150"/>
    <w:rsid w:val="008C459B"/>
    <w:rsid w:val="008C4CF5"/>
    <w:rsid w:val="008C4D4B"/>
    <w:rsid w:val="008C55C8"/>
    <w:rsid w:val="008C753D"/>
    <w:rsid w:val="008C76AC"/>
    <w:rsid w:val="008C773F"/>
    <w:rsid w:val="008D008A"/>
    <w:rsid w:val="008D23BE"/>
    <w:rsid w:val="008D3687"/>
    <w:rsid w:val="008D466F"/>
    <w:rsid w:val="008E0563"/>
    <w:rsid w:val="008E0779"/>
    <w:rsid w:val="008E0BA2"/>
    <w:rsid w:val="008E1DDE"/>
    <w:rsid w:val="008E1E20"/>
    <w:rsid w:val="008E3D48"/>
    <w:rsid w:val="008E3E26"/>
    <w:rsid w:val="008E5519"/>
    <w:rsid w:val="008E5BA0"/>
    <w:rsid w:val="008E6511"/>
    <w:rsid w:val="008E73EA"/>
    <w:rsid w:val="008F00B3"/>
    <w:rsid w:val="008F028B"/>
    <w:rsid w:val="008F2ABD"/>
    <w:rsid w:val="008F32C3"/>
    <w:rsid w:val="008F5D4F"/>
    <w:rsid w:val="008F66CD"/>
    <w:rsid w:val="008F7C5C"/>
    <w:rsid w:val="008F7FFA"/>
    <w:rsid w:val="00900F74"/>
    <w:rsid w:val="00903122"/>
    <w:rsid w:val="0090659D"/>
    <w:rsid w:val="00906B4E"/>
    <w:rsid w:val="00907EA5"/>
    <w:rsid w:val="00911691"/>
    <w:rsid w:val="00911731"/>
    <w:rsid w:val="00911F88"/>
    <w:rsid w:val="009121A3"/>
    <w:rsid w:val="0091546C"/>
    <w:rsid w:val="0091584A"/>
    <w:rsid w:val="00915DB9"/>
    <w:rsid w:val="00922289"/>
    <w:rsid w:val="009233EE"/>
    <w:rsid w:val="00923450"/>
    <w:rsid w:val="0092611C"/>
    <w:rsid w:val="009324ED"/>
    <w:rsid w:val="0093273B"/>
    <w:rsid w:val="009339EC"/>
    <w:rsid w:val="009341E6"/>
    <w:rsid w:val="00934C32"/>
    <w:rsid w:val="00934C4D"/>
    <w:rsid w:val="00936FAF"/>
    <w:rsid w:val="0094038C"/>
    <w:rsid w:val="009414CF"/>
    <w:rsid w:val="009416CE"/>
    <w:rsid w:val="00943DF3"/>
    <w:rsid w:val="00944C31"/>
    <w:rsid w:val="00945DF2"/>
    <w:rsid w:val="00945E3A"/>
    <w:rsid w:val="00946334"/>
    <w:rsid w:val="0094658D"/>
    <w:rsid w:val="009467D8"/>
    <w:rsid w:val="00946ABF"/>
    <w:rsid w:val="0095041F"/>
    <w:rsid w:val="00951AA6"/>
    <w:rsid w:val="00954233"/>
    <w:rsid w:val="00960A00"/>
    <w:rsid w:val="00960A57"/>
    <w:rsid w:val="00960D2B"/>
    <w:rsid w:val="009620F4"/>
    <w:rsid w:val="00963673"/>
    <w:rsid w:val="009652AA"/>
    <w:rsid w:val="009654E9"/>
    <w:rsid w:val="00965EFF"/>
    <w:rsid w:val="00966295"/>
    <w:rsid w:val="00966A74"/>
    <w:rsid w:val="00967B29"/>
    <w:rsid w:val="00967C5F"/>
    <w:rsid w:val="00967DC5"/>
    <w:rsid w:val="009732CF"/>
    <w:rsid w:val="00973D56"/>
    <w:rsid w:val="009802FC"/>
    <w:rsid w:val="00980962"/>
    <w:rsid w:val="009813B3"/>
    <w:rsid w:val="00982121"/>
    <w:rsid w:val="00984684"/>
    <w:rsid w:val="00985687"/>
    <w:rsid w:val="009860CF"/>
    <w:rsid w:val="009865A8"/>
    <w:rsid w:val="009869B6"/>
    <w:rsid w:val="00986DB8"/>
    <w:rsid w:val="00987064"/>
    <w:rsid w:val="009900F7"/>
    <w:rsid w:val="009921AF"/>
    <w:rsid w:val="00992776"/>
    <w:rsid w:val="00993B18"/>
    <w:rsid w:val="009940CE"/>
    <w:rsid w:val="009960A3"/>
    <w:rsid w:val="00996B16"/>
    <w:rsid w:val="0099730A"/>
    <w:rsid w:val="009A0B67"/>
    <w:rsid w:val="009A0C6E"/>
    <w:rsid w:val="009A1603"/>
    <w:rsid w:val="009A1D98"/>
    <w:rsid w:val="009A2ABE"/>
    <w:rsid w:val="009A2EED"/>
    <w:rsid w:val="009A3BCF"/>
    <w:rsid w:val="009A766D"/>
    <w:rsid w:val="009B13D5"/>
    <w:rsid w:val="009B1484"/>
    <w:rsid w:val="009B376F"/>
    <w:rsid w:val="009B4DF2"/>
    <w:rsid w:val="009B62F6"/>
    <w:rsid w:val="009B6DC3"/>
    <w:rsid w:val="009B6E81"/>
    <w:rsid w:val="009C0762"/>
    <w:rsid w:val="009C08D1"/>
    <w:rsid w:val="009C0D34"/>
    <w:rsid w:val="009C1D08"/>
    <w:rsid w:val="009C283A"/>
    <w:rsid w:val="009C4863"/>
    <w:rsid w:val="009C5184"/>
    <w:rsid w:val="009C54C3"/>
    <w:rsid w:val="009C67BD"/>
    <w:rsid w:val="009C7205"/>
    <w:rsid w:val="009C745B"/>
    <w:rsid w:val="009C79FF"/>
    <w:rsid w:val="009D09A1"/>
    <w:rsid w:val="009D0EDB"/>
    <w:rsid w:val="009D12BC"/>
    <w:rsid w:val="009D2090"/>
    <w:rsid w:val="009D364B"/>
    <w:rsid w:val="009D3714"/>
    <w:rsid w:val="009D41C8"/>
    <w:rsid w:val="009D573A"/>
    <w:rsid w:val="009D7D7D"/>
    <w:rsid w:val="009E387D"/>
    <w:rsid w:val="009E53F7"/>
    <w:rsid w:val="009E7852"/>
    <w:rsid w:val="009E7E5A"/>
    <w:rsid w:val="009F0EFD"/>
    <w:rsid w:val="009F1C30"/>
    <w:rsid w:val="009F27F3"/>
    <w:rsid w:val="009F3CAC"/>
    <w:rsid w:val="009F4D37"/>
    <w:rsid w:val="009F601D"/>
    <w:rsid w:val="00A02BA7"/>
    <w:rsid w:val="00A050BA"/>
    <w:rsid w:val="00A06A60"/>
    <w:rsid w:val="00A07EE2"/>
    <w:rsid w:val="00A1182A"/>
    <w:rsid w:val="00A12FC6"/>
    <w:rsid w:val="00A130A5"/>
    <w:rsid w:val="00A14B4A"/>
    <w:rsid w:val="00A205C6"/>
    <w:rsid w:val="00A20989"/>
    <w:rsid w:val="00A21694"/>
    <w:rsid w:val="00A22713"/>
    <w:rsid w:val="00A22CD9"/>
    <w:rsid w:val="00A2354B"/>
    <w:rsid w:val="00A243EA"/>
    <w:rsid w:val="00A24BDA"/>
    <w:rsid w:val="00A2512A"/>
    <w:rsid w:val="00A251C4"/>
    <w:rsid w:val="00A253DD"/>
    <w:rsid w:val="00A260FC"/>
    <w:rsid w:val="00A2616E"/>
    <w:rsid w:val="00A26EC2"/>
    <w:rsid w:val="00A27175"/>
    <w:rsid w:val="00A276B6"/>
    <w:rsid w:val="00A27F54"/>
    <w:rsid w:val="00A308C6"/>
    <w:rsid w:val="00A31806"/>
    <w:rsid w:val="00A330E9"/>
    <w:rsid w:val="00A36919"/>
    <w:rsid w:val="00A37739"/>
    <w:rsid w:val="00A37C75"/>
    <w:rsid w:val="00A414E3"/>
    <w:rsid w:val="00A427DC"/>
    <w:rsid w:val="00A42818"/>
    <w:rsid w:val="00A4288D"/>
    <w:rsid w:val="00A42DB7"/>
    <w:rsid w:val="00A455DB"/>
    <w:rsid w:val="00A463DB"/>
    <w:rsid w:val="00A47FEC"/>
    <w:rsid w:val="00A50E9A"/>
    <w:rsid w:val="00A5118C"/>
    <w:rsid w:val="00A52692"/>
    <w:rsid w:val="00A52719"/>
    <w:rsid w:val="00A53BDC"/>
    <w:rsid w:val="00A5459D"/>
    <w:rsid w:val="00A55F4C"/>
    <w:rsid w:val="00A56B61"/>
    <w:rsid w:val="00A60920"/>
    <w:rsid w:val="00A6103E"/>
    <w:rsid w:val="00A61B8B"/>
    <w:rsid w:val="00A62249"/>
    <w:rsid w:val="00A64DC9"/>
    <w:rsid w:val="00A7010D"/>
    <w:rsid w:val="00A7055D"/>
    <w:rsid w:val="00A72A00"/>
    <w:rsid w:val="00A73113"/>
    <w:rsid w:val="00A76EEE"/>
    <w:rsid w:val="00A777CF"/>
    <w:rsid w:val="00A77EED"/>
    <w:rsid w:val="00A8148B"/>
    <w:rsid w:val="00A81E68"/>
    <w:rsid w:val="00A82054"/>
    <w:rsid w:val="00A832E4"/>
    <w:rsid w:val="00A85B66"/>
    <w:rsid w:val="00A863A8"/>
    <w:rsid w:val="00A876A6"/>
    <w:rsid w:val="00A87C2A"/>
    <w:rsid w:val="00A901EC"/>
    <w:rsid w:val="00A92A66"/>
    <w:rsid w:val="00A92B4D"/>
    <w:rsid w:val="00A93A87"/>
    <w:rsid w:val="00A93C78"/>
    <w:rsid w:val="00A93E39"/>
    <w:rsid w:val="00A97246"/>
    <w:rsid w:val="00A977B4"/>
    <w:rsid w:val="00AA3F4C"/>
    <w:rsid w:val="00AA56BA"/>
    <w:rsid w:val="00AA7C6D"/>
    <w:rsid w:val="00AB0E06"/>
    <w:rsid w:val="00AB1F51"/>
    <w:rsid w:val="00AB1FC5"/>
    <w:rsid w:val="00AB2040"/>
    <w:rsid w:val="00AB205B"/>
    <w:rsid w:val="00AB5C75"/>
    <w:rsid w:val="00AB778E"/>
    <w:rsid w:val="00AC14CF"/>
    <w:rsid w:val="00AC1862"/>
    <w:rsid w:val="00AC1A5E"/>
    <w:rsid w:val="00AC23F8"/>
    <w:rsid w:val="00AC267C"/>
    <w:rsid w:val="00AC27A3"/>
    <w:rsid w:val="00AC36ED"/>
    <w:rsid w:val="00AC4F0E"/>
    <w:rsid w:val="00AC4FD8"/>
    <w:rsid w:val="00AC7ED6"/>
    <w:rsid w:val="00AD1CFC"/>
    <w:rsid w:val="00AD3958"/>
    <w:rsid w:val="00AD3DFA"/>
    <w:rsid w:val="00AD4334"/>
    <w:rsid w:val="00AD45A3"/>
    <w:rsid w:val="00AD558F"/>
    <w:rsid w:val="00AD64B8"/>
    <w:rsid w:val="00AD71FA"/>
    <w:rsid w:val="00AD7397"/>
    <w:rsid w:val="00AD790C"/>
    <w:rsid w:val="00AD7C3C"/>
    <w:rsid w:val="00AE0087"/>
    <w:rsid w:val="00AE1A1E"/>
    <w:rsid w:val="00AE1A27"/>
    <w:rsid w:val="00AE3877"/>
    <w:rsid w:val="00AE4DA7"/>
    <w:rsid w:val="00AE5816"/>
    <w:rsid w:val="00AE6114"/>
    <w:rsid w:val="00AE684A"/>
    <w:rsid w:val="00AE6CC6"/>
    <w:rsid w:val="00AE78A9"/>
    <w:rsid w:val="00AF0D27"/>
    <w:rsid w:val="00AF14BB"/>
    <w:rsid w:val="00AF2F8A"/>
    <w:rsid w:val="00AF4729"/>
    <w:rsid w:val="00AF59D4"/>
    <w:rsid w:val="00AF5B72"/>
    <w:rsid w:val="00AF6013"/>
    <w:rsid w:val="00B01115"/>
    <w:rsid w:val="00B03088"/>
    <w:rsid w:val="00B05887"/>
    <w:rsid w:val="00B05F5B"/>
    <w:rsid w:val="00B06361"/>
    <w:rsid w:val="00B07BCA"/>
    <w:rsid w:val="00B07F81"/>
    <w:rsid w:val="00B1327D"/>
    <w:rsid w:val="00B13911"/>
    <w:rsid w:val="00B139FF"/>
    <w:rsid w:val="00B1561E"/>
    <w:rsid w:val="00B15BD3"/>
    <w:rsid w:val="00B170D6"/>
    <w:rsid w:val="00B174BF"/>
    <w:rsid w:val="00B204BE"/>
    <w:rsid w:val="00B21110"/>
    <w:rsid w:val="00B214C7"/>
    <w:rsid w:val="00B2338E"/>
    <w:rsid w:val="00B2361C"/>
    <w:rsid w:val="00B23C36"/>
    <w:rsid w:val="00B242A3"/>
    <w:rsid w:val="00B25809"/>
    <w:rsid w:val="00B2582D"/>
    <w:rsid w:val="00B258F0"/>
    <w:rsid w:val="00B2645F"/>
    <w:rsid w:val="00B3018C"/>
    <w:rsid w:val="00B309B7"/>
    <w:rsid w:val="00B31E21"/>
    <w:rsid w:val="00B33A4B"/>
    <w:rsid w:val="00B35329"/>
    <w:rsid w:val="00B35691"/>
    <w:rsid w:val="00B36861"/>
    <w:rsid w:val="00B36FEA"/>
    <w:rsid w:val="00B426A5"/>
    <w:rsid w:val="00B45574"/>
    <w:rsid w:val="00B46F07"/>
    <w:rsid w:val="00B47828"/>
    <w:rsid w:val="00B502D5"/>
    <w:rsid w:val="00B51BCC"/>
    <w:rsid w:val="00B53803"/>
    <w:rsid w:val="00B53C15"/>
    <w:rsid w:val="00B53D56"/>
    <w:rsid w:val="00B54B12"/>
    <w:rsid w:val="00B564DB"/>
    <w:rsid w:val="00B567B6"/>
    <w:rsid w:val="00B56BBD"/>
    <w:rsid w:val="00B577A0"/>
    <w:rsid w:val="00B60CEF"/>
    <w:rsid w:val="00B61F36"/>
    <w:rsid w:val="00B665CF"/>
    <w:rsid w:val="00B67E39"/>
    <w:rsid w:val="00B70AD6"/>
    <w:rsid w:val="00B71D11"/>
    <w:rsid w:val="00B72371"/>
    <w:rsid w:val="00B73356"/>
    <w:rsid w:val="00B7374F"/>
    <w:rsid w:val="00B74DAC"/>
    <w:rsid w:val="00B75E6B"/>
    <w:rsid w:val="00B7609C"/>
    <w:rsid w:val="00B7666F"/>
    <w:rsid w:val="00B80BAF"/>
    <w:rsid w:val="00B814E5"/>
    <w:rsid w:val="00B82EB8"/>
    <w:rsid w:val="00B8707A"/>
    <w:rsid w:val="00B90B67"/>
    <w:rsid w:val="00B90E26"/>
    <w:rsid w:val="00B91D43"/>
    <w:rsid w:val="00B9407A"/>
    <w:rsid w:val="00B947C1"/>
    <w:rsid w:val="00B94C8F"/>
    <w:rsid w:val="00B951B9"/>
    <w:rsid w:val="00B951D1"/>
    <w:rsid w:val="00B95549"/>
    <w:rsid w:val="00B95F71"/>
    <w:rsid w:val="00B97186"/>
    <w:rsid w:val="00BA31E4"/>
    <w:rsid w:val="00BA39B7"/>
    <w:rsid w:val="00BA622C"/>
    <w:rsid w:val="00BA6A14"/>
    <w:rsid w:val="00BB0B17"/>
    <w:rsid w:val="00BB0F3C"/>
    <w:rsid w:val="00BB1FA7"/>
    <w:rsid w:val="00BB23A1"/>
    <w:rsid w:val="00BB24EB"/>
    <w:rsid w:val="00BB4668"/>
    <w:rsid w:val="00BB64DE"/>
    <w:rsid w:val="00BB6ADC"/>
    <w:rsid w:val="00BB6CD8"/>
    <w:rsid w:val="00BC08E3"/>
    <w:rsid w:val="00BC0CC2"/>
    <w:rsid w:val="00BC0DDF"/>
    <w:rsid w:val="00BC1690"/>
    <w:rsid w:val="00BC1EC2"/>
    <w:rsid w:val="00BC4EEB"/>
    <w:rsid w:val="00BC6213"/>
    <w:rsid w:val="00BC6FD2"/>
    <w:rsid w:val="00BD02A8"/>
    <w:rsid w:val="00BD2C51"/>
    <w:rsid w:val="00BD39A2"/>
    <w:rsid w:val="00BD3AAC"/>
    <w:rsid w:val="00BD4577"/>
    <w:rsid w:val="00BD556D"/>
    <w:rsid w:val="00BD5BFB"/>
    <w:rsid w:val="00BD6193"/>
    <w:rsid w:val="00BD6E59"/>
    <w:rsid w:val="00BD7006"/>
    <w:rsid w:val="00BD711A"/>
    <w:rsid w:val="00BE017F"/>
    <w:rsid w:val="00BE1152"/>
    <w:rsid w:val="00BE22A4"/>
    <w:rsid w:val="00BE2C7B"/>
    <w:rsid w:val="00BE7077"/>
    <w:rsid w:val="00BE740B"/>
    <w:rsid w:val="00BE78BC"/>
    <w:rsid w:val="00BE7A1C"/>
    <w:rsid w:val="00BE7C7D"/>
    <w:rsid w:val="00BF1805"/>
    <w:rsid w:val="00BF1E87"/>
    <w:rsid w:val="00BF34C8"/>
    <w:rsid w:val="00BF42E9"/>
    <w:rsid w:val="00BF4C23"/>
    <w:rsid w:val="00BF6849"/>
    <w:rsid w:val="00C00418"/>
    <w:rsid w:val="00C00C19"/>
    <w:rsid w:val="00C04E7D"/>
    <w:rsid w:val="00C05A00"/>
    <w:rsid w:val="00C06927"/>
    <w:rsid w:val="00C07C8C"/>
    <w:rsid w:val="00C11FD9"/>
    <w:rsid w:val="00C12AE4"/>
    <w:rsid w:val="00C1578F"/>
    <w:rsid w:val="00C1635B"/>
    <w:rsid w:val="00C17273"/>
    <w:rsid w:val="00C174D9"/>
    <w:rsid w:val="00C17C17"/>
    <w:rsid w:val="00C22DC4"/>
    <w:rsid w:val="00C238DF"/>
    <w:rsid w:val="00C2433A"/>
    <w:rsid w:val="00C24B92"/>
    <w:rsid w:val="00C24E64"/>
    <w:rsid w:val="00C25CC4"/>
    <w:rsid w:val="00C26F4C"/>
    <w:rsid w:val="00C27589"/>
    <w:rsid w:val="00C30621"/>
    <w:rsid w:val="00C31956"/>
    <w:rsid w:val="00C337FC"/>
    <w:rsid w:val="00C33FEB"/>
    <w:rsid w:val="00C34F60"/>
    <w:rsid w:val="00C3635E"/>
    <w:rsid w:val="00C45C63"/>
    <w:rsid w:val="00C45E95"/>
    <w:rsid w:val="00C469EB"/>
    <w:rsid w:val="00C46E09"/>
    <w:rsid w:val="00C51B19"/>
    <w:rsid w:val="00C5215A"/>
    <w:rsid w:val="00C521BF"/>
    <w:rsid w:val="00C53659"/>
    <w:rsid w:val="00C542CB"/>
    <w:rsid w:val="00C56C74"/>
    <w:rsid w:val="00C6084B"/>
    <w:rsid w:val="00C608E2"/>
    <w:rsid w:val="00C62AD4"/>
    <w:rsid w:val="00C6522E"/>
    <w:rsid w:val="00C67D74"/>
    <w:rsid w:val="00C72B03"/>
    <w:rsid w:val="00C745A1"/>
    <w:rsid w:val="00C75A3C"/>
    <w:rsid w:val="00C75E4E"/>
    <w:rsid w:val="00C779E1"/>
    <w:rsid w:val="00C810F8"/>
    <w:rsid w:val="00C8533C"/>
    <w:rsid w:val="00C85B39"/>
    <w:rsid w:val="00C866A9"/>
    <w:rsid w:val="00C87893"/>
    <w:rsid w:val="00C87C5B"/>
    <w:rsid w:val="00C90D39"/>
    <w:rsid w:val="00C90E9F"/>
    <w:rsid w:val="00C91C2B"/>
    <w:rsid w:val="00C91CD1"/>
    <w:rsid w:val="00C93954"/>
    <w:rsid w:val="00C9529C"/>
    <w:rsid w:val="00C97141"/>
    <w:rsid w:val="00C9773A"/>
    <w:rsid w:val="00CA0072"/>
    <w:rsid w:val="00CA052A"/>
    <w:rsid w:val="00CA1894"/>
    <w:rsid w:val="00CA25EF"/>
    <w:rsid w:val="00CA2AC8"/>
    <w:rsid w:val="00CA30A1"/>
    <w:rsid w:val="00CA39E9"/>
    <w:rsid w:val="00CA54EF"/>
    <w:rsid w:val="00CA5C80"/>
    <w:rsid w:val="00CB1CE2"/>
    <w:rsid w:val="00CB2771"/>
    <w:rsid w:val="00CB4929"/>
    <w:rsid w:val="00CB4B20"/>
    <w:rsid w:val="00CB6762"/>
    <w:rsid w:val="00CB6DFD"/>
    <w:rsid w:val="00CB7BC4"/>
    <w:rsid w:val="00CC02B2"/>
    <w:rsid w:val="00CC07B2"/>
    <w:rsid w:val="00CC302B"/>
    <w:rsid w:val="00CC3150"/>
    <w:rsid w:val="00CC36FF"/>
    <w:rsid w:val="00CC3CCC"/>
    <w:rsid w:val="00CC4BCD"/>
    <w:rsid w:val="00CC546A"/>
    <w:rsid w:val="00CC6128"/>
    <w:rsid w:val="00CC6FE3"/>
    <w:rsid w:val="00CD18BB"/>
    <w:rsid w:val="00CD68E8"/>
    <w:rsid w:val="00CD6BCF"/>
    <w:rsid w:val="00CD740C"/>
    <w:rsid w:val="00CD75AD"/>
    <w:rsid w:val="00CE34AB"/>
    <w:rsid w:val="00CE35B3"/>
    <w:rsid w:val="00CE4019"/>
    <w:rsid w:val="00CE51F2"/>
    <w:rsid w:val="00CE61E9"/>
    <w:rsid w:val="00CE680B"/>
    <w:rsid w:val="00CE7C38"/>
    <w:rsid w:val="00CF1D6D"/>
    <w:rsid w:val="00CF2367"/>
    <w:rsid w:val="00CF5ABF"/>
    <w:rsid w:val="00CF5AEB"/>
    <w:rsid w:val="00CF6E43"/>
    <w:rsid w:val="00CF7454"/>
    <w:rsid w:val="00D013EB"/>
    <w:rsid w:val="00D0305A"/>
    <w:rsid w:val="00D04D8A"/>
    <w:rsid w:val="00D063F3"/>
    <w:rsid w:val="00D0774C"/>
    <w:rsid w:val="00D07EB9"/>
    <w:rsid w:val="00D10744"/>
    <w:rsid w:val="00D1120C"/>
    <w:rsid w:val="00D11E7D"/>
    <w:rsid w:val="00D140A5"/>
    <w:rsid w:val="00D156F1"/>
    <w:rsid w:val="00D16D0B"/>
    <w:rsid w:val="00D21082"/>
    <w:rsid w:val="00D214B1"/>
    <w:rsid w:val="00D217DA"/>
    <w:rsid w:val="00D21957"/>
    <w:rsid w:val="00D21AC0"/>
    <w:rsid w:val="00D22E79"/>
    <w:rsid w:val="00D244FD"/>
    <w:rsid w:val="00D25D13"/>
    <w:rsid w:val="00D30038"/>
    <w:rsid w:val="00D313F3"/>
    <w:rsid w:val="00D31957"/>
    <w:rsid w:val="00D31C8E"/>
    <w:rsid w:val="00D32BC9"/>
    <w:rsid w:val="00D32F8F"/>
    <w:rsid w:val="00D3398F"/>
    <w:rsid w:val="00D34B5F"/>
    <w:rsid w:val="00D3597D"/>
    <w:rsid w:val="00D36AA8"/>
    <w:rsid w:val="00D372CA"/>
    <w:rsid w:val="00D37789"/>
    <w:rsid w:val="00D41154"/>
    <w:rsid w:val="00D41E52"/>
    <w:rsid w:val="00D424E4"/>
    <w:rsid w:val="00D42865"/>
    <w:rsid w:val="00D43AC8"/>
    <w:rsid w:val="00D43C26"/>
    <w:rsid w:val="00D44191"/>
    <w:rsid w:val="00D46E0B"/>
    <w:rsid w:val="00D46F9F"/>
    <w:rsid w:val="00D55B1D"/>
    <w:rsid w:val="00D5608B"/>
    <w:rsid w:val="00D57085"/>
    <w:rsid w:val="00D6091F"/>
    <w:rsid w:val="00D609D2"/>
    <w:rsid w:val="00D618E1"/>
    <w:rsid w:val="00D63711"/>
    <w:rsid w:val="00D63800"/>
    <w:rsid w:val="00D6395B"/>
    <w:rsid w:val="00D65A5D"/>
    <w:rsid w:val="00D67A49"/>
    <w:rsid w:val="00D70165"/>
    <w:rsid w:val="00D71755"/>
    <w:rsid w:val="00D71E05"/>
    <w:rsid w:val="00D72604"/>
    <w:rsid w:val="00D73E95"/>
    <w:rsid w:val="00D745A6"/>
    <w:rsid w:val="00D74608"/>
    <w:rsid w:val="00D74FEE"/>
    <w:rsid w:val="00D75E2D"/>
    <w:rsid w:val="00D77035"/>
    <w:rsid w:val="00D77232"/>
    <w:rsid w:val="00D805D3"/>
    <w:rsid w:val="00D80FE0"/>
    <w:rsid w:val="00D81822"/>
    <w:rsid w:val="00D85243"/>
    <w:rsid w:val="00D8555B"/>
    <w:rsid w:val="00D91930"/>
    <w:rsid w:val="00D91AF5"/>
    <w:rsid w:val="00D939FB"/>
    <w:rsid w:val="00D945BC"/>
    <w:rsid w:val="00D95118"/>
    <w:rsid w:val="00D95B29"/>
    <w:rsid w:val="00D95BD8"/>
    <w:rsid w:val="00D95E46"/>
    <w:rsid w:val="00D96164"/>
    <w:rsid w:val="00D97A32"/>
    <w:rsid w:val="00D97AC8"/>
    <w:rsid w:val="00DA5AB2"/>
    <w:rsid w:val="00DA6DDD"/>
    <w:rsid w:val="00DA70BC"/>
    <w:rsid w:val="00DB0360"/>
    <w:rsid w:val="00DB1E98"/>
    <w:rsid w:val="00DB26F6"/>
    <w:rsid w:val="00DB2899"/>
    <w:rsid w:val="00DB37A7"/>
    <w:rsid w:val="00DB6E2F"/>
    <w:rsid w:val="00DB75F9"/>
    <w:rsid w:val="00DB797B"/>
    <w:rsid w:val="00DC34AC"/>
    <w:rsid w:val="00DC418A"/>
    <w:rsid w:val="00DC501B"/>
    <w:rsid w:val="00DC525D"/>
    <w:rsid w:val="00DC5C42"/>
    <w:rsid w:val="00DC5D3A"/>
    <w:rsid w:val="00DC770E"/>
    <w:rsid w:val="00DD4250"/>
    <w:rsid w:val="00DD68F7"/>
    <w:rsid w:val="00DE0669"/>
    <w:rsid w:val="00DE0C76"/>
    <w:rsid w:val="00DE38CC"/>
    <w:rsid w:val="00DE4596"/>
    <w:rsid w:val="00DE5009"/>
    <w:rsid w:val="00DF01BF"/>
    <w:rsid w:val="00DF0EFE"/>
    <w:rsid w:val="00DF280A"/>
    <w:rsid w:val="00DF29E7"/>
    <w:rsid w:val="00DF29F9"/>
    <w:rsid w:val="00DF54EF"/>
    <w:rsid w:val="00DF5935"/>
    <w:rsid w:val="00DF61D0"/>
    <w:rsid w:val="00DF6257"/>
    <w:rsid w:val="00E015F2"/>
    <w:rsid w:val="00E02B3A"/>
    <w:rsid w:val="00E03552"/>
    <w:rsid w:val="00E03973"/>
    <w:rsid w:val="00E03BB8"/>
    <w:rsid w:val="00E04050"/>
    <w:rsid w:val="00E044FF"/>
    <w:rsid w:val="00E050D7"/>
    <w:rsid w:val="00E06363"/>
    <w:rsid w:val="00E132EB"/>
    <w:rsid w:val="00E13FBD"/>
    <w:rsid w:val="00E14257"/>
    <w:rsid w:val="00E15C57"/>
    <w:rsid w:val="00E17176"/>
    <w:rsid w:val="00E171F8"/>
    <w:rsid w:val="00E211AA"/>
    <w:rsid w:val="00E22D81"/>
    <w:rsid w:val="00E23326"/>
    <w:rsid w:val="00E2545D"/>
    <w:rsid w:val="00E25E39"/>
    <w:rsid w:val="00E26702"/>
    <w:rsid w:val="00E269FB"/>
    <w:rsid w:val="00E30810"/>
    <w:rsid w:val="00E32631"/>
    <w:rsid w:val="00E32C88"/>
    <w:rsid w:val="00E32E5B"/>
    <w:rsid w:val="00E33C46"/>
    <w:rsid w:val="00E374EA"/>
    <w:rsid w:val="00E406CB"/>
    <w:rsid w:val="00E44A42"/>
    <w:rsid w:val="00E46523"/>
    <w:rsid w:val="00E468A2"/>
    <w:rsid w:val="00E47D80"/>
    <w:rsid w:val="00E50F9C"/>
    <w:rsid w:val="00E51B93"/>
    <w:rsid w:val="00E51D01"/>
    <w:rsid w:val="00E52366"/>
    <w:rsid w:val="00E53914"/>
    <w:rsid w:val="00E5434A"/>
    <w:rsid w:val="00E563CE"/>
    <w:rsid w:val="00E57A50"/>
    <w:rsid w:val="00E57D0C"/>
    <w:rsid w:val="00E57E94"/>
    <w:rsid w:val="00E60FFC"/>
    <w:rsid w:val="00E61099"/>
    <w:rsid w:val="00E610B3"/>
    <w:rsid w:val="00E6122E"/>
    <w:rsid w:val="00E62121"/>
    <w:rsid w:val="00E651D2"/>
    <w:rsid w:val="00E65DBB"/>
    <w:rsid w:val="00E70429"/>
    <w:rsid w:val="00E71A11"/>
    <w:rsid w:val="00E732AB"/>
    <w:rsid w:val="00E73453"/>
    <w:rsid w:val="00E73B08"/>
    <w:rsid w:val="00E742AB"/>
    <w:rsid w:val="00E74391"/>
    <w:rsid w:val="00E75370"/>
    <w:rsid w:val="00E764A7"/>
    <w:rsid w:val="00E76AA2"/>
    <w:rsid w:val="00E771E5"/>
    <w:rsid w:val="00E80D1C"/>
    <w:rsid w:val="00E8104C"/>
    <w:rsid w:val="00E82142"/>
    <w:rsid w:val="00E82493"/>
    <w:rsid w:val="00E82816"/>
    <w:rsid w:val="00E830DD"/>
    <w:rsid w:val="00E90D20"/>
    <w:rsid w:val="00E91032"/>
    <w:rsid w:val="00E914F1"/>
    <w:rsid w:val="00E94426"/>
    <w:rsid w:val="00E9794A"/>
    <w:rsid w:val="00EA10D6"/>
    <w:rsid w:val="00EA202C"/>
    <w:rsid w:val="00EA2235"/>
    <w:rsid w:val="00EA246D"/>
    <w:rsid w:val="00EA24DB"/>
    <w:rsid w:val="00EA29AD"/>
    <w:rsid w:val="00EA2AA5"/>
    <w:rsid w:val="00EA2D75"/>
    <w:rsid w:val="00EA30D3"/>
    <w:rsid w:val="00EA3E24"/>
    <w:rsid w:val="00EA55B6"/>
    <w:rsid w:val="00EA67A1"/>
    <w:rsid w:val="00EA6F54"/>
    <w:rsid w:val="00EA6F7E"/>
    <w:rsid w:val="00EA7D17"/>
    <w:rsid w:val="00EA7D35"/>
    <w:rsid w:val="00EB2136"/>
    <w:rsid w:val="00EB35B8"/>
    <w:rsid w:val="00EB39DE"/>
    <w:rsid w:val="00EB6F37"/>
    <w:rsid w:val="00EC2C38"/>
    <w:rsid w:val="00EC43FB"/>
    <w:rsid w:val="00EC4E72"/>
    <w:rsid w:val="00EC4EAA"/>
    <w:rsid w:val="00EC6D34"/>
    <w:rsid w:val="00EC7916"/>
    <w:rsid w:val="00ED04E2"/>
    <w:rsid w:val="00ED0956"/>
    <w:rsid w:val="00ED12C7"/>
    <w:rsid w:val="00ED1A26"/>
    <w:rsid w:val="00ED3CA2"/>
    <w:rsid w:val="00ED6F74"/>
    <w:rsid w:val="00EE28E1"/>
    <w:rsid w:val="00EE4CD3"/>
    <w:rsid w:val="00EE568C"/>
    <w:rsid w:val="00EE689A"/>
    <w:rsid w:val="00EE6FD1"/>
    <w:rsid w:val="00EF04E6"/>
    <w:rsid w:val="00EF1B07"/>
    <w:rsid w:val="00EF2CB7"/>
    <w:rsid w:val="00EF4605"/>
    <w:rsid w:val="00EF4658"/>
    <w:rsid w:val="00EF4CDF"/>
    <w:rsid w:val="00EF5076"/>
    <w:rsid w:val="00EF6580"/>
    <w:rsid w:val="00F009D8"/>
    <w:rsid w:val="00F00C66"/>
    <w:rsid w:val="00F04FBE"/>
    <w:rsid w:val="00F06979"/>
    <w:rsid w:val="00F06998"/>
    <w:rsid w:val="00F070BE"/>
    <w:rsid w:val="00F07BA0"/>
    <w:rsid w:val="00F07D54"/>
    <w:rsid w:val="00F12819"/>
    <w:rsid w:val="00F14022"/>
    <w:rsid w:val="00F140DD"/>
    <w:rsid w:val="00F153C7"/>
    <w:rsid w:val="00F16498"/>
    <w:rsid w:val="00F17C87"/>
    <w:rsid w:val="00F25997"/>
    <w:rsid w:val="00F25C19"/>
    <w:rsid w:val="00F2722E"/>
    <w:rsid w:val="00F2739F"/>
    <w:rsid w:val="00F31184"/>
    <w:rsid w:val="00F31367"/>
    <w:rsid w:val="00F3468F"/>
    <w:rsid w:val="00F36506"/>
    <w:rsid w:val="00F36755"/>
    <w:rsid w:val="00F373F5"/>
    <w:rsid w:val="00F4234F"/>
    <w:rsid w:val="00F4285C"/>
    <w:rsid w:val="00F42F9B"/>
    <w:rsid w:val="00F45B15"/>
    <w:rsid w:val="00F460F0"/>
    <w:rsid w:val="00F4647B"/>
    <w:rsid w:val="00F476AA"/>
    <w:rsid w:val="00F479FA"/>
    <w:rsid w:val="00F516B1"/>
    <w:rsid w:val="00F51A64"/>
    <w:rsid w:val="00F52066"/>
    <w:rsid w:val="00F53D92"/>
    <w:rsid w:val="00F553A5"/>
    <w:rsid w:val="00F564B0"/>
    <w:rsid w:val="00F56C7D"/>
    <w:rsid w:val="00F574CF"/>
    <w:rsid w:val="00F600A6"/>
    <w:rsid w:val="00F6418C"/>
    <w:rsid w:val="00F64694"/>
    <w:rsid w:val="00F658A0"/>
    <w:rsid w:val="00F65CA6"/>
    <w:rsid w:val="00F71E14"/>
    <w:rsid w:val="00F7272B"/>
    <w:rsid w:val="00F7797A"/>
    <w:rsid w:val="00F8007F"/>
    <w:rsid w:val="00F81089"/>
    <w:rsid w:val="00F8137A"/>
    <w:rsid w:val="00F81E76"/>
    <w:rsid w:val="00F82CD5"/>
    <w:rsid w:val="00F839CF"/>
    <w:rsid w:val="00F83A45"/>
    <w:rsid w:val="00F84807"/>
    <w:rsid w:val="00F855C5"/>
    <w:rsid w:val="00F85663"/>
    <w:rsid w:val="00F867AA"/>
    <w:rsid w:val="00F906A5"/>
    <w:rsid w:val="00F91A6F"/>
    <w:rsid w:val="00F9237A"/>
    <w:rsid w:val="00F93CE4"/>
    <w:rsid w:val="00F94001"/>
    <w:rsid w:val="00F96482"/>
    <w:rsid w:val="00F96BF4"/>
    <w:rsid w:val="00F97971"/>
    <w:rsid w:val="00F97E9E"/>
    <w:rsid w:val="00FA0496"/>
    <w:rsid w:val="00FA17DC"/>
    <w:rsid w:val="00FA2E6A"/>
    <w:rsid w:val="00FA36F6"/>
    <w:rsid w:val="00FA4521"/>
    <w:rsid w:val="00FA4C1A"/>
    <w:rsid w:val="00FA4D0D"/>
    <w:rsid w:val="00FA61AC"/>
    <w:rsid w:val="00FA70D9"/>
    <w:rsid w:val="00FB04DE"/>
    <w:rsid w:val="00FB0E9B"/>
    <w:rsid w:val="00FB2484"/>
    <w:rsid w:val="00FB5E60"/>
    <w:rsid w:val="00FB6BFE"/>
    <w:rsid w:val="00FB726F"/>
    <w:rsid w:val="00FB7A6D"/>
    <w:rsid w:val="00FB7DDC"/>
    <w:rsid w:val="00FC02E2"/>
    <w:rsid w:val="00FC0719"/>
    <w:rsid w:val="00FC0827"/>
    <w:rsid w:val="00FC3330"/>
    <w:rsid w:val="00FC637D"/>
    <w:rsid w:val="00FD2157"/>
    <w:rsid w:val="00FD2564"/>
    <w:rsid w:val="00FD2CE5"/>
    <w:rsid w:val="00FD3955"/>
    <w:rsid w:val="00FD456C"/>
    <w:rsid w:val="00FD5FF6"/>
    <w:rsid w:val="00FD6577"/>
    <w:rsid w:val="00FD7D8F"/>
    <w:rsid w:val="00FE068B"/>
    <w:rsid w:val="00FE23E3"/>
    <w:rsid w:val="00FE286E"/>
    <w:rsid w:val="00FE4069"/>
    <w:rsid w:val="00FE43C5"/>
    <w:rsid w:val="00FE4EBC"/>
    <w:rsid w:val="00FE5979"/>
    <w:rsid w:val="00FE5CD4"/>
    <w:rsid w:val="00FE6159"/>
    <w:rsid w:val="00FE6C7C"/>
    <w:rsid w:val="00FF03BB"/>
    <w:rsid w:val="00FF11CA"/>
    <w:rsid w:val="00FF16E2"/>
    <w:rsid w:val="00FF19A2"/>
    <w:rsid w:val="00FF1B47"/>
    <w:rsid w:val="00FF26A5"/>
    <w:rsid w:val="00FF33B4"/>
    <w:rsid w:val="00FF3691"/>
    <w:rsid w:val="00FF36B3"/>
    <w:rsid w:val="00FF3F9F"/>
    <w:rsid w:val="00FF4DE4"/>
    <w:rsid w:val="00FF6AE7"/>
    <w:rsid w:val="00FF7FE9"/>
    <w:rsid w:val="02057FE7"/>
    <w:rsid w:val="02774B5F"/>
    <w:rsid w:val="02BA3F8E"/>
    <w:rsid w:val="034D4E02"/>
    <w:rsid w:val="03765E49"/>
    <w:rsid w:val="057E30D4"/>
    <w:rsid w:val="05880763"/>
    <w:rsid w:val="05B66C8F"/>
    <w:rsid w:val="06F15AA5"/>
    <w:rsid w:val="06F32296"/>
    <w:rsid w:val="07267E44"/>
    <w:rsid w:val="074251D0"/>
    <w:rsid w:val="07736422"/>
    <w:rsid w:val="0788465B"/>
    <w:rsid w:val="07C17B6D"/>
    <w:rsid w:val="08297BEC"/>
    <w:rsid w:val="08C2594B"/>
    <w:rsid w:val="08C70D04"/>
    <w:rsid w:val="08DC642B"/>
    <w:rsid w:val="09061CDB"/>
    <w:rsid w:val="09736C45"/>
    <w:rsid w:val="0A0E66AC"/>
    <w:rsid w:val="0B5272B8"/>
    <w:rsid w:val="0B575693"/>
    <w:rsid w:val="0BEC2051"/>
    <w:rsid w:val="0C4A7216"/>
    <w:rsid w:val="0C85560D"/>
    <w:rsid w:val="0D8C3E35"/>
    <w:rsid w:val="0DE201CE"/>
    <w:rsid w:val="0E2803DC"/>
    <w:rsid w:val="0E3B6833"/>
    <w:rsid w:val="0E583A60"/>
    <w:rsid w:val="0E9B4C74"/>
    <w:rsid w:val="0F5359F6"/>
    <w:rsid w:val="0F9919A2"/>
    <w:rsid w:val="10213944"/>
    <w:rsid w:val="10394744"/>
    <w:rsid w:val="10947BCD"/>
    <w:rsid w:val="10DA34D4"/>
    <w:rsid w:val="11A93B4C"/>
    <w:rsid w:val="11AA3420"/>
    <w:rsid w:val="12EB0792"/>
    <w:rsid w:val="13B23DFD"/>
    <w:rsid w:val="144A7F37"/>
    <w:rsid w:val="14BF28FD"/>
    <w:rsid w:val="14C447F8"/>
    <w:rsid w:val="1577325A"/>
    <w:rsid w:val="15DD3DC4"/>
    <w:rsid w:val="15F64702"/>
    <w:rsid w:val="15FF2892"/>
    <w:rsid w:val="160A2860"/>
    <w:rsid w:val="164B41A9"/>
    <w:rsid w:val="1655529F"/>
    <w:rsid w:val="16617ED1"/>
    <w:rsid w:val="16786EBD"/>
    <w:rsid w:val="16FB6BF7"/>
    <w:rsid w:val="17535790"/>
    <w:rsid w:val="17B62B1E"/>
    <w:rsid w:val="17E97CAC"/>
    <w:rsid w:val="181715DA"/>
    <w:rsid w:val="18E90CD1"/>
    <w:rsid w:val="1A573152"/>
    <w:rsid w:val="1B4303F4"/>
    <w:rsid w:val="1B634D6B"/>
    <w:rsid w:val="1B650DCF"/>
    <w:rsid w:val="1C60574F"/>
    <w:rsid w:val="1C7B2E7D"/>
    <w:rsid w:val="1CE04EDB"/>
    <w:rsid w:val="1E143315"/>
    <w:rsid w:val="1E4F60AC"/>
    <w:rsid w:val="1E585B9D"/>
    <w:rsid w:val="1FA31BDA"/>
    <w:rsid w:val="1FC4196A"/>
    <w:rsid w:val="1FCD6C57"/>
    <w:rsid w:val="20626F2E"/>
    <w:rsid w:val="20E12BE2"/>
    <w:rsid w:val="21FE1627"/>
    <w:rsid w:val="22625D7D"/>
    <w:rsid w:val="23001480"/>
    <w:rsid w:val="231921B3"/>
    <w:rsid w:val="231D2B39"/>
    <w:rsid w:val="234B4D59"/>
    <w:rsid w:val="23EB3B50"/>
    <w:rsid w:val="242D7765"/>
    <w:rsid w:val="24F9112C"/>
    <w:rsid w:val="269E759F"/>
    <w:rsid w:val="26B1594C"/>
    <w:rsid w:val="26E87254"/>
    <w:rsid w:val="27653C19"/>
    <w:rsid w:val="278E4F1E"/>
    <w:rsid w:val="27EB411E"/>
    <w:rsid w:val="27EB5432"/>
    <w:rsid w:val="28BB07B2"/>
    <w:rsid w:val="29103233"/>
    <w:rsid w:val="293A036D"/>
    <w:rsid w:val="29F34F98"/>
    <w:rsid w:val="2ADD75AF"/>
    <w:rsid w:val="2B2A1401"/>
    <w:rsid w:val="2BAA42F0"/>
    <w:rsid w:val="2CA90A4C"/>
    <w:rsid w:val="2CAE7E10"/>
    <w:rsid w:val="2CC338BC"/>
    <w:rsid w:val="2CEE645F"/>
    <w:rsid w:val="2D297497"/>
    <w:rsid w:val="2D4744ED"/>
    <w:rsid w:val="2E1728CF"/>
    <w:rsid w:val="318778DD"/>
    <w:rsid w:val="319A0963"/>
    <w:rsid w:val="327411B4"/>
    <w:rsid w:val="32DA195F"/>
    <w:rsid w:val="32E57BF4"/>
    <w:rsid w:val="349C6622"/>
    <w:rsid w:val="34E302EF"/>
    <w:rsid w:val="34F66698"/>
    <w:rsid w:val="35472A5D"/>
    <w:rsid w:val="354A27EA"/>
    <w:rsid w:val="36893449"/>
    <w:rsid w:val="36E27034"/>
    <w:rsid w:val="36EC7EB3"/>
    <w:rsid w:val="36F72975"/>
    <w:rsid w:val="37721EF8"/>
    <w:rsid w:val="384E41BB"/>
    <w:rsid w:val="3924559A"/>
    <w:rsid w:val="393D49F6"/>
    <w:rsid w:val="395B3A3D"/>
    <w:rsid w:val="39926BA1"/>
    <w:rsid w:val="39A11FBE"/>
    <w:rsid w:val="39D709A6"/>
    <w:rsid w:val="3B1D15FF"/>
    <w:rsid w:val="3B501860"/>
    <w:rsid w:val="3B52394A"/>
    <w:rsid w:val="3B8D472C"/>
    <w:rsid w:val="3BA315F3"/>
    <w:rsid w:val="3BE46970"/>
    <w:rsid w:val="3C1A7270"/>
    <w:rsid w:val="3D7F32DF"/>
    <w:rsid w:val="3DDE2232"/>
    <w:rsid w:val="3DE53139"/>
    <w:rsid w:val="3DF542A5"/>
    <w:rsid w:val="3E9E5F37"/>
    <w:rsid w:val="3EF47905"/>
    <w:rsid w:val="402E5098"/>
    <w:rsid w:val="40692574"/>
    <w:rsid w:val="407B2C33"/>
    <w:rsid w:val="409969B6"/>
    <w:rsid w:val="414039CC"/>
    <w:rsid w:val="41E66F38"/>
    <w:rsid w:val="42F03D94"/>
    <w:rsid w:val="43B76178"/>
    <w:rsid w:val="44E5473A"/>
    <w:rsid w:val="450E2D6A"/>
    <w:rsid w:val="45350C77"/>
    <w:rsid w:val="465B1B10"/>
    <w:rsid w:val="468A1786"/>
    <w:rsid w:val="46F516B5"/>
    <w:rsid w:val="470D0C16"/>
    <w:rsid w:val="472A41BF"/>
    <w:rsid w:val="47525B10"/>
    <w:rsid w:val="47574ED5"/>
    <w:rsid w:val="48024C05"/>
    <w:rsid w:val="480E114B"/>
    <w:rsid w:val="48E274D0"/>
    <w:rsid w:val="4A8A47B8"/>
    <w:rsid w:val="4AD603BE"/>
    <w:rsid w:val="4B194874"/>
    <w:rsid w:val="4B1D01E3"/>
    <w:rsid w:val="4B4140FE"/>
    <w:rsid w:val="4B611FB4"/>
    <w:rsid w:val="4B7778F3"/>
    <w:rsid w:val="4BB328F5"/>
    <w:rsid w:val="4C2630C7"/>
    <w:rsid w:val="4C534AE6"/>
    <w:rsid w:val="4CFB6302"/>
    <w:rsid w:val="4D007300"/>
    <w:rsid w:val="4D3D691B"/>
    <w:rsid w:val="4D44414D"/>
    <w:rsid w:val="4D465492"/>
    <w:rsid w:val="4DD54DA5"/>
    <w:rsid w:val="4DF10913"/>
    <w:rsid w:val="4E1A6C5C"/>
    <w:rsid w:val="4EB5784A"/>
    <w:rsid w:val="4F22401A"/>
    <w:rsid w:val="4FCE22AA"/>
    <w:rsid w:val="50357D7D"/>
    <w:rsid w:val="50466FBE"/>
    <w:rsid w:val="5066262C"/>
    <w:rsid w:val="50D13F4A"/>
    <w:rsid w:val="51053BF3"/>
    <w:rsid w:val="511B3308"/>
    <w:rsid w:val="513242BC"/>
    <w:rsid w:val="5159381F"/>
    <w:rsid w:val="51826804"/>
    <w:rsid w:val="51984A67"/>
    <w:rsid w:val="51D535C6"/>
    <w:rsid w:val="51D6733E"/>
    <w:rsid w:val="521B2A03"/>
    <w:rsid w:val="52383B54"/>
    <w:rsid w:val="52644E77"/>
    <w:rsid w:val="527821A3"/>
    <w:rsid w:val="52967122"/>
    <w:rsid w:val="52B551A5"/>
    <w:rsid w:val="53095C1D"/>
    <w:rsid w:val="53D17DBD"/>
    <w:rsid w:val="53E83482"/>
    <w:rsid w:val="541B4B32"/>
    <w:rsid w:val="543071D9"/>
    <w:rsid w:val="5443376A"/>
    <w:rsid w:val="54547C25"/>
    <w:rsid w:val="549708FF"/>
    <w:rsid w:val="54AB0790"/>
    <w:rsid w:val="552F123F"/>
    <w:rsid w:val="55376345"/>
    <w:rsid w:val="55D46258"/>
    <w:rsid w:val="55E81465"/>
    <w:rsid w:val="55FA0F7B"/>
    <w:rsid w:val="568D0D2A"/>
    <w:rsid w:val="572F4448"/>
    <w:rsid w:val="57435A5A"/>
    <w:rsid w:val="57C47BCB"/>
    <w:rsid w:val="58970FA5"/>
    <w:rsid w:val="58CA3B79"/>
    <w:rsid w:val="590658D8"/>
    <w:rsid w:val="59226E43"/>
    <w:rsid w:val="59B06843"/>
    <w:rsid w:val="5A7A7400"/>
    <w:rsid w:val="5A851901"/>
    <w:rsid w:val="5ADA7E9F"/>
    <w:rsid w:val="5BDD315C"/>
    <w:rsid w:val="5C090A3C"/>
    <w:rsid w:val="5CA45F67"/>
    <w:rsid w:val="5DD32AE1"/>
    <w:rsid w:val="5E113790"/>
    <w:rsid w:val="5EB6652D"/>
    <w:rsid w:val="5FD55AC9"/>
    <w:rsid w:val="60196D73"/>
    <w:rsid w:val="604561B9"/>
    <w:rsid w:val="60522285"/>
    <w:rsid w:val="606D70BF"/>
    <w:rsid w:val="60EF5ECB"/>
    <w:rsid w:val="61E048D1"/>
    <w:rsid w:val="624A76B8"/>
    <w:rsid w:val="62700FFF"/>
    <w:rsid w:val="64476DAD"/>
    <w:rsid w:val="64917820"/>
    <w:rsid w:val="64925346"/>
    <w:rsid w:val="64AF4FC6"/>
    <w:rsid w:val="64CE0C89"/>
    <w:rsid w:val="65085608"/>
    <w:rsid w:val="65A92FE7"/>
    <w:rsid w:val="66935AA6"/>
    <w:rsid w:val="676A4358"/>
    <w:rsid w:val="676C6322"/>
    <w:rsid w:val="67890C82"/>
    <w:rsid w:val="67C30A56"/>
    <w:rsid w:val="67EB2962"/>
    <w:rsid w:val="68376048"/>
    <w:rsid w:val="685E5C6B"/>
    <w:rsid w:val="68CF0917"/>
    <w:rsid w:val="697E40EB"/>
    <w:rsid w:val="6A17470B"/>
    <w:rsid w:val="6A8C158E"/>
    <w:rsid w:val="6AA70200"/>
    <w:rsid w:val="6ACB6656"/>
    <w:rsid w:val="6B0B38E1"/>
    <w:rsid w:val="6B533A81"/>
    <w:rsid w:val="6C1B44E4"/>
    <w:rsid w:val="6C7D2D9D"/>
    <w:rsid w:val="6D071FD6"/>
    <w:rsid w:val="6D6A4628"/>
    <w:rsid w:val="6E2119B1"/>
    <w:rsid w:val="6EAD2BAD"/>
    <w:rsid w:val="6EE2598B"/>
    <w:rsid w:val="6F51098F"/>
    <w:rsid w:val="6F5A2F04"/>
    <w:rsid w:val="6F767D3E"/>
    <w:rsid w:val="6F963138"/>
    <w:rsid w:val="7010757D"/>
    <w:rsid w:val="7036127C"/>
    <w:rsid w:val="705D2EB7"/>
    <w:rsid w:val="708B7819"/>
    <w:rsid w:val="7161057A"/>
    <w:rsid w:val="71B42DA0"/>
    <w:rsid w:val="720F6228"/>
    <w:rsid w:val="724547F8"/>
    <w:rsid w:val="72C47C4F"/>
    <w:rsid w:val="72CC5D9A"/>
    <w:rsid w:val="72DE73F7"/>
    <w:rsid w:val="7352461E"/>
    <w:rsid w:val="73C72FB5"/>
    <w:rsid w:val="73EB05CF"/>
    <w:rsid w:val="74F31E31"/>
    <w:rsid w:val="75630E26"/>
    <w:rsid w:val="761B1627"/>
    <w:rsid w:val="764C3ED4"/>
    <w:rsid w:val="773D7394"/>
    <w:rsid w:val="77825CD1"/>
    <w:rsid w:val="779A6594"/>
    <w:rsid w:val="78264E1D"/>
    <w:rsid w:val="78B26191"/>
    <w:rsid w:val="78E51B73"/>
    <w:rsid w:val="78F1716B"/>
    <w:rsid w:val="79025CEE"/>
    <w:rsid w:val="79283FDB"/>
    <w:rsid w:val="7BD209F2"/>
    <w:rsid w:val="7BFB51D7"/>
    <w:rsid w:val="7DA565C2"/>
    <w:rsid w:val="7DCE6FFE"/>
    <w:rsid w:val="7DE05967"/>
    <w:rsid w:val="7E3F86B2"/>
    <w:rsid w:val="7E677E64"/>
    <w:rsid w:val="7EE27724"/>
    <w:rsid w:val="7F830EE6"/>
    <w:rsid w:val="7FBB354B"/>
    <w:rsid w:val="7FE37A28"/>
    <w:rsid w:val="9C87B8C5"/>
    <w:rsid w:val="B27F0FF1"/>
    <w:rsid w:val="BF772E73"/>
    <w:rsid w:val="BFADD245"/>
    <w:rsid w:val="CFD737EC"/>
    <w:rsid w:val="E76B5527"/>
    <w:rsid w:val="EE5D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480" w:lineRule="auto"/>
    </w:pPr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51"/>
    <w:qFormat/>
    <w:uiPriority w:val="9"/>
    <w:pPr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4"/>
    <w:next w:val="1"/>
    <w:link w:val="33"/>
    <w:unhideWhenUsed/>
    <w:qFormat/>
    <w:uiPriority w:val="9"/>
    <w:pPr>
      <w:numPr>
        <w:ilvl w:val="0"/>
      </w:numPr>
      <w:outlineLvl w:val="1"/>
    </w:pPr>
  </w:style>
  <w:style w:type="paragraph" w:styleId="4">
    <w:name w:val="heading 3"/>
    <w:basedOn w:val="1"/>
    <w:next w:val="1"/>
    <w:link w:val="52"/>
    <w:unhideWhenUsed/>
    <w:qFormat/>
    <w:uiPriority w:val="9"/>
    <w:pPr>
      <w:numPr>
        <w:ilvl w:val="1"/>
        <w:numId w:val="1"/>
      </w:numPr>
      <w:contextualSpacing/>
      <w:outlineLvl w:val="2"/>
    </w:pPr>
    <w:rPr>
      <w:b/>
      <w:iCs/>
    </w:rPr>
  </w:style>
  <w:style w:type="paragraph" w:styleId="5">
    <w:name w:val="heading 4"/>
    <w:basedOn w:val="1"/>
    <w:next w:val="1"/>
    <w:link w:val="34"/>
    <w:qFormat/>
    <w:uiPriority w:val="0"/>
    <w:pPr>
      <w:numPr>
        <w:ilvl w:val="3"/>
        <w:numId w:val="2"/>
      </w:numPr>
      <w:outlineLvl w:val="3"/>
    </w:pPr>
    <w:rPr>
      <w:rFonts w:eastAsia="黑体"/>
      <w:b/>
    </w:rPr>
  </w:style>
  <w:style w:type="paragraph" w:styleId="6">
    <w:name w:val="heading 5"/>
    <w:basedOn w:val="1"/>
    <w:next w:val="1"/>
    <w:link w:val="53"/>
    <w:qFormat/>
    <w:uiPriority w:val="0"/>
    <w:pPr>
      <w:keepNext/>
      <w:keepLines/>
      <w:tabs>
        <w:tab w:val="left" w:pos="1080"/>
        <w:tab w:val="left" w:pos="1320"/>
      </w:tabs>
      <w:outlineLvl w:val="4"/>
    </w:pPr>
    <w:rPr>
      <w:rFonts w:eastAsia="黑体"/>
      <w:bCs/>
      <w:szCs w:val="28"/>
    </w:rPr>
  </w:style>
  <w:style w:type="paragraph" w:styleId="7">
    <w:name w:val="heading 6"/>
    <w:basedOn w:val="1"/>
    <w:next w:val="1"/>
    <w:link w:val="54"/>
    <w:qFormat/>
    <w:uiPriority w:val="0"/>
    <w:pPr>
      <w:keepNext/>
      <w:keepLines/>
      <w:tabs>
        <w:tab w:val="left" w:pos="1152"/>
        <w:tab w:val="left" w:pos="1680"/>
      </w:tabs>
      <w:ind w:left="1152" w:hanging="1152"/>
      <w:outlineLvl w:val="5"/>
    </w:pPr>
    <w:rPr>
      <w:rFonts w:eastAsia="黑体"/>
      <w:bCs/>
    </w:rPr>
  </w:style>
  <w:style w:type="paragraph" w:styleId="8">
    <w:name w:val="heading 7"/>
    <w:basedOn w:val="1"/>
    <w:next w:val="1"/>
    <w:link w:val="55"/>
    <w:qFormat/>
    <w:uiPriority w:val="0"/>
    <w:pPr>
      <w:keepNext/>
      <w:keepLines/>
      <w:tabs>
        <w:tab w:val="left" w:pos="1296"/>
        <w:tab w:val="left" w:pos="1680"/>
      </w:tabs>
      <w:ind w:left="1296" w:hanging="1296"/>
      <w:outlineLvl w:val="6"/>
    </w:pPr>
    <w:rPr>
      <w:rFonts w:eastAsia="黑体"/>
      <w:bCs/>
    </w:rPr>
  </w:style>
  <w:style w:type="paragraph" w:styleId="9">
    <w:name w:val="heading 8"/>
    <w:basedOn w:val="1"/>
    <w:next w:val="1"/>
    <w:link w:val="56"/>
    <w:qFormat/>
    <w:uiPriority w:val="0"/>
    <w:pPr>
      <w:keepNext/>
      <w:keepLines/>
      <w:tabs>
        <w:tab w:val="left" w:pos="1440"/>
        <w:tab w:val="left" w:pos="1920"/>
      </w:tabs>
      <w:ind w:left="1440" w:hanging="1440"/>
      <w:outlineLvl w:val="7"/>
    </w:pPr>
    <w:rPr>
      <w:rFonts w:eastAsia="黑体"/>
    </w:rPr>
  </w:style>
  <w:style w:type="paragraph" w:styleId="10">
    <w:name w:val="heading 9"/>
    <w:basedOn w:val="1"/>
    <w:next w:val="1"/>
    <w:link w:val="57"/>
    <w:qFormat/>
    <w:uiPriority w:val="0"/>
    <w:pPr>
      <w:keepNext/>
      <w:keepLines/>
      <w:tabs>
        <w:tab w:val="left" w:pos="1584"/>
        <w:tab w:val="left" w:pos="2280"/>
      </w:tabs>
      <w:ind w:left="1584" w:hanging="1584"/>
      <w:outlineLvl w:val="8"/>
    </w:pPr>
    <w:rPr>
      <w:rFonts w:eastAsia="黑体"/>
      <w:szCs w:val="21"/>
    </w:rPr>
  </w:style>
  <w:style w:type="character" w:default="1" w:styleId="24">
    <w:name w:val="Default Paragraph Font"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2">
    <w:name w:val="annotation text"/>
    <w:basedOn w:val="1"/>
    <w:link w:val="66"/>
    <w:unhideWhenUsed/>
    <w:qFormat/>
    <w:uiPriority w:val="99"/>
    <w:pPr>
      <w:spacing w:line="240" w:lineRule="auto"/>
      <w:contextualSpacing/>
    </w:pPr>
    <w:rPr>
      <w:kern w:val="0"/>
      <w:sz w:val="20"/>
      <w:szCs w:val="20"/>
      <w14:ligatures w14:val="none"/>
    </w:rPr>
  </w:style>
  <w:style w:type="paragraph" w:styleId="13">
    <w:name w:val="Balloon Text"/>
    <w:basedOn w:val="1"/>
    <w:link w:val="86"/>
    <w:qFormat/>
    <w:uiPriority w:val="0"/>
    <w:pPr>
      <w:spacing w:line="240" w:lineRule="auto"/>
    </w:pPr>
    <w:rPr>
      <w:sz w:val="18"/>
      <w:szCs w:val="18"/>
    </w:rPr>
  </w:style>
  <w:style w:type="paragraph" w:styleId="14">
    <w:name w:val="footer"/>
    <w:basedOn w:val="1"/>
    <w:link w:val="80"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15">
    <w:name w:val="header"/>
    <w:basedOn w:val="1"/>
    <w:link w:val="8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5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footnote text"/>
    <w:basedOn w:val="1"/>
    <w:link w:val="60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HTML Preformatted"/>
    <w:basedOn w:val="1"/>
    <w:link w:val="8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9">
    <w:name w:val="Normal (Web)"/>
    <w:basedOn w:val="1"/>
    <w:qFormat/>
    <w:uiPriority w:val="99"/>
    <w:rPr>
      <w:rFonts w:cs="Times New Roman"/>
      <w:sz w:val="24"/>
    </w:rPr>
  </w:style>
  <w:style w:type="paragraph" w:styleId="20">
    <w:name w:val="Title"/>
    <w:basedOn w:val="1"/>
    <w:next w:val="1"/>
    <w:link w:val="50"/>
    <w:qFormat/>
    <w:uiPriority w:val="10"/>
    <w:pPr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paragraph" w:styleId="21">
    <w:name w:val="annotation subject"/>
    <w:basedOn w:val="12"/>
    <w:next w:val="12"/>
    <w:link w:val="67"/>
    <w:unhideWhenUsed/>
    <w:qFormat/>
    <w:uiPriority w:val="0"/>
    <w:pPr>
      <w:spacing w:line="480" w:lineRule="auto"/>
      <w:contextualSpacing w:val="0"/>
    </w:pPr>
    <w:rPr>
      <w:b/>
      <w:bCs/>
      <w:kern w:val="2"/>
      <w:sz w:val="24"/>
      <w:szCs w:val="24"/>
      <w14:ligatures w14:val="standardContextual"/>
    </w:rPr>
  </w:style>
  <w:style w:type="table" w:styleId="23">
    <w:name w:val="Table Grid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</w:rPr>
  </w:style>
  <w:style w:type="character" w:styleId="26">
    <w:name w:val="endnote reference"/>
    <w:basedOn w:val="24"/>
    <w:unhideWhenUsed/>
    <w:qFormat/>
    <w:uiPriority w:val="0"/>
    <w:rPr>
      <w:vertAlign w:val="superscript"/>
    </w:rPr>
  </w:style>
  <w:style w:type="character" w:styleId="27">
    <w:name w:val="FollowedHyperlink"/>
    <w:basedOn w:val="24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Emphasis"/>
    <w:basedOn w:val="24"/>
    <w:qFormat/>
    <w:uiPriority w:val="20"/>
    <w:rPr>
      <w:i/>
    </w:rPr>
  </w:style>
  <w:style w:type="character" w:styleId="29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0">
    <w:name w:val="HTML Code"/>
    <w:basedOn w:val="24"/>
    <w:qFormat/>
    <w:uiPriority w:val="0"/>
    <w:rPr>
      <w:rFonts w:ascii="Courier New" w:hAnsi="Courier New"/>
      <w:sz w:val="20"/>
    </w:rPr>
  </w:style>
  <w:style w:type="character" w:styleId="31">
    <w:name w:val="annotation reference"/>
    <w:basedOn w:val="24"/>
    <w:unhideWhenUsed/>
    <w:qFormat/>
    <w:uiPriority w:val="99"/>
    <w:rPr>
      <w:sz w:val="16"/>
      <w:szCs w:val="16"/>
    </w:rPr>
  </w:style>
  <w:style w:type="character" w:styleId="32">
    <w:name w:val="footnote reference"/>
    <w:basedOn w:val="24"/>
    <w:unhideWhenUsed/>
    <w:qFormat/>
    <w:uiPriority w:val="99"/>
    <w:rPr>
      <w:vertAlign w:val="superscript"/>
    </w:rPr>
  </w:style>
  <w:style w:type="character" w:customStyle="1" w:styleId="33">
    <w:name w:val="标题 2 字符"/>
    <w:basedOn w:val="24"/>
    <w:link w:val="3"/>
    <w:qFormat/>
    <w:uiPriority w:val="9"/>
    <w:rPr>
      <w:rFonts w:eastAsiaTheme="minorEastAsia" w:cstheme="minorBidi"/>
      <w:b/>
      <w:iCs/>
      <w:kern w:val="2"/>
      <w:sz w:val="24"/>
      <w:szCs w:val="24"/>
      <w14:ligatures w14:val="standardContextual"/>
    </w:rPr>
  </w:style>
  <w:style w:type="character" w:customStyle="1" w:styleId="34">
    <w:name w:val="标题 4 字符"/>
    <w:basedOn w:val="24"/>
    <w:link w:val="5"/>
    <w:qFormat/>
    <w:uiPriority w:val="0"/>
    <w:rPr>
      <w:rFonts w:eastAsia="黑体" w:cstheme="minorBidi"/>
      <w:b/>
      <w:kern w:val="2"/>
      <w:sz w:val="24"/>
      <w:szCs w:val="24"/>
      <w14:ligatures w14:val="standardContextual"/>
    </w:rPr>
  </w:style>
  <w:style w:type="paragraph" w:customStyle="1" w:styleId="35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36">
    <w:name w:val="EndNote Bibliography Title"/>
    <w:basedOn w:val="1"/>
    <w:link w:val="37"/>
    <w:qFormat/>
    <w:uiPriority w:val="0"/>
    <w:pPr>
      <w:jc w:val="center"/>
    </w:pPr>
    <w:rPr>
      <w:rFonts w:cs="Times New Roman"/>
      <w:sz w:val="24"/>
    </w:rPr>
  </w:style>
  <w:style w:type="character" w:customStyle="1" w:styleId="37">
    <w:name w:val="EndNote Bibliography Title 字符"/>
    <w:basedOn w:val="24"/>
    <w:link w:val="36"/>
    <w:qFormat/>
    <w:uiPriority w:val="0"/>
    <w:rPr>
      <w:rFonts w:eastAsiaTheme="minorEastAsia"/>
      <w:kern w:val="2"/>
      <w:sz w:val="24"/>
      <w:szCs w:val="24"/>
      <w14:ligatures w14:val="standardContextual"/>
    </w:rPr>
  </w:style>
  <w:style w:type="paragraph" w:customStyle="1" w:styleId="38">
    <w:name w:val="EndNote Bibliography"/>
    <w:basedOn w:val="1"/>
    <w:link w:val="39"/>
    <w:qFormat/>
    <w:uiPriority w:val="0"/>
    <w:pPr>
      <w:spacing w:line="240" w:lineRule="auto"/>
    </w:pPr>
    <w:rPr>
      <w:rFonts w:cs="Times New Roman"/>
      <w:sz w:val="24"/>
    </w:rPr>
  </w:style>
  <w:style w:type="character" w:customStyle="1" w:styleId="39">
    <w:name w:val="EndNote Bibliography 字符"/>
    <w:basedOn w:val="24"/>
    <w:link w:val="38"/>
    <w:qFormat/>
    <w:uiPriority w:val="0"/>
    <w:rPr>
      <w:rFonts w:eastAsiaTheme="minorEastAsia"/>
      <w:kern w:val="2"/>
      <w:sz w:val="24"/>
      <w:szCs w:val="24"/>
      <w14:ligatures w14:val="standardContextual"/>
    </w:rPr>
  </w:style>
  <w:style w:type="character" w:customStyle="1" w:styleId="40">
    <w:name w:val="未处理的提及1"/>
    <w:basedOn w:val="2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1">
    <w:name w:val="EndNote Category Heading"/>
    <w:basedOn w:val="1"/>
    <w:link w:val="42"/>
    <w:qFormat/>
    <w:uiPriority w:val="0"/>
    <w:pPr>
      <w:spacing w:before="120" w:after="120"/>
    </w:pPr>
    <w:rPr>
      <w:b/>
    </w:rPr>
  </w:style>
  <w:style w:type="character" w:customStyle="1" w:styleId="42">
    <w:name w:val="EndNote Category Heading 字符"/>
    <w:basedOn w:val="24"/>
    <w:link w:val="41"/>
    <w:qFormat/>
    <w:uiPriority w:val="0"/>
    <w:rPr>
      <w:b/>
      <w:snapToGrid w:val="0"/>
      <w:sz w:val="24"/>
      <w:szCs w:val="24"/>
    </w:rPr>
  </w:style>
  <w:style w:type="paragraph" w:styleId="43">
    <w:name w:val="No Spacing"/>
    <w:qFormat/>
    <w:uiPriority w:val="1"/>
    <w:rPr>
      <w:rFonts w:ascii="Times New Roman" w:hAnsi="Times New Roman" w:eastAsiaTheme="minorEastAsia" w:cstheme="minorBidi"/>
      <w:kern w:val="2"/>
      <w:szCs w:val="24"/>
      <w:lang w:val="en-US" w:eastAsia="zh-TW" w:bidi="ar-SA"/>
      <w14:ligatures w14:val="standardContextual"/>
    </w:rPr>
  </w:style>
  <w:style w:type="character" w:customStyle="1" w:styleId="44">
    <w:name w:val="不明显强调1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Hyperlink1"/>
    <w:basedOn w:val="24"/>
    <w:unhideWhenUsed/>
    <w:qFormat/>
    <w:uiPriority w:val="99"/>
    <w:rPr>
      <w:color w:val="0563C1"/>
      <w:u w:val="single"/>
    </w:rPr>
  </w:style>
  <w:style w:type="paragraph" w:customStyle="1" w:styleId="46">
    <w:name w:val="MTDisplayEquation"/>
    <w:basedOn w:val="1"/>
    <w:next w:val="1"/>
    <w:link w:val="47"/>
    <w:qFormat/>
    <w:uiPriority w:val="0"/>
    <w:pPr>
      <w:tabs>
        <w:tab w:val="center" w:pos="4680"/>
        <w:tab w:val="right" w:pos="9360"/>
      </w:tabs>
    </w:pPr>
    <w:rPr>
      <w:rFonts w:eastAsia="PMingLiU"/>
    </w:rPr>
  </w:style>
  <w:style w:type="character" w:customStyle="1" w:styleId="47">
    <w:name w:val="MTDisplayEquation 字符"/>
    <w:basedOn w:val="24"/>
    <w:link w:val="46"/>
    <w:qFormat/>
    <w:uiPriority w:val="0"/>
    <w:rPr>
      <w:rFonts w:eastAsia="PMingLiU" w:cstheme="minorBidi"/>
      <w:kern w:val="2"/>
      <w:sz w:val="24"/>
      <w:szCs w:val="24"/>
      <w14:ligatures w14:val="standardContextual"/>
    </w:rPr>
  </w:style>
  <w:style w:type="paragraph" w:customStyle="1" w:styleId="48">
    <w:name w:val="Tertiary heading"/>
    <w:basedOn w:val="1"/>
    <w:next w:val="1"/>
    <w:link w:val="49"/>
    <w:qFormat/>
    <w:uiPriority w:val="0"/>
    <w:pPr>
      <w:numPr>
        <w:ilvl w:val="2"/>
        <w:numId w:val="1"/>
      </w:numPr>
      <w:outlineLvl w:val="3"/>
    </w:pPr>
    <w:rPr>
      <w:b/>
      <w:iCs/>
    </w:rPr>
  </w:style>
  <w:style w:type="character" w:customStyle="1" w:styleId="49">
    <w:name w:val="Tertiary heading 字符"/>
    <w:basedOn w:val="24"/>
    <w:link w:val="48"/>
    <w:qFormat/>
    <w:uiPriority w:val="0"/>
    <w:rPr>
      <w:rFonts w:eastAsiaTheme="minorEastAsia" w:cstheme="minorBidi"/>
      <w:b/>
      <w:iCs/>
      <w:kern w:val="2"/>
      <w:sz w:val="24"/>
      <w:szCs w:val="24"/>
      <w14:ligatures w14:val="standardContextual"/>
    </w:rPr>
  </w:style>
  <w:style w:type="character" w:customStyle="1" w:styleId="50">
    <w:name w:val="标题 字符"/>
    <w:basedOn w:val="24"/>
    <w:link w:val="20"/>
    <w:qFormat/>
    <w:uiPriority w:val="10"/>
    <w:rPr>
      <w:rFonts w:eastAsiaTheme="majorEastAsia" w:cstheme="majorBidi"/>
      <w:b/>
      <w:spacing w:val="-10"/>
      <w:kern w:val="28"/>
      <w:sz w:val="24"/>
      <w:szCs w:val="56"/>
      <w14:ligatures w14:val="standardContextual"/>
    </w:rPr>
  </w:style>
  <w:style w:type="character" w:customStyle="1" w:styleId="51">
    <w:name w:val="标题 1 字符"/>
    <w:basedOn w:val="24"/>
    <w:link w:val="2"/>
    <w:qFormat/>
    <w:uiPriority w:val="9"/>
    <w:rPr>
      <w:rFonts w:eastAsiaTheme="majorEastAsia" w:cstheme="majorBidi"/>
      <w:b/>
      <w:kern w:val="2"/>
      <w:sz w:val="24"/>
      <w:szCs w:val="32"/>
      <w14:ligatures w14:val="standardContextual"/>
    </w:rPr>
  </w:style>
  <w:style w:type="character" w:customStyle="1" w:styleId="52">
    <w:name w:val="标题 3 字符"/>
    <w:basedOn w:val="24"/>
    <w:link w:val="4"/>
    <w:qFormat/>
    <w:uiPriority w:val="9"/>
    <w:rPr>
      <w:rFonts w:eastAsiaTheme="minorEastAsia" w:cstheme="minorBidi"/>
      <w:b/>
      <w:iCs/>
      <w:kern w:val="2"/>
      <w:sz w:val="24"/>
      <w:szCs w:val="24"/>
      <w14:ligatures w14:val="standardContextual"/>
    </w:rPr>
  </w:style>
  <w:style w:type="character" w:customStyle="1" w:styleId="53">
    <w:name w:val="标题 5 字符"/>
    <w:basedOn w:val="24"/>
    <w:link w:val="6"/>
    <w:qFormat/>
    <w:uiPriority w:val="0"/>
    <w:rPr>
      <w:rFonts w:eastAsia="黑体" w:cstheme="minorBidi"/>
      <w:bCs/>
      <w:kern w:val="2"/>
      <w:sz w:val="24"/>
      <w:szCs w:val="28"/>
      <w14:ligatures w14:val="standardContextual"/>
    </w:rPr>
  </w:style>
  <w:style w:type="character" w:customStyle="1" w:styleId="54">
    <w:name w:val="标题 6 字符"/>
    <w:basedOn w:val="24"/>
    <w:link w:val="7"/>
    <w:qFormat/>
    <w:uiPriority w:val="0"/>
    <w:rPr>
      <w:rFonts w:eastAsia="黑体" w:cstheme="minorBidi"/>
      <w:bCs/>
      <w:kern w:val="2"/>
      <w:sz w:val="24"/>
      <w:szCs w:val="24"/>
      <w14:ligatures w14:val="standardContextual"/>
    </w:rPr>
  </w:style>
  <w:style w:type="character" w:customStyle="1" w:styleId="55">
    <w:name w:val="标题 7 字符"/>
    <w:basedOn w:val="24"/>
    <w:link w:val="8"/>
    <w:qFormat/>
    <w:uiPriority w:val="0"/>
    <w:rPr>
      <w:rFonts w:eastAsia="黑体" w:cstheme="minorBidi"/>
      <w:bCs/>
      <w:kern w:val="2"/>
      <w:sz w:val="24"/>
      <w:szCs w:val="24"/>
      <w14:ligatures w14:val="standardContextual"/>
    </w:rPr>
  </w:style>
  <w:style w:type="character" w:customStyle="1" w:styleId="56">
    <w:name w:val="标题 8 字符"/>
    <w:basedOn w:val="24"/>
    <w:link w:val="9"/>
    <w:qFormat/>
    <w:uiPriority w:val="0"/>
    <w:rPr>
      <w:rFonts w:eastAsia="黑体" w:cstheme="minorBidi"/>
      <w:kern w:val="2"/>
      <w:sz w:val="24"/>
      <w:szCs w:val="24"/>
      <w14:ligatures w14:val="standardContextual"/>
    </w:rPr>
  </w:style>
  <w:style w:type="character" w:customStyle="1" w:styleId="57">
    <w:name w:val="标题 9 字符"/>
    <w:basedOn w:val="24"/>
    <w:link w:val="10"/>
    <w:qFormat/>
    <w:uiPriority w:val="0"/>
    <w:rPr>
      <w:rFonts w:eastAsia="黑体" w:cstheme="minorBidi"/>
      <w:kern w:val="2"/>
      <w:sz w:val="24"/>
      <w:szCs w:val="21"/>
      <w14:ligatures w14:val="standardContextual"/>
    </w:rPr>
  </w:style>
  <w:style w:type="paragraph" w:customStyle="1" w:styleId="58">
    <w:name w:val="二级标题"/>
    <w:basedOn w:val="1"/>
    <w:next w:val="1"/>
    <w:qFormat/>
    <w:uiPriority w:val="0"/>
    <w:pPr>
      <w:numPr>
        <w:ilvl w:val="1"/>
        <w:numId w:val="3"/>
      </w:numPr>
      <w:kinsoku w:val="0"/>
      <w:outlineLvl w:val="1"/>
    </w:pPr>
    <w:rPr>
      <w:b/>
    </w:rPr>
  </w:style>
  <w:style w:type="character" w:customStyle="1" w:styleId="59">
    <w:name w:val="副标题 字符"/>
    <w:basedOn w:val="24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60">
    <w:name w:val="脚注文本 字符"/>
    <w:basedOn w:val="24"/>
    <w:link w:val="17"/>
    <w:qFormat/>
    <w:uiPriority w:val="99"/>
    <w:rPr>
      <w:rFonts w:eastAsiaTheme="minorEastAsia" w:cstheme="minorBidi"/>
      <w:kern w:val="2"/>
      <w14:ligatures w14:val="standardContextual"/>
    </w:rPr>
  </w:style>
  <w:style w:type="paragraph" w:styleId="61">
    <w:name w:val="List Paragraph"/>
    <w:basedOn w:val="1"/>
    <w:qFormat/>
    <w:uiPriority w:val="34"/>
    <w:pPr>
      <w:ind w:left="720"/>
      <w:contextualSpacing/>
    </w:pPr>
  </w:style>
  <w:style w:type="character" w:customStyle="1" w:styleId="62">
    <w:name w:val="明显参考1"/>
    <w:basedOn w:val="24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63">
    <w:name w:val="明显强调1"/>
    <w:basedOn w:val="24"/>
    <w:qFormat/>
    <w:uiPriority w:val="21"/>
    <w:rPr>
      <w:i/>
      <w:iCs/>
      <w:color w:val="376092" w:themeColor="accent1" w:themeShade="BF"/>
    </w:rPr>
  </w:style>
  <w:style w:type="paragraph" w:styleId="64">
    <w:name w:val="Intense Quote"/>
    <w:basedOn w:val="1"/>
    <w:next w:val="1"/>
    <w:link w:val="6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65">
    <w:name w:val="明显引用 字符"/>
    <w:basedOn w:val="24"/>
    <w:link w:val="64"/>
    <w:qFormat/>
    <w:uiPriority w:val="30"/>
    <w:rPr>
      <w:rFonts w:eastAsiaTheme="minorEastAsia" w:cstheme="minorBidi"/>
      <w:i/>
      <w:iCs/>
      <w:color w:val="376092" w:themeColor="accent1" w:themeShade="BF"/>
      <w:kern w:val="2"/>
      <w:sz w:val="24"/>
      <w:szCs w:val="24"/>
      <w14:ligatures w14:val="standardContextual"/>
    </w:rPr>
  </w:style>
  <w:style w:type="character" w:customStyle="1" w:styleId="66">
    <w:name w:val="批注文字 字符"/>
    <w:basedOn w:val="24"/>
    <w:link w:val="12"/>
    <w:qFormat/>
    <w:uiPriority w:val="99"/>
    <w:rPr>
      <w:rFonts w:eastAsiaTheme="minorEastAsia" w:cstheme="minorBidi"/>
    </w:rPr>
  </w:style>
  <w:style w:type="character" w:customStyle="1" w:styleId="67">
    <w:name w:val="批注主题 字符"/>
    <w:basedOn w:val="66"/>
    <w:link w:val="21"/>
    <w:qFormat/>
    <w:uiPriority w:val="0"/>
    <w:rPr>
      <w:rFonts w:eastAsiaTheme="minorEastAsia" w:cstheme="minorBidi"/>
      <w:b/>
      <w:bCs/>
      <w:kern w:val="2"/>
      <w:sz w:val="24"/>
      <w:szCs w:val="24"/>
      <w14:ligatures w14:val="standardContextual"/>
    </w:rPr>
  </w:style>
  <w:style w:type="paragraph" w:customStyle="1" w:styleId="68">
    <w:name w:val="三级标题"/>
    <w:basedOn w:val="1"/>
    <w:next w:val="1"/>
    <w:qFormat/>
    <w:uiPriority w:val="0"/>
    <w:pPr>
      <w:numPr>
        <w:ilvl w:val="2"/>
        <w:numId w:val="3"/>
      </w:numPr>
      <w:kinsoku w:val="0"/>
      <w:outlineLvl w:val="2"/>
    </w:pPr>
    <w:rPr>
      <w:b/>
    </w:rPr>
  </w:style>
  <w:style w:type="paragraph" w:customStyle="1" w:styleId="69">
    <w:name w:val="书目1"/>
    <w:basedOn w:val="1"/>
    <w:next w:val="1"/>
    <w:unhideWhenUsed/>
    <w:qFormat/>
    <w:uiPriority w:val="37"/>
    <w:pPr>
      <w:spacing w:line="240" w:lineRule="auto"/>
      <w:ind w:left="720" w:hanging="720"/>
    </w:pPr>
  </w:style>
  <w:style w:type="table" w:customStyle="1" w:styleId="70">
    <w:name w:val="网格型1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1">
    <w:name w:val="网格型2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2">
    <w:name w:val="网格型21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3">
    <w:name w:val="网格型211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4">
    <w:name w:val="网格型22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5">
    <w:name w:val="网格型3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网格型4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7">
    <w:name w:val="网格型5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8">
    <w:name w:val="网格型6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9">
    <w:name w:val="网格型61"/>
    <w:basedOn w:val="22"/>
    <w:qFormat/>
    <w:uiPriority w:val="39"/>
    <w:rPr>
      <w:rFonts w:eastAsiaTheme="minorEastAsia" w:cstheme="minorBidi"/>
      <w:kern w:val="2"/>
      <w:sz w:val="24"/>
      <w:szCs w:val="24"/>
      <w:lang w:eastAsia="zh-TW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0">
    <w:name w:val="页脚 字符"/>
    <w:basedOn w:val="24"/>
    <w:link w:val="14"/>
    <w:qFormat/>
    <w:uiPriority w:val="99"/>
    <w:rPr>
      <w:rFonts w:eastAsiaTheme="minorEastAsia" w:cstheme="minorBidi"/>
      <w:kern w:val="2"/>
      <w:sz w:val="18"/>
      <w:szCs w:val="18"/>
      <w14:ligatures w14:val="standardContextual"/>
    </w:rPr>
  </w:style>
  <w:style w:type="character" w:customStyle="1" w:styleId="81">
    <w:name w:val="页眉 字符"/>
    <w:basedOn w:val="24"/>
    <w:link w:val="15"/>
    <w:qFormat/>
    <w:uiPriority w:val="99"/>
    <w:rPr>
      <w:rFonts w:eastAsiaTheme="minorEastAsia" w:cstheme="minorBidi"/>
      <w:kern w:val="2"/>
      <w:sz w:val="18"/>
      <w:szCs w:val="18"/>
      <w14:ligatures w14:val="standardContextual"/>
    </w:rPr>
  </w:style>
  <w:style w:type="paragraph" w:customStyle="1" w:styleId="82">
    <w:name w:val="一级标题"/>
    <w:basedOn w:val="1"/>
    <w:next w:val="1"/>
    <w:qFormat/>
    <w:uiPriority w:val="0"/>
    <w:pPr>
      <w:numPr>
        <w:ilvl w:val="0"/>
        <w:numId w:val="3"/>
      </w:numPr>
      <w:kinsoku w:val="0"/>
      <w:outlineLvl w:val="0"/>
    </w:pPr>
    <w:rPr>
      <w:b/>
    </w:rPr>
  </w:style>
  <w:style w:type="paragraph" w:styleId="83">
    <w:name w:val="Quote"/>
    <w:basedOn w:val="1"/>
    <w:next w:val="1"/>
    <w:link w:val="8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4">
    <w:name w:val="引用 字符"/>
    <w:basedOn w:val="24"/>
    <w:link w:val="83"/>
    <w:qFormat/>
    <w:uiPriority w:val="29"/>
    <w:rPr>
      <w:rFonts w:eastAsiaTheme="minorEastAsia" w:cstheme="minorBidi"/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styleId="85">
    <w:name w:val="Placeholder Text"/>
    <w:basedOn w:val="24"/>
    <w:semiHidden/>
    <w:qFormat/>
    <w:uiPriority w:val="99"/>
    <w:rPr>
      <w:color w:val="808080"/>
    </w:rPr>
  </w:style>
  <w:style w:type="character" w:customStyle="1" w:styleId="86">
    <w:name w:val="批注框文本 字符"/>
    <w:basedOn w:val="24"/>
    <w:link w:val="13"/>
    <w:qFormat/>
    <w:uiPriority w:val="0"/>
    <w:rPr>
      <w:rFonts w:eastAsiaTheme="minorEastAsia" w:cstheme="minorBidi"/>
      <w:kern w:val="2"/>
      <w:sz w:val="18"/>
      <w:szCs w:val="18"/>
      <w14:ligatures w14:val="standardContextual"/>
    </w:rPr>
  </w:style>
  <w:style w:type="character" w:customStyle="1" w:styleId="87">
    <w:name w:val="HTML 预设格式 字符"/>
    <w:basedOn w:val="24"/>
    <w:link w:val="18"/>
    <w:qFormat/>
    <w:uiPriority w:val="99"/>
    <w:rPr>
      <w:rFonts w:ascii="宋体" w:hAnsi="宋体" w:cs="宋体"/>
      <w:sz w:val="24"/>
      <w:szCs w:val="24"/>
    </w:rPr>
  </w:style>
  <w:style w:type="character" w:customStyle="1" w:styleId="88">
    <w:name w:val="未处理的提及2"/>
    <w:basedOn w:val="2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9">
    <w:name w:val="修订2"/>
    <w:hidden/>
    <w:semiHidden/>
    <w:qFormat/>
    <w:uiPriority w:val="99"/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paragraph" w:customStyle="1" w:styleId="90">
    <w:name w:val="修订3"/>
    <w:hidden/>
    <w:unhideWhenUsed/>
    <w:qFormat/>
    <w:uiPriority w:val="99"/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character" w:customStyle="1" w:styleId="91">
    <w:name w:val="未处理的提及3"/>
    <w:basedOn w:val="2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2">
    <w:name w:val="OA Heading 1"/>
    <w:basedOn w:val="1"/>
    <w:qFormat/>
    <w:uiPriority w:val="0"/>
    <w:pPr>
      <w:keepNext/>
      <w:spacing w:before="240" w:after="120"/>
    </w:pPr>
    <w:rPr>
      <w:rFonts w:eastAsia="Times New Roman"/>
      <w:b/>
      <w:sz w:val="28"/>
    </w:rPr>
  </w:style>
  <w:style w:type="paragraph" w:customStyle="1" w:styleId="93">
    <w:name w:val="OA Heading 2"/>
    <w:basedOn w:val="1"/>
    <w:qFormat/>
    <w:uiPriority w:val="0"/>
    <w:pPr>
      <w:keepNext/>
      <w:spacing w:before="200" w:after="80"/>
    </w:pPr>
    <w:rPr>
      <w:rFonts w:eastAsia="Times New Roman"/>
      <w:b/>
      <w:sz w:val="24"/>
    </w:rPr>
  </w:style>
  <w:style w:type="paragraph" w:customStyle="1" w:styleId="94">
    <w:name w:val="OA Heading 3"/>
    <w:basedOn w:val="1"/>
    <w:qFormat/>
    <w:uiPriority w:val="0"/>
    <w:pPr>
      <w:keepNext/>
      <w:spacing w:before="160" w:after="60"/>
    </w:pPr>
    <w:rPr>
      <w:rFonts w:eastAsia="Times New Roman"/>
      <w:b/>
    </w:rPr>
  </w:style>
  <w:style w:type="character" w:customStyle="1" w:styleId="95">
    <w:name w:val="未处理的提及4"/>
    <w:basedOn w:val="2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6">
    <w:name w:val="修订4"/>
    <w:hidden/>
    <w:unhideWhenUsed/>
    <w:qFormat/>
    <w:uiPriority w:val="99"/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paragraph" w:customStyle="1" w:styleId="97">
    <w:name w:val="修订5"/>
    <w:hidden/>
    <w:unhideWhenUsed/>
    <w:qFormat/>
    <w:uiPriority w:val="99"/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paragraph" w:customStyle="1" w:styleId="98">
    <w:name w:val="修订6"/>
    <w:hidden/>
    <w:unhideWhenUsed/>
    <w:qFormat/>
    <w:uiPriority w:val="99"/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paragraph" w:customStyle="1" w:styleId="99">
    <w:name w:val="修订7"/>
    <w:hidden/>
    <w:unhideWhenUsed/>
    <w:qFormat/>
    <w:uiPriority w:val="99"/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paragraph" w:customStyle="1" w:styleId="100">
    <w:name w:val="Revision"/>
    <w:hidden/>
    <w:unhideWhenUsed/>
    <w:qFormat/>
    <w:uiPriority w:val="99"/>
    <w:rPr>
      <w:rFonts w:ascii="Times New Roman" w:hAnsi="Times New Roman" w:eastAsiaTheme="minorEastAsia" w:cstheme="minorBidi"/>
      <w:kern w:val="2"/>
      <w:sz w:val="23"/>
      <w:szCs w:val="24"/>
      <w:lang w:val="en-US" w:eastAsia="zh-CN" w:bidi="ar-SA"/>
      <w14:ligatures w14:val="standardContextual"/>
    </w:rPr>
  </w:style>
  <w:style w:type="character" w:customStyle="1" w:styleId="101">
    <w:name w:val="Unresolved Mention"/>
    <w:basedOn w:val="2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17BD9-4EAB-478C-9F73-AD1C5E56C5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558</Words>
  <Characters>2875</Characters>
  <Lines>326</Lines>
  <Paragraphs>91</Paragraphs>
  <TotalTime>30</TotalTime>
  <ScaleCrop>false</ScaleCrop>
  <LinksUpToDate>false</LinksUpToDate>
  <CharactersWithSpaces>3273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2026-09-13T04:28:00Z</dcterms:created>
  <dc:creator>jxwang</dc:creator>
  <cp:keywords>UAP-DL; online appendix; supplementary materials</cp:keywords>
  <cp:lastModifiedBy>jxwang</cp:lastModifiedBy>
  <cp:lastPrinted>2026-07-15T14:36:00Z</cp:lastPrinted>
  <dcterms:modified xsi:type="dcterms:W3CDTF">2026-10-12T09:10:16Z</dcterms:modified>
  <dc:subject>Supplementary materials</dc:subject>
  <dc:title>UAP-DL Online Appendix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ec4ecb2e-3b9c-4fa0-b651-cae42f69e4ee</vt:lpwstr>
  </property>
  <property fmtid="{D5CDD505-2E9C-101B-9397-08002B2CF9AE}" pid="3" name="KSOTemplateDocerSaveRecord">
    <vt:lpwstr>eyJoZGlkIjoiZjM3MGEzY2E2YjQxZTA2MDYxOTFiNWFmY2U4ZTFlZDEiLCJ1c2VySWQiOiIzMDg1ODA4MzAifQ==</vt:lpwstr>
  </property>
  <property fmtid="{D5CDD505-2E9C-101B-9397-08002B2CF9AE}" pid="4" name="KSOProductBuildVer">
    <vt:lpwstr>2052-12.1.0.28505</vt:lpwstr>
  </property>
  <property fmtid="{D5CDD505-2E9C-101B-9397-08002B2CF9AE}" pid="5" name="ICV">
    <vt:lpwstr>E885858E325F4B7E9AE1F5C0E516159B_12</vt:lpwstr>
  </property>
</Properties>
</file>