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Heading1"/>
        <w:outlineLvl w:val="0"/>
        <w:spacing w:before="0" w:after="160" w:line="276" w:lineRule="auto"/>
        <w:pBdr>
          <w:bottom w:val="single" w:sz="12" w:space="1" w:color="1B3A4B"/>
        </w:pBdr>
        <w:rPr>
          <w:rFonts w:ascii="Malgun Gothic" w:hAnsi="Malgun Gothic" w:eastAsia="Malgun Gothic" w:cs="Malgun Gothic"/>
        </w:rPr>
      </w:pPr>
      <w:r>
        <w:rPr>
          <w:rFonts w:ascii="Malgun Gothic" w:hAnsi="Malgun Gothic" w:eastAsia="Malgun Gothic" w:cs="Malgun Gothic"/>
          <w:b/>
          <w:color w:val="1B3A4B"/>
          <w:sz w:val="32"/>
          <w:szCs w:val="32"/>
        </w:rPr>
        <w:t>JY Group 개인정보 처리방침</w:t>
      </w:r>
    </w:p>
    <w:tbl>
      <w:tblPr>
        <w:tblW w:w="5000" w:type="pct"/>
        <w:tblBorders>
          <w:top w:val="single" w:sz="4" w:space="0" w:color="D5DEE3"/>
          <w:left w:val="single" w:sz="4" w:space="0" w:color="D5DEE3"/>
          <w:bottom w:val="single" w:sz="4" w:space="0" w:color="D5DEE3"/>
          <w:right w:val="single" w:sz="4" w:space="0" w:color="D5DEE3"/>
          <w:insideH w:val="single" w:sz="4" w:space="0" w:color="D5DEE3"/>
          <w:insideV w:val="single" w:sz="4" w:space="0" w:color="D5DEE3"/>
        </w:tblBorders>
        <w:tblCellMar>
          <w:top w:w="60" w:type="dxa"/>
          <w:left w:w="100" w:type="dxa"/>
          <w:bottom w:w="60" w:type="dxa"/>
          <w:right w:w="100" w:type="dxa"/>
        </w:tblCellMar>
        <w:tblLook w:firstRow="1" w:noHBand="0" w:noVBand="1"/>
      </w:tblPr>
      <w:tblGrid>
        <w:gridCol w:w="2200"/>
        <w:gridCol w:w="7666"/>
      </w:tblGrid>
      <w:tr>
        <w:trPr>
          <w:tblHeader/>
        </w:trPr>
        <w:tc>
          <w:tcPr>
            <w:tcW w:w="2200"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항목</w:t>
            </w:r>
          </w:p>
        </w:tc>
        <w:tc>
          <w:tcPr>
            <w:tcW w:w="7666"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내용</w:t>
            </w:r>
          </w:p>
        </w:tc>
      </w:tr>
      <w:tr>
        <w:trPr/>
        <w:tc>
          <w:tcPr>
            <w:tcW w:w="22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문서ID</w:t>
            </w:r>
          </w:p>
        </w:tc>
        <w:tc>
          <w:tcPr>
            <w:tcW w:w="76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JY-Privacy-Policy-After</w:t>
            </w:r>
          </w:p>
        </w:tc>
      </w:tr>
      <w:tr>
        <w:trPr/>
        <w:tc>
          <w:tcPr>
            <w:tcW w:w="22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문안 작성일</w:t>
            </w:r>
          </w:p>
        </w:tc>
        <w:tc>
          <w:tcPr>
            <w:tcW w:w="76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2026-10-07</w:t>
            </w:r>
          </w:p>
        </w:tc>
      </w:tr>
      <w:tr>
        <w:trPr/>
        <w:tc>
          <w:tcPr>
            <w:tcW w:w="22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Word 정리일</w:t>
            </w:r>
          </w:p>
        </w:tc>
        <w:tc>
          <w:tcPr>
            <w:tcW w:w="76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2026-10-20</w:t>
            </w:r>
          </w:p>
        </w:tc>
      </w:tr>
      <w:tr>
        <w:trPr/>
        <w:tc>
          <w:tcPr>
            <w:tcW w:w="22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상태</w:t>
            </w:r>
          </w:p>
        </w:tc>
        <w:tc>
          <w:tcPr>
            <w:tcW w:w="76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가상 실습 초안. 대외 공시와 동의가 아니다.</w:t>
            </w:r>
          </w:p>
        </w:tc>
      </w:tr>
      <w:tr>
        <w:trPr/>
        <w:tc>
          <w:tcPr>
            <w:tcW w:w="22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대상</w:t>
            </w:r>
          </w:p>
        </w:tc>
        <w:tc>
          <w:tcPr>
            <w:tcW w:w="76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로컬 상담 시스템 1식</w:t>
            </w:r>
          </w:p>
        </w:tc>
      </w:tr>
      <w:tr>
        <w:trPr/>
        <w:tc>
          <w:tcPr>
            <w:tcW w:w="22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적용</w:t>
            </w:r>
          </w:p>
        </w:tc>
        <w:tc>
          <w:tcPr>
            <w:tcW w:w="76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JY Retail은 처리 목적을 정한다. JY Service는 상담을 수행한다. JY Vendor는 유지보수를 한다.</w:t>
            </w:r>
          </w:p>
        </w:tc>
      </w:tr>
    </w:tbl>
    <w:p>
      <w:pPr>
        <w:pStyle w:val="Normal"/>
        <w:spacing w:before="60" w:after="40" w:line="276" w:lineRule="auto"/>
        <w:rPr>
          <w:rFonts w:ascii="Malgun Gothic" w:hAnsi="Malgun Gothic" w:eastAsia="Malgun Gothic" w:cs="Malgun Gothic"/>
        </w:rPr>
      </w:pPr>
      <w:r>
        <w:rPr>
          <w:rFonts w:ascii="Malgun Gothic" w:hAnsi="Malgun Gothic" w:eastAsia="Malgun Gothic" w:cs="Malgun Gothic"/>
          <w:color w:val="243038"/>
          <w:sz w:val="22"/>
          <w:szCs w:val="22"/>
        </w:rPr>
        <w:t/>
      </w:r>
    </w:p>
    <w:tbl>
      <w:tblPr>
        <w:tblW w:w="5000" w:type="pct"/>
        <w:tblBorders>
          <w:top w:val="nil"/>
          <w:left w:val="single" w:sz="16" w:space="0" w:color="1B3A4B"/>
          <w:bottom w:val="nil"/>
          <w:right w:val="nil"/>
          <w:insideH w:val="nil"/>
          <w:insideV w:val="nil"/>
        </w:tblBorders>
        <w:tblCellMar>
          <w:top w:w="80" w:type="dxa"/>
          <w:left w:w="140" w:type="dxa"/>
          <w:bottom w:w="80" w:type="dxa"/>
          <w:right w:w="120" w:type="dxa"/>
        </w:tblCellMar>
      </w:tblPr>
      <w:tblGrid>
        <w:gridCol w:w="9866"/>
      </w:tblGrid>
      <w:tr>
        <w:tc>
          <w:tcPr>
            <w:tcW w:w="9866" w:type="dxa"/>
            <w:shd w:val="clear" w:color="auto" w:fill="F4F7F8"/>
          </w:tcPr>
          <w:p>
            <w:pPr>
              <w:spacing w:before="40" w:after="40" w:line="276" w:lineRule="auto"/>
              <w:rPr>
                <w:rFonts w:ascii="Malgun Gothic" w:hAnsi="Malgun Gothic" w:eastAsia="Malgun Gothic" w:cs="Malgun Gothic"/>
              </w:rPr>
            </w:pPr>
            <w:r>
              <w:rPr>
                <w:rFonts w:ascii="Malgun Gothic" w:hAnsi="Malgun Gothic" w:eastAsia="Malgun Gothic" w:cs="Malgun Gothic"/>
                <w:color w:val="1B3A4B"/>
                <w:sz w:val="20"/>
                <w:szCs w:val="20"/>
              </w:rPr>
              <w:t>이 초안을 만들었다는 이유로 초기 점검 판정을 바꾸지 않는다.</w:t>
            </w:r>
          </w:p>
        </w:tc>
      </w:tr>
    </w:tbl>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1. 처리 목적과 항목</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상담은 상품 문의 목적에 한정한다. 처리 항목은 이름, 이메일, 문의 본문, 첨부다. 합성 자료에 주민등록번호와 민감정보는 없다. 수집 항목을 동의 하나로 묶지 않는다.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제한상담의 항목도 같다. 일반상담원과 외부 유지보수가 상시로 보는 대상이 아니다.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2. 보유와 파기</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상담이 끝나면 지체 없이 파기한다.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법령에 보관 의무가 있는 경우에만 그 기간 동안 보관한다. 기간 숫자는 해당 조문을 확인한 뒤 적는다. 현재 이 칸은 비어 있다.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화면의 삭제만으로 파기가 끝났다고 보지 않는다. 다른 기록, 첨부, 내려받은 사본을 따로 확인한다. 백업의 잔존과 복구는 확인하지 않았다.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3. 위탁과 제3자 제공</w:t>
      </w:r>
    </w:p>
    <w:tbl>
      <w:tblPr>
        <w:tblW w:w="5000" w:type="pct"/>
        <w:tblBorders>
          <w:top w:val="single" w:sz="4" w:space="0" w:color="D5DEE3"/>
          <w:left w:val="single" w:sz="4" w:space="0" w:color="D5DEE3"/>
          <w:bottom w:val="single" w:sz="4" w:space="0" w:color="D5DEE3"/>
          <w:right w:val="single" w:sz="4" w:space="0" w:color="D5DEE3"/>
          <w:insideH w:val="single" w:sz="4" w:space="0" w:color="D5DEE3"/>
          <w:insideV w:val="single" w:sz="4" w:space="0" w:color="D5DEE3"/>
        </w:tblBorders>
        <w:tblCellMar>
          <w:top w:w="60" w:type="dxa"/>
          <w:left w:w="100" w:type="dxa"/>
          <w:bottom w:w="60" w:type="dxa"/>
          <w:right w:w="100" w:type="dxa"/>
        </w:tblCellMar>
        <w:tblLook w:firstRow="1" w:noHBand="0" w:noVBand="1"/>
      </w:tblPr>
      <w:tblGrid>
        <w:gridCol w:w="1600"/>
        <w:gridCol w:w="2000"/>
        <w:gridCol w:w="2400"/>
        <w:gridCol w:w="3866"/>
      </w:tblGrid>
      <w:tr>
        <w:trPr>
          <w:tblHeader/>
        </w:trPr>
        <w:tc>
          <w:tcPr>
            <w:tcW w:w="1600"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구분</w:t>
            </w:r>
          </w:p>
        </w:tc>
        <w:tc>
          <w:tcPr>
            <w:tcW w:w="2000"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상대</w:t>
            </w:r>
          </w:p>
        </w:tc>
        <w:tc>
          <w:tcPr>
            <w:tcW w:w="2400"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업무</w:t>
            </w:r>
          </w:p>
        </w:tc>
        <w:tc>
          <w:tcPr>
            <w:tcW w:w="3866"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범위</w:t>
            </w:r>
          </w:p>
        </w:tc>
      </w:tr>
      <w:tr>
        <w:trPr/>
        <w:tc>
          <w:tcPr>
            <w:tcW w:w="16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위탁</w:t>
            </w:r>
          </w:p>
        </w:tc>
        <w:tc>
          <w:tcPr>
            <w:tcW w:w="20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JY Service</w:t>
            </w:r>
          </w:p>
        </w:tc>
        <w:tc>
          <w:tcPr>
            <w:tcW w:w="24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상담 수행</w:t>
            </w:r>
          </w:p>
        </w:tc>
        <w:tc>
          <w:tcPr>
            <w:tcW w:w="38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목적 결정은 JY Retail</w:t>
            </w:r>
          </w:p>
        </w:tc>
      </w:tr>
      <w:tr>
        <w:trPr/>
        <w:tc>
          <w:tcPr>
            <w:tcW w:w="16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위탁</w:t>
            </w:r>
          </w:p>
        </w:tc>
        <w:tc>
          <w:tcPr>
            <w:tcW w:w="20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JY Vendor</w:t>
            </w:r>
          </w:p>
        </w:tc>
        <w:tc>
          <w:tcPr>
            <w:tcW w:w="24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시스템 유지보수</w:t>
            </w:r>
          </w:p>
        </w:tc>
        <w:tc>
          <w:tcPr>
            <w:tcW w:w="38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필요할 때만 권한을 준다. 제한상담을 상시로 보지 않는다</w:t>
            </w:r>
          </w:p>
        </w:tc>
      </w:tr>
      <w:tr>
        <w:trPr/>
        <w:tc>
          <w:tcPr>
            <w:tcW w:w="16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제3자 제공</w:t>
            </w:r>
          </w:p>
        </w:tc>
        <w:tc>
          <w:tcPr>
            <w:tcW w:w="20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해당 없음</w:t>
            </w:r>
          </w:p>
        </w:tc>
        <w:tc>
          <w:tcPr>
            <w:tcW w:w="24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
            </w:r>
          </w:p>
        </w:tc>
        <w:tc>
          <w:tcPr>
            <w:tcW w:w="38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그룹사 이름만으로 제공 근거가 되지 않는다</w:t>
            </w:r>
          </w:p>
        </w:tc>
      </w:tr>
    </w:tbl>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계약서와 정기 감독 실적은 이 초안에 없다.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4. 정보주체의 권리</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열람, 정정, 삭제, 처리정지를 받는다.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접수 창구는 가상 주소 privacy@jy.example.test 이고, 역할은 보호 담당이다. 실행 역할은 시스템 관리자다.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순서는 접수, 본인확인, 승인, 실행, 회신이다. 정정 또는 삭제 요구를 받은 날부터 10일 이내에 조치 결과, 또는 삭제에 따르지 않은 사실과 이유, 이의제기 방법을 알린다. 근거는 개인정보 보호법 제36조와 시행령 제43조 제3항이다.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다른 법령에서 그 개인정보를 수집 대상으로 명시한 경우에는 삭제를 요구할 수 없다. 이 실습에서 메일을 보내거나 받지 않았다. 서명은 없다.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이 실습에서 메일을 보내거나 받지 않았다. 서명은 없다.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삭제를 실행할 때는 다른 기록, 사본, 백업을 범위에 넣는다. 시험용으로 남겨 둔 기록은 따로 관리한다.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5. 안전조치</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종료일이 된 계정은 비활성으로 두고, 그 계정으로 새로 로그인하지 못하게 한다. 이미 열려 있던 세션은 확인하지 않았다.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일반상담과 제한상담의 접근 범위를 나눈다.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고객 조직의 공유는 꺼져 있다.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상담 본문을 외부 AI에 보내지 않는다. 이 시스템은 AI에 연결되어 있지 않다.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6. 책임자</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보호 담당은 privacy@jy.example.test 이다. 시스템 관리자는 admin@jy.example.test 이다.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한 사람이 두 역할을 겸한 실습이다. 실제 조직의 서명이 아니다.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7. 사고 통지</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유출등이 되었음을 알게 된 때 정보주체 통지의 기한은 시행령 제39조 제1항의 72시간이다. 1천 명 이상, 민감정보 또는 고유식별정보, 외부로부터의 불법적인 접근에 해당하는 유출등의 신고 기한은 시행령 제40조 제1항의 72시간이다.</w:t>
      </w:r>
    </w:p>
    <w:p>
      <w:pPr>
        <w:pStyle w:val="Normal"/>
        <w:spacing w:before="60" w:after="80" w:line="276" w:lineRule="auto"/>
        <w:rPr>
          <w:rFonts w:ascii="Malgun Gothic" w:hAnsi="Malgun Gothic" w:eastAsia="Malgun Gothic" w:cs="Malgun Gothic"/>
        </w:rPr>
      </w:pPr>
      <w:r>
        <w:rPr>
          <w:rFonts w:ascii="Malgun Gothic" w:hAnsi="Malgun Gothic" w:eastAsia="Malgun Gothic" w:cs="Malgun Gothic"/>
          <w:color w:val="243038"/>
          <w:sz w:val="22"/>
          <w:szCs w:val="22"/>
        </w:rPr>
        <w:t>모든 의심을 그 72시간 신고로 단순화하지 않는다. 이 실습에서 유출등 해당 여부는 확인하지 않았고, 대외 통지와 신고는 하지 않았다.</w:t>
      </w:r>
    </w:p>
    <w:p>
      <w:pPr>
        <w:pStyle w:val="Heading2"/>
        <w:outlineLvl w:val="1"/>
        <w:spacing w:before="280" w:after="80" w:line="276" w:lineRule="auto"/>
        <w:rPr>
          <w:rFonts w:ascii="Malgun Gothic" w:hAnsi="Malgun Gothic" w:eastAsia="Malgun Gothic" w:cs="Malgun Gothic"/>
        </w:rPr>
      </w:pPr>
      <w:r>
        <w:rPr>
          <w:rFonts w:ascii="Malgun Gothic" w:hAnsi="Malgun Gothic" w:eastAsia="Malgun Gothic" w:cs="Malgun Gothic"/>
          <w:b/>
          <w:color w:val="1B3A4B"/>
          <w:sz w:val="26"/>
          <w:szCs w:val="26"/>
        </w:rPr>
        <w:t>8. 변경</w:t>
      </w:r>
    </w:p>
    <w:tbl>
      <w:tblPr>
        <w:tblW w:w="5000" w:type="pct"/>
        <w:tblBorders>
          <w:top w:val="single" w:sz="4" w:space="0" w:color="D5DEE3"/>
          <w:left w:val="single" w:sz="4" w:space="0" w:color="D5DEE3"/>
          <w:bottom w:val="single" w:sz="4" w:space="0" w:color="D5DEE3"/>
          <w:right w:val="single" w:sz="4" w:space="0" w:color="D5DEE3"/>
          <w:insideH w:val="single" w:sz="4" w:space="0" w:color="D5DEE3"/>
          <w:insideV w:val="single" w:sz="4" w:space="0" w:color="D5DEE3"/>
        </w:tblBorders>
        <w:tblCellMar>
          <w:top w:w="60" w:type="dxa"/>
          <w:left w:w="100" w:type="dxa"/>
          <w:bottom w:w="60" w:type="dxa"/>
          <w:right w:w="100" w:type="dxa"/>
        </w:tblCellMar>
        <w:tblLook w:firstRow="1" w:noHBand="0" w:noVBand="1"/>
      </w:tblPr>
      <w:tblGrid>
        <w:gridCol w:w="2200"/>
        <w:gridCol w:w="7666"/>
      </w:tblGrid>
      <w:tr>
        <w:trPr>
          <w:tblHeader/>
        </w:trPr>
        <w:tc>
          <w:tcPr>
            <w:tcW w:w="2200"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일자</w:t>
            </w:r>
          </w:p>
        </w:tc>
        <w:tc>
          <w:tcPr>
            <w:tcW w:w="7666" w:type="dxa"/>
            <w:shd w:val="clear" w:color="auto" w:fill="1B3A4B"/>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b/>
                <w:color w:val="FFFFFF"/>
                <w:sz w:val="20"/>
                <w:szCs w:val="20"/>
              </w:rPr>
              <w:t>내용</w:t>
            </w:r>
          </w:p>
        </w:tc>
      </w:tr>
      <w:tr>
        <w:trPr/>
        <w:tc>
          <w:tcPr>
            <w:tcW w:w="22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초기 문안</w:t>
            </w:r>
          </w:p>
        </w:tc>
        <w:tc>
          <w:tcPr>
            <w:tcW w:w="76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보유, 위탁, 권리 설명이 부족했다</w:t>
            </w:r>
          </w:p>
        </w:tc>
      </w:tr>
      <w:tr>
        <w:trPr/>
        <w:tc>
          <w:tcPr>
            <w:tcW w:w="22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2026-10-07</w:t>
            </w:r>
          </w:p>
        </w:tc>
        <w:tc>
          <w:tcPr>
            <w:tcW w:w="76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이 초안을 작성했다</w:t>
            </w:r>
          </w:p>
        </w:tc>
      </w:tr>
      <w:tr>
        <w:trPr/>
        <w:tc>
          <w:tcPr>
            <w:tcW w:w="2200"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2026-10-19</w:t>
            </w:r>
          </w:p>
        </w:tc>
        <w:tc>
          <w:tcPr>
            <w:tcW w:w="7666" w:type="dxa"/>
            <w:shd w:val="clear" w:color="auto" w:fill="FFFFFF"/>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대외 문안에서 내부 번호와 로컬 경로를 뺐다</w:t>
            </w:r>
          </w:p>
        </w:tc>
      </w:tr>
      <w:tr>
        <w:trPr/>
        <w:tc>
          <w:tcPr>
            <w:tcW w:w="2200"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2026-10-20</w:t>
            </w:r>
          </w:p>
        </w:tc>
        <w:tc>
          <w:tcPr>
            <w:tcW w:w="7666" w:type="dxa"/>
            <w:shd w:val="clear" w:color="auto" w:fill="F4F7F8"/>
            <w:vAlign w:val="center"/>
          </w:tcPr>
          <w:p>
            <w:pPr>
              <w:spacing w:before="40" w:after="40" w:line="276" w:lineRule="auto"/>
              <w:rPr>
                <w:rFonts w:ascii="Malgun Gothic" w:hAnsi="Malgun Gothic" w:eastAsia="Malgun Gothic" w:cs="Malgun Gothic"/>
              </w:rPr>
            </w:pPr>
            <w:r>
              <w:rPr>
                <w:rFonts w:ascii="Malgun Gothic" w:hAnsi="Malgun Gothic" w:eastAsia="Malgun Gothic" w:cs="Malgun Gothic"/>
                <w:color w:val="243038"/>
                <w:sz w:val="20"/>
                <w:szCs w:val="20"/>
              </w:rPr>
              <w:t>보유 기간 숫자는 비워 두었다. 권리 결과 통지는 10일이다. 사고 통지에는 제39조와 제40조의 72시간을 적었다</w:t>
            </w:r>
          </w:p>
        </w:tc>
      </w:tr>
    </w:tbl>
    <w:sectPr>
      <w:headerReference w:type="default" r:id="rHeader"/>
      <w:footerReference w:type="default" r:id="rFooter"/>
      <w:pgSz w:w="11906" w:h="16838"/>
      <w:pgMar w:top="1134" w:right="1020" w:bottom="1020" w:left="1020" w:header="454" w:footer="454" w:gutter="0"/>
    </w:sectPr>
  </w:body>
</w:document>
</file>

<file path=word/footer1.xml><?xml version="1.0" encoding="utf-8"?>
<w:ftr xmlns:w="http://schemas.openxmlformats.org/wordprocessingml/2006/main">
  <w:tbl>
    <w:tblPr>
      <w:tblW w:w="5000" w:type="pct"/>
      <w:tblBorders>
        <w:top w:val="single" w:sz="6" w:space="1" w:color="D5DEE3"/>
        <w:bottom w:val="nil"/>
        <w:left w:val="nil"/>
        <w:right w:val="nil"/>
        <w:insideH w:val="nil"/>
        <w:insideV w:val="nil"/>
      </w:tblBorders>
    </w:tblPr>
    <w:tblGrid>
      <w:gridCol w:w="7600"/>
      <w:gridCol w:w="2266"/>
    </w:tblGrid>
    <w:tr>
      <w:tc>
        <w:tcPr>
          <w:tcW w:w="7600" w:type="dxa"/>
        </w:tcPr>
        <w:p>
          <w:pPr>
            <w:spacing w:before="60" w:after="0" w:line="276" w:lineRule="auto"/>
            <w:rPr>
              <w:rFonts w:ascii="Malgun Gothic" w:hAnsi="Malgun Gothic" w:eastAsia="Malgun Gothic" w:cs="Malgun Gothic"/>
            </w:rPr>
          </w:pPr>
          <w:r>
            <w:rPr>
              <w:rFonts w:ascii="Malgun Gothic" w:hAnsi="Malgun Gothic" w:eastAsia="Malgun Gothic" w:cs="Malgun Gothic"/>
              <w:color w:val="5C6B73"/>
              <w:sz w:val="16"/>
              <w:szCs w:val="16"/>
            </w:rPr>
            <w:t>대외 문안 초안. 가상 실습. 대외 공시 아님</w:t>
          </w:r>
        </w:p>
      </w:tc>
      <w:tc>
        <w:tcPr>
          <w:tcW w:w="2266" w:type="dxa"/>
        </w:tcPr>
        <w:p>
          <w:pPr>
            <w:spacing w:before="60" w:after="0" w:line="276" w:lineRule="auto"/>
            <w:rPr>
              <w:rFonts w:ascii="Malgun Gothic" w:hAnsi="Malgun Gothic" w:eastAsia="Malgun Gothic" w:cs="Malgun Gothic"/>
            </w:rPr>
          </w:pPr>
          <w:r>
            <w:rPr>
              <w:rFonts w:ascii="Malgun Gothic" w:hAnsi="Malgun Gothic" w:eastAsia="Malgun Gothic" w:cs="Malgun Gothic"/>
              <w:color w:val="5C6B73"/>
              <w:sz w:val="16"/>
              <w:szCs w:val="16"/>
            </w:rPr>
            <w:t xml:space="preserve">페이지 </w:t>
          </w:r>
          <w:r>
            <w:rPr>
              <w:rFonts w:ascii="Malgun Gothic" w:hAnsi="Malgun Gothic" w:eastAsia="Malgun Gothic"/>
              <w:sz w:val="16"/>
              <w:szCs w:val="16"/>
              <w:color w:val="5C6B73"/>
            </w:rPr>
            <w:fldChar w:fldCharType="begin"/>
          </w:r>
          <w:r>
            <w:instrText xml:space="preserve"> PAGE </w:instrText>
          </w:r>
          <w:r>
            <w:fldChar w:fldCharType="end"/>
          </w:r>
        </w:p>
      </w:tc>
    </w:tr>
  </w:tbl>
</w:ftr>
</file>

<file path=word/header1.xml><?xml version="1.0" encoding="utf-8"?>
<w:hdr xmlns:w="http://schemas.openxmlformats.org/wordprocessingml/2006/main">
  <w:tbl>
    <w:tblPr>
      <w:tblW w:w="5000" w:type="pct"/>
      <w:tblBorders>
        <w:bottom w:val="single" w:sz="8" w:space="0" w:color="1B3A4B"/>
        <w:top w:val="nil"/>
        <w:left w:val="nil"/>
        <w:right w:val="nil"/>
        <w:insideH w:val="nil"/>
        <w:insideV w:val="nil"/>
      </w:tblBorders>
    </w:tblPr>
    <w:tblGrid>
      <w:gridCol w:w="6400"/>
      <w:gridCol w:w="3466"/>
    </w:tblGrid>
    <w:tr>
      <w:tc>
        <w:tcPr>
          <w:tcW w:w="6400" w:type="dxa"/>
        </w:tcPr>
        <w:p>
          <w:pPr>
            <w:spacing w:before="0" w:after="60" w:line="276" w:lineRule="auto"/>
            <w:rPr>
              <w:rFonts w:ascii="Malgun Gothic" w:hAnsi="Malgun Gothic" w:eastAsia="Malgun Gothic" w:cs="Malgun Gothic"/>
            </w:rPr>
          </w:pPr>
          <w:r>
            <w:rPr>
              <w:rFonts w:ascii="Malgun Gothic" w:hAnsi="Malgun Gothic" w:eastAsia="Malgun Gothic" w:cs="Malgun Gothic"/>
              <w:b/>
              <w:color w:val="1B3A4B"/>
              <w:sz w:val="16"/>
              <w:szCs w:val="16"/>
            </w:rPr>
            <w:t>JY Group 개인정보 실습</w:t>
          </w:r>
        </w:p>
      </w:tc>
      <w:tc>
        <w:tcPr>
          <w:tcW w:w="3466" w:type="dxa"/>
        </w:tcPr>
        <w:p>
          <w:pPr>
            <w:spacing w:before="0" w:after="60" w:line="276" w:lineRule="auto"/>
            <w:rPr>
              <w:rFonts w:ascii="Malgun Gothic" w:hAnsi="Malgun Gothic" w:eastAsia="Malgun Gothic" w:cs="Malgun Gothic"/>
            </w:rPr>
          </w:pPr>
          <w:r>
            <w:rPr>
              <w:rFonts w:ascii="Malgun Gothic" w:hAnsi="Malgun Gothic" w:eastAsia="Malgun Gothic" w:cs="Malgun Gothic"/>
              <w:color w:val="5C6B73"/>
              <w:sz w:val="16"/>
              <w:szCs w:val="16"/>
            </w:rPr>
            <w:t>After</w:t>
          </w:r>
        </w:p>
      </w:tc>
    </w:tr>
  </w:tbl>
</w:hd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Malgun Gothic" w:hAnsi="Malgun Gothic" w:eastAsia="Malgun Gothic" w:cs="Malgun Gothic"/>
        <w:sz w:val="22"/>
        <w:szCs w:val="22"/>
      </w:rPr>
    </w:rPrDefault>
  </w:docDefaults>
  <w:style w:type="paragraph" w:styleId="Normal">
    <w:name w:val="Normal"/>
    <w:pPr>
      <w:spacing w:before="0" w:after="120" w:line="276" w:lineRule="auto"/>
    </w:pPr>
    <w:rPr>
      <w:rFonts w:ascii="Malgun Gothic" w:hAnsi="Malgun Gothic" w:eastAsia="Malgun Gothic" w:cs="Malgun Gothic"/>
      <w:color w:val="243038"/>
      <w:sz w:val="22"/>
      <w:szCs w:val="22"/>
    </w:rPr>
  </w:style>
  <w:style w:type="paragraph" w:styleId="Heading1">
    <w:name w:val="heading 1"/>
    <w:pPr>
      <w:outlineLvl w:val="0"/>
      <w:spacing w:before="0" w:after="120" w:line="276" w:lineRule="auto"/>
    </w:pPr>
    <w:rPr>
      <w:rFonts w:ascii="Malgun Gothic" w:hAnsi="Malgun Gothic" w:eastAsia="Malgun Gothic" w:cs="Malgun Gothic"/>
      <w:b/>
      <w:color w:val="1B3A4B"/>
      <w:sz w:val="32"/>
      <w:szCs w:val="32"/>
    </w:rPr>
  </w:style>
  <w:style w:type="paragraph" w:styleId="Heading2">
    <w:name w:val="heading 2"/>
    <w:pPr>
      <w:outlineLvl w:val="1"/>
      <w:spacing w:before="0" w:after="120" w:line="276" w:lineRule="auto"/>
    </w:pPr>
    <w:rPr>
      <w:rFonts w:ascii="Malgun Gothic" w:hAnsi="Malgun Gothic" w:eastAsia="Malgun Gothic" w:cs="Malgun Gothic"/>
      <w:b/>
      <w:color w:val="1B3A4B"/>
      <w:sz w:val="26"/>
      <w:szCs w:val="26"/>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 Id="rHeader" Type="http://schemas.openxmlformats.org/officeDocument/2006/relationships/header" Target="header1.xml"/><Relationship Id="rFooter" Type="http://schemas.openxmlformats.org/officeDocument/2006/relationships/footer" Target="footer1.xml"/></Relationships>
</file>

<file path=docProps/app.xml><?xml version="1.0" encoding="utf-8"?>
<Properties xmlns="http://schemas.openxmlformats.org/officeDocument/2006/extended-properties">
  <Application>JY Group privacy lab</Application>
</Properties>
</file>

<file path=docProps/core.xml><?xml version="1.0" encoding="utf-8"?>
<cp:coreProperties xmlns:cp="http://schemas.openxmlformats.org/package/2006/metadata/core-properties" xmlns:dc="http://purl.org/dc/elements/1.1/" xmlns:dcterms="http://purl.org/dc/terms/" xmlns:xsi="http://www.w3.org/2001/XMLSchema-instance">
  <dc:title>JY Group 개인정보 처리방침</dc:title>
  <dc:creator>김준영</dc:creator>
  <cp:lastModifiedBy>김준영</cp:lastModifiedBy>
  <dc:description>가상 실습. 대외 공시 문서가 아니다.</dc:description>
</cp:coreProperties>
</file>