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  <w:spacing w:before="0" w:after="160" w:line="276" w:lineRule="auto"/>
        <w:pBdr>
          <w:bottom w:val="single" w:sz="12" w:space="1" w:color="1B3A4B"/>
        </w:pBdr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color w:val="1B3A4B"/>
          <w:sz w:val="32"/>
          <w:szCs w:val="32"/>
        </w:rPr>
        <w:t>JY Group 개인정보 처리방침</w:t>
      </w:r>
    </w:p>
    <w:tbl>
      <w:tblPr>
        <w:tblW w:w="5000" w:type="pct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noHBand="0" w:noVBand="1"/>
      </w:tblPr>
      <w:tblGrid>
        <w:gridCol w:w="2200"/>
        <w:gridCol w:w="7666"/>
      </w:tblGrid>
      <w:tr>
        <w:trPr>
          <w:tblHeader/>
        </w:trPr>
        <w:tc>
          <w:tcPr>
            <w:tcW w:w="2200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666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  <w:szCs w:val="20"/>
              </w:rPr>
              <w:t>내용</w:t>
            </w:r>
          </w:p>
        </w:tc>
      </w:tr>
      <w:tr>
        <w:trPr/>
        <w:tc>
          <w:tcPr>
            <w:tcW w:w="22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문서ID</w:t>
            </w:r>
          </w:p>
        </w:tc>
        <w:tc>
          <w:tcPr>
            <w:tcW w:w="7666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JY-Privacy-Policy-After</w:t>
            </w:r>
          </w:p>
        </w:tc>
      </w:tr>
      <w:tr>
        <w:trPr/>
        <w:tc>
          <w:tcPr>
            <w:tcW w:w="2200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문안 작성일</w:t>
            </w:r>
          </w:p>
        </w:tc>
        <w:tc>
          <w:tcPr>
            <w:tcW w:w="7666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2026-10-07</w:t>
            </w:r>
          </w:p>
        </w:tc>
      </w:tr>
      <w:tr>
        <w:trPr/>
        <w:tc>
          <w:tcPr>
            <w:tcW w:w="22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Word 정리일</w:t>
            </w:r>
          </w:p>
        </w:tc>
        <w:tc>
          <w:tcPr>
            <w:tcW w:w="7666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2026-10-19</w:t>
            </w:r>
          </w:p>
        </w:tc>
      </w:tr>
      <w:tr>
        <w:trPr/>
        <w:tc>
          <w:tcPr>
            <w:tcW w:w="2200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상태</w:t>
            </w:r>
          </w:p>
        </w:tc>
        <w:tc>
          <w:tcPr>
            <w:tcW w:w="7666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가상 실습 초안. 대외 공시와 동의가 아니다.</w:t>
            </w:r>
          </w:p>
        </w:tc>
      </w:tr>
      <w:tr>
        <w:trPr/>
        <w:tc>
          <w:tcPr>
            <w:tcW w:w="22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대상</w:t>
            </w:r>
          </w:p>
        </w:tc>
        <w:tc>
          <w:tcPr>
            <w:tcW w:w="7666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로컬 상담 시스템 1식</w:t>
            </w:r>
          </w:p>
        </w:tc>
      </w:tr>
      <w:tr>
        <w:trPr/>
        <w:tc>
          <w:tcPr>
            <w:tcW w:w="2200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적용</w:t>
            </w:r>
          </w:p>
        </w:tc>
        <w:tc>
          <w:tcPr>
            <w:tcW w:w="7666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JY Retail은 처리 목적을 정한다. JY Service는 상담을 수행한다. JY Vendor는 유지보수를 한다.</w:t>
            </w:r>
          </w:p>
        </w:tc>
      </w:tr>
    </w:tbl>
    <w:p>
      <w:pPr>
        <w:pStyle w:val="Normal"/>
        <w:spacing w:before="60" w:after="4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/>
      </w:r>
    </w:p>
    <w:tbl>
      <w:tblPr>
        <w:tblW w:w="5000" w:type="pct"/>
        <w:tblBorders>
          <w:top w:val="nil"/>
          <w:left w:val="single" w:sz="16" w:space="0" w:color="1B3A4B"/>
          <w:bottom w:val="nil"/>
          <w:right w:val="nil"/>
          <w:insideH w:val="nil"/>
          <w:insideV w:val="nil"/>
        </w:tblBorders>
        <w:tblCellMar>
          <w:top w:w="80" w:type="dxa"/>
          <w:left w:w="140" w:type="dxa"/>
          <w:bottom w:w="80" w:type="dxa"/>
          <w:right w:w="120" w:type="dxa"/>
        </w:tblCellMar>
      </w:tblPr>
      <w:tblGrid>
        <w:gridCol w:w="9866"/>
      </w:tblGrid>
      <w:tr>
        <w:tc>
          <w:tcPr>
            <w:tcW w:w="9866" w:type="dxa"/>
            <w:shd w:val="clear" w:color="auto" w:fill="F4F7F8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1B3A4B"/>
                <w:sz w:val="20"/>
                <w:szCs w:val="20"/>
              </w:rPr>
              <w:t>이 초안을 만들었다는 이유로 초기 점검 판정을 바꾸지 않는다.</w:t>
            </w:r>
          </w:p>
        </w:tc>
      </w:tr>
    </w:tbl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color w:val="1B3A4B"/>
          <w:sz w:val="26"/>
          <w:szCs w:val="26"/>
        </w:rPr>
        <w:t>1. 처리 목적과 항목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상담은 상품 문의 목적에 한정한다. 처리 항목은 이름, 이메일, 문의 본문, 첨부다. 합성 자료에 주민등록번호와 민감정보는 없다. 수집 항목을 동의 하나로 묶지 않는다.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제한상담의 항목도 같다. 일반상담원과 외부 유지보수가 상시로 보는 대상이 아니다.</w:t>
      </w:r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color w:val="1B3A4B"/>
          <w:sz w:val="26"/>
          <w:szCs w:val="26"/>
        </w:rPr>
        <w:t>2. 보유와 파기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상담이 끝나면 지체 없이 파기한다.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법령에 보관 의무가 있는 경우에만 그 기간 동안 보관한다. 기간 숫자는 해당 조문을 확인한 뒤 적는다. 현재 이 칸은 비어 있다.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화면의 삭제만으로 파기가 끝났다고 보지 않는다. 다른 기록, 첨부, 내려받은 사본, 백업을 따로 확인한다.</w:t>
      </w:r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color w:val="1B3A4B"/>
          <w:sz w:val="26"/>
          <w:szCs w:val="26"/>
        </w:rPr>
        <w:t>3. 위탁과 제3자 제공</w:t>
      </w:r>
    </w:p>
    <w:tbl>
      <w:tblPr>
        <w:tblW w:w="5000" w:type="pct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noHBand="0" w:noVBand="1"/>
      </w:tblPr>
      <w:tblGrid>
        <w:gridCol w:w="1600"/>
        <w:gridCol w:w="2000"/>
        <w:gridCol w:w="2400"/>
        <w:gridCol w:w="3866"/>
      </w:tblGrid>
      <w:tr>
        <w:trPr>
          <w:tblHeader/>
        </w:trPr>
        <w:tc>
          <w:tcPr>
            <w:tcW w:w="1600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000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  <w:szCs w:val="20"/>
              </w:rPr>
              <w:t>상대</w:t>
            </w:r>
          </w:p>
        </w:tc>
        <w:tc>
          <w:tcPr>
            <w:tcW w:w="2400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  <w:szCs w:val="20"/>
              </w:rPr>
              <w:t>업무</w:t>
            </w:r>
          </w:p>
        </w:tc>
        <w:tc>
          <w:tcPr>
            <w:tcW w:w="3866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  <w:szCs w:val="20"/>
              </w:rPr>
              <w:t>범위</w:t>
            </w:r>
          </w:p>
        </w:tc>
      </w:tr>
      <w:tr>
        <w:trPr/>
        <w:tc>
          <w:tcPr>
            <w:tcW w:w="16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위탁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JY Service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상담 수행</w:t>
            </w:r>
          </w:p>
        </w:tc>
        <w:tc>
          <w:tcPr>
            <w:tcW w:w="3866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목적 결정은 JY Retail</w:t>
            </w:r>
          </w:p>
        </w:tc>
      </w:tr>
      <w:tr>
        <w:trPr/>
        <w:tc>
          <w:tcPr>
            <w:tcW w:w="1600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위탁</w:t>
            </w:r>
          </w:p>
        </w:tc>
        <w:tc>
          <w:tcPr>
            <w:tcW w:w="2000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JY Vendor</w:t>
            </w:r>
          </w:p>
        </w:tc>
        <w:tc>
          <w:tcPr>
            <w:tcW w:w="2400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시스템 유지보수</w:t>
            </w:r>
          </w:p>
        </w:tc>
        <w:tc>
          <w:tcPr>
            <w:tcW w:w="3866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필요할 때만 권한을 준다. 제한상담을 상시로 보지 않는다</w:t>
            </w:r>
          </w:p>
        </w:tc>
      </w:tr>
      <w:tr>
        <w:trPr/>
        <w:tc>
          <w:tcPr>
            <w:tcW w:w="16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제3자 제공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해당 없음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/>
            </w:r>
          </w:p>
        </w:tc>
        <w:tc>
          <w:tcPr>
            <w:tcW w:w="3866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그룹사 이름만으로 제공 근거가 되지 않는다</w:t>
            </w:r>
          </w:p>
        </w:tc>
      </w:tr>
    </w:tbl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계약서와 정기 감독 실적은 이 초안에 없다.</w:t>
      </w:r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color w:val="1B3A4B"/>
          <w:sz w:val="26"/>
          <w:szCs w:val="26"/>
        </w:rPr>
        <w:t>4. 정보주체의 권리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열람, 정정, 삭제, 처리정지를 받는다.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접수 창구는 가상 주소 privacy@jy.example.test 이고, 역할은 보호 담당이다. 실행 역할은 시스템 관리자다.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순서는 접수, 본인확인, 승인, 실행, 회신이다.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이 실습에서 메일을 보내거나 받지 않았다. 서명은 없다.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삭제를 실행할 때는 다른 기록, 사본, 백업을 범위에 넣는다. 시험용으로 남겨 둔 기록은 따로 관리한다.</w:t>
      </w:r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color w:val="1B3A4B"/>
          <w:sz w:val="26"/>
          <w:szCs w:val="26"/>
        </w:rPr>
        <w:t>5. 안전조치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종료일이 된 계정은 비활성으로 두고, 그 계정으로 새로 로그인하지 못하게 한다. 이미 열려 있던 세션은 확인하지 않았다.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일반상담과 제한상담의 접근 범위를 나눈다.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고객 조직의 공유는 꺼져 있다.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상담 본문을 외부 AI에 보내지 않는다. 이 시스템은 AI에 연결되어 있지 않다.</w:t>
      </w:r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color w:val="1B3A4B"/>
          <w:sz w:val="26"/>
          <w:szCs w:val="26"/>
        </w:rPr>
        <w:t>6. 책임자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보호 담당은 privacy@jy.example.test 이다. 시스템 관리자는 admin@jy.example.test 이다.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한 사람이 두 역할을 겸한 실습이다. 실제 조직의 서명이 아니다.</w:t>
      </w:r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color w:val="1B3A4B"/>
          <w:sz w:val="26"/>
          <w:szCs w:val="26"/>
        </w:rPr>
        <w:t>7. 사고 통지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통지와 신고는 사실을 확인한 뒤 판단한다. 모든 사고의 기한을 72시간으로 적지 않는다.</w:t>
      </w:r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이 실습에서 대외 통지와 신고는 하지 않았다.</w:t>
      </w:r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color w:val="1B3A4B"/>
          <w:sz w:val="26"/>
          <w:szCs w:val="26"/>
        </w:rPr>
        <w:t>8. 변경</w:t>
      </w:r>
    </w:p>
    <w:tbl>
      <w:tblPr>
        <w:tblW w:w="5000" w:type="pct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noHBand="0" w:noVBand="1"/>
      </w:tblPr>
      <w:tblGrid>
        <w:gridCol w:w="2200"/>
        <w:gridCol w:w="7666"/>
      </w:tblGrid>
      <w:tr>
        <w:trPr>
          <w:tblHeader/>
        </w:trPr>
        <w:tc>
          <w:tcPr>
            <w:tcW w:w="2200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  <w:szCs w:val="20"/>
              </w:rPr>
              <w:t>일자</w:t>
            </w:r>
          </w:p>
        </w:tc>
        <w:tc>
          <w:tcPr>
            <w:tcW w:w="7666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  <w:szCs w:val="20"/>
              </w:rPr>
              <w:t>내용</w:t>
            </w:r>
          </w:p>
        </w:tc>
      </w:tr>
      <w:tr>
        <w:trPr/>
        <w:tc>
          <w:tcPr>
            <w:tcW w:w="22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초기 문안</w:t>
            </w:r>
          </w:p>
        </w:tc>
        <w:tc>
          <w:tcPr>
            <w:tcW w:w="7666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보유, 위탁, 권리 설명이 부족했다</w:t>
            </w:r>
          </w:p>
        </w:tc>
      </w:tr>
      <w:tr>
        <w:trPr/>
        <w:tc>
          <w:tcPr>
            <w:tcW w:w="2200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2026-10-07</w:t>
            </w:r>
          </w:p>
        </w:tc>
        <w:tc>
          <w:tcPr>
            <w:tcW w:w="7666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이 초안을 작성했다</w:t>
            </w:r>
          </w:p>
        </w:tc>
      </w:tr>
      <w:tr>
        <w:trPr/>
        <w:tc>
          <w:tcPr>
            <w:tcW w:w="22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2026-10-19</w:t>
            </w:r>
          </w:p>
        </w:tc>
        <w:tc>
          <w:tcPr>
            <w:tcW w:w="7666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대외 문안에서 내부 번호와 로컬 경로를 뺐다</w:t>
            </w:r>
          </w:p>
        </w:tc>
      </w:tr>
    </w:tbl>
    <w:sectPr>
      <w:headerReference w:type="default" r:id="rHeader"/>
      <w:footerReference w:type="default" r:id="rFooter"/>
      <w:pgSz w:w="11906" w:h="16838"/>
      <w:pgMar w:top="1134" w:right="1020" w:bottom="1020" w:left="1020" w:header="454" w:footer="454" w:gutter="0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 w:sz="6" w:space="1" w:color="D5DEE3"/>
        <w:bottom w:val="nil"/>
        <w:left w:val="nil"/>
        <w:right w:val="nil"/>
        <w:insideH w:val="nil"/>
        <w:insideV w:val="nil"/>
      </w:tblBorders>
    </w:tblPr>
    <w:tblGrid>
      <w:gridCol w:w="7600"/>
      <w:gridCol w:w="2266"/>
    </w:tblGrid>
    <w:tr>
      <w:tc>
        <w:tcPr>
          <w:tcW w:w="7600" w:type="dxa"/>
        </w:tcPr>
        <w:p>
          <w:pPr>
            <w:spacing w:before="60" w:after="0" w:line="276" w:lineRule="auto"/>
            <w:rPr>
              <w:rFonts w:ascii="Malgun Gothic" w:hAnsi="Malgun Gothic" w:eastAsia="Malgun Gothic" w:cs="Malgun Gothic"/>
            </w:rPr>
          </w:pPr>
          <w:r>
            <w:rPr>
              <w:rFonts w:ascii="Malgun Gothic" w:hAnsi="Malgun Gothic" w:eastAsia="Malgun Gothic" w:cs="Malgun Gothic"/>
              <w:color w:val="5C6B73"/>
              <w:sz w:val="16"/>
              <w:szCs w:val="16"/>
            </w:rPr>
            <w:t>대외 문안 초안. 가상 실습. 대외 공시 아님</w:t>
          </w:r>
        </w:p>
      </w:tc>
      <w:tc>
        <w:tcPr>
          <w:tcW w:w="2266" w:type="dxa"/>
        </w:tcPr>
        <w:p>
          <w:pPr>
            <w:spacing w:before="60" w:after="0" w:line="276" w:lineRule="auto"/>
            <w:rPr>
              <w:rFonts w:ascii="Malgun Gothic" w:hAnsi="Malgun Gothic" w:eastAsia="Malgun Gothic" w:cs="Malgun Gothic"/>
            </w:rPr>
          </w:pPr>
          <w:r>
            <w:rPr>
              <w:rFonts w:ascii="Malgun Gothic" w:hAnsi="Malgun Gothic" w:eastAsia="Malgun Gothic" w:cs="Malgun Gothic"/>
              <w:color w:val="5C6B73"/>
              <w:sz w:val="16"/>
              <w:szCs w:val="16"/>
            </w:rPr>
            <w:t xml:space="preserve">페이지 </w:t>
          </w:r>
          <w:r>
            <w:rPr>
              <w:rFonts w:ascii="Malgun Gothic" w:hAnsi="Malgun Gothic" w:eastAsia="Malgun Gothic"/>
              <w:sz w:val="16"/>
              <w:szCs w:val="16"/>
              <w:color w:val="5C6B73"/>
            </w:rPr>
            <w:fldChar w:fldCharType="begin"/>
          </w:r>
          <w:r>
            <w:instrText xml:space="preserve"> PAGE </w:instrText>
          </w:r>
          <w:r>
            <w:fldChar w:fldCharType="end"/>
          </w:r>
        </w:p>
      </w:tc>
    </w:tr>
  </w:tbl>
</w:ftr>
</file>

<file path=word/header1.xml><?xml version="1.0" encoding="utf-8"?>
<w:hdr xmlns:w="http://schemas.openxmlformats.org/wordprocessingml/2006/main">
  <w:tbl>
    <w:tblPr>
      <w:tblW w:w="5000" w:type="pct"/>
      <w:tblBorders>
        <w:bottom w:val="single" w:sz="8" w:space="0" w:color="1B3A4B"/>
        <w:top w:val="nil"/>
        <w:left w:val="nil"/>
        <w:right w:val="nil"/>
        <w:insideH w:val="nil"/>
        <w:insideV w:val="nil"/>
      </w:tblBorders>
    </w:tblPr>
    <w:tblGrid>
      <w:gridCol w:w="6400"/>
      <w:gridCol w:w="3466"/>
    </w:tblGrid>
    <w:tr>
      <w:tc>
        <w:tcPr>
          <w:tcW w:w="6400" w:type="dxa"/>
        </w:tcPr>
        <w:p>
          <w:pPr>
            <w:spacing w:before="0" w:after="60" w:line="276" w:lineRule="auto"/>
            <w:rPr>
              <w:rFonts w:ascii="Malgun Gothic" w:hAnsi="Malgun Gothic" w:eastAsia="Malgun Gothic" w:cs="Malgun Gothic"/>
            </w:rPr>
          </w:pPr>
          <w:r>
            <w:rPr>
              <w:rFonts w:ascii="Malgun Gothic" w:hAnsi="Malgun Gothic" w:eastAsia="Malgun Gothic" w:cs="Malgun Gothic"/>
              <w:b/>
              <w:color w:val="1B3A4B"/>
              <w:sz w:val="16"/>
              <w:szCs w:val="16"/>
            </w:rPr>
            <w:t>JY Group 개인정보 실습</w:t>
          </w:r>
        </w:p>
      </w:tc>
      <w:tc>
        <w:tcPr>
          <w:tcW w:w="3466" w:type="dxa"/>
        </w:tcPr>
        <w:p>
          <w:pPr>
            <w:spacing w:before="0" w:after="60" w:line="276" w:lineRule="auto"/>
            <w:rPr>
              <w:rFonts w:ascii="Malgun Gothic" w:hAnsi="Malgun Gothic" w:eastAsia="Malgun Gothic" w:cs="Malgun Gothic"/>
            </w:rPr>
          </w:pPr>
          <w:r>
            <w:rPr>
              <w:rFonts w:ascii="Malgun Gothic" w:hAnsi="Malgun Gothic" w:eastAsia="Malgun Gothic" w:cs="Malgun Gothic"/>
              <w:color w:val="5C6B73"/>
              <w:sz w:val="16"/>
              <w:szCs w:val="16"/>
            </w:rPr>
            <w:t>After</w:t>
          </w:r>
        </w:p>
      </w:tc>
    </w:tr>
  </w:tbl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2"/>
        <w:szCs w:val="22"/>
      </w:rPr>
    </w:rPrDefault>
  </w:docDefaults>
  <w:style w:type="paragraph" w:styleId="Normal">
    <w:name w:val="Normal"/>
    <w:pPr>
      <w:spacing w:before="0" w:after="120" w:line="276" w:lineRule="auto"/>
    </w:pPr>
    <w:rPr>
      <w:rFonts w:ascii="Malgun Gothic" w:hAnsi="Malgun Gothic" w:eastAsia="Malgun Gothic" w:cs="Malgun Gothic"/>
      <w:color w:val="243038"/>
      <w:sz w:val="22"/>
      <w:szCs w:val="22"/>
    </w:rPr>
  </w:style>
  <w:style w:type="paragraph" w:styleId="Heading1">
    <w:name w:val="heading 1"/>
    <w:pPr>
      <w:outlineLvl w:val="0"/>
      <w:spacing w:before="0" w:after="120" w:line="276" w:lineRule="auto"/>
    </w:pPr>
    <w:rPr>
      <w:rFonts w:ascii="Malgun Gothic" w:hAnsi="Malgun Gothic" w:eastAsia="Malgun Gothic" w:cs="Malgun Gothic"/>
      <w:b/>
      <w:color w:val="1B3A4B"/>
      <w:sz w:val="32"/>
      <w:szCs w:val="32"/>
    </w:rPr>
  </w:style>
  <w:style w:type="paragraph" w:styleId="Heading2">
    <w:name w:val="heading 2"/>
    <w:pPr>
      <w:outlineLvl w:val="1"/>
      <w:spacing w:before="0" w:after="120" w:line="276" w:lineRule="auto"/>
    </w:pPr>
    <w:rPr>
      <w:rFonts w:ascii="Malgun Gothic" w:hAnsi="Malgun Gothic" w:eastAsia="Malgun Gothic" w:cs="Malgun Gothic"/>
      <w:b/>
      <w:color w:val="1B3A4B"/>
      <w:sz w:val="26"/>
      <w:szCs w:val="26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Relationship Id="r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JY Group privacy lab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JY Group 개인정보 처리방침</dc:title>
  <dc:creator>김준영</dc:creator>
  <cp:lastModifiedBy>김준영</cp:lastModifiedBy>
  <dc:description>가상 실습. 대외 공시 문서가 아니다.</dc:description>
</cp:coreProperties>
</file>