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F4E79"/>
          <w:sz w:val="44"/>
        </w:rPr>
        <w:t>股票多周期收益率概率分布预测模型方案</w:t>
      </w:r>
    </w:p>
    <w:p>
      <w:pPr>
        <w:jc w:val="center"/>
      </w:pPr>
      <w:r>
        <w:rPr>
          <w:rFonts w:ascii="Noto Sans CJK SC" w:hAnsi="Noto Sans CJK SC" w:eastAsia="Noto Sans CJK SC"/>
          <w:color w:val="595959"/>
          <w:sz w:val="24"/>
        </w:rPr>
        <w:t>基于 45 个核心特征与 4 层 Transformer Encoder 的多任务预测架构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184"/>
        <w:gridCol w:w="5184"/>
      </w:tblGrid>
      <w:tr>
        <w:trPr>
          <w:tblHeader w:val="true"/>
        </w:trPr>
        <w:tc>
          <w:tcPr>
            <w:tcW w:type="dxa" w:w="2016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776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设定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预测目标</w:t>
            </w:r>
          </w:p>
        </w:tc>
        <w:tc>
          <w:tcPr>
            <w:tcW w:type="dxa" w:w="777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未来 1 日、5 日、20 日收益率的概率分布</w:t>
            </w:r>
          </w:p>
        </w:tc>
      </w:tr>
      <w:tr>
        <w:tc>
          <w:tcPr>
            <w:tcW w:type="dxa" w:w="2016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输入窗口</w:t>
            </w:r>
          </w:p>
        </w:tc>
        <w:tc>
          <w:tcPr>
            <w:tcW w:type="dxa" w:w="7776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过去 120 个交易日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输入特征数</w:t>
            </w:r>
          </w:p>
        </w:tc>
        <w:tc>
          <w:tcPr>
            <w:tcW w:type="dxa" w:w="777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45 个核心特征</w:t>
            </w:r>
          </w:p>
        </w:tc>
      </w:tr>
      <w:tr>
        <w:tc>
          <w:tcPr>
            <w:tcW w:type="dxa" w:w="2016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模型主干</w:t>
            </w:r>
          </w:p>
        </w:tc>
        <w:tc>
          <w:tcPr>
            <w:tcW w:type="dxa" w:w="7776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4 层 Encoder-only Transformer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隐藏维度</w:t>
            </w:r>
          </w:p>
        </w:tc>
        <w:tc>
          <w:tcPr>
            <w:tcW w:type="dxa" w:w="777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d_model = 128</w:t>
            </w:r>
          </w:p>
        </w:tc>
      </w:tr>
      <w:tr>
        <w:tc>
          <w:tcPr>
            <w:tcW w:type="dxa" w:w="2016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输出形式</w:t>
            </w:r>
          </w:p>
        </w:tc>
        <w:tc>
          <w:tcPr>
            <w:tcW w:type="dxa" w:w="7776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 日 7 档、5 日 11 档、20 日 11 档分类 logits / probabilities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主要用途</w:t>
            </w:r>
          </w:p>
        </w:tc>
        <w:tc>
          <w:tcPr>
            <w:tcW w:type="dxa" w:w="777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股票横截面排序、分组回测、多周期交易信号生成</w:t>
            </w:r>
          </w:p>
        </w:tc>
      </w:tr>
    </w:tbl>
    <w:p>
      <w:r>
        <w:br w:type="page"/>
      </w:r>
    </w:p>
    <w:p>
      <w:pPr>
        <w:pStyle w:val="Heading1"/>
      </w:pPr>
      <w:r>
        <w:t>1. 文档概览</w:t>
      </w:r>
    </w:p>
    <w:p>
      <w:r>
        <w:rPr>
          <w:rFonts w:ascii="Noto Sans CJK SC" w:hAnsi="Noto Sans CJK SC" w:eastAsia="Noto Sans CJK SC"/>
          <w:b w:val="0"/>
          <w:sz w:val="21"/>
        </w:rPr>
        <w:t>本文档用于指导实现一个股票收益率概率分布预测模型。模型不预测未来价格绝对值，而是预测未来不同周期收益率所属区间的概率分布。</w:t>
      </w:r>
    </w:p>
    <w:p>
      <w:r>
        <w:rPr>
          <w:rFonts w:ascii="Noto Sans CJK SC" w:hAnsi="Noto Sans CJK SC" w:eastAsia="Noto Sans CJK SC"/>
          <w:b w:val="0"/>
          <w:sz w:val="21"/>
        </w:rPr>
        <w:t>设计重点是：少用绝对价格和绝对规模，多用相对变化、相对均值、截面分位数、行业内分位数，以及 log 后最大值归一化。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184"/>
        <w:gridCol w:w="5184"/>
      </w:tblGrid>
      <w:tr>
        <w:trPr>
          <w:tblHeader w:val="true"/>
        </w:trPr>
        <w:tc>
          <w:tcPr>
            <w:tcW w:type="dxa" w:w="2448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7344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过去 120 个交易日，每日 45 个特征，形状为 [B, 120, 45]</w:t>
            </w:r>
          </w:p>
        </w:tc>
      </w:tr>
      <w:tr>
        <w:tc>
          <w:tcPr>
            <w:tcW w:type="dxa" w:w="2448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共享主干</w:t>
            </w:r>
          </w:p>
        </w:tc>
        <w:tc>
          <w:tcPr>
            <w:tcW w:type="dxa" w:w="7344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Feature LayerNorm → Linear(45→128) → Position Embedding → 4 层 Transformer Encoder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输出头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三个分类头：1 日、5 日、20 日收益率概率分布</w:t>
            </w:r>
          </w:p>
        </w:tc>
      </w:tr>
      <w:tr>
        <w:tc>
          <w:tcPr>
            <w:tcW w:type="dxa" w:w="2448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损失函数</w:t>
            </w:r>
          </w:p>
        </w:tc>
        <w:tc>
          <w:tcPr>
            <w:tcW w:type="dxa" w:w="7344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三个 CrossEntropyLoss 加权求和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推理结果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每个周期的概率分布、期望收益、上涨概率、大涨/大跌概率、综合排序分数</w:t>
            </w:r>
          </w:p>
        </w:tc>
      </w:tr>
    </w:tbl>
    <w:p>
      <w:pPr>
        <w:pStyle w:val="Heading1"/>
      </w:pPr>
      <w:r>
        <w:t>2. 任务目标</w:t>
      </w:r>
    </w:p>
    <w:p>
      <w:r>
        <w:rPr>
          <w:rFonts w:ascii="Noto Sans CJK SC" w:hAnsi="Noto Sans CJK SC" w:eastAsia="Noto Sans CJK SC"/>
          <w:b w:val="0"/>
          <w:sz w:val="21"/>
        </w:rPr>
        <w:t>模型目标是根据预测日之前的历史序列，输出下一个交易日、未来 5 个交易日、未来 20 个交易日的收益率概率分布。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</w:tcPr>
          <w:p>
            <w:pPr>
              <w:spacing w:after="0"/>
            </w:pPr>
            <w:r>
              <w:rPr>
                <w:rFonts w:ascii="DejaVu Sans Mono" w:hAnsi="DejaVu Sans Mono" w:eastAsia="Noto Sans CJK SC"/>
                <w:sz w:val="16"/>
              </w:rPr>
              <w:t>future_ret_1d  = close[t+1]  / close[t] - 1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future_ret_5d  = close[t+5]  / close[t] - 1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future_ret_20d = close[t+20] / close[t] - 1</w:t>
            </w:r>
          </w:p>
        </w:tc>
      </w:tr>
    </w:tbl>
    <w:p>
      <w:r>
        <w:rPr>
          <w:rFonts w:ascii="Noto Sans CJK SC" w:hAnsi="Noto Sans CJK SC" w:eastAsia="Noto Sans CJK SC"/>
          <w:b w:val="0"/>
          <w:sz w:val="21"/>
        </w:rPr>
        <w:t>收益率比价格绝对值更适合跨股票建模，因为不同股票价格尺度差异很大。</w:t>
      </w:r>
    </w:p>
    <w:p>
      <w:pPr>
        <w:pStyle w:val="Heading1"/>
      </w:pPr>
      <w:r>
        <w:t>3. 输入数据格式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</w:tcPr>
          <w:p>
            <w:pPr>
              <w:spacing w:after="0"/>
            </w:pPr>
            <w:r>
              <w:rPr>
                <w:rFonts w:ascii="DejaVu Sans Mono" w:hAnsi="DejaVu Sans Mono" w:eastAsia="Noto Sans CJK SC"/>
                <w:sz w:val="16"/>
              </w:rPr>
              <w:t>X.shape = [batch_size, seq_len, feature_dim]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建议第一版：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seq_len = 120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feature_dim = 45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即：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X.shape = [batch_size, 120, 45]</w:t>
            </w:r>
          </w:p>
        </w:tc>
      </w:tr>
    </w:tbl>
    <w:p>
      <w:r>
        <w:rPr>
          <w:rFonts w:ascii="Noto Sans CJK SC" w:hAnsi="Noto Sans CJK SC" w:eastAsia="Noto Sans CJK SC"/>
          <w:b w:val="0"/>
          <w:sz w:val="21"/>
        </w:rPr>
        <w:t>每个样本表示某只股票在某个预测日之前 120 个交易日的特征序列。所有特征必须只能使用预测日及以前已经可得的数据。</w:t>
      </w:r>
    </w:p>
    <w:p>
      <w:pPr>
        <w:pStyle w:val="Heading1"/>
      </w:pPr>
      <w:r>
        <w:t>4. 特征处理原则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184"/>
        <w:gridCol w:w="5184"/>
      </w:tblGrid>
      <w:tr>
        <w:trPr>
          <w:tblHeader w:val="true"/>
        </w:trPr>
        <w:tc>
          <w:tcPr>
            <w:tcW w:type="dxa" w:w="1944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7848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处理原则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价格类</w:t>
            </w:r>
          </w:p>
        </w:tc>
        <w:tc>
          <w:tcPr>
            <w:tcW w:type="dxa" w:w="784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不直接输入 open/high/low/close，改用收益率、振幅、相对均线、价格区间位置。</w:t>
            </w:r>
          </w:p>
        </w:tc>
      </w:tr>
      <w:tr>
        <w:tc>
          <w:tcPr>
            <w:tcW w:type="dxa" w:w="1944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成交类</w:t>
            </w:r>
          </w:p>
        </w:tc>
        <w:tc>
          <w:tcPr>
            <w:tcW w:type="dxa" w:w="7848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不直接输入 volume/amount，改用变化率、相对过去均值、换手率、截面分位数。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市值类</w:t>
            </w:r>
          </w:p>
        </w:tc>
        <w:tc>
          <w:tcPr>
            <w:tcW w:type="dxa" w:w="784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使用 log1p 后每日最大值归一化，并配合全市场/行业内分位数。</w:t>
            </w:r>
          </w:p>
        </w:tc>
      </w:tr>
      <w:tr>
        <w:tc>
          <w:tcPr>
            <w:tcW w:type="dxa" w:w="1944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估值类</w:t>
            </w:r>
          </w:p>
        </w:tc>
        <w:tc>
          <w:tcPr>
            <w:tcW w:type="dxa" w:w="7848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优先使用 earnings_yield、book_to_price、行业内分位数；PE/PB 原值需谨慎。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财报类</w:t>
            </w:r>
          </w:p>
        </w:tc>
        <w:tc>
          <w:tcPr>
            <w:tcW w:type="dxa" w:w="784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主要使用同比、利润率、ROE、负债率、现金流质量；必须按公告日对齐。</w:t>
            </w:r>
          </w:p>
        </w:tc>
      </w:tr>
      <w:tr>
        <w:tc>
          <w:tcPr>
            <w:tcW w:type="dxa" w:w="1944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截面类</w:t>
            </w:r>
          </w:p>
        </w:tc>
        <w:tc>
          <w:tcPr>
            <w:tcW w:type="dxa" w:w="7848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rank pct 天然位于 0 到 1，适合入模；可用于全市场或行业内比较。</w:t>
            </w:r>
          </w:p>
        </w:tc>
      </w:tr>
    </w:tbl>
    <w:p>
      <w:pPr>
        <w:pStyle w:val="Heading1"/>
      </w:pPr>
      <w:r>
        <w:t>5. 45 个核心输入特征</w:t>
      </w:r>
    </w:p>
    <w:p>
      <w:r>
        <w:rPr>
          <w:rFonts w:ascii="Noto Sans CJK SC" w:hAnsi="Noto Sans CJK SC" w:eastAsia="Noto Sans CJK SC"/>
          <w:b w:val="0"/>
          <w:sz w:val="21"/>
        </w:rPr>
        <w:t>以下是第一版建议使用的 45 个核心特征。原始字段只用于计算，不建议直接输入模型。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序号</w:t>
            </w:r>
          </w:p>
        </w:tc>
        <w:tc>
          <w:tcPr>
            <w:tcW w:type="dxa" w:w="2664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特征名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3888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公式 / 说明</w:t>
            </w:r>
          </w:p>
        </w:tc>
      </w:tr>
      <w:tr>
        <w:tc>
          <w:tcPr>
            <w:tcW w:type="dxa" w:w="64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</w:t>
            </w:r>
          </w:p>
        </w:tc>
        <w:tc>
          <w:tcPr>
            <w:tcW w:type="dxa" w:w="266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open_gap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开盘相对昨收变化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open / pre_close - 1</w:t>
            </w:r>
          </w:p>
        </w:tc>
      </w:tr>
      <w:tr>
        <w:tc>
          <w:tcPr>
            <w:tcW w:type="dxa" w:w="648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</w:t>
            </w:r>
          </w:p>
        </w:tc>
        <w:tc>
          <w:tcPr>
            <w:tcW w:type="dxa" w:w="2664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intraday_ret</w:t>
            </w:r>
          </w:p>
        </w:tc>
        <w:tc>
          <w:tcPr>
            <w:tcW w:type="dxa" w:w="2592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收盘相对开盘变化</w:t>
            </w:r>
          </w:p>
        </w:tc>
        <w:tc>
          <w:tcPr>
            <w:tcW w:type="dxa" w:w="3888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close / open - 1</w:t>
            </w:r>
          </w:p>
        </w:tc>
      </w:tr>
      <w:tr>
        <w:tc>
          <w:tcPr>
            <w:tcW w:type="dxa" w:w="64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</w:t>
            </w:r>
          </w:p>
        </w:tc>
        <w:tc>
          <w:tcPr>
            <w:tcW w:type="dxa" w:w="266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close_ret_1d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收盘相对昨收变化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close / pre_close - 1</w:t>
            </w:r>
          </w:p>
        </w:tc>
      </w:tr>
      <w:tr>
        <w:tc>
          <w:tcPr>
            <w:tcW w:type="dxa" w:w="648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4</w:t>
            </w:r>
          </w:p>
        </w:tc>
        <w:tc>
          <w:tcPr>
            <w:tcW w:type="dxa" w:w="2664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amplitude</w:t>
            </w:r>
          </w:p>
        </w:tc>
        <w:tc>
          <w:tcPr>
            <w:tcW w:type="dxa" w:w="2592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日内振幅</w:t>
            </w:r>
          </w:p>
        </w:tc>
        <w:tc>
          <w:tcPr>
            <w:tcW w:type="dxa" w:w="3888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high / low - 1</w:t>
            </w:r>
          </w:p>
        </w:tc>
      </w:tr>
      <w:tr>
        <w:tc>
          <w:tcPr>
            <w:tcW w:type="dxa" w:w="64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5</w:t>
            </w:r>
          </w:p>
        </w:tc>
        <w:tc>
          <w:tcPr>
            <w:tcW w:type="dxa" w:w="266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high_to_preclose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最高价相对昨收涨幅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high / pre_close - 1</w:t>
            </w:r>
          </w:p>
        </w:tc>
      </w:tr>
      <w:tr>
        <w:tc>
          <w:tcPr>
            <w:tcW w:type="dxa" w:w="648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6</w:t>
            </w:r>
          </w:p>
        </w:tc>
        <w:tc>
          <w:tcPr>
            <w:tcW w:type="dxa" w:w="2664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low_to_preclose</w:t>
            </w:r>
          </w:p>
        </w:tc>
        <w:tc>
          <w:tcPr>
            <w:tcW w:type="dxa" w:w="2592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最低价相对昨收跌幅</w:t>
            </w:r>
          </w:p>
        </w:tc>
        <w:tc>
          <w:tcPr>
            <w:tcW w:type="dxa" w:w="3888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low / pre_close - 1</w:t>
            </w:r>
          </w:p>
        </w:tc>
      </w:tr>
      <w:tr>
        <w:tc>
          <w:tcPr>
            <w:tcW w:type="dxa" w:w="64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7</w:t>
            </w:r>
          </w:p>
        </w:tc>
        <w:tc>
          <w:tcPr>
            <w:tcW w:type="dxa" w:w="266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close_to_high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收盘价距离最高价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close / high - 1</w:t>
            </w:r>
          </w:p>
        </w:tc>
      </w:tr>
      <w:tr>
        <w:tc>
          <w:tcPr>
            <w:tcW w:type="dxa" w:w="648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8</w:t>
            </w:r>
          </w:p>
        </w:tc>
        <w:tc>
          <w:tcPr>
            <w:tcW w:type="dxa" w:w="2664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ret_5d</w:t>
            </w:r>
          </w:p>
        </w:tc>
        <w:tc>
          <w:tcPr>
            <w:tcW w:type="dxa" w:w="2592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过去 5 日收益率</w:t>
            </w:r>
          </w:p>
        </w:tc>
        <w:tc>
          <w:tcPr>
            <w:tcW w:type="dxa" w:w="3888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close / close.shift(5) - 1</w:t>
            </w:r>
          </w:p>
        </w:tc>
      </w:tr>
      <w:tr>
        <w:tc>
          <w:tcPr>
            <w:tcW w:type="dxa" w:w="64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9</w:t>
            </w:r>
          </w:p>
        </w:tc>
        <w:tc>
          <w:tcPr>
            <w:tcW w:type="dxa" w:w="266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ret_20d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过去 20 日收益率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close / close.shift(20) - 1</w:t>
            </w:r>
          </w:p>
        </w:tc>
      </w:tr>
      <w:tr>
        <w:tc>
          <w:tcPr>
            <w:tcW w:type="dxa" w:w="648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10</w:t>
            </w:r>
          </w:p>
        </w:tc>
        <w:tc>
          <w:tcPr>
            <w:tcW w:type="dxa" w:w="2664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ret_60d</w:t>
            </w:r>
          </w:p>
        </w:tc>
        <w:tc>
          <w:tcPr>
            <w:tcW w:type="dxa" w:w="2592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过去 60 日收益率</w:t>
            </w:r>
          </w:p>
        </w:tc>
        <w:tc>
          <w:tcPr>
            <w:tcW w:type="dxa" w:w="3888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close / close.shift(60) - 1</w:t>
            </w:r>
          </w:p>
        </w:tc>
      </w:tr>
      <w:tr>
        <w:tc>
          <w:tcPr>
            <w:tcW w:type="dxa" w:w="64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11</w:t>
            </w:r>
          </w:p>
        </w:tc>
        <w:tc>
          <w:tcPr>
            <w:tcW w:type="dxa" w:w="266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volatility_20d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20 日收益率波动率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ret_1d.rolling(20).std()</w:t>
            </w:r>
          </w:p>
        </w:tc>
      </w:tr>
      <w:tr>
        <w:tc>
          <w:tcPr>
            <w:tcW w:type="dxa" w:w="648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12</w:t>
            </w:r>
          </w:p>
        </w:tc>
        <w:tc>
          <w:tcPr>
            <w:tcW w:type="dxa" w:w="2664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volatility_60d</w:t>
            </w:r>
          </w:p>
        </w:tc>
        <w:tc>
          <w:tcPr>
            <w:tcW w:type="dxa" w:w="2592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60 日收益率波动率</w:t>
            </w:r>
          </w:p>
        </w:tc>
        <w:tc>
          <w:tcPr>
            <w:tcW w:type="dxa" w:w="3888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ret_1d.rolling(60).std()</w:t>
            </w:r>
          </w:p>
        </w:tc>
      </w:tr>
      <w:tr>
        <w:tc>
          <w:tcPr>
            <w:tcW w:type="dxa" w:w="64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13</w:t>
            </w:r>
          </w:p>
        </w:tc>
        <w:tc>
          <w:tcPr>
            <w:tcW w:type="dxa" w:w="266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max_drawdown_20d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20 日最大回撤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过去 20 日高点到低点最大跌幅</w:t>
            </w:r>
          </w:p>
        </w:tc>
      </w:tr>
      <w:tr>
        <w:tc>
          <w:tcPr>
            <w:tcW w:type="dxa" w:w="648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14</w:t>
            </w:r>
          </w:p>
        </w:tc>
        <w:tc>
          <w:tcPr>
            <w:tcW w:type="dxa" w:w="2664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close_to_ma20</w:t>
            </w:r>
          </w:p>
        </w:tc>
        <w:tc>
          <w:tcPr>
            <w:tcW w:type="dxa" w:w="2592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收盘价相对 20 日均线</w:t>
            </w:r>
          </w:p>
        </w:tc>
        <w:tc>
          <w:tcPr>
            <w:tcW w:type="dxa" w:w="3888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close / ma20 - 1</w:t>
            </w:r>
          </w:p>
        </w:tc>
      </w:tr>
      <w:tr>
        <w:tc>
          <w:tcPr>
            <w:tcW w:type="dxa" w:w="64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15</w:t>
            </w:r>
          </w:p>
        </w:tc>
        <w:tc>
          <w:tcPr>
            <w:tcW w:type="dxa" w:w="266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close_to_ma60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收盘价相对 60 日均线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close / ma60 - 1</w:t>
            </w:r>
          </w:p>
        </w:tc>
      </w:tr>
      <w:tr>
        <w:tc>
          <w:tcPr>
            <w:tcW w:type="dxa" w:w="648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16</w:t>
            </w:r>
          </w:p>
        </w:tc>
        <w:tc>
          <w:tcPr>
            <w:tcW w:type="dxa" w:w="2664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price_position_20d</w:t>
            </w:r>
          </w:p>
        </w:tc>
        <w:tc>
          <w:tcPr>
            <w:tcW w:type="dxa" w:w="2592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当前价在 20 日区间的位置</w:t>
            </w:r>
          </w:p>
        </w:tc>
        <w:tc>
          <w:tcPr>
            <w:tcW w:type="dxa" w:w="3888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(close - min20) / (max20 - min20)</w:t>
            </w:r>
          </w:p>
        </w:tc>
      </w:tr>
      <w:tr>
        <w:tc>
          <w:tcPr>
            <w:tcW w:type="dxa" w:w="64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17</w:t>
            </w:r>
          </w:p>
        </w:tc>
        <w:tc>
          <w:tcPr>
            <w:tcW w:type="dxa" w:w="266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price_position_60d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当前价在 60 日区间的位置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(close - min60) / (max60 - min60)</w:t>
            </w:r>
          </w:p>
        </w:tc>
      </w:tr>
      <w:tr>
        <w:tc>
          <w:tcPr>
            <w:tcW w:type="dxa" w:w="648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18</w:t>
            </w:r>
          </w:p>
        </w:tc>
        <w:tc>
          <w:tcPr>
            <w:tcW w:type="dxa" w:w="2664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volume_chg_5d</w:t>
            </w:r>
          </w:p>
        </w:tc>
        <w:tc>
          <w:tcPr>
            <w:tcW w:type="dxa" w:w="2592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成交量 5 日变化率</w:t>
            </w:r>
          </w:p>
        </w:tc>
        <w:tc>
          <w:tcPr>
            <w:tcW w:type="dxa" w:w="3888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volume / volume.shift(5) - 1</w:t>
            </w:r>
          </w:p>
        </w:tc>
      </w:tr>
      <w:tr>
        <w:tc>
          <w:tcPr>
            <w:tcW w:type="dxa" w:w="64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19</w:t>
            </w:r>
          </w:p>
        </w:tc>
        <w:tc>
          <w:tcPr>
            <w:tcW w:type="dxa" w:w="266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amount_chg_5d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成交额 5 日变化率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amount / amount.shift(5) - 1</w:t>
            </w:r>
          </w:p>
        </w:tc>
      </w:tr>
      <w:tr>
        <w:tc>
          <w:tcPr>
            <w:tcW w:type="dxa" w:w="648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20</w:t>
            </w:r>
          </w:p>
        </w:tc>
        <w:tc>
          <w:tcPr>
            <w:tcW w:type="dxa" w:w="2664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volume_ratio_20d</w:t>
            </w:r>
          </w:p>
        </w:tc>
        <w:tc>
          <w:tcPr>
            <w:tcW w:type="dxa" w:w="2592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当前成交量相对 20 日均量</w:t>
            </w:r>
          </w:p>
        </w:tc>
        <w:tc>
          <w:tcPr>
            <w:tcW w:type="dxa" w:w="3888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volume / volume_ma20</w:t>
            </w:r>
          </w:p>
        </w:tc>
      </w:tr>
      <w:tr>
        <w:tc>
          <w:tcPr>
            <w:tcW w:type="dxa" w:w="64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21</w:t>
            </w:r>
          </w:p>
        </w:tc>
        <w:tc>
          <w:tcPr>
            <w:tcW w:type="dxa" w:w="266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amount_ratio_20d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当前成交额相对 20 日均额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amount / amount_ma20</w:t>
            </w:r>
          </w:p>
        </w:tc>
      </w:tr>
      <w:tr>
        <w:tc>
          <w:tcPr>
            <w:tcW w:type="dxa" w:w="648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22</w:t>
            </w:r>
          </w:p>
        </w:tc>
        <w:tc>
          <w:tcPr>
            <w:tcW w:type="dxa" w:w="2664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turnover_rate</w:t>
            </w:r>
          </w:p>
        </w:tc>
        <w:tc>
          <w:tcPr>
            <w:tcW w:type="dxa" w:w="2592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当日换手率</w:t>
            </w:r>
          </w:p>
        </w:tc>
        <w:tc>
          <w:tcPr>
            <w:tcW w:type="dxa" w:w="3888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成交量 / 流通股本</w:t>
            </w:r>
          </w:p>
        </w:tc>
      </w:tr>
      <w:tr>
        <w:tc>
          <w:tcPr>
            <w:tcW w:type="dxa" w:w="64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23</w:t>
            </w:r>
          </w:p>
        </w:tc>
        <w:tc>
          <w:tcPr>
            <w:tcW w:type="dxa" w:w="266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turnover_to_20d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当前换手率相对 20 日均换手率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turnover_rate / turnover_rate_ma20</w:t>
            </w:r>
          </w:p>
        </w:tc>
      </w:tr>
      <w:tr>
        <w:tc>
          <w:tcPr>
            <w:tcW w:type="dxa" w:w="648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24</w:t>
            </w:r>
          </w:p>
        </w:tc>
        <w:tc>
          <w:tcPr>
            <w:tcW w:type="dxa" w:w="2664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log_total_market_cap_max_norm</w:t>
            </w:r>
          </w:p>
        </w:tc>
        <w:tc>
          <w:tcPr>
            <w:tcW w:type="dxa" w:w="2592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总市值 log 后每日最大值归一化</w:t>
            </w:r>
          </w:p>
        </w:tc>
        <w:tc>
          <w:tcPr>
            <w:tcW w:type="dxa" w:w="3888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log1p(total_market_cap) / 当日最大 log1p(total_market_cap)</w:t>
            </w:r>
          </w:p>
        </w:tc>
      </w:tr>
      <w:tr>
        <w:tc>
          <w:tcPr>
            <w:tcW w:type="dxa" w:w="64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25</w:t>
            </w:r>
          </w:p>
        </w:tc>
        <w:tc>
          <w:tcPr>
            <w:tcW w:type="dxa" w:w="266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log_float_market_cap_max_norm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流通市值 log 后每日最大值归一化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log1p(float_market_cap) / 当日最大 log1p(float_market_cap)</w:t>
            </w:r>
          </w:p>
        </w:tc>
      </w:tr>
      <w:tr>
        <w:tc>
          <w:tcPr>
            <w:tcW w:type="dxa" w:w="648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26</w:t>
            </w:r>
          </w:p>
        </w:tc>
        <w:tc>
          <w:tcPr>
            <w:tcW w:type="dxa" w:w="2664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total_market_cap_rank_market</w:t>
            </w:r>
          </w:p>
        </w:tc>
        <w:tc>
          <w:tcPr>
            <w:tcW w:type="dxa" w:w="2592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总市值全市场分位数</w:t>
            </w:r>
          </w:p>
        </w:tc>
        <w:tc>
          <w:tcPr>
            <w:tcW w:type="dxa" w:w="3888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当日全市场 rank pct</w:t>
            </w:r>
          </w:p>
        </w:tc>
      </w:tr>
      <w:tr>
        <w:tc>
          <w:tcPr>
            <w:tcW w:type="dxa" w:w="64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27</w:t>
            </w:r>
          </w:p>
        </w:tc>
        <w:tc>
          <w:tcPr>
            <w:tcW w:type="dxa" w:w="266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total_market_cap_rank_industry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总市值行业内分位数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当日行业内 rank pct</w:t>
            </w:r>
          </w:p>
        </w:tc>
      </w:tr>
      <w:tr>
        <w:tc>
          <w:tcPr>
            <w:tcW w:type="dxa" w:w="648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28</w:t>
            </w:r>
          </w:p>
        </w:tc>
        <w:tc>
          <w:tcPr>
            <w:tcW w:type="dxa" w:w="2664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earnings_yield</w:t>
            </w:r>
          </w:p>
        </w:tc>
        <w:tc>
          <w:tcPr>
            <w:tcW w:type="dxa" w:w="2592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盈利收益率</w:t>
            </w:r>
          </w:p>
        </w:tc>
        <w:tc>
          <w:tcPr>
            <w:tcW w:type="dxa" w:w="3888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 / pe_ttm</w:t>
            </w:r>
          </w:p>
        </w:tc>
      </w:tr>
      <w:tr>
        <w:tc>
          <w:tcPr>
            <w:tcW w:type="dxa" w:w="64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29</w:t>
            </w:r>
          </w:p>
        </w:tc>
        <w:tc>
          <w:tcPr>
            <w:tcW w:type="dxa" w:w="266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book_to_price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账面市值比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 / pb</w:t>
            </w:r>
          </w:p>
        </w:tc>
      </w:tr>
      <w:tr>
        <w:tc>
          <w:tcPr>
            <w:tcW w:type="dxa" w:w="648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30</w:t>
            </w:r>
          </w:p>
        </w:tc>
        <w:tc>
          <w:tcPr>
            <w:tcW w:type="dxa" w:w="2664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pe_rank_industry</w:t>
            </w:r>
          </w:p>
        </w:tc>
        <w:tc>
          <w:tcPr>
            <w:tcW w:type="dxa" w:w="2592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PE 行业内分位数</w:t>
            </w:r>
          </w:p>
        </w:tc>
        <w:tc>
          <w:tcPr>
            <w:tcW w:type="dxa" w:w="3888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当日行业内 PE rank pct</w:t>
            </w:r>
          </w:p>
        </w:tc>
      </w:tr>
      <w:tr>
        <w:tc>
          <w:tcPr>
            <w:tcW w:type="dxa" w:w="64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31</w:t>
            </w:r>
          </w:p>
        </w:tc>
        <w:tc>
          <w:tcPr>
            <w:tcW w:type="dxa" w:w="266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revenue_yoy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营收同比增长率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本期营收 / 去年同期营收 - 1</w:t>
            </w:r>
          </w:p>
        </w:tc>
      </w:tr>
      <w:tr>
        <w:tc>
          <w:tcPr>
            <w:tcW w:type="dxa" w:w="648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32</w:t>
            </w:r>
          </w:p>
        </w:tc>
        <w:tc>
          <w:tcPr>
            <w:tcW w:type="dxa" w:w="2664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net_profit_yoy</w:t>
            </w:r>
          </w:p>
        </w:tc>
        <w:tc>
          <w:tcPr>
            <w:tcW w:type="dxa" w:w="2592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净利润同比增长率</w:t>
            </w:r>
          </w:p>
        </w:tc>
        <w:tc>
          <w:tcPr>
            <w:tcW w:type="dxa" w:w="3888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本期净利润 / 去年同期净利润 - 1</w:t>
            </w:r>
          </w:p>
        </w:tc>
      </w:tr>
      <w:tr>
        <w:tc>
          <w:tcPr>
            <w:tcW w:type="dxa" w:w="64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33</w:t>
            </w:r>
          </w:p>
        </w:tc>
        <w:tc>
          <w:tcPr>
            <w:tcW w:type="dxa" w:w="266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gross_margin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毛利率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gross_profit / revenue</w:t>
            </w:r>
          </w:p>
        </w:tc>
      </w:tr>
      <w:tr>
        <w:tc>
          <w:tcPr>
            <w:tcW w:type="dxa" w:w="648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34</w:t>
            </w:r>
          </w:p>
        </w:tc>
        <w:tc>
          <w:tcPr>
            <w:tcW w:type="dxa" w:w="2664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net_margin</w:t>
            </w:r>
          </w:p>
        </w:tc>
        <w:tc>
          <w:tcPr>
            <w:tcW w:type="dxa" w:w="2592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净利率</w:t>
            </w:r>
          </w:p>
        </w:tc>
        <w:tc>
          <w:tcPr>
            <w:tcW w:type="dxa" w:w="3888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net_profit / revenue</w:t>
            </w:r>
          </w:p>
        </w:tc>
      </w:tr>
      <w:tr>
        <w:tc>
          <w:tcPr>
            <w:tcW w:type="dxa" w:w="64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35</w:t>
            </w:r>
          </w:p>
        </w:tc>
        <w:tc>
          <w:tcPr>
            <w:tcW w:type="dxa" w:w="266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roe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净资产收益率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net_profit / shareholder_equity</w:t>
            </w:r>
          </w:p>
        </w:tc>
      </w:tr>
      <w:tr>
        <w:tc>
          <w:tcPr>
            <w:tcW w:type="dxa" w:w="648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36</w:t>
            </w:r>
          </w:p>
        </w:tc>
        <w:tc>
          <w:tcPr>
            <w:tcW w:type="dxa" w:w="2664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debt_to_asset</w:t>
            </w:r>
          </w:p>
        </w:tc>
        <w:tc>
          <w:tcPr>
            <w:tcW w:type="dxa" w:w="2592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资产负债率</w:t>
            </w:r>
          </w:p>
        </w:tc>
        <w:tc>
          <w:tcPr>
            <w:tcW w:type="dxa" w:w="3888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total_liabilities / total_assets</w:t>
            </w:r>
          </w:p>
        </w:tc>
      </w:tr>
      <w:tr>
        <w:tc>
          <w:tcPr>
            <w:tcW w:type="dxa" w:w="64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37</w:t>
            </w:r>
          </w:p>
        </w:tc>
        <w:tc>
          <w:tcPr>
            <w:tcW w:type="dxa" w:w="266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ocf_to_net_profit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经营现金流 / 净利润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operating_cash_flow / net_profit</w:t>
            </w:r>
          </w:p>
        </w:tc>
      </w:tr>
      <w:tr>
        <w:tc>
          <w:tcPr>
            <w:tcW w:type="dxa" w:w="648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38</w:t>
            </w:r>
          </w:p>
        </w:tc>
        <w:tc>
          <w:tcPr>
            <w:tcW w:type="dxa" w:w="2664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market_ret_20d</w:t>
            </w:r>
          </w:p>
        </w:tc>
        <w:tc>
          <w:tcPr>
            <w:tcW w:type="dxa" w:w="2592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大盘 20 日收益率</w:t>
            </w:r>
          </w:p>
        </w:tc>
        <w:tc>
          <w:tcPr>
            <w:tcW w:type="dxa" w:w="3888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大盘指数 20 日收益</w:t>
            </w:r>
          </w:p>
        </w:tc>
      </w:tr>
      <w:tr>
        <w:tc>
          <w:tcPr>
            <w:tcW w:type="dxa" w:w="64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39</w:t>
            </w:r>
          </w:p>
        </w:tc>
        <w:tc>
          <w:tcPr>
            <w:tcW w:type="dxa" w:w="266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market_volatility_20d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大盘 20 日波动率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大盘日收益 20 日标准差</w:t>
            </w:r>
          </w:p>
        </w:tc>
      </w:tr>
      <w:tr>
        <w:tc>
          <w:tcPr>
            <w:tcW w:type="dxa" w:w="648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40</w:t>
            </w:r>
          </w:p>
        </w:tc>
        <w:tc>
          <w:tcPr>
            <w:tcW w:type="dxa" w:w="2664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industry_ret_20d</w:t>
            </w:r>
          </w:p>
        </w:tc>
        <w:tc>
          <w:tcPr>
            <w:tcW w:type="dxa" w:w="2592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所属行业 20 日收益率</w:t>
            </w:r>
          </w:p>
        </w:tc>
        <w:tc>
          <w:tcPr>
            <w:tcW w:type="dxa" w:w="3888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行业指数 20 日收益</w:t>
            </w:r>
          </w:p>
        </w:tc>
      </w:tr>
      <w:tr>
        <w:tc>
          <w:tcPr>
            <w:tcW w:type="dxa" w:w="64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41</w:t>
            </w:r>
          </w:p>
        </w:tc>
        <w:tc>
          <w:tcPr>
            <w:tcW w:type="dxa" w:w="266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industry_volatility_20d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所属行业 20 日波动率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行业日收益 20 日标准差</w:t>
            </w:r>
          </w:p>
        </w:tc>
      </w:tr>
      <w:tr>
        <w:tc>
          <w:tcPr>
            <w:tcW w:type="dxa" w:w="648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42</w:t>
            </w:r>
          </w:p>
        </w:tc>
        <w:tc>
          <w:tcPr>
            <w:tcW w:type="dxa" w:w="2664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excess_ret_market_20d</w:t>
            </w:r>
          </w:p>
        </w:tc>
        <w:tc>
          <w:tcPr>
            <w:tcW w:type="dxa" w:w="2592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个股相对大盘 20 日超额收益</w:t>
            </w:r>
          </w:p>
        </w:tc>
        <w:tc>
          <w:tcPr>
            <w:tcW w:type="dxa" w:w="3888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ret_20d - market_ret_20d</w:t>
            </w:r>
          </w:p>
        </w:tc>
      </w:tr>
      <w:tr>
        <w:tc>
          <w:tcPr>
            <w:tcW w:type="dxa" w:w="64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43</w:t>
            </w:r>
          </w:p>
        </w:tc>
        <w:tc>
          <w:tcPr>
            <w:tcW w:type="dxa" w:w="266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excess_ret_industry_20d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个股相对行业 20 日超额收益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ret_20d - industry_ret_20d</w:t>
            </w:r>
          </w:p>
        </w:tc>
      </w:tr>
      <w:tr>
        <w:tc>
          <w:tcPr>
            <w:tcW w:type="dxa" w:w="648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44</w:t>
            </w:r>
          </w:p>
        </w:tc>
        <w:tc>
          <w:tcPr>
            <w:tcW w:type="dxa" w:w="2664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ret_20d_rank_market</w:t>
            </w:r>
          </w:p>
        </w:tc>
        <w:tc>
          <w:tcPr>
            <w:tcW w:type="dxa" w:w="2592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20 日收益全市场分位数</w:t>
            </w:r>
          </w:p>
        </w:tc>
        <w:tc>
          <w:tcPr>
            <w:tcW w:type="dxa" w:w="3888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当日全市场 rank pct</w:t>
            </w:r>
          </w:p>
        </w:tc>
      </w:tr>
      <w:tr>
        <w:tc>
          <w:tcPr>
            <w:tcW w:type="dxa" w:w="64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45</w:t>
            </w:r>
          </w:p>
        </w:tc>
        <w:tc>
          <w:tcPr>
            <w:tcW w:type="dxa" w:w="266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ret_20d_rank_industry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20 日收益行业内分位数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当日行业内 rank pct</w:t>
            </w:r>
          </w:p>
        </w:tc>
      </w:tr>
    </w:tbl>
    <w:p>
      <w:pPr>
        <w:pStyle w:val="Heading1"/>
      </w:pPr>
      <w:r>
        <w:t>6. 标签设计与分箱</w:t>
      </w:r>
    </w:p>
    <w:p>
      <w:r>
        <w:rPr>
          <w:rFonts w:ascii="Noto Sans CJK SC" w:hAnsi="Noto Sans CJK SC" w:eastAsia="Noto Sans CJK SC"/>
          <w:b w:val="0"/>
          <w:sz w:val="21"/>
        </w:rPr>
        <w:t>模型采用多任务分类形式：1 日、5 日、20 日收益率分别离散化为多个区间，模型输出每个区间的概率。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</w:tcPr>
          <w:p>
            <w:pPr>
              <w:spacing w:after="0"/>
            </w:pPr>
            <w:r>
              <w:rPr>
                <w:rFonts w:ascii="DejaVu Sans Mono" w:hAnsi="DejaVu Sans Mono" w:eastAsia="Noto Sans CJK SC"/>
                <w:sz w:val="16"/>
              </w:rPr>
              <w:t>df["future_ret_1d"] = df.groupby("stock")["close"].shift(-1)  / df["close"] - 1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df["future_ret_5d"] = df.groupby("stock")["close"].shift(-5)  / df["close"] - 1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df["future_ret_20d"] = df.groupby("stock")["close"].shift(-20) / df["close"] - 1</w:t>
            </w:r>
          </w:p>
        </w:tc>
      </w:tr>
    </w:tbl>
    <w:p>
      <w:pPr>
        <w:pStyle w:val="Heading2"/>
      </w:pPr>
      <w:r>
        <w:t>6.1 未来 1 日收益率：7 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184"/>
        <w:gridCol w:w="5184"/>
      </w:tblGrid>
      <w:tr>
        <w:trPr>
          <w:tblHeader w:val="true"/>
        </w:trPr>
        <w:tc>
          <w:tcPr>
            <w:tcW w:type="dxa" w:w="115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432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区间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&lt; -5%</w:t>
            </w:r>
          </w:p>
        </w:tc>
      </w:tr>
      <w:tr>
        <w:tc>
          <w:tcPr>
            <w:tcW w:type="dxa" w:w="1152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</w:t>
            </w:r>
          </w:p>
        </w:tc>
        <w:tc>
          <w:tcPr>
            <w:tcW w:type="dxa" w:w="4320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-5% ~ -3%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-3% ~ -1%</w:t>
            </w:r>
          </w:p>
        </w:tc>
      </w:tr>
      <w:tr>
        <w:tc>
          <w:tcPr>
            <w:tcW w:type="dxa" w:w="1152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</w:t>
            </w:r>
          </w:p>
        </w:tc>
        <w:tc>
          <w:tcPr>
            <w:tcW w:type="dxa" w:w="4320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-1% ~ 1%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4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1% ~ 3%</w:t>
            </w:r>
          </w:p>
        </w:tc>
      </w:tr>
      <w:tr>
        <w:tc>
          <w:tcPr>
            <w:tcW w:type="dxa" w:w="1152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</w:t>
            </w:r>
          </w:p>
        </w:tc>
        <w:tc>
          <w:tcPr>
            <w:tcW w:type="dxa" w:w="4320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3% ~ 5%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6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&gt; 5%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</w:tcPr>
          <w:p>
            <w:pPr>
              <w:spacing w:after="0"/>
            </w:pPr>
            <w:r>
              <w:rPr>
                <w:rFonts w:ascii="DejaVu Sans Mono" w:hAnsi="DejaVu Sans Mono" w:eastAsia="Noto Sans CJK SC"/>
                <w:sz w:val="16"/>
              </w:rPr>
              <w:t>bins_1d = [-inf, -0.05, -0.03, -0.01, 0.01, 0.03, 0.05, inf]</w:t>
            </w:r>
          </w:p>
        </w:tc>
      </w:tr>
    </w:tbl>
    <w:p>
      <w:pPr>
        <w:pStyle w:val="Heading2"/>
      </w:pPr>
      <w:r>
        <w:t>6.2 未来 5 日收益率：11 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184"/>
        <w:gridCol w:w="5184"/>
      </w:tblGrid>
      <w:tr>
        <w:trPr>
          <w:tblHeader w:val="true"/>
        </w:trPr>
        <w:tc>
          <w:tcPr>
            <w:tcW w:type="dxa" w:w="115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432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区间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&lt; -10%</w:t>
            </w:r>
          </w:p>
        </w:tc>
      </w:tr>
      <w:tr>
        <w:tc>
          <w:tcPr>
            <w:tcW w:type="dxa" w:w="1152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</w:t>
            </w:r>
          </w:p>
        </w:tc>
        <w:tc>
          <w:tcPr>
            <w:tcW w:type="dxa" w:w="4320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-10% ~ -7%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-7% ~ -5%</w:t>
            </w:r>
          </w:p>
        </w:tc>
      </w:tr>
      <w:tr>
        <w:tc>
          <w:tcPr>
            <w:tcW w:type="dxa" w:w="1152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</w:t>
            </w:r>
          </w:p>
        </w:tc>
        <w:tc>
          <w:tcPr>
            <w:tcW w:type="dxa" w:w="4320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-5% ~ -3%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4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-3% ~ -1%</w:t>
            </w:r>
          </w:p>
        </w:tc>
      </w:tr>
      <w:tr>
        <w:tc>
          <w:tcPr>
            <w:tcW w:type="dxa" w:w="1152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</w:t>
            </w:r>
          </w:p>
        </w:tc>
        <w:tc>
          <w:tcPr>
            <w:tcW w:type="dxa" w:w="4320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-1% ~ 1%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6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1% ~ 3%</w:t>
            </w:r>
          </w:p>
        </w:tc>
      </w:tr>
      <w:tr>
        <w:tc>
          <w:tcPr>
            <w:tcW w:type="dxa" w:w="1152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7</w:t>
            </w:r>
          </w:p>
        </w:tc>
        <w:tc>
          <w:tcPr>
            <w:tcW w:type="dxa" w:w="4320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3% ~ 5%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8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5% ~ 7%</w:t>
            </w:r>
          </w:p>
        </w:tc>
      </w:tr>
      <w:tr>
        <w:tc>
          <w:tcPr>
            <w:tcW w:type="dxa" w:w="1152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9</w:t>
            </w:r>
          </w:p>
        </w:tc>
        <w:tc>
          <w:tcPr>
            <w:tcW w:type="dxa" w:w="4320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7% ~ 10%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&gt; 10%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</w:tcPr>
          <w:p>
            <w:pPr>
              <w:spacing w:after="0"/>
            </w:pPr>
            <w:r>
              <w:rPr>
                <w:rFonts w:ascii="DejaVu Sans Mono" w:hAnsi="DejaVu Sans Mono" w:eastAsia="Noto Sans CJK SC"/>
                <w:sz w:val="16"/>
              </w:rPr>
              <w:t>bins_5d = [-inf, -0.10, -0.07, -0.05, -0.03, -0.01, 0.01, 0.03, 0.05, 0.07, 0.10, inf]</w:t>
            </w:r>
          </w:p>
        </w:tc>
      </w:tr>
    </w:tbl>
    <w:p>
      <w:pPr>
        <w:pStyle w:val="Heading2"/>
      </w:pPr>
      <w:r>
        <w:t>6.3 未来 20 日收益率：11 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184"/>
        <w:gridCol w:w="5184"/>
      </w:tblGrid>
      <w:tr>
        <w:trPr>
          <w:tblHeader w:val="true"/>
        </w:trPr>
        <w:tc>
          <w:tcPr>
            <w:tcW w:type="dxa" w:w="115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432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区间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&lt; -25%</w:t>
            </w:r>
          </w:p>
        </w:tc>
      </w:tr>
      <w:tr>
        <w:tc>
          <w:tcPr>
            <w:tcW w:type="dxa" w:w="1152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</w:t>
            </w:r>
          </w:p>
        </w:tc>
        <w:tc>
          <w:tcPr>
            <w:tcW w:type="dxa" w:w="4320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-25% ~ -18%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-18% ~ -12%</w:t>
            </w:r>
          </w:p>
        </w:tc>
      </w:tr>
      <w:tr>
        <w:tc>
          <w:tcPr>
            <w:tcW w:type="dxa" w:w="1152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</w:t>
            </w:r>
          </w:p>
        </w:tc>
        <w:tc>
          <w:tcPr>
            <w:tcW w:type="dxa" w:w="4320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-12% ~ -8%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4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-8% ~ -3%</w:t>
            </w:r>
          </w:p>
        </w:tc>
      </w:tr>
      <w:tr>
        <w:tc>
          <w:tcPr>
            <w:tcW w:type="dxa" w:w="1152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</w:t>
            </w:r>
          </w:p>
        </w:tc>
        <w:tc>
          <w:tcPr>
            <w:tcW w:type="dxa" w:w="4320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-3% ~ 3%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6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3% ~ 8%</w:t>
            </w:r>
          </w:p>
        </w:tc>
      </w:tr>
      <w:tr>
        <w:tc>
          <w:tcPr>
            <w:tcW w:type="dxa" w:w="1152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7</w:t>
            </w:r>
          </w:p>
        </w:tc>
        <w:tc>
          <w:tcPr>
            <w:tcW w:type="dxa" w:w="4320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8% ~ 12%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8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12% ~ 18%</w:t>
            </w:r>
          </w:p>
        </w:tc>
      </w:tr>
      <w:tr>
        <w:tc>
          <w:tcPr>
            <w:tcW w:type="dxa" w:w="1152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9</w:t>
            </w:r>
          </w:p>
        </w:tc>
        <w:tc>
          <w:tcPr>
            <w:tcW w:type="dxa" w:w="4320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18% ~ 25%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&gt; 25%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</w:tcPr>
          <w:p>
            <w:pPr>
              <w:spacing w:after="0"/>
            </w:pPr>
            <w:r>
              <w:rPr>
                <w:rFonts w:ascii="DejaVu Sans Mono" w:hAnsi="DejaVu Sans Mono" w:eastAsia="Noto Sans CJK SC"/>
                <w:sz w:val="16"/>
              </w:rPr>
              <w:t>bins_20d = [-inf, -0.25, -0.18, -0.12, -0.08, -0.03, 0.03, 0.08, 0.12, 0.18, 0.25, inf]</w:t>
            </w:r>
          </w:p>
        </w:tc>
      </w:tr>
    </w:tbl>
    <w:p>
      <w:pPr>
        <w:pStyle w:val="Heading1"/>
      </w:pPr>
      <w:r>
        <w:t>7. 模型架构</w:t>
      </w:r>
    </w:p>
    <w:p>
      <w:r>
        <w:rPr>
          <w:rFonts w:ascii="Noto Sans CJK SC" w:hAnsi="Noto Sans CJK SC" w:eastAsia="Noto Sans CJK SC"/>
          <w:b w:val="0"/>
          <w:sz w:val="21"/>
        </w:rPr>
        <w:t>模型使用共享 Transformer 主干，并接三个独立分类头。这样可以让模型共同学习短期、中期、月度收益率之间的关系。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</w:tcPr>
          <w:p>
            <w:pPr>
              <w:spacing w:after="0"/>
            </w:pPr>
            <w:r>
              <w:rPr>
                <w:rFonts w:ascii="DejaVu Sans Mono" w:hAnsi="DejaVu Sans Mono" w:eastAsia="Noto Sans CJK SC"/>
                <w:sz w:val="16"/>
              </w:rPr>
              <w:t>Input: [B, 120, 45]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Feature LayerNorm: LayerNorm(45)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Input Projection:  Linear(45 -&gt; 128)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Position Embedding: learnable [1, 120, 128]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Transformer Encoder: 4 layers, d_model=128, nhead=4, FFN=256, dropout=0.20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Sequence Representation: last_hidden = encoded[:, -1, :]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Head 1D:  LayerNorm(128) -&gt; Linear(128,64) -&gt; GELU -&gt; Dropout -&gt; Linear(64,7)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Head 5D:  LayerNorm(128) -&gt; Linear(128,64) -&gt; GELU -&gt; Dropout -&gt; Linear(64,11)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Head 20D: LayerNorm(128) -&gt; Linear(128,64) -&gt; GELU -&gt; Dropout -&gt; Linear(64,11)</w:t>
            </w:r>
          </w:p>
        </w:tc>
      </w:tr>
    </w:tbl>
    <w:p>
      <w:pPr>
        <w:pStyle w:val="Heading2"/>
      </w:pPr>
      <w:r>
        <w:t>7.1 关键超参数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16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187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建议值</w:t>
            </w:r>
          </w:p>
        </w:tc>
        <w:tc>
          <w:tcPr>
            <w:tcW w:type="dxa" w:w="576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feature_dim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45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输入特征数</w:t>
            </w:r>
          </w:p>
        </w:tc>
      </w:tr>
      <w:tr>
        <w:tc>
          <w:tcPr>
            <w:tcW w:type="dxa" w:w="2160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seq_len</w:t>
            </w:r>
          </w:p>
        </w:tc>
        <w:tc>
          <w:tcPr>
            <w:tcW w:type="dxa" w:w="1872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120</w:t>
            </w:r>
          </w:p>
        </w:tc>
        <w:tc>
          <w:tcPr>
            <w:tcW w:type="dxa" w:w="5760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历史窗口长度，单位为交易日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d_model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128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Transformer 隐藏维度</w:t>
            </w:r>
          </w:p>
        </w:tc>
      </w:tr>
      <w:tr>
        <w:tc>
          <w:tcPr>
            <w:tcW w:type="dxa" w:w="2160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nhead</w:t>
            </w:r>
          </w:p>
        </w:tc>
        <w:tc>
          <w:tcPr>
            <w:tcW w:type="dxa" w:w="1872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4</w:t>
            </w:r>
          </w:p>
        </w:tc>
        <w:tc>
          <w:tcPr>
            <w:tcW w:type="dxa" w:w="5760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多头注意力头数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num_layers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4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Transformer Encoder 层数</w:t>
            </w:r>
          </w:p>
        </w:tc>
      </w:tr>
      <w:tr>
        <w:tc>
          <w:tcPr>
            <w:tcW w:type="dxa" w:w="2160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dim_feedforward</w:t>
            </w:r>
          </w:p>
        </w:tc>
        <w:tc>
          <w:tcPr>
            <w:tcW w:type="dxa" w:w="1872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256</w:t>
            </w:r>
          </w:p>
        </w:tc>
        <w:tc>
          <w:tcPr>
            <w:tcW w:type="dxa" w:w="5760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Encoder FFN 隐藏层维度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dropout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0.20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正则化，降低过拟合</w:t>
            </w:r>
          </w:p>
        </w:tc>
      </w:tr>
      <w:tr>
        <w:tc>
          <w:tcPr>
            <w:tcW w:type="dxa" w:w="2160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num_bins_1d</w:t>
            </w:r>
          </w:p>
        </w:tc>
        <w:tc>
          <w:tcPr>
            <w:tcW w:type="dxa" w:w="1872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7</w:t>
            </w:r>
          </w:p>
        </w:tc>
        <w:tc>
          <w:tcPr>
            <w:tcW w:type="dxa" w:w="5760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 日收益率分类数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num_bins_5d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11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 日收益率分类数</w:t>
            </w:r>
          </w:p>
        </w:tc>
      </w:tr>
      <w:tr>
        <w:tc>
          <w:tcPr>
            <w:tcW w:type="dxa" w:w="2160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num_bins_20d</w:t>
            </w:r>
          </w:p>
        </w:tc>
        <w:tc>
          <w:tcPr>
            <w:tcW w:type="dxa" w:w="1872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11</w:t>
            </w:r>
          </w:p>
        </w:tc>
        <w:tc>
          <w:tcPr>
            <w:tcW w:type="dxa" w:w="5760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20 日收益率分类数</w:t>
            </w:r>
          </w:p>
        </w:tc>
      </w:tr>
    </w:tbl>
    <w:p>
      <w:pPr>
        <w:pStyle w:val="Heading1"/>
      </w:pPr>
      <w:r>
        <w:t>8. 训练设计</w:t>
      </w:r>
    </w:p>
    <w:p>
      <w:r>
        <w:rPr>
          <w:rFonts w:ascii="Noto Sans CJK SC" w:hAnsi="Noto Sans CJK SC" w:eastAsia="Noto Sans CJK SC"/>
          <w:b w:val="0"/>
          <w:sz w:val="21"/>
        </w:rPr>
        <w:t>三个输出头分别使用 CrossEntropyLoss，总损失为三个任务的加权和。第一版建议给 5 日任务略高权重，因为 5 日通常比 1 日噪声更低，又比 20 日反馈更快。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</w:tcPr>
          <w:p>
            <w:pPr>
              <w:spacing w:after="0"/>
            </w:pPr>
            <w:r>
              <w:rPr>
                <w:rFonts w:ascii="DejaVu Sans Mono" w:hAnsi="DejaVu Sans Mono" w:eastAsia="Noto Sans CJK SC"/>
                <w:sz w:val="16"/>
              </w:rPr>
              <w:t>loss_1d  = CrossEntropyLoss(logits_1d,  target_1d)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loss_5d  = CrossEntropyLoss(logits_5d,  target_5d)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loss_20d = CrossEntropyLoss(logits_20d, target_20d)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loss = 0.3 * loss_1d + 0.4 * loss_5d + 0.3 * loss_20d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184"/>
        <w:gridCol w:w="5184"/>
      </w:tblGrid>
      <w:tr>
        <w:trPr>
          <w:tblHeader w:val="true"/>
        </w:trPr>
        <w:tc>
          <w:tcPr>
            <w:tcW w:type="dxa" w:w="2448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344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优化器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AdamW</w:t>
            </w:r>
          </w:p>
        </w:tc>
      </w:tr>
      <w:tr>
        <w:tc>
          <w:tcPr>
            <w:tcW w:type="dxa" w:w="2448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学习率</w:t>
            </w:r>
          </w:p>
        </w:tc>
        <w:tc>
          <w:tcPr>
            <w:tcW w:type="dxa" w:w="7344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1e-4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weight_decay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1e-4</w:t>
            </w:r>
          </w:p>
        </w:tc>
      </w:tr>
      <w:tr>
        <w:tc>
          <w:tcPr>
            <w:tcW w:type="dxa" w:w="2448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gradient_clip</w:t>
            </w:r>
          </w:p>
        </w:tc>
        <w:tc>
          <w:tcPr>
            <w:tcW w:type="dxa" w:w="7344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1.0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batch_size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根据显存选择，建议 128 / 256 / 512</w:t>
            </w:r>
          </w:p>
        </w:tc>
      </w:tr>
      <w:tr>
        <w:tc>
          <w:tcPr>
            <w:tcW w:type="dxa" w:w="2448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early stopping</w:t>
            </w:r>
          </w:p>
        </w:tc>
        <w:tc>
          <w:tcPr>
            <w:tcW w:type="dxa" w:w="7344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基于验证集 Rank IC、validation loss 或分组收益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数据切分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必须按时间切分，不能随机打乱</w:t>
            </w:r>
          </w:p>
        </w:tc>
      </w:tr>
    </w:tbl>
    <w:p>
      <w:pPr>
        <w:pStyle w:val="Heading1"/>
      </w:pPr>
      <w:r>
        <w:t>9. 推理输出与交易评分</w:t>
      </w:r>
    </w:p>
    <w:p>
      <w:r>
        <w:rPr>
          <w:rFonts w:ascii="Noto Sans CJK SC" w:hAnsi="Noto Sans CJK SC" w:eastAsia="Noto Sans CJK SC"/>
          <w:b w:val="0"/>
          <w:sz w:val="21"/>
        </w:rPr>
        <w:t>推理阶段对三个输出头分别做 softmax，得到 1 日、5 日、20 日收益率概率分布。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</w:tcPr>
          <w:p>
            <w:pPr>
              <w:spacing w:after="0"/>
            </w:pPr>
            <w:r>
              <w:rPr>
                <w:rFonts w:ascii="DejaVu Sans Mono" w:hAnsi="DejaVu Sans Mono" w:eastAsia="Noto Sans CJK SC"/>
                <w:sz w:val="16"/>
              </w:rPr>
              <w:t>probs_1d  = softmax(logits_1d,  dim=-1)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probs_5d  = softmax(logits_5d,  dim=-1)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probs_20d = softmax(logits_20d, dim=-1)</w:t>
            </w:r>
          </w:p>
        </w:tc>
      </w:tr>
    </w:tbl>
    <w:p>
      <w:pPr>
        <w:pStyle w:val="Heading2"/>
      </w:pPr>
      <w:r>
        <w:t>9.1 区间中点与期望收益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</w:tcPr>
          <w:p>
            <w:pPr>
              <w:spacing w:after="0"/>
            </w:pPr>
            <w:r>
              <w:rPr>
                <w:rFonts w:ascii="DejaVu Sans Mono" w:hAnsi="DejaVu Sans Mono" w:eastAsia="Noto Sans CJK SC"/>
                <w:sz w:val="16"/>
              </w:rPr>
              <w:t>centers_1d  = [-0.06, -0.04, -0.02, 0.00, 0.02, 0.04, 0.06]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centers_5d  = [-0.12, -0.085, -0.06, -0.04, -0.02, 0.00, 0.02, 0.04, 0.06, 0.085, 0.12]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centers_20d = [-0.30, -0.215, -0.15, -0.10, -0.055, 0.00, 0.055, 0.10, 0.15, 0.215, 0.30]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expected_ret_1d  = sum(probs_1d  * centers_1d)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expected_ret_5d  = sum(probs_5d  * centers_5d)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expected_ret_20d = sum(probs_20d * centers_20d)</w:t>
            </w:r>
          </w:p>
        </w:tc>
      </w:tr>
    </w:tbl>
    <w:p>
      <w:pPr>
        <w:pStyle w:val="Heading2"/>
      </w:pPr>
      <w:r>
        <w:t>9.2 综合排序分数</w:t>
      </w:r>
    </w:p>
    <w:p>
      <w:r>
        <w:rPr>
          <w:rFonts w:ascii="Noto Sans CJK SC" w:hAnsi="Noto Sans CJK SC" w:eastAsia="Noto Sans CJK SC"/>
          <w:b w:val="0"/>
          <w:sz w:val="21"/>
        </w:rPr>
        <w:t>第一版建议使用下列综合分数做每日截面选股排序：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</w:tcPr>
          <w:p>
            <w:pPr>
              <w:spacing w:after="0"/>
            </w:pPr>
            <w:r>
              <w:rPr>
                <w:rFonts w:ascii="DejaVu Sans Mono" w:hAnsi="DejaVu Sans Mono" w:eastAsia="Noto Sans CJK SC"/>
                <w:sz w:val="16"/>
              </w:rPr>
              <w:t>score = 0.2 * expected_ret_1d + 0.5 * expected_ret_5d + 0.3 * expected_ret_20d</w:t>
            </w:r>
          </w:p>
        </w:tc>
      </w:tr>
    </w:tbl>
    <w:p>
      <w:r>
        <w:rPr>
          <w:rFonts w:ascii="Noto Sans CJK SC" w:hAnsi="Noto Sans CJK SC" w:eastAsia="Noto Sans CJK SC"/>
          <w:b w:val="0"/>
          <w:sz w:val="21"/>
        </w:rPr>
        <w:t>如果策略偏短线，可提高 1 日和 5 日权重；如果策略偏中线，可提高 20 日权重。</w:t>
      </w:r>
    </w:p>
    <w:p>
      <w:pPr>
        <w:pStyle w:val="Heading1"/>
      </w:pPr>
      <w:r>
        <w:t>10. 评估指标</w:t>
      </w:r>
    </w:p>
    <w:p>
      <w:r>
        <w:rPr>
          <w:rFonts w:ascii="Noto Sans CJK SC" w:hAnsi="Noto Sans CJK SC" w:eastAsia="Noto Sans CJK SC"/>
          <w:b w:val="0"/>
          <w:sz w:val="21"/>
        </w:rPr>
        <w:t>不要只看分类准确率。股票预测更关心排序能力和组合表现。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184"/>
        <w:gridCol w:w="5184"/>
      </w:tblGrid>
      <w:tr>
        <w:trPr>
          <w:tblHeader w:val="true"/>
        </w:trPr>
        <w:tc>
          <w:tcPr>
            <w:tcW w:type="dxa" w:w="259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720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Validation loss</w:t>
            </w:r>
          </w:p>
        </w:tc>
        <w:tc>
          <w:tcPr>
            <w:tcW w:type="dxa" w:w="7200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监控训练是否收敛、是否过拟合</w:t>
            </w:r>
          </w:p>
        </w:tc>
      </w:tr>
      <w:tr>
        <w:tc>
          <w:tcPr>
            <w:tcW w:type="dxa" w:w="2592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IC</w:t>
            </w:r>
          </w:p>
        </w:tc>
        <w:tc>
          <w:tcPr>
            <w:tcW w:type="dxa" w:w="7200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预测值与未来收益的相关性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Rank IC</w:t>
            </w:r>
          </w:p>
        </w:tc>
        <w:tc>
          <w:tcPr>
            <w:tcW w:type="dxa" w:w="7200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预测排序与未来收益排序的相关性，优先关注</w:t>
            </w:r>
          </w:p>
        </w:tc>
      </w:tr>
      <w:tr>
        <w:tc>
          <w:tcPr>
            <w:tcW w:type="dxa" w:w="2592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分组收益</w:t>
            </w:r>
          </w:p>
        </w:tc>
        <w:tc>
          <w:tcPr>
            <w:tcW w:type="dxa" w:w="7200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按预测分数分组，查看高分组是否跑赢低分组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Top 10% / Top 20% 收益</w:t>
            </w:r>
          </w:p>
        </w:tc>
        <w:tc>
          <w:tcPr>
            <w:tcW w:type="dxa" w:w="7200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模拟选股效果</w:t>
            </w:r>
          </w:p>
        </w:tc>
      </w:tr>
      <w:tr>
        <w:tc>
          <w:tcPr>
            <w:tcW w:type="dxa" w:w="2592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多空收益</w:t>
            </w:r>
          </w:p>
        </w:tc>
        <w:tc>
          <w:tcPr>
            <w:tcW w:type="dxa" w:w="7200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高分组减低分组的收益差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最大回撤</w:t>
            </w:r>
          </w:p>
        </w:tc>
        <w:tc>
          <w:tcPr>
            <w:tcW w:type="dxa" w:w="7200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评估策略风险</w:t>
            </w:r>
          </w:p>
        </w:tc>
      </w:tr>
      <w:tr>
        <w:tc>
          <w:tcPr>
            <w:tcW w:type="dxa" w:w="2592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换手率</w:t>
            </w:r>
          </w:p>
        </w:tc>
        <w:tc>
          <w:tcPr>
            <w:tcW w:type="dxa" w:w="7200"/>
            <w:vAlign w:val="top"/>
            <w:shd w:fill="F7F9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评估交易成本压力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概率校准</w:t>
            </w:r>
          </w:p>
        </w:tc>
        <w:tc>
          <w:tcPr>
            <w:tcW w:type="dxa" w:w="7200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检查 softmax 概率是否接近真实发生频率</w:t>
            </w:r>
          </w:p>
        </w:tc>
      </w:tr>
    </w:tbl>
    <w:p>
      <w:pPr>
        <w:pStyle w:val="Heading1"/>
      </w:pPr>
      <w:r>
        <w:t>11. 数据与实现注意事项</w:t>
      </w:r>
    </w:p>
    <w:p>
      <w:pPr>
        <w:pStyle w:val="ListNumber"/>
      </w:pPr>
      <w:r>
        <w:rPr>
          <w:rFonts w:ascii="Noto Sans CJK SC" w:hAnsi="Noto Sans CJK SC" w:eastAsia="Noto Sans CJK SC"/>
        </w:rPr>
        <w:t>财报数据必须按公告日对齐，不能按报告期结束日提前使用。</w:t>
      </w:r>
    </w:p>
    <w:p>
      <w:pPr>
        <w:pStyle w:val="ListNumber"/>
      </w:pPr>
      <w:r>
        <w:rPr>
          <w:rFonts w:ascii="Noto Sans CJK SC" w:hAnsi="Noto Sans CJK SC" w:eastAsia="Noto Sans CJK SC"/>
        </w:rPr>
        <w:t>所有滚动特征只能使用预测日及以前的数据。</w:t>
      </w:r>
    </w:p>
    <w:p>
      <w:pPr>
        <w:pStyle w:val="ListNumber"/>
      </w:pPr>
      <w:r>
        <w:rPr>
          <w:rFonts w:ascii="Noto Sans CJK SC" w:hAnsi="Noto Sans CJK SC" w:eastAsia="Noto Sans CJK SC"/>
        </w:rPr>
        <w:t>future_ret_1d、future_ret_5d、future_ret_20d 只能作为标签，不能进入输入特征。</w:t>
      </w:r>
    </w:p>
    <w:p>
      <w:pPr>
        <w:pStyle w:val="ListNumber"/>
      </w:pPr>
      <w:r>
        <w:rPr>
          <w:rFonts w:ascii="Noto Sans CJK SC" w:hAnsi="Noto Sans CJK SC" w:eastAsia="Noto Sans CJK SC"/>
        </w:rPr>
        <w:t>截面 rank 只能使用当天已经可得、可交易股票池的数据。</w:t>
      </w:r>
    </w:p>
    <w:p>
      <w:pPr>
        <w:pStyle w:val="ListNumber"/>
      </w:pPr>
      <w:r>
        <w:rPr>
          <w:rFonts w:ascii="Noto Sans CJK SC" w:hAnsi="Noto Sans CJK SC" w:eastAsia="Noto Sans CJK SC"/>
        </w:rPr>
        <w:t>训练集、验证集、测试集必须按时间切分，不能随机打乱。</w:t>
      </w:r>
    </w:p>
    <w:p>
      <w:pPr>
        <w:pStyle w:val="ListNumber"/>
      </w:pPr>
      <w:r>
        <w:rPr>
          <w:rFonts w:ascii="Noto Sans CJK SC" w:hAnsi="Noto Sans CJK SC" w:eastAsia="Noto Sans CJK SC"/>
        </w:rPr>
        <w:t>收益率、增长率、财务比率需要处理极端值，例如 1% / 99% 分位数截尾。</w:t>
      </w:r>
    </w:p>
    <w:p>
      <w:pPr>
        <w:pStyle w:val="ListNumber"/>
      </w:pPr>
      <w:r>
        <w:rPr>
          <w:rFonts w:ascii="Noto Sans CJK SC" w:hAnsi="Noto Sans CJK SC" w:eastAsia="Noto Sans CJK SC"/>
        </w:rPr>
        <w:t>rank 类特征天然在 0 到 1，不需要额外归一化。</w:t>
      </w:r>
    </w:p>
    <w:p>
      <w:pPr>
        <w:pStyle w:val="ListNumber"/>
      </w:pPr>
      <w:r>
        <w:rPr>
          <w:rFonts w:ascii="Noto Sans CJK SC" w:hAnsi="Noto Sans CJK SC" w:eastAsia="Noto Sans CJK SC"/>
        </w:rPr>
        <w:t>市值类使用 log1p 后每日最大值归一化。</w:t>
      </w:r>
    </w:p>
    <w:p>
      <w:pPr>
        <w:pStyle w:val="ListNumber"/>
      </w:pPr>
      <w:r>
        <w:rPr>
          <w:rFonts w:ascii="Noto Sans CJK SC" w:hAnsi="Noto Sans CJK SC" w:eastAsia="Noto Sans CJK SC"/>
        </w:rPr>
        <w:t>停牌、ST、新股、涨跌停、缺失财报字段需要单独处理，避免错误填充。</w:t>
      </w:r>
    </w:p>
    <w:p>
      <w:pPr>
        <w:pStyle w:val="ListNumber"/>
      </w:pPr>
      <w:r>
        <w:rPr>
          <w:rFonts w:ascii="Noto Sans CJK SC" w:hAnsi="Noto Sans CJK SC" w:eastAsia="Noto Sans CJK SC"/>
        </w:rPr>
        <w:t>训练时不要手动对 logits 做 softmax；CrossEntropyLoss 内部会处理。</w:t>
      </w:r>
    </w:p>
    <w:p>
      <w:pPr>
        <w:pStyle w:val="Heading1"/>
      </w:pPr>
      <w:r>
        <w:t>12. PyTorch 参考实现</w:t>
      </w:r>
    </w:p>
    <w:p>
      <w:r>
        <w:rPr>
          <w:rFonts w:ascii="Noto Sans CJK SC" w:hAnsi="Noto Sans CJK SC" w:eastAsia="Noto Sans CJK SC"/>
          <w:b w:val="0"/>
          <w:sz w:val="21"/>
        </w:rPr>
        <w:t>以下代码为模型结构参考实现，实际项目中可根据数据加载、GPU、混合精度训练等情况调整。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</w:tcPr>
          <w:p>
            <w:pPr>
              <w:spacing w:after="0"/>
            </w:pPr>
            <w:r>
              <w:rPr>
                <w:rFonts w:ascii="DejaVu Sans Mono" w:hAnsi="DejaVu Sans Mono" w:eastAsia="Noto Sans CJK SC"/>
                <w:sz w:val="13"/>
              </w:rPr>
              <w:t>import torch</w:t>
            </w:r>
            <w:r>
              <w:br/>
            </w:r>
            <w:r>
              <w:rPr>
                <w:rFonts w:ascii="DejaVu Sans Mono" w:hAnsi="DejaVu Sans Mono" w:eastAsia="Noto Sans CJK SC"/>
                <w:sz w:val="13"/>
              </w:rPr>
              <w:t>import torch.nn as nn</w:t>
            </w:r>
            <w:r>
              <w:br/>
            </w:r>
            <w:r>
              <w:rPr>
                <w:rFonts w:ascii="DejaVu Sans Mono" w:hAnsi="DejaVu Sans Mono" w:eastAsia="Noto Sans CJK SC"/>
                <w:sz w:val="13"/>
              </w:rPr>
            </w:r>
            <w:r>
              <w:br/>
            </w:r>
            <w:r>
              <w:rPr>
                <w:rFonts w:ascii="DejaVu Sans Mono" w:hAnsi="DejaVu Sans Mono" w:eastAsia="Noto Sans CJK SC"/>
                <w:sz w:val="13"/>
              </w:rPr>
            </w:r>
            <w:r>
              <w:br/>
            </w:r>
            <w:r>
              <w:rPr>
                <w:rFonts w:ascii="DejaVu Sans Mono" w:hAnsi="DejaVu Sans Mono" w:eastAsia="Noto Sans CJK SC"/>
                <w:sz w:val="13"/>
              </w:rPr>
              <w:t>class StockMultiHorizonTransformer(nn.Module):</w:t>
            </w:r>
            <w:r>
              <w:br/>
            </w:r>
            <w:r>
              <w:rPr>
                <w:rFonts w:ascii="DejaVu Sans Mono" w:hAnsi="DejaVu Sans Mono" w:eastAsia="Noto Sans CJK SC"/>
                <w:sz w:val="13"/>
              </w:rPr>
              <w:t xml:space="preserve">    def __init__(</w:t>
            </w:r>
            <w:r>
              <w:br/>
            </w:r>
            <w:r>
              <w:rPr>
                <w:rFonts w:ascii="DejaVu Sans Mono" w:hAnsi="DejaVu Sans Mono" w:eastAsia="Noto Sans CJK SC"/>
                <w:sz w:val="13"/>
              </w:rPr>
              <w:t xml:space="preserve">        self,</w:t>
            </w:r>
            <w:r>
              <w:br/>
            </w:r>
            <w:r>
              <w:rPr>
                <w:rFonts w:ascii="DejaVu Sans Mono" w:hAnsi="DejaVu Sans Mono" w:eastAsia="Noto Sans CJK SC"/>
                <w:sz w:val="13"/>
              </w:rPr>
              <w:t xml:space="preserve">        feature_dim=45,</w:t>
            </w:r>
            <w:r>
              <w:br/>
            </w:r>
            <w:r>
              <w:rPr>
                <w:rFonts w:ascii="DejaVu Sans Mono" w:hAnsi="DejaVu Sans Mono" w:eastAsia="Noto Sans CJK SC"/>
                <w:sz w:val="13"/>
              </w:rPr>
              <w:t xml:space="preserve">        seq_len=120,</w:t>
            </w:r>
            <w:r>
              <w:br/>
            </w:r>
            <w:r>
              <w:rPr>
                <w:rFonts w:ascii="DejaVu Sans Mono" w:hAnsi="DejaVu Sans Mono" w:eastAsia="Noto Sans CJK SC"/>
                <w:sz w:val="13"/>
              </w:rPr>
              <w:t xml:space="preserve">        d_model=128,</w:t>
            </w:r>
            <w:r>
              <w:br/>
            </w:r>
            <w:r>
              <w:rPr>
                <w:rFonts w:ascii="DejaVu Sans Mono" w:hAnsi="DejaVu Sans Mono" w:eastAsia="Noto Sans CJK SC"/>
                <w:sz w:val="13"/>
              </w:rPr>
              <w:t xml:space="preserve">        nhead=4,</w:t>
            </w:r>
            <w:r>
              <w:br/>
            </w:r>
            <w:r>
              <w:rPr>
                <w:rFonts w:ascii="DejaVu Sans Mono" w:hAnsi="DejaVu Sans Mono" w:eastAsia="Noto Sans CJK SC"/>
                <w:sz w:val="13"/>
              </w:rPr>
              <w:t xml:space="preserve">        num_layers=4,</w:t>
            </w:r>
            <w:r>
              <w:br/>
            </w:r>
            <w:r>
              <w:rPr>
                <w:rFonts w:ascii="DejaVu Sans Mono" w:hAnsi="DejaVu Sans Mono" w:eastAsia="Noto Sans CJK SC"/>
                <w:sz w:val="13"/>
              </w:rPr>
              <w:t xml:space="preserve">        dim_feedforward=256,</w:t>
            </w:r>
            <w:r>
              <w:br/>
            </w:r>
            <w:r>
              <w:rPr>
                <w:rFonts w:ascii="DejaVu Sans Mono" w:hAnsi="DejaVu Sans Mono" w:eastAsia="Noto Sans CJK SC"/>
                <w:sz w:val="13"/>
              </w:rPr>
              <w:t xml:space="preserve">        dropout=0.20,</w:t>
            </w:r>
            <w:r>
              <w:br/>
            </w:r>
            <w:r>
              <w:rPr>
                <w:rFonts w:ascii="DejaVu Sans Mono" w:hAnsi="DejaVu Sans Mono" w:eastAsia="Noto Sans CJK SC"/>
                <w:sz w:val="13"/>
              </w:rPr>
              <w:t xml:space="preserve">        num_bins_1d=7,</w:t>
            </w:r>
            <w:r>
              <w:br/>
            </w:r>
            <w:r>
              <w:rPr>
                <w:rFonts w:ascii="DejaVu Sans Mono" w:hAnsi="DejaVu Sans Mono" w:eastAsia="Noto Sans CJK SC"/>
                <w:sz w:val="13"/>
              </w:rPr>
              <w:t xml:space="preserve">        num_bins_5d=11,</w:t>
            </w:r>
            <w:r>
              <w:br/>
            </w:r>
            <w:r>
              <w:rPr>
                <w:rFonts w:ascii="DejaVu Sans Mono" w:hAnsi="DejaVu Sans Mono" w:eastAsia="Noto Sans CJK SC"/>
                <w:sz w:val="13"/>
              </w:rPr>
              <w:t xml:space="preserve">        num_bins_20d=11,</w:t>
            </w:r>
            <w:r>
              <w:br/>
            </w:r>
            <w:r>
              <w:rPr>
                <w:rFonts w:ascii="DejaVu Sans Mono" w:hAnsi="DejaVu Sans Mono" w:eastAsia="Noto Sans CJK SC"/>
                <w:sz w:val="13"/>
              </w:rPr>
              <w:t xml:space="preserve">    ):</w:t>
            </w:r>
            <w:r>
              <w:br/>
            </w:r>
            <w:r>
              <w:rPr>
                <w:rFonts w:ascii="DejaVu Sans Mono" w:hAnsi="DejaVu Sans Mono" w:eastAsia="Noto Sans CJK SC"/>
                <w:sz w:val="13"/>
              </w:rPr>
              <w:t xml:space="preserve">        super().__init__()</w:t>
            </w:r>
            <w:r>
              <w:br/>
            </w:r>
            <w:r>
              <w:rPr>
                <w:rFonts w:ascii="DejaVu Sans Mono" w:hAnsi="DejaVu Sans Mono" w:eastAsia="Noto Sans CJK SC"/>
                <w:sz w:val="13"/>
              </w:rPr>
            </w:r>
            <w:r>
              <w:br/>
            </w:r>
            <w:r>
              <w:rPr>
                <w:rFonts w:ascii="DejaVu Sans Mono" w:hAnsi="DejaVu Sans Mono" w:eastAsia="Noto Sans CJK SC"/>
                <w:sz w:val="13"/>
              </w:rPr>
              <w:t xml:space="preserve">        self.feature_norm = nn.LayerNorm(feature_dim)</w:t>
            </w:r>
            <w:r>
              <w:br/>
            </w:r>
            <w:r>
              <w:rPr>
                <w:rFonts w:ascii="DejaVu Sans Mono" w:hAnsi="DejaVu Sans Mono" w:eastAsia="Noto Sans CJK SC"/>
                <w:sz w:val="13"/>
              </w:rPr>
              <w:t xml:space="preserve">        self.input_proj = nn.Linear(feature_dim, d_model)</w:t>
            </w:r>
            <w:r>
              <w:br/>
            </w:r>
            <w:r>
              <w:rPr>
                <w:rFonts w:ascii="DejaVu Sans Mono" w:hAnsi="DejaVu Sans Mono" w:eastAsia="Noto Sans CJK SC"/>
                <w:sz w:val="13"/>
              </w:rPr>
              <w:t xml:space="preserve">        self.pos_embedding = nn.Parameter(torch.zeros(1, seq_len, d_model))</w:t>
            </w:r>
            <w:r>
              <w:br/>
            </w:r>
            <w:r>
              <w:rPr>
                <w:rFonts w:ascii="DejaVu Sans Mono" w:hAnsi="DejaVu Sans Mono" w:eastAsia="Noto Sans CJK SC"/>
                <w:sz w:val="13"/>
              </w:rPr>
            </w:r>
            <w:r>
              <w:br/>
            </w:r>
            <w:r>
              <w:rPr>
                <w:rFonts w:ascii="DejaVu Sans Mono" w:hAnsi="DejaVu Sans Mono" w:eastAsia="Noto Sans CJK SC"/>
                <w:sz w:val="13"/>
              </w:rPr>
              <w:t xml:space="preserve">        encoder_layer = nn.TransformerEncoderLayer(</w:t>
            </w:r>
            <w:r>
              <w:br/>
            </w:r>
            <w:r>
              <w:rPr>
                <w:rFonts w:ascii="DejaVu Sans Mono" w:hAnsi="DejaVu Sans Mono" w:eastAsia="Noto Sans CJK SC"/>
                <w:sz w:val="13"/>
              </w:rPr>
              <w:t xml:space="preserve">            d_model=d_model,</w:t>
            </w:r>
            <w:r>
              <w:br/>
            </w:r>
            <w:r>
              <w:rPr>
                <w:rFonts w:ascii="DejaVu Sans Mono" w:hAnsi="DejaVu Sans Mono" w:eastAsia="Noto Sans CJK SC"/>
                <w:sz w:val="13"/>
              </w:rPr>
              <w:t xml:space="preserve">            nhead=nhead,</w:t>
            </w:r>
            <w:r>
              <w:br/>
            </w:r>
            <w:r>
              <w:rPr>
                <w:rFonts w:ascii="DejaVu Sans Mono" w:hAnsi="DejaVu Sans Mono" w:eastAsia="Noto Sans CJK SC"/>
                <w:sz w:val="13"/>
              </w:rPr>
              <w:t xml:space="preserve">            dim_feedforward=dim_feedforward,</w:t>
            </w:r>
            <w:r>
              <w:br/>
            </w:r>
            <w:r>
              <w:rPr>
                <w:rFonts w:ascii="DejaVu Sans Mono" w:hAnsi="DejaVu Sans Mono" w:eastAsia="Noto Sans CJK SC"/>
                <w:sz w:val="13"/>
              </w:rPr>
              <w:t xml:space="preserve">            dropout=dropout,</w:t>
            </w:r>
            <w:r>
              <w:br/>
            </w:r>
            <w:r>
              <w:rPr>
                <w:rFonts w:ascii="DejaVu Sans Mono" w:hAnsi="DejaVu Sans Mono" w:eastAsia="Noto Sans CJK SC"/>
                <w:sz w:val="13"/>
              </w:rPr>
              <w:t xml:space="preserve">            activation="gelu",</w:t>
            </w:r>
            <w:r>
              <w:br/>
            </w:r>
            <w:r>
              <w:rPr>
                <w:rFonts w:ascii="DejaVu Sans Mono" w:hAnsi="DejaVu Sans Mono" w:eastAsia="Noto Sans CJK SC"/>
                <w:sz w:val="13"/>
              </w:rPr>
              <w:t xml:space="preserve">            batch_first=True,</w:t>
            </w:r>
            <w:r>
              <w:br/>
            </w:r>
            <w:r>
              <w:rPr>
                <w:rFonts w:ascii="DejaVu Sans Mono" w:hAnsi="DejaVu Sans Mono" w:eastAsia="Noto Sans CJK SC"/>
                <w:sz w:val="13"/>
              </w:rPr>
              <w:t xml:space="preserve">            norm_first=True,</w:t>
            </w:r>
            <w:r>
              <w:br/>
            </w:r>
            <w:r>
              <w:rPr>
                <w:rFonts w:ascii="DejaVu Sans Mono" w:hAnsi="DejaVu Sans Mono" w:eastAsia="Noto Sans CJK SC"/>
                <w:sz w:val="13"/>
              </w:rPr>
              <w:t xml:space="preserve">        )</w:t>
            </w:r>
            <w:r>
              <w:br/>
            </w:r>
            <w:r>
              <w:rPr>
                <w:rFonts w:ascii="DejaVu Sans Mono" w:hAnsi="DejaVu Sans Mono" w:eastAsia="Noto Sans CJK SC"/>
                <w:sz w:val="13"/>
              </w:rPr>
              <w:t xml:space="preserve">        self.encoder = nn.TransformerEncoder(encoder_layer, num_layers=num_layers)</w:t>
            </w:r>
            <w:r>
              <w:br/>
            </w:r>
            <w:r>
              <w:rPr>
                <w:rFonts w:ascii="DejaVu Sans Mono" w:hAnsi="DejaVu Sans Mono" w:eastAsia="Noto Sans CJK SC"/>
                <w:sz w:val="13"/>
              </w:rPr>
            </w:r>
            <w:r>
              <w:br/>
            </w:r>
            <w:r>
              <w:rPr>
                <w:rFonts w:ascii="DejaVu Sans Mono" w:hAnsi="DejaVu Sans Mono" w:eastAsia="Noto Sans CJK SC"/>
                <w:sz w:val="13"/>
              </w:rPr>
              <w:t xml:space="preserve">        self.head_1d = self._make_head(d_model, 64, num_bins_1d, dropout)</w:t>
            </w:r>
            <w:r>
              <w:br/>
            </w:r>
            <w:r>
              <w:rPr>
                <w:rFonts w:ascii="DejaVu Sans Mono" w:hAnsi="DejaVu Sans Mono" w:eastAsia="Noto Sans CJK SC"/>
                <w:sz w:val="13"/>
              </w:rPr>
              <w:t xml:space="preserve">        self.head_5d = self._make_head(d_model, 64, num_bins_5d, dropout)</w:t>
            </w:r>
            <w:r>
              <w:br/>
            </w:r>
            <w:r>
              <w:rPr>
                <w:rFonts w:ascii="DejaVu Sans Mono" w:hAnsi="DejaVu Sans Mono" w:eastAsia="Noto Sans CJK SC"/>
                <w:sz w:val="13"/>
              </w:rPr>
              <w:t xml:space="preserve">        self.head_20d = self._make_head(d_model, 64, num_bins_20d, dropout)</w:t>
            </w:r>
            <w:r>
              <w:br/>
            </w:r>
            <w:r>
              <w:rPr>
                <w:rFonts w:ascii="DejaVu Sans Mono" w:hAnsi="DejaVu Sans Mono" w:eastAsia="Noto Sans CJK SC"/>
                <w:sz w:val="13"/>
              </w:rPr>
            </w:r>
            <w:r>
              <w:br/>
            </w:r>
            <w:r>
              <w:rPr>
                <w:rFonts w:ascii="DejaVu Sans Mono" w:hAnsi="DejaVu Sans Mono" w:eastAsia="Noto Sans CJK SC"/>
                <w:sz w:val="13"/>
              </w:rPr>
              <w:t xml:space="preserve">        self._init_weights()</w:t>
            </w:r>
            <w:r>
              <w:br/>
            </w:r>
            <w:r>
              <w:rPr>
                <w:rFonts w:ascii="DejaVu Sans Mono" w:hAnsi="DejaVu Sans Mono" w:eastAsia="Noto Sans CJK SC"/>
                <w:sz w:val="13"/>
              </w:rPr>
            </w:r>
            <w:r>
              <w:br/>
            </w:r>
            <w:r>
              <w:rPr>
                <w:rFonts w:ascii="DejaVu Sans Mono" w:hAnsi="DejaVu Sans Mono" w:eastAsia="Noto Sans CJK SC"/>
                <w:sz w:val="13"/>
              </w:rPr>
              <w:t xml:space="preserve">    def _make_head(self, d_model, hidden_dim, out_dim, dropout):</w:t>
            </w:r>
            <w:r>
              <w:br/>
            </w:r>
            <w:r>
              <w:rPr>
                <w:rFonts w:ascii="DejaVu Sans Mono" w:hAnsi="DejaVu Sans Mono" w:eastAsia="Noto Sans CJK SC"/>
                <w:sz w:val="13"/>
              </w:rPr>
              <w:t xml:space="preserve">        return nn.Sequential(</w:t>
            </w:r>
            <w:r>
              <w:br/>
            </w:r>
            <w:r>
              <w:rPr>
                <w:rFonts w:ascii="DejaVu Sans Mono" w:hAnsi="DejaVu Sans Mono" w:eastAsia="Noto Sans CJK SC"/>
                <w:sz w:val="13"/>
              </w:rPr>
              <w:t xml:space="preserve">            nn.LayerNorm(d_model),</w:t>
            </w:r>
            <w:r>
              <w:br/>
            </w:r>
            <w:r>
              <w:rPr>
                <w:rFonts w:ascii="DejaVu Sans Mono" w:hAnsi="DejaVu Sans Mono" w:eastAsia="Noto Sans CJK SC"/>
                <w:sz w:val="13"/>
              </w:rPr>
              <w:t xml:space="preserve">            nn.Linear(d_model, hidden_dim),</w:t>
            </w:r>
            <w:r>
              <w:br/>
            </w:r>
            <w:r>
              <w:rPr>
                <w:rFonts w:ascii="DejaVu Sans Mono" w:hAnsi="DejaVu Sans Mono" w:eastAsia="Noto Sans CJK SC"/>
                <w:sz w:val="13"/>
              </w:rPr>
              <w:t xml:space="preserve">            nn.GELU(),</w:t>
            </w:r>
            <w:r>
              <w:br/>
            </w:r>
            <w:r>
              <w:rPr>
                <w:rFonts w:ascii="DejaVu Sans Mono" w:hAnsi="DejaVu Sans Mono" w:eastAsia="Noto Sans CJK SC"/>
                <w:sz w:val="13"/>
              </w:rPr>
              <w:t xml:space="preserve">            nn.Dropout(dropout),</w:t>
            </w:r>
            <w:r>
              <w:br/>
            </w:r>
            <w:r>
              <w:rPr>
                <w:rFonts w:ascii="DejaVu Sans Mono" w:hAnsi="DejaVu Sans Mono" w:eastAsia="Noto Sans CJK SC"/>
                <w:sz w:val="13"/>
              </w:rPr>
              <w:t xml:space="preserve">            nn.Linear(hidden_dim, out_dim),</w:t>
            </w:r>
            <w:r>
              <w:br/>
            </w:r>
            <w:r>
              <w:rPr>
                <w:rFonts w:ascii="DejaVu Sans Mono" w:hAnsi="DejaVu Sans Mono" w:eastAsia="Noto Sans CJK SC"/>
                <w:sz w:val="13"/>
              </w:rPr>
              <w:t xml:space="preserve">        )</w:t>
            </w:r>
            <w:r>
              <w:br/>
            </w:r>
            <w:r>
              <w:rPr>
                <w:rFonts w:ascii="DejaVu Sans Mono" w:hAnsi="DejaVu Sans Mono" w:eastAsia="Noto Sans CJK SC"/>
                <w:sz w:val="13"/>
              </w:rPr>
            </w:r>
            <w:r>
              <w:br/>
            </w:r>
            <w:r>
              <w:rPr>
                <w:rFonts w:ascii="DejaVu Sans Mono" w:hAnsi="DejaVu Sans Mono" w:eastAsia="Noto Sans CJK SC"/>
                <w:sz w:val="13"/>
              </w:rPr>
              <w:t xml:space="preserve">    def _init_weights(self):</w:t>
            </w:r>
            <w:r>
              <w:br/>
            </w:r>
            <w:r>
              <w:rPr>
                <w:rFonts w:ascii="DejaVu Sans Mono" w:hAnsi="DejaVu Sans Mono" w:eastAsia="Noto Sans CJK SC"/>
                <w:sz w:val="13"/>
              </w:rPr>
              <w:t xml:space="preserve">        nn.init.trunc_normal_(self.pos_embedding, std=0.02)</w:t>
            </w:r>
            <w:r>
              <w:br/>
            </w:r>
            <w:r>
              <w:rPr>
                <w:rFonts w:ascii="DejaVu Sans Mono" w:hAnsi="DejaVu Sans Mono" w:eastAsia="Noto Sans CJK SC"/>
                <w:sz w:val="13"/>
              </w:rPr>
              <w:t xml:space="preserve">        for module in self.modules():</w:t>
            </w:r>
            <w:r>
              <w:br/>
            </w:r>
            <w:r>
              <w:rPr>
                <w:rFonts w:ascii="DejaVu Sans Mono" w:hAnsi="DejaVu Sans Mono" w:eastAsia="Noto Sans CJK SC"/>
                <w:sz w:val="13"/>
              </w:rPr>
              <w:t xml:space="preserve">            if isinstance(module, nn.Linear):</w:t>
            </w:r>
            <w:r>
              <w:br/>
            </w:r>
            <w:r>
              <w:rPr>
                <w:rFonts w:ascii="DejaVu Sans Mono" w:hAnsi="DejaVu Sans Mono" w:eastAsia="Noto Sans CJK SC"/>
                <w:sz w:val="13"/>
              </w:rPr>
              <w:t xml:space="preserve">                nn.init.xavier_uniform_(module.weight)</w:t>
            </w:r>
            <w:r>
              <w:br/>
            </w:r>
            <w:r>
              <w:rPr>
                <w:rFonts w:ascii="DejaVu Sans Mono" w:hAnsi="DejaVu Sans Mono" w:eastAsia="Noto Sans CJK SC"/>
                <w:sz w:val="13"/>
              </w:rPr>
              <w:t xml:space="preserve">                if module.bias is not None:</w:t>
            </w:r>
            <w:r>
              <w:br/>
            </w:r>
            <w:r>
              <w:rPr>
                <w:rFonts w:ascii="DejaVu Sans Mono" w:hAnsi="DejaVu Sans Mono" w:eastAsia="Noto Sans CJK SC"/>
                <w:sz w:val="13"/>
              </w:rPr>
              <w:t xml:space="preserve">                    nn.init.zeros_(module.bias)</w:t>
            </w:r>
            <w:r>
              <w:br/>
            </w:r>
            <w:r>
              <w:rPr>
                <w:rFonts w:ascii="DejaVu Sans Mono" w:hAnsi="DejaVu Sans Mono" w:eastAsia="Noto Sans CJK SC"/>
                <w:sz w:val="13"/>
              </w:rPr>
            </w:r>
            <w:r>
              <w:br/>
            </w:r>
            <w:r>
              <w:rPr>
                <w:rFonts w:ascii="DejaVu Sans Mono" w:hAnsi="DejaVu Sans Mono" w:eastAsia="Noto Sans CJK SC"/>
                <w:sz w:val="13"/>
              </w:rPr>
              <w:t xml:space="preserve">    def forward(self, x, padding_mask=None):</w:t>
            </w:r>
            <w:r>
              <w:br/>
            </w:r>
            <w:r>
              <w:rPr>
                <w:rFonts w:ascii="DejaVu Sans Mono" w:hAnsi="DejaVu Sans Mono" w:eastAsia="Noto Sans CJK SC"/>
                <w:sz w:val="13"/>
              </w:rPr>
              <w:t xml:space="preserve">        # x: [batch_size, seq_len, feature_dim]</w:t>
            </w:r>
            <w:r>
              <w:br/>
            </w:r>
            <w:r>
              <w:rPr>
                <w:rFonts w:ascii="DejaVu Sans Mono" w:hAnsi="DejaVu Sans Mono" w:eastAsia="Noto Sans CJK SC"/>
                <w:sz w:val="13"/>
              </w:rPr>
              <w:t xml:space="preserve">        x = self.feature_norm(x)</w:t>
            </w:r>
            <w:r>
              <w:br/>
            </w:r>
            <w:r>
              <w:rPr>
                <w:rFonts w:ascii="DejaVu Sans Mono" w:hAnsi="DejaVu Sans Mono" w:eastAsia="Noto Sans CJK SC"/>
                <w:sz w:val="13"/>
              </w:rPr>
              <w:t xml:space="preserve">        x = self.input_proj(x)</w:t>
            </w:r>
            <w:r>
              <w:br/>
            </w:r>
            <w:r>
              <w:rPr>
                <w:rFonts w:ascii="DejaVu Sans Mono" w:hAnsi="DejaVu Sans Mono" w:eastAsia="Noto Sans CJK SC"/>
                <w:sz w:val="13"/>
              </w:rPr>
              <w:t xml:space="preserve">        x = x + self.pos_embedding[:, :x.size(1), :]</w:t>
            </w:r>
            <w:r>
              <w:br/>
            </w:r>
            <w:r>
              <w:rPr>
                <w:rFonts w:ascii="DejaVu Sans Mono" w:hAnsi="DejaVu Sans Mono" w:eastAsia="Noto Sans CJK SC"/>
                <w:sz w:val="13"/>
              </w:rPr>
            </w:r>
            <w:r>
              <w:br/>
            </w:r>
            <w:r>
              <w:rPr>
                <w:rFonts w:ascii="DejaVu Sans Mono" w:hAnsi="DejaVu Sans Mono" w:eastAsia="Noto Sans CJK SC"/>
                <w:sz w:val="13"/>
              </w:rPr>
              <w:t xml:space="preserve">        encoded = self.encoder(x, src_key_padding_mask=padding_mask)</w:t>
            </w:r>
            <w:r>
              <w:br/>
            </w:r>
            <w:r>
              <w:rPr>
                <w:rFonts w:ascii="DejaVu Sans Mono" w:hAnsi="DejaVu Sans Mono" w:eastAsia="Noto Sans CJK SC"/>
                <w:sz w:val="13"/>
              </w:rPr>
              <w:t xml:space="preserve">        last_hidden = encoded[:, -1, :]</w:t>
            </w:r>
            <w:r>
              <w:br/>
            </w:r>
            <w:r>
              <w:rPr>
                <w:rFonts w:ascii="DejaVu Sans Mono" w:hAnsi="DejaVu Sans Mono" w:eastAsia="Noto Sans CJK SC"/>
                <w:sz w:val="13"/>
              </w:rPr>
            </w:r>
            <w:r>
              <w:br/>
            </w:r>
            <w:r>
              <w:rPr>
                <w:rFonts w:ascii="DejaVu Sans Mono" w:hAnsi="DejaVu Sans Mono" w:eastAsia="Noto Sans CJK SC"/>
                <w:sz w:val="13"/>
              </w:rPr>
              <w:t xml:space="preserve">        return {</w:t>
            </w:r>
            <w:r>
              <w:br/>
            </w:r>
            <w:r>
              <w:rPr>
                <w:rFonts w:ascii="DejaVu Sans Mono" w:hAnsi="DejaVu Sans Mono" w:eastAsia="Noto Sans CJK SC"/>
                <w:sz w:val="13"/>
              </w:rPr>
              <w:t xml:space="preserve">            "logits_1d": self.head_1d(last_hidden),</w:t>
            </w:r>
            <w:r>
              <w:br/>
            </w:r>
            <w:r>
              <w:rPr>
                <w:rFonts w:ascii="DejaVu Sans Mono" w:hAnsi="DejaVu Sans Mono" w:eastAsia="Noto Sans CJK SC"/>
                <w:sz w:val="13"/>
              </w:rPr>
              <w:t xml:space="preserve">            "logits_5d": self.head_5d(last_hidden),</w:t>
            </w:r>
            <w:r>
              <w:br/>
            </w:r>
            <w:r>
              <w:rPr>
                <w:rFonts w:ascii="DejaVu Sans Mono" w:hAnsi="DejaVu Sans Mono" w:eastAsia="Noto Sans CJK SC"/>
                <w:sz w:val="13"/>
              </w:rPr>
              <w:t xml:space="preserve">            "logits_20d": self.head_20d(last_hidden),</w:t>
            </w:r>
            <w:r>
              <w:br/>
            </w:r>
            <w:r>
              <w:rPr>
                <w:rFonts w:ascii="DejaVu Sans Mono" w:hAnsi="DejaVu Sans Mono" w:eastAsia="Noto Sans CJK SC"/>
                <w:sz w:val="13"/>
              </w:rPr>
              <w:t xml:space="preserve">        }</w:t>
            </w:r>
          </w:p>
        </w:tc>
      </w:tr>
    </w:tbl>
    <w:p>
      <w:pPr>
        <w:pStyle w:val="Heading1"/>
      </w:pPr>
      <w:r>
        <w:t>13. 实现方交付检查清单</w:t>
      </w:r>
    </w:p>
    <w:p>
      <w:pPr>
        <w:pStyle w:val="ListBullet"/>
      </w:pPr>
      <w:r>
        <w:rPr>
          <w:rFonts w:ascii="Noto Sans CJK SC" w:hAnsi="Noto Sans CJK SC" w:eastAsia="Noto Sans CJK SC"/>
        </w:rPr>
        <w:t>能够从原始行情、财报、行业、市值估值数据生成 45 个特征。</w:t>
      </w:r>
    </w:p>
    <w:p>
      <w:pPr>
        <w:pStyle w:val="ListBullet"/>
      </w:pPr>
      <w:r>
        <w:rPr>
          <w:rFonts w:ascii="Noto Sans CJK SC" w:hAnsi="Noto Sans CJK SC" w:eastAsia="Noto Sans CJK SC"/>
        </w:rPr>
        <w:t>能够按股票和日期生成 [B, 120, 45] 的训练样本。</w:t>
      </w:r>
    </w:p>
    <w:p>
      <w:pPr>
        <w:pStyle w:val="ListBullet"/>
      </w:pPr>
      <w:r>
        <w:rPr>
          <w:rFonts w:ascii="Noto Sans CJK SC" w:hAnsi="Noto Sans CJK SC" w:eastAsia="Noto Sans CJK SC"/>
        </w:rPr>
        <w:t>能够生成 target_1d、target_5d、target_20d 三个分类标签。</w:t>
      </w:r>
    </w:p>
    <w:p>
      <w:pPr>
        <w:pStyle w:val="ListBullet"/>
      </w:pPr>
      <w:r>
        <w:rPr>
          <w:rFonts w:ascii="Noto Sans CJK SC" w:hAnsi="Noto Sans CJK SC" w:eastAsia="Noto Sans CJK SC"/>
        </w:rPr>
        <w:t>模型 forward 返回 logits_1d、logits_5d、logits_20d。</w:t>
      </w:r>
    </w:p>
    <w:p>
      <w:pPr>
        <w:pStyle w:val="ListBullet"/>
      </w:pPr>
      <w:r>
        <w:rPr>
          <w:rFonts w:ascii="Noto Sans CJK SC" w:hAnsi="Noto Sans CJK SC" w:eastAsia="Noto Sans CJK SC"/>
        </w:rPr>
        <w:t>训练 loss 使用 0.3 * CE_1d + 0.4 * CE_5d + 0.3 * CE_20d。</w:t>
      </w:r>
    </w:p>
    <w:p>
      <w:pPr>
        <w:pStyle w:val="ListBullet"/>
      </w:pPr>
      <w:r>
        <w:rPr>
          <w:rFonts w:ascii="Noto Sans CJK SC" w:hAnsi="Noto Sans CJK SC" w:eastAsia="Noto Sans CJK SC"/>
        </w:rPr>
        <w:t>推理阶段输出三个周期的概率分布和期望收益。</w:t>
      </w:r>
    </w:p>
    <w:p>
      <w:pPr>
        <w:pStyle w:val="ListBullet"/>
      </w:pPr>
      <w:r>
        <w:rPr>
          <w:rFonts w:ascii="Noto Sans CJK SC" w:hAnsi="Noto Sans CJK SC" w:eastAsia="Noto Sans CJK SC"/>
        </w:rPr>
        <w:t>每日按综合 score 做横截面排序，并计算 Rank IC 和分组收益。</w:t>
      </w:r>
    </w:p>
    <w:p>
      <w:pPr>
        <w:pStyle w:val="ListBullet"/>
      </w:pPr>
      <w:r>
        <w:rPr>
          <w:rFonts w:ascii="Noto Sans CJK SC" w:hAnsi="Noto Sans CJK SC" w:eastAsia="Noto Sans CJK SC"/>
        </w:rPr>
        <w:t>所有数据处理步骤通过未来函数检查。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6"/>
      </w:rPr>
      <w:t>股票多周期收益率概率分布预测模型方案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333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