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Congestion-Aware Scalable Service Migration in Resource-Constrained Wide Area Networks</w:t>
      </w:r>
    </w:p>
    <w:p/>
    <w:p>
      <w:pPr>
        <w:jc w:val="center"/>
      </w:pPr>
      <w:r>
        <w:rPr>
          <w:rFonts w:ascii="Times New Roman" w:hAnsi="Times New Roman"/>
          <w:b/>
          <w:sz w:val="20"/>
        </w:rPr>
        <w:t>I. INTRODUCTION</w:t>
      </w:r>
    </w:p>
    <w:p/>
    <w:p>
      <w:pPr>
        <w:spacing w:after="120" w:before="0"/>
        <w:ind w:firstLine="360"/>
        <w:jc w:val="both"/>
      </w:pPr>
      <w:r>
        <w:rPr>
          <w:rFonts w:ascii="Times New Roman" w:hAnsi="Times New Roman"/>
          <w:sz w:val="20"/>
        </w:rPr>
        <w:t>The proliferation of mobile edge computing (MEC) has fundamentally transformed how compute-intensive services are deployed and managed in modern wireless networks. In the MEC paradigm, user services are offloaded to edge servers co-located at Access Nodes (ANs), which may take the form of ground-based cellular base stations or, in rural and emergency scenarios, satellite or unmanned aerial vehicle (UAV) access points. This architecture supports a wide variety of latency-sensitive applications, including vehicular networking (V2X), IoT-driven smart sensing and real-time monitoring, and emerging personal AI services such as large language model (LLM)-based assistants and augmented/virtual reality (AR/VR) systems. To orchestrate these heterogeneous services across distributed infrastructure, Software-Defined Networking (SDN) and Network Function Virtualization (NFV) have emerged as indispensable enabling technologies. SDN decouples the control plane from the data plane, allowing a centralized SDN controller to maintain a global network view, coordinate resource allocation across all nodes and links, and manage service deployment with programmable flexibility. NFV complements SDN by abstracting network functions from dedicated hardware, enabling service instances to be instantiated, scaled, and relocated on commodity servers. However, as users move across coverage areas, the latency between a user and its remotely hosted service instance grows, eventually degrading quality of service (QoS). This motivates service migration — the process of transferring a user’s service instance to a more suitable AN via the backhaul network. The service migration problem encompasses two tightly coupled sub-problems: (1) the Service Migration (SM) decision, i.e., determining whether and to which AN a service should be migrated; and (2) Resource Allocation (RA), comprising both node RA (compute and communication resources at each AN) and link RA (data rate allocation on backhaul links).</w:t>
      </w:r>
    </w:p>
    <w:p>
      <w:pPr>
        <w:spacing w:after="120" w:before="0"/>
        <w:ind w:firstLine="360"/>
        <w:jc w:val="both"/>
      </w:pPr>
      <w:r>
        <w:rPr>
          <w:rFonts w:ascii="Times New Roman" w:hAnsi="Times New Roman"/>
          <w:sz w:val="20"/>
        </w:rPr>
        <w:t>While service migration is essential for maintaining QoS in mobile environments, it introduces significant overhead on the backhaul network — a challenge that becomes particularly acute in resource-constrained wide-area networks (WANs). Modern backhaul infrastructures are increasingly heterogeneous, comprising high-capacity wired fiber links alongside severely capacity-limited wireless segments such as satellite links and UAV relay links. For instance, low-Earth orbit (LEO) satellite inter-satellite links typically support only 1–10 Gbps, while satellite-to-ground links are further constrained to approximately 0.1–1 Gbps — orders of magnitude below the throughput of terrestrial fiber. Compounding this challenge is the rapidly growing size of service instances driven by advances in artificial intelligence: the weight parameters of a large language model alone can occupy tens of gigabytes, making the migration data volume Iₙ far larger than the routine communication data Dₙ exchanged between a user and its hosted service. Consequently, when a large number of users migrate simultaneously, aggressive migration strategies can improve individual QoS by reducing access latency, yet simultaneously induce severe backhaul congestion. Such congestion may trigger migration failures, inflate queuing delays, and paradoxically degrade the very QoS it sought to improve. A principled optimization framework is therefore required to carefully balance user QoS — primarily measured by end-to-end latency — against backhaul link overhead and congestion, so as to achieve globally efficient resource utilization across the network.</w:t>
      </w:r>
    </w:p>
    <w:p>
      <w:pPr>
        <w:spacing w:after="120" w:before="0"/>
        <w:ind w:firstLine="360"/>
        <w:jc w:val="both"/>
      </w:pPr>
      <w:r>
        <w:rPr>
          <w:rFonts w:ascii="Times New Roman" w:hAnsi="Times New Roman"/>
          <w:sz w:val="20"/>
        </w:rPr>
        <w:t>Designing such an optimization framework faces two fundamental challenges. The first is problem scale and decomposability. In a network with V access nodes and N mobile users, the joint SM and RA problem is a mixed-integer nonlinear program (MINLP) whose feasible space grows exponentially with both N and V, a manifestation of the well-known curse of dimensionality. Directly applying deep reinforcement learning (DRL) without structural decomposition results in an MDP state space of order V²ᴺ, rendering the problem computationally intractable at practical scales. Although node RA — the allocation of compute and bandwidth resources at individual ANs — can be decomposed independently per node, link RA resists such decomposition. Each backhaul link may simultaneously carry migration traffic originating from users targeting different destination ANs, thereby coupling all user decisions through shared link capacity constraints. The second challenge concerns the inherent limitations of congestion control via path selection alone. A dominant approach in the existing literature addresses backhaul congestion exclusively through multi-path routing while keeping the migration data rate fixed. However, in sparse backhaul topologies typical of rural or emergency deployment scenarios, the number of link-disjoint paths between any pair of ANs is inherently small, imposing a hard performance ceiling on path-selection-only methods. Jointly optimizing data rate allocation alongside path selection opens a substantially richer solution space, enabling finer-grained congestion management that pure path-selection schemes cannot achieve.</w:t>
      </w:r>
    </w:p>
    <w:p>
      <w:pPr>
        <w:spacing w:after="120" w:before="0"/>
        <w:ind w:firstLine="360"/>
        <w:jc w:val="both"/>
      </w:pPr>
      <w:r>
        <w:rPr>
          <w:rFonts w:ascii="Times New Roman" w:hAnsi="Times New Roman"/>
          <w:sz w:val="20"/>
        </w:rPr>
        <w:t>To address the above challenges, this paper presents a congestion-aware scalable framework for joint service migration and resource allocation in resource-constrained WANs. We first formulate the problem as an MINLP that simultaneously optimizes SM decisions, node RA, and link RA, subject to per-AN compute and bandwidth capacity constraints as well as per-link data rate constraints. To address the first challenge, we propose a two-layer decomposition architecture that combines direct and dual decomposition. Node RA subproblems are formulated as convex programs at each AN, admitting efficient closed-form solutions. For the coupled SM and link RA component, dual decomposition yields independent per-user subproblems. Crucially, we introduce a virtual subnet partitioning method that decomposes link capacity constraints by AN, reducing the MDP state space from V²ᴺ to Nᵥ·V², where Nᵥ is the number of virtual subnets — a dramatic reduction that makes distributed optimization tractable at scale. To address the second challenge, we propose the Congestion-Aware Distributed Migration (CADM) algorithm, in which each per-user SM and link RA subproblem is cast as an MDP and solved via policy iteration. CADM achieves congestion-awareness by dynamically updating link weights according to real-time congestion levels, thereby jointly guiding path selection, SM decisions, and data rate allocation within a single unified framework — a combination not previously explored in the literature. Subnet-level resource allocation and heuristic throttling mechanisms are further incorporated to handle constraint violations arising from distributed execution. Taken together, these contributions yield a practical and efficient solution that is especially effective in low-connectivity backhaul topologies.</w:t>
      </w:r>
    </w:p>
    <w:p>
      <w:pPr>
        <w:spacing w:after="120" w:before="0"/>
        <w:ind w:firstLine="360"/>
        <w:jc w:val="both"/>
      </w:pPr>
      <w:r>
        <w:rPr>
          <w:rFonts w:ascii="Times New Roman" w:hAnsi="Times New Roman"/>
          <w:sz w:val="20"/>
        </w:rPr>
        <w:t>The main contributions of this work are listed as follows:</w:t>
      </w:r>
    </w:p>
    <w:p>
      <w:pPr>
        <w:pStyle w:val="ListBullet"/>
        <w:spacing w:after="60" w:before="0"/>
        <w:jc w:val="both"/>
      </w:pPr>
      <w:r>
        <w:rPr>
          <w:rFonts w:ascii="Times New Roman" w:hAnsi="Times New Roman"/>
          <w:sz w:val="20"/>
        </w:rPr>
        <w:t>An online optimization model is proposed, where we formulated an MINLP problem for joint service migration and resource allocation in cloud-native networks, considering capacity constraints on both ANs and backhaul links.</w:t>
      </w:r>
    </w:p>
    <w:p>
      <w:pPr>
        <w:pStyle w:val="ListBullet"/>
        <w:spacing w:after="60" w:before="0"/>
        <w:jc w:val="both"/>
      </w:pPr>
      <w:r>
        <w:rPr>
          <w:rFonts w:ascii="Times New Roman" w:hAnsi="Times New Roman"/>
          <w:sz w:val="20"/>
        </w:rPr>
        <w:t>A two-layer decomposition architecture is proposed to reduce problem complexity and enable distributed optimization. In particular, a virtual subnetwork partitioning method is introduced to decompose link resource constraints by each AN. To our knowledge, this subnet partitioning based approach is first applied to service migration problems.</w:t>
      </w:r>
    </w:p>
    <w:p>
      <w:pPr>
        <w:pStyle w:val="ListBullet"/>
        <w:spacing w:after="60" w:before="0"/>
        <w:jc w:val="both"/>
      </w:pPr>
      <w:r>
        <w:rPr>
          <w:rFonts w:ascii="Times New Roman" w:hAnsi="Times New Roman"/>
          <w:sz w:val="20"/>
        </w:rPr>
        <w:t>A congestion-aware iterative mechanism is designed, where the link weights are dynamically updated to guide service migration decision, data rate allocation, and path selection. To our knowledge, this is the first work to jointly optimize these three aspects within a unified congestion-aware framework.</w:t>
      </w:r>
    </w:p>
    <w:p>
      <w:pPr>
        <w:pStyle w:val="ListBullet"/>
        <w:spacing w:after="60" w:before="0"/>
        <w:jc w:val="both"/>
      </w:pPr>
      <w:r>
        <w:rPr>
          <w:rFonts w:ascii="Times New Roman" w:hAnsi="Times New Roman"/>
          <w:sz w:val="20"/>
        </w:rPr>
        <w:t>Extensive experiments validated the trade-off between overall delay and link overhead. Compared with baseline methods, our approach makes more efficient use of the backhaul link resource and achieves lower overall delay, particularly in network topologies with low connectivity.</w:t>
      </w:r>
    </w:p>
    <w:p/>
    <w:p>
      <w:pPr>
        <w:spacing w:after="120" w:before="0"/>
        <w:ind w:firstLine="360"/>
        <w:jc w:val="both"/>
      </w:pPr>
      <w:r>
        <w:rPr>
          <w:rFonts w:ascii="Times New Roman" w:hAnsi="Times New Roman"/>
          <w:sz w:val="20"/>
        </w:rPr>
        <w:t>The rest of this paper is organized as follows. The related work is reviewed in Section II. Section III presents the system model and formulates the original problem, which is decomposed in Section IV with the proposed two-layer architecture. In Section V, we illustrate the CASM algorithm, and simulation results are evaluated in Section VI.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