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D86B35"/>
          <w:sz w:val="24"/>
        </w:rPr>
        <w:t>FAMILY ATLAS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0B2B24"/>
          <w:sz w:val="56"/>
        </w:rPr>
        <w:t>沉浸式景点探索</w:t>
      </w:r>
    </w:p>
    <w:p>
      <w:pPr>
        <w:jc w:val="center"/>
      </w:pPr>
      <w:r>
        <w:rPr>
          <w:rFonts w:ascii="Noto Sans CJK SC" w:hAnsi="Noto Sans CJK SC" w:eastAsia="Noto Sans CJK SC"/>
          <w:b/>
          <w:color w:val="143D33"/>
          <w:sz w:val="34"/>
        </w:rPr>
        <w:t>最终施工清单 V1.0</w:t>
      </w:r>
    </w:p>
    <w:p>
      <w:pPr>
        <w:spacing w:before="300"/>
        <w:jc w:val="center"/>
      </w:pPr>
      <w:r>
        <w:rPr>
          <w:rFonts w:ascii="Noto Sans CJK SC" w:hAnsi="Noto Sans CJK SC" w:eastAsia="Noto Sans CJK SC"/>
          <w:color w:val="66706C"/>
          <w:sz w:val="20"/>
        </w:rPr>
        <w:t>用途：项目负责人逐项验收；与 Agent 施工方案配套使用。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EFE3"/>
            <w:tcBorders>
              <w:top w:val="single" w:sz="6" w:color="D86B35"/>
              <w:left w:val="single" w:sz="6" w:color="D86B35"/>
              <w:bottom w:val="single" w:sz="6" w:color="D86B35"/>
              <w:right w:val="single" w:sz="6" w:color="D86B35"/>
            </w:tcBorders>
          </w:tcPr>
          <w:p>
            <w:pPr>
              <w:spacing w:before="160" w:after="160"/>
            </w:pPr>
            <w:r>
              <w:rPr>
                <w:rFonts w:ascii="Noto Sans CJK SC" w:hAnsi="Noto Sans CJK SC" w:eastAsia="Noto Sans CJK SC"/>
                <w:color w:val="0B2B24"/>
                <w:sz w:val="21"/>
              </w:rPr>
              <w:t>施工原则</w:t>
              <w:br/>
              <w:t>先审计现有仓库，再按阶段施工；复用现有技术栈；不修改已经冻结的产品规则；每个阶段必须通过验收门后才能进入下一阶段。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使用说明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本清单只覆盖首期山地、水域、水下三套场景。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每个阶段完成后必须满足验收点，才能进入下一阶段。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“通过”应以可运行页面、代码文件、测试结果或截图为证据。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未通过项目不得用“后续优化”代替；必须明确阻塞原因和处理计划。</w:t>
      </w:r>
    </w:p>
    <w:p>
      <w:pPr>
        <w:pStyle w:val="Heading1"/>
        <w:keepNext/>
      </w:pPr>
      <w:r>
        <w:t>最终施工阶段总览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8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87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58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515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</w:t>
            </w:r>
          </w:p>
        </w:tc>
      </w:tr>
      <w:tr>
        <w:tc>
          <w:tcPr>
            <w:tcW w:type="dxa" w:w="68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P0</w:t>
            </w:r>
          </w:p>
        </w:tc>
        <w:tc>
          <w:tcPr>
            <w:tcW w:type="dxa" w:w="158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仓库审计</w:t>
            </w:r>
          </w:p>
        </w:tc>
        <w:tc>
          <w:tcPr>
            <w:tcW w:type="dxa" w:w="3458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确认现有系统与施工入口</w:t>
            </w:r>
          </w:p>
        </w:tc>
        <w:tc>
          <w:tcPr>
            <w:tcW w:type="dxa" w:w="3515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审计报告、文件计划、回滚方案</w:t>
            </w:r>
          </w:p>
        </w:tc>
      </w:tr>
      <w:tr>
        <w:tc>
          <w:tcPr>
            <w:tcW w:type="dxa" w:w="68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P1</w:t>
            </w:r>
          </w:p>
        </w:tc>
        <w:tc>
          <w:tcPr>
            <w:tcW w:type="dxa" w:w="158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公共骨架</w:t>
            </w:r>
          </w:p>
        </w:tc>
        <w:tc>
          <w:tcPr>
            <w:tcW w:type="dxa" w:w="3458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建立对象、场景、主题和状态基础</w:t>
            </w:r>
          </w:p>
        </w:tc>
        <w:tc>
          <w:tcPr>
            <w:tcW w:type="dxa" w:w="3515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类型、Schema、状态机、注册表</w:t>
            </w:r>
          </w:p>
        </w:tc>
      </w:tr>
      <w:tr>
        <w:tc>
          <w:tcPr>
            <w:tcW w:type="dxa" w:w="68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P2</w:t>
            </w:r>
          </w:p>
        </w:tc>
        <w:tc>
          <w:tcPr>
            <w:tcW w:type="dxa" w:w="158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地图与壳层</w:t>
            </w:r>
          </w:p>
        </w:tc>
        <w:tc>
          <w:tcPr>
            <w:tcW w:type="dxa" w:w="3458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完成进入、抵达、探索、总结、返回</w:t>
            </w:r>
          </w:p>
        </w:tc>
        <w:tc>
          <w:tcPr>
            <w:tcW w:type="dxa" w:w="3515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公共流程可用</w:t>
            </w:r>
          </w:p>
        </w:tc>
      </w:tr>
      <w:tr>
        <w:tc>
          <w:tcPr>
            <w:tcW w:type="dxa" w:w="68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P3</w:t>
            </w:r>
          </w:p>
        </w:tc>
        <w:tc>
          <w:tcPr>
            <w:tcW w:type="dxa" w:w="158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公共主题</w:t>
            </w:r>
          </w:p>
        </w:tc>
        <w:tc>
          <w:tcPr>
            <w:tcW w:type="dxa" w:w="3458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完成单主题与三联动机制</w:t>
            </w:r>
          </w:p>
        </w:tc>
        <w:tc>
          <w:tcPr>
            <w:tcW w:type="dxa" w:w="3515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主题切换无污染</w:t>
            </w:r>
          </w:p>
        </w:tc>
      </w:tr>
      <w:tr>
        <w:tc>
          <w:tcPr>
            <w:tcW w:type="dxa" w:w="68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P4</w:t>
            </w:r>
          </w:p>
        </w:tc>
        <w:tc>
          <w:tcPr>
            <w:tcW w:type="dxa" w:w="158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山地</w:t>
            </w:r>
          </w:p>
        </w:tc>
        <w:tc>
          <w:tcPr>
            <w:tcW w:type="dxa" w:w="3458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完成山地五主题闭环</w:t>
            </w:r>
          </w:p>
        </w:tc>
        <w:tc>
          <w:tcPr>
            <w:tcW w:type="dxa" w:w="3515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山地 E2E</w:t>
            </w:r>
          </w:p>
        </w:tc>
      </w:tr>
      <w:tr>
        <w:tc>
          <w:tcPr>
            <w:tcW w:type="dxa" w:w="68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P5</w:t>
            </w:r>
          </w:p>
        </w:tc>
        <w:tc>
          <w:tcPr>
            <w:tcW w:type="dxa" w:w="158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水域</w:t>
            </w:r>
          </w:p>
        </w:tc>
        <w:tc>
          <w:tcPr>
            <w:tcW w:type="dxa" w:w="3458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完成水域五主题闭环</w:t>
            </w:r>
          </w:p>
        </w:tc>
        <w:tc>
          <w:tcPr>
            <w:tcW w:type="dxa" w:w="3515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水域 E2E</w:t>
            </w:r>
          </w:p>
        </w:tc>
      </w:tr>
      <w:tr>
        <w:tc>
          <w:tcPr>
            <w:tcW w:type="dxa" w:w="68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P6</w:t>
            </w:r>
          </w:p>
        </w:tc>
        <w:tc>
          <w:tcPr>
            <w:tcW w:type="dxa" w:w="158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水下</w:t>
            </w:r>
          </w:p>
        </w:tc>
        <w:tc>
          <w:tcPr>
            <w:tcW w:type="dxa" w:w="3458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完成独立水下五主题闭环</w:t>
            </w:r>
          </w:p>
        </w:tc>
        <w:tc>
          <w:tcPr>
            <w:tcW w:type="dxa" w:w="3515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水下 E2E</w:t>
            </w:r>
          </w:p>
        </w:tc>
      </w:tr>
      <w:tr>
        <w:tc>
          <w:tcPr>
            <w:tcW w:type="dxa" w:w="68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P7</w:t>
            </w:r>
          </w:p>
        </w:tc>
        <w:tc>
          <w:tcPr>
            <w:tcW w:type="dxa" w:w="158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可信与风险</w:t>
            </w:r>
          </w:p>
        </w:tc>
        <w:tc>
          <w:tcPr>
            <w:tcW w:type="dxa" w:w="3458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统一实况/预览/演示口径</w:t>
            </w:r>
          </w:p>
        </w:tc>
        <w:tc>
          <w:tcPr>
            <w:tcW w:type="dxa" w:w="3515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来源、标识、控制完整</w:t>
            </w:r>
          </w:p>
        </w:tc>
      </w:tr>
      <w:tr>
        <w:tc>
          <w:tcPr>
            <w:tcW w:type="dxa" w:w="68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P8</w:t>
            </w:r>
          </w:p>
        </w:tc>
        <w:tc>
          <w:tcPr>
            <w:tcW w:type="dxa" w:w="158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业务闭环</w:t>
            </w:r>
          </w:p>
        </w:tc>
        <w:tc>
          <w:tcPr>
            <w:tcW w:type="dxa" w:w="3458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动态适配、总结、Journey 等入口</w:t>
            </w:r>
          </w:p>
        </w:tc>
        <w:tc>
          <w:tcPr>
            <w:tcW w:type="dxa" w:w="3515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真实业务连接</w:t>
            </w:r>
          </w:p>
        </w:tc>
      </w:tr>
      <w:tr>
        <w:tc>
          <w:tcPr>
            <w:tcW w:type="dxa" w:w="68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P9</w:t>
            </w:r>
          </w:p>
        </w:tc>
        <w:tc>
          <w:tcPr>
            <w:tcW w:type="dxa" w:w="158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质量交付</w:t>
            </w:r>
          </w:p>
        </w:tc>
        <w:tc>
          <w:tcPr>
            <w:tcW w:type="dxa" w:w="3458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异常、无障碍、测试与交付</w:t>
            </w:r>
          </w:p>
        </w:tc>
        <w:tc>
          <w:tcPr>
            <w:tcW w:type="dxa" w:w="3515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DoD 全通过</w:t>
            </w:r>
          </w:p>
        </w:tc>
      </w:tr>
    </w:tbl>
    <w:p>
      <w:pPr>
        <w:pStyle w:val="Heading1"/>
        <w:keepNext/>
      </w:pPr>
      <w:r>
        <w:t>P0｜开工门槛与仓库审计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P0-01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读取并总结现有前端、地图、状态管理、数据层、路由、测试和部署方式。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输出《仓库审计报告》；不得直接重构。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P0-02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定位现有地图探索页、POI 数据结构、Journey/心愿入口和目的地详情入口。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列出实际文件路径和依赖关系。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P0-03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确认现有地图与三维相关依赖；优先复用，禁止无理由替换。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形成技术复用/补充决策表。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P0-04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确认当前实时数据、典型景色数据和风险提醒来自哪里。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标注可复用接口、缺失项和临时数据策略。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P0-05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冻结首期范围：山地、水域、水下；其他场景不施工。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施工计划中无生态荒野、人文城市、工程线路实现任务。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Agent/用户</w:t>
            </w:r>
          </w:p>
        </w:tc>
      </w:tr>
    </w:tbl>
    <w:p>
      <w:pPr>
        <w:pStyle w:val="Heading1"/>
        <w:keepNext/>
      </w:pPr>
      <w:r>
        <w:t>P1｜公共骨架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P1-01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建立探索对象统一模型：点、区域、线路、活动场所、时间现象。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现有 POI 可无损映射到新模型。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P1-02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建立六个场景家族枚举，首期启用山地、水域、水下。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未启用家族返回标准降级结果。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P1-03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建立沉浸探索状态机。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支持进入、抵达、探索、主题激活、总结、返回和降级。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P1-04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建立统一主题模型：看什么、怎么体验、适合谁、注意什么、动态第五主题。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所有首期场景使用同一公共接口。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P1-05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建立场景定义、锚点、玩法、人群、风险和旅行总结的数据契约。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提供类型定义和示例数据。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P2｜地图进入、退出与页面层级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P2-01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点击探索对象进入沉浸模式，转场中仅显示必要信息。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地点名称、类型、预览条件可见；无大面板干扰。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P2-02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抵达后先展示纯场景，再渐进出现探索入口。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首次信息仅含名称、核心景观和主要玩法。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P2-03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转场可取消；快速切换目标时取消旧任务。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无动画排队、无旧场景残留。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P2-04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退出后恢复地图中心、缩放、选中对象和列表状态。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返回后上下文与进入前一致。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P2-05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保留非沉浸式信息入口。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关闭动态表现后仍可完成查看与决策。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P3｜公共交互主题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P3-01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实现单主主题规则。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同一时间仅一个主题处于激活态。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P3-02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切换主题时清理上一主题的标签、场景变化和说明。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多次切换无状态叠加污染。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P3-03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标签点击同时改变场景、空间标签和说明内容。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三者缺一即不通过验收。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P3-04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空间标签锚定到峰顶、路线、活动区、生态区或风险区。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标签移动与场景位置关系正确。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P3-05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默认预览按 Journey 月份→用户月份→当前月份→代表性时段。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规则可测试、可解释。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P4｜山地场景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完成山地默认抵达场景。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展示高差、峰顶、主要观景点和核心玩法。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“看什么”支持适用的红叶、积雪、云海、日出、雪线等景色。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切换后观景点和说明同步变化。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“怎么体验”支持轻松观景、亲子短途、徒步、登山、摄影。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不同玩法显示不同路线、坡度、时长和设施。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“适合谁”按人群筛选路线、设施和风险。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亲子与专业模式结果明显不同。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第五主题实现自然与地质观察。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支持海拔植被、岩层或适用地质信息。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P4-06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“注意什么”实现适用的雷暴、落石、泥石流或雪崩演示。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包含原因、发展、影响区、判断信号和行动建议。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P5｜水域场景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完成湖泊/海岸默认抵达场景。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展示水面、岸线、主要观景点和玩法区域。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“看什么”支持清晨薄雾、晴天倒影、傍晚及季节岸线景观。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光景变化与观景点、说明同步。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“怎么体验”支持湖边漫步、游船、独木舟、SUP、骑行、摄影。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不同玩法显示路线、区域和限制。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“适合谁”按家庭和经验筛选活动。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儿童、老人和初学者不会看到不适用的高风险玩法。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第五主题实现水域生态观察。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支持候鸟、水生生态或岸线生态的适用内容。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P5-06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“注意什么”实现风浪、低水温、薄冰或水位变化。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分别说明对岸边和水上活动的影响。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P6｜水下场景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水下作为独立完整场景，不作为水域短特效。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拥有独立主题、状态和总结。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实现从水面到水下的完整进入叙事。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进入后状态与水面场景彻底切换。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“看什么”展示能见度、光线、水温和代表性生态区域。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信息不足时只展示生态类别，不编造物种。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有可靠数据时展示鱼种/生物名称、常见深度和季节。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统一使用“通常有机会观察到”，无固定概率。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“怎么体验”区分浮潜、体验潜水、持证潜水、水下摄影和生态观察。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不同模式显示不同深度、范围和条件。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P6-06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第五主题实现水下生态。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鱼群或生态对象可进入场景并绑定空间标签。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P6-07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“注意什么”实现海流、能见度下降和水面风浪。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风险变化会影响路线与活动建议。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P7｜可信数据、风险和内容口径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当前实况、典型景色预览、风险演示使用不同状态标识。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任何页面均不可混淆三种状态。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当前实况显示来源和更新时间。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缺少来源时不得标记为实况。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景色预览标记为典型季节或历史可靠特征。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不冒充实时画面。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风险演示明确标记“非当前实况”。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当前有官方提醒时单独展示来源入口。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风险支持暂停、重播、恢复平静，不按固定时长消失。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用户拥有完整控制权。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P7-06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动物、鱼类和季节景观不表达为必然出现。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文案通过自动化测试或内容校验。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P8｜适配结论、总结与 Journey 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P8-01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取消固定星级，输出动态适配结论。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结论基于用户、日期、玩法和可用条件。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P8-02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沉浸探索结束生成旅行判断总结。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包含时间/景色、玩法、人群适配、风险和准备。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P8-03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总结提供加入心愿、查看准备、加入 Journey/继续规划、返回地图。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所有按钮接入现有真实流程或明确降级。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P8-04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总结结果可由当前探索选择生成，不写死。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切换玩法或人群后总结相应变化。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P9｜异常、性能与质量保证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09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施工项</w:t>
            </w:r>
          </w:p>
        </w:tc>
        <w:tc>
          <w:tcPr>
            <w:tcW w:type="dxa" w:w="3402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验收点</w:t>
            </w:r>
          </w:p>
        </w:tc>
        <w:tc>
          <w:tcPr>
            <w:tcW w:type="dxa" w:w="85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P9-01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资源未就绪时显示占位或等价信息，不阻断流程。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场景失败仍能完成旅行判断。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P9-02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支持低动态/低性能模式。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关闭增强效果后核心交互仍可用。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P9-03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处理快速切换、重复点击、返回中断、页面卸载和请求取消。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无内存泄漏、无残留音效/标签/状态。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P9-04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完成单元、集成和端到端测试。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覆盖三套场景、五个主题、风险与总结闭环。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P9-05</w:t>
            </w:r>
          </w:p>
        </w:tc>
        <w:tc>
          <w:tcPr>
            <w:tcW w:type="dxa" w:w="4309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完成可访问性与键盘操作检查。</w:t>
            </w:r>
          </w:p>
        </w:tc>
        <w:tc>
          <w:tcPr>
            <w:tcW w:type="dxa" w:w="3402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关键操作可聚焦、可取消、可读。</w:t>
            </w:r>
          </w:p>
        </w:tc>
        <w:tc>
          <w:tcPr>
            <w:tcW w:type="dxa" w:w="85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  <w:tr>
        <w:tc>
          <w:tcPr>
            <w:tcW w:type="dxa" w:w="794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6"/>
              </w:rPr>
              <w:t>P9-06</w:t>
            </w:r>
          </w:p>
        </w:tc>
        <w:tc>
          <w:tcPr>
            <w:tcW w:type="dxa" w:w="4309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提交施工报告、文件清单、测试结果和未完成项。</w:t>
            </w:r>
          </w:p>
        </w:tc>
        <w:tc>
          <w:tcPr>
            <w:tcW w:type="dxa" w:w="3402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交付物完整、可回滚。</w:t>
            </w:r>
          </w:p>
        </w:tc>
        <w:tc>
          <w:tcPr>
            <w:tcW w:type="dxa" w:w="85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Agent</w:t>
            </w:r>
          </w:p>
        </w:tc>
      </w:tr>
    </w:tbl>
    <w:p>
      <w:pPr>
        <w:pStyle w:val="Heading1"/>
        <w:keepNext/>
      </w:pPr>
      <w:r>
        <w:t>最终上线门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907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验收维度</w:t>
            </w:r>
          </w:p>
        </w:tc>
        <w:tc>
          <w:tcPr>
            <w:tcW w:type="dxa" w:w="6690"/>
            <w:shd w:fill="143D33"/>
            <w:tcBorders>
              <w:top w:val="single" w:sz="4" w:color="143D33"/>
              <w:left w:val="single" w:sz="4" w:color="143D33"/>
              <w:bottom w:val="single" w:sz="4" w:color="143D33"/>
              <w:right w:val="single" w:sz="4" w:color="143D33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90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GATE-01</w:t>
            </w:r>
          </w:p>
        </w:tc>
        <w:tc>
          <w:tcPr>
            <w:tcW w:type="dxa" w:w="1701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范围</w:t>
            </w:r>
          </w:p>
        </w:tc>
        <w:tc>
          <w:tcPr>
            <w:tcW w:type="dxa" w:w="669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仅山地、水域、水下进入首期；无未授权扩展。</w:t>
            </w:r>
          </w:p>
        </w:tc>
      </w:tr>
      <w:tr>
        <w:tc>
          <w:tcPr>
            <w:tcW w:type="dxa" w:w="90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GATE-02</w:t>
            </w:r>
          </w:p>
        </w:tc>
        <w:tc>
          <w:tcPr>
            <w:tcW w:type="dxa" w:w="1701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完整闭环</w:t>
            </w:r>
          </w:p>
        </w:tc>
        <w:tc>
          <w:tcPr>
            <w:tcW w:type="dxa" w:w="669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地图进入、五主题探索、总结、业务行动和返回全部可用。</w:t>
            </w:r>
          </w:p>
        </w:tc>
      </w:tr>
      <w:tr>
        <w:tc>
          <w:tcPr>
            <w:tcW w:type="dxa" w:w="90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GATE-03</w:t>
            </w:r>
          </w:p>
        </w:tc>
        <w:tc>
          <w:tcPr>
            <w:tcW w:type="dxa" w:w="1701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可信度</w:t>
            </w:r>
          </w:p>
        </w:tc>
        <w:tc>
          <w:tcPr>
            <w:tcW w:type="dxa" w:w="669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实况、典型预览和风险演示全程无混淆。</w:t>
            </w:r>
          </w:p>
        </w:tc>
      </w:tr>
      <w:tr>
        <w:tc>
          <w:tcPr>
            <w:tcW w:type="dxa" w:w="90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GATE-04</w:t>
            </w:r>
          </w:p>
        </w:tc>
        <w:tc>
          <w:tcPr>
            <w:tcW w:type="dxa" w:w="1701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669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原因、过程、影响区、信号、行动建议和播放控制完整。</w:t>
            </w:r>
          </w:p>
        </w:tc>
      </w:tr>
      <w:tr>
        <w:tc>
          <w:tcPr>
            <w:tcW w:type="dxa" w:w="90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GATE-05</w:t>
            </w:r>
          </w:p>
        </w:tc>
        <w:tc>
          <w:tcPr>
            <w:tcW w:type="dxa" w:w="1701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水下</w:t>
            </w:r>
          </w:p>
        </w:tc>
        <w:tc>
          <w:tcPr>
            <w:tcW w:type="dxa" w:w="669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独立场景、穿水进入、生态、玩法和风险完整。</w:t>
            </w:r>
          </w:p>
        </w:tc>
      </w:tr>
      <w:tr>
        <w:tc>
          <w:tcPr>
            <w:tcW w:type="dxa" w:w="90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GATE-06</w:t>
            </w:r>
          </w:p>
        </w:tc>
        <w:tc>
          <w:tcPr>
            <w:tcW w:type="dxa" w:w="1701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适配</w:t>
            </w:r>
          </w:p>
        </w:tc>
        <w:tc>
          <w:tcPr>
            <w:tcW w:type="dxa" w:w="669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无固定星级；结论随人群、日期和玩法改变。</w:t>
            </w:r>
          </w:p>
        </w:tc>
      </w:tr>
      <w:tr>
        <w:tc>
          <w:tcPr>
            <w:tcW w:type="dxa" w:w="907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GATE-07</w:t>
            </w:r>
          </w:p>
        </w:tc>
        <w:tc>
          <w:tcPr>
            <w:tcW w:type="dxa" w:w="1701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降级</w:t>
            </w:r>
          </w:p>
        </w:tc>
        <w:tc>
          <w:tcPr>
            <w:tcW w:type="dxa" w:w="6690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资源失败和减少动态效果时仍能完成旅行判断。</w:t>
            </w:r>
          </w:p>
        </w:tc>
      </w:tr>
      <w:tr>
        <w:tc>
          <w:tcPr>
            <w:tcW w:type="dxa" w:w="907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b/>
                <w:color w:val="D86B35"/>
                <w:sz w:val="17"/>
              </w:rPr>
              <w:t>GATE-08</w:t>
            </w:r>
          </w:p>
        </w:tc>
        <w:tc>
          <w:tcPr>
            <w:tcW w:type="dxa" w:w="1701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质量</w:t>
            </w:r>
          </w:p>
        </w:tc>
        <w:tc>
          <w:tcPr>
            <w:tcW w:type="dxa" w:w="6690"/>
            <w:shd w:fill="F6F7F6"/>
            <w:tcBorders>
              <w:top w:val="single" w:sz="4" w:color="B6C3BD"/>
              <w:left w:val="single" w:sz="4" w:color="B6C3BD"/>
              <w:bottom w:val="single" w:sz="4" w:color="B6C3BD"/>
              <w:right w:val="single" w:sz="4" w:color="B6C3BD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自动化测试、键盘操作、资源清理和回滚验证通过。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4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6C"/>
        <w:sz w:val="15"/>
      </w:rPr>
      <w:t>Family Atlas · 最终施工清单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D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D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Noto Sans CJK SC" w:hAnsi="Noto Sans CJK SC" w:eastAsia="Noto Sans CJK SC"/>
      <w:color w:val="66706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Atlas 沉浸式景点探索 最终施工清单 V1.0</dc:title>
  <dc:subject/>
  <dc:creator>Family Atlas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