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72C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Deepseek：</w:t>
      </w:r>
    </w:p>
    <w:p w14:paraId="52ED61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ATLAS 沉浸式俯冲探索 · 已采纳方案清单</w:t>
      </w:r>
    </w:p>
    <w:p w14:paraId="6DBFA639">
      <w:pPr>
        <w:rPr>
          <w:rFonts w:hint="eastAsia" w:ascii="宋体" w:hAnsi="宋体" w:eastAsia="宋体" w:cs="宋体"/>
          <w:lang w:val="en-US" w:eastAsia="zh-CN"/>
        </w:rPr>
      </w:pPr>
    </w:p>
    <w:p w14:paraId="380147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基于四家模型决策意见稿，以下为**全部已同意方案**的整理汇总，按决策维度归类。</w:t>
      </w:r>
    </w:p>
    <w:p w14:paraId="359C5602">
      <w:pPr>
        <w:rPr>
          <w:rFonts w:hint="eastAsia" w:ascii="宋体" w:hAnsi="宋体" w:eastAsia="宋体" w:cs="宋体"/>
          <w:lang w:val="en-US" w:eastAsia="zh-CN"/>
        </w:rPr>
      </w:pPr>
    </w:p>
    <w:p w14:paraId="65342D4F">
      <w:pPr>
        <w:rPr>
          <w:rFonts w:hint="eastAsia" w:ascii="宋体" w:hAnsi="宋体" w:eastAsia="宋体" w:cs="宋体"/>
          <w:lang w:val="en-US" w:eastAsia="zh-CN"/>
        </w:rPr>
      </w:pPr>
    </w:p>
    <w:p w14:paraId="2C5DB5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一、核心体验框架</w:t>
      </w:r>
    </w:p>
    <w:p w14:paraId="65DBFBA9">
      <w:pPr>
        <w:rPr>
          <w:rFonts w:hint="eastAsia" w:ascii="宋体" w:hAnsi="宋体" w:eastAsia="宋体" w:cs="宋体"/>
          <w:lang w:val="en-US" w:eastAsia="zh-CN"/>
        </w:rPr>
      </w:pPr>
    </w:p>
    <w:p w14:paraId="3ACC74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189388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2DA17A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D-01 | 四个状态：地图巡航→俯冲过渡→沉浸场景→上升过渡 | DeepSeek | 逻辑闭环清晰，过渡期不可操作保证沉浸感 |</w:t>
      </w:r>
    </w:p>
    <w:p w14:paraId="57B384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D-02 | 功能定位为“目的地体验与旅行判断”而非“模型展示” | GPT | 区分了“看热闹”和“辅助决策”，是产品核心价值 |</w:t>
      </w:r>
    </w:p>
    <w:p w14:paraId="1FF220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D-03 | 俯冲时长900-1200ms | Grok | 有戏剧感但不拖沓 |</w:t>
      </w:r>
    </w:p>
    <w:p w14:paraId="3F57A7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D-04 | 快速连续点击第二个锚点打断当前动画 | DeepSeek/GPT | 避免排队堆积，符合直觉 |</w:t>
      </w:r>
    </w:p>
    <w:p w14:paraId="121E69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D-05 | 转场动画仅ESC可取消 | DeepSeek | 保证叙事完整性 |</w:t>
      </w:r>
    </w:p>
    <w:p w14:paraId="76D42D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D-06 | 返回地图后恢复原地图位置、选择和探索状态 | Grok/GPT | 保持连续探索体验 |</w:t>
      </w:r>
    </w:p>
    <w:p w14:paraId="5CFA6C03">
      <w:pPr>
        <w:rPr>
          <w:rFonts w:hint="eastAsia" w:ascii="宋体" w:hAnsi="宋体" w:eastAsia="宋体" w:cs="宋体"/>
          <w:lang w:val="en-US" w:eastAsia="zh-CN"/>
        </w:rPr>
      </w:pPr>
    </w:p>
    <w:p w14:paraId="2AE52E22">
      <w:pPr>
        <w:rPr>
          <w:rFonts w:hint="eastAsia" w:ascii="宋体" w:hAnsi="宋体" w:eastAsia="宋体" w:cs="宋体"/>
          <w:lang w:val="en-US" w:eastAsia="zh-CN"/>
        </w:rPr>
      </w:pPr>
    </w:p>
    <w:p w14:paraId="03FF3A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二、POI分类体系</w:t>
      </w:r>
    </w:p>
    <w:p w14:paraId="68ADF526">
      <w:pPr>
        <w:rPr>
          <w:rFonts w:hint="eastAsia" w:ascii="宋体" w:hAnsi="宋体" w:eastAsia="宋体" w:cs="宋体"/>
          <w:lang w:val="en-US" w:eastAsia="zh-CN"/>
        </w:rPr>
      </w:pPr>
    </w:p>
    <w:p w14:paraId="2A669B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3293D4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1E54C30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D-07 | 一级分类（自然风光/户外极限/人文历史/网红奇观/休闲露营/超级工程）用于内容策展而非场景决定 | GPT | 同一地点可属于多个频道，互斥分类会导致重复录入 |</w:t>
      </w:r>
    </w:p>
    <w:p w14:paraId="32F30B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D-08 | 建立“探索对象形态”：点/区域/线路/活动场所/时间现象 | GPT | 山脉是点，国家公园是区域，高山列车是线路，不能共用同一套进入逻辑 |</w:t>
      </w:r>
    </w:p>
    <w:p w14:paraId="7A300C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D-09 | 内部统一使用“探索对象”概念 | GPT | 能同时覆盖点、区域、线路、活动场所和时间现象 |</w:t>
      </w:r>
    </w:p>
    <w:p w14:paraId="2B57E1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D-10 | 活动标签（徒步/潜水/骑行等）不作为独立POI类型 | GPT | 它们是场景中的“玩法”，不是目的地本身 |</w:t>
      </w:r>
    </w:p>
    <w:p w14:paraId="275AA2F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D-11 | 世界遗产、季节限定、夜景等作为标签/认证，不作为独立场景类型 | GPT | 避免把“属性”当成“对象” |</w:t>
      </w:r>
    </w:p>
    <w:p w14:paraId="1DAED2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D-12 | 摄影、露营、亲子等作为体验或属性标签 | DeepSeek/GPT | 它们不决定基础场景类型 |</w:t>
      </w:r>
    </w:p>
    <w:p w14:paraId="526CF2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D-13 | 每个体验标签必须绑定明确的场景反馈 | DeepSeek/Grok | 禁止只有标签名称而没有实际场景变化 |</w:t>
      </w:r>
    </w:p>
    <w:p w14:paraId="2FC09C51">
      <w:pPr>
        <w:rPr>
          <w:rFonts w:hint="eastAsia" w:ascii="宋体" w:hAnsi="宋体" w:eastAsia="宋体" w:cs="宋体"/>
          <w:lang w:val="en-US" w:eastAsia="zh-CN"/>
        </w:rPr>
      </w:pPr>
    </w:p>
    <w:p w14:paraId="1518DA52">
      <w:pPr>
        <w:rPr>
          <w:rFonts w:hint="eastAsia" w:ascii="宋体" w:hAnsi="宋体" w:eastAsia="宋体" w:cs="宋体"/>
          <w:lang w:val="en-US" w:eastAsia="zh-CN"/>
        </w:rPr>
      </w:pPr>
    </w:p>
    <w:p w14:paraId="38B452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三、场景模板架构（MVP及终局）</w:t>
      </w:r>
    </w:p>
    <w:p w14:paraId="79C4C789">
      <w:pPr>
        <w:rPr>
          <w:rFonts w:hint="eastAsia" w:ascii="宋体" w:hAnsi="宋体" w:eastAsia="宋体" w:cs="宋体"/>
          <w:lang w:val="en-US" w:eastAsia="zh-CN"/>
        </w:rPr>
      </w:pPr>
    </w:p>
    <w:p w14:paraId="1ED99E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4A3689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678E3F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D-14 | 采用六个核心沉浸场景家族 | DeepSeek+Gemini+GPT裁决 | 兼顾覆盖率与场景差异，不无限拆分 |</w:t>
      </w:r>
    </w:p>
    <w:p w14:paraId="636E69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D-15 | 六个家族为：山地高差、水域海岸、水下生态、生态荒野、人文城市、工程线路 | DeepSeek+Gemini+GPT裁决 | 单独保留水下和线路，满足原始沉浸需求 |</w:t>
      </w:r>
    </w:p>
    <w:p w14:paraId="01FF478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D-16 | 水下生态与水面水域分成两个场景家族 | Gemini+GPT | 水下具有独立进入方式、生态内容、活动与风险逻辑 |</w:t>
      </w:r>
    </w:p>
    <w:p w14:paraId="5CF95D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D-17 | 线路类采用沿线预演，不采用中心模型环绕 | GPT | 高山列车、海岸公路的重点在沿途变化 |</w:t>
      </w:r>
    </w:p>
    <w:p w14:paraId="39A58A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D-18 | 区域类先展示整体沙盘，再进入内部子景点 | GPT | 国家公园、古城并非单一落点 |</w:t>
      </w:r>
    </w:p>
    <w:p w14:paraId="67563EF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D-19 | 活动方式作为“怎么体验”的玩法，不作为基础地貌模板 | GPT+Gemini | 潜水、徒步可发生在不同场景中 |</w:t>
      </w:r>
    </w:p>
    <w:p w14:paraId="771D14C8">
      <w:pPr>
        <w:rPr>
          <w:rFonts w:hint="eastAsia" w:ascii="宋体" w:hAnsi="宋体" w:eastAsia="宋体" w:cs="宋体"/>
          <w:lang w:val="en-US" w:eastAsia="zh-CN"/>
        </w:rPr>
      </w:pPr>
    </w:p>
    <w:p w14:paraId="76FC0B60">
      <w:pPr>
        <w:rPr>
          <w:rFonts w:hint="eastAsia" w:ascii="宋体" w:hAnsi="宋体" w:eastAsia="宋体" w:cs="宋体"/>
          <w:lang w:val="en-US" w:eastAsia="zh-CN"/>
        </w:rPr>
      </w:pPr>
    </w:p>
    <w:p w14:paraId="62CF41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四、交互主题（信息面板）</w:t>
      </w:r>
    </w:p>
    <w:p w14:paraId="2B979B75">
      <w:pPr>
        <w:rPr>
          <w:rFonts w:hint="eastAsia" w:ascii="宋体" w:hAnsi="宋体" w:eastAsia="宋体" w:cs="宋体"/>
          <w:lang w:val="en-US" w:eastAsia="zh-CN"/>
        </w:rPr>
      </w:pPr>
    </w:p>
    <w:p w14:paraId="055269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2F7975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7891280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D-20 | 四个全类型公共主题为“看什么、怎么体验、适合谁、注意什么” | GPT | 能同时覆盖自然、人文和工程对象 |</w:t>
      </w:r>
    </w:p>
    <w:p w14:paraId="393D86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D-21 | 第五个主题根据场景类型动态变化 | GPT+DeepSeek | 自然类用自然观察，人文类用故事与过去，工程类用如何建成/运行 |</w:t>
      </w:r>
    </w:p>
    <w:p w14:paraId="0C9F99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D-22 | 首次进入只显示最少信息（名称+类型+核心景观+当前适合活动） | GPT | 先让用户感受，再提供探索入口 |</w:t>
      </w:r>
    </w:p>
    <w:p w14:paraId="5803D4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D-23 | 信息面板文字随场景状态实时变化 | 多模型 | 风险触发时自动出现警告文案，季节切换时同步更新 |</w:t>
      </w:r>
    </w:p>
    <w:p w14:paraId="44290C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D-24 | 不使用固定景点评分，输出“当前用户+当前时间”下的适配结论 | GPT | “适合亲子”取决于具体路线和季节，非固有属性 |</w:t>
      </w:r>
    </w:p>
    <w:p w14:paraId="7C741D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D-25 | 沉浸体验保留非沉浸式信息入口 | Grok+GPT | 为不适应动态场景或无障碍用户提供等价信息路径 |</w:t>
      </w:r>
    </w:p>
    <w:p w14:paraId="62FD9EDA">
      <w:pPr>
        <w:rPr>
          <w:rFonts w:hint="eastAsia" w:ascii="宋体" w:hAnsi="宋体" w:eastAsia="宋体" w:cs="宋体"/>
          <w:lang w:val="en-US" w:eastAsia="zh-CN"/>
        </w:rPr>
      </w:pPr>
    </w:p>
    <w:p w14:paraId="1B864FAB">
      <w:pPr>
        <w:rPr>
          <w:rFonts w:hint="eastAsia" w:ascii="宋体" w:hAnsi="宋体" w:eastAsia="宋体" w:cs="宋体"/>
          <w:lang w:val="en-US" w:eastAsia="zh-CN"/>
        </w:rPr>
      </w:pPr>
    </w:p>
    <w:p w14:paraId="1C3FCF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五、交互规则（标签与场景变化）</w:t>
      </w:r>
    </w:p>
    <w:p w14:paraId="0E3A2C5C">
      <w:pPr>
        <w:rPr>
          <w:rFonts w:hint="eastAsia" w:ascii="宋体" w:hAnsi="宋体" w:eastAsia="宋体" w:cs="宋体"/>
          <w:lang w:val="en-US" w:eastAsia="zh-CN"/>
        </w:rPr>
      </w:pPr>
    </w:p>
    <w:p w14:paraId="16DC21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3D9C4E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3C1549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D-26 | 点击标签必须同时改变场景+空间标签+说明内容 | 原方案 | 这是“沉浸”和“详情页”的本质区别 |</w:t>
      </w:r>
    </w:p>
    <w:p w14:paraId="75FCF9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D-27 | 同一时间只激活一个主探索主题 | GPT | 防止天气、季节、路线、动物效果叠加混乱 |</w:t>
      </w:r>
    </w:p>
    <w:p w14:paraId="5EBF8C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D-28 | 标签必须绑定到具体3D空间坐标，不悬浮在屏幕角落 | Gemini | 海拔标签在山顶，鱼类标签跟着鱼走，空间感来自位置 |</w:t>
      </w:r>
    </w:p>
    <w:p w14:paraId="37FEE3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D-29 | 景色切换默认显示当前月份对应季节 | GPT | 用户9月打开看到秋季，比永远默认夏季更真实 |</w:t>
      </w:r>
    </w:p>
    <w:p w14:paraId="282115C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D-30 | 风险演示必须展示形成原因→影响区域→行动建议，不只有特效 | GPT | 只放雷雨动画但不解释为何危险，等于没做 |</w:t>
      </w:r>
    </w:p>
    <w:p w14:paraId="58EEB6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D-31 | 风险持续时长：不自动消退，用户可“恢复平静” | DeepSeek/GPT | 用户需要时间理解风险，也需要主动退出权 |</w:t>
      </w:r>
    </w:p>
    <w:p w14:paraId="26728F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D-32 | 当前实况、季节预览、风险演示严格分离并标注 | GPT | 不能把“演示泥石流”当成“这里现在有泥石流” |</w:t>
      </w:r>
    </w:p>
    <w:p w14:paraId="3C0569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D-33 | 风险演示支持暂停、重播、恢复平静 | GPT | 用户需要控制观察节奏 |</w:t>
      </w:r>
    </w:p>
    <w:p w14:paraId="1A38F88E">
      <w:pPr>
        <w:rPr>
          <w:rFonts w:hint="eastAsia" w:ascii="宋体" w:hAnsi="宋体" w:eastAsia="宋体" w:cs="宋体"/>
          <w:lang w:val="en-US" w:eastAsia="zh-CN"/>
        </w:rPr>
      </w:pPr>
    </w:p>
    <w:p w14:paraId="0EED7081">
      <w:pPr>
        <w:rPr>
          <w:rFonts w:hint="eastAsia" w:ascii="宋体" w:hAnsi="宋体" w:eastAsia="宋体" w:cs="宋体"/>
          <w:lang w:val="en-US" w:eastAsia="zh-CN"/>
        </w:rPr>
      </w:pPr>
    </w:p>
    <w:p w14:paraId="7C001B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六、MVP范围</w:t>
      </w:r>
    </w:p>
    <w:p w14:paraId="3F5BDD60">
      <w:pPr>
        <w:rPr>
          <w:rFonts w:hint="eastAsia" w:ascii="宋体" w:hAnsi="宋体" w:eastAsia="宋体" w:cs="宋体"/>
          <w:lang w:val="en-US" w:eastAsia="zh-CN"/>
        </w:rPr>
      </w:pPr>
    </w:p>
    <w:p w14:paraId="082483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0080ED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06308EF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D-34 | 首期采用“山地、水域、水下”三套完整场景 | Gemini+GPT | 分别验证高差、表面水域和穿水进入三种核心体验 |</w:t>
      </w:r>
    </w:p>
    <w:p w14:paraId="777716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D-35 | 首期每套场景必须覆盖看什么、怎么体验、适合谁、注意什么和动态第五主题 | GPT | 确保验证完整体验，而非仅制作视觉样片 |</w:t>
      </w:r>
    </w:p>
    <w:p w14:paraId="3D8BC0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D-36 | 潜水点“镜头下潜+鱼群”作为首期必做功能 | Grok | 水域模板中最具辨识度的体验差异点 |</w:t>
      </w:r>
    </w:p>
    <w:p w14:paraId="634DC6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D-37 | 水下场景展示鱼群游动作为视觉氛围，不展示具体鱼种名称列表 | DeepSeek | 鱼种列表需生物数据库支撑，可作为V1.1数据补充 |</w:t>
      </w:r>
    </w:p>
    <w:p w14:paraId="13B4E980">
      <w:pPr>
        <w:rPr>
          <w:rFonts w:hint="eastAsia" w:ascii="宋体" w:hAnsi="宋体" w:eastAsia="宋体" w:cs="宋体"/>
          <w:lang w:val="en-US" w:eastAsia="zh-CN"/>
        </w:rPr>
      </w:pPr>
    </w:p>
    <w:p w14:paraId="5EC99D3C">
      <w:pPr>
        <w:rPr>
          <w:rFonts w:hint="eastAsia" w:ascii="宋体" w:hAnsi="宋体" w:eastAsia="宋体" w:cs="宋体"/>
          <w:lang w:val="en-US" w:eastAsia="zh-CN"/>
        </w:rPr>
      </w:pPr>
    </w:p>
    <w:p w14:paraId="3EBB2F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七、退出与总结</w:t>
      </w:r>
    </w:p>
    <w:p w14:paraId="0517ECCF">
      <w:pPr>
        <w:rPr>
          <w:rFonts w:hint="eastAsia" w:ascii="宋体" w:hAnsi="宋体" w:eastAsia="宋体" w:cs="宋体"/>
          <w:lang w:val="en-US" w:eastAsia="zh-CN"/>
        </w:rPr>
      </w:pPr>
    </w:p>
    <w:p w14:paraId="4575D0E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4A7AAC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2AB3DD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D-38 | 退出3D场景前必须出现“探索结论+下一步行动”总结页 | Grok/GPT | 将沉浸体验转化为产品价值的关键节点 |</w:t>
      </w:r>
    </w:p>
    <w:p w14:paraId="2C48F6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D-39 | 总结页内容：最适合的季节/玩法/人群 + 需要留意的风险 + 加入心愿/加入Journey/返回地图 | GPT | 给用户明确的行动出口 |</w:t>
      </w:r>
    </w:p>
    <w:p w14:paraId="303DE3E6">
      <w:pPr>
        <w:rPr>
          <w:rFonts w:hint="eastAsia" w:ascii="宋体" w:hAnsi="宋体" w:eastAsia="宋体" w:cs="宋体"/>
          <w:lang w:val="en-US" w:eastAsia="zh-CN"/>
        </w:rPr>
      </w:pPr>
    </w:p>
    <w:p w14:paraId="37175A77">
      <w:pPr>
        <w:rPr>
          <w:rFonts w:hint="eastAsia" w:ascii="宋体" w:hAnsi="宋体" w:eastAsia="宋体" w:cs="宋体"/>
          <w:lang w:val="en-US" w:eastAsia="zh-CN"/>
        </w:rPr>
      </w:pPr>
    </w:p>
    <w:p w14:paraId="4A3E1C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八、降级与边界</w:t>
      </w:r>
    </w:p>
    <w:p w14:paraId="4DC4B3AD">
      <w:pPr>
        <w:rPr>
          <w:rFonts w:hint="eastAsia" w:ascii="宋体" w:hAnsi="宋体" w:eastAsia="宋体" w:cs="宋体"/>
          <w:lang w:val="en-US" w:eastAsia="zh-CN"/>
        </w:rPr>
      </w:pPr>
    </w:p>
    <w:p w14:paraId="4FABD0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来源 | 理由 |</w:t>
      </w:r>
    </w:p>
    <w:p w14:paraId="7416F4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09499A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D-40 | 低性能设备关闭粒子特效，保留3D模型 | DeepSeek | 保证基础可用性，特效是增强层 |</w:t>
      </w:r>
    </w:p>
    <w:p w14:paraId="3C095E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D-41 | 模型未准备好时显示占位卡片，不阻塞俯冲动画 | DeepSeek | 保持流畅感，数据后加载 |</w:t>
      </w:r>
    </w:p>
    <w:p w14:paraId="6243E3EC">
      <w:pPr>
        <w:rPr>
          <w:rFonts w:hint="eastAsia" w:ascii="宋体" w:hAnsi="宋体" w:eastAsia="宋体" w:cs="宋体"/>
          <w:lang w:val="en-US" w:eastAsia="zh-CN"/>
        </w:rPr>
      </w:pPr>
    </w:p>
    <w:p w14:paraId="1F57C706">
      <w:pPr>
        <w:rPr>
          <w:rFonts w:hint="eastAsia" w:ascii="宋体" w:hAnsi="宋体" w:eastAsia="宋体" w:cs="宋体"/>
          <w:lang w:val="en-US" w:eastAsia="zh-CN"/>
        </w:rPr>
      </w:pPr>
    </w:p>
    <w:p w14:paraId="3C872B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九、冻结的底层原则（无需再次讨论）</w:t>
      </w:r>
    </w:p>
    <w:p w14:paraId="3EA7C31E">
      <w:pPr>
        <w:rPr>
          <w:rFonts w:hint="eastAsia" w:ascii="宋体" w:hAnsi="宋体" w:eastAsia="宋体" w:cs="宋体"/>
          <w:lang w:val="en-US" w:eastAsia="zh-CN"/>
        </w:rPr>
      </w:pPr>
    </w:p>
    <w:p w14:paraId="6443FF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以下决策已在多轮讨论中反复确认并锁定，不再重新开启讨论：</w:t>
      </w:r>
    </w:p>
    <w:p w14:paraId="043DDF49">
      <w:pPr>
        <w:rPr>
          <w:rFonts w:hint="eastAsia" w:ascii="宋体" w:hAnsi="宋体" w:eastAsia="宋体" w:cs="宋体"/>
          <w:lang w:val="en-US" w:eastAsia="zh-CN"/>
        </w:rPr>
      </w:pPr>
    </w:p>
    <w:p w14:paraId="3689C3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编号 | 决策项 | 确认来源 |</w:t>
      </w:r>
    </w:p>
    <w:p w14:paraId="2DCD28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</w:t>
      </w:r>
    </w:p>
    <w:p w14:paraId="342F6BA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P-01 | 地图使用Leaflet卫星图 | 原始需求 |</w:t>
      </w:r>
    </w:p>
    <w:p w14:paraId="7FC793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P-02 | 3D场景使用Three.js | 原始需求 |</w:t>
      </w:r>
    </w:p>
    <w:p w14:paraId="60C389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P-03 | POI数据为静态预置，首期不做实时API拉取 | 多模型共识 |</w:t>
      </w:r>
    </w:p>
    <w:p w14:paraId="133544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P-04 | 俯冲动画为第一人称镜头运动，非地图控件flyTo | 多模型共识 |</w:t>
      </w:r>
    </w:p>
    <w:p w14:paraId="7DED02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P-05 | 信息面板始终位于右侧（桌面端）或底部（移动端） | 原始UI设计 |</w:t>
      </w:r>
    </w:p>
    <w:p w14:paraId="221B56E9">
      <w:pPr>
        <w:rPr>
          <w:rFonts w:hint="eastAsia" w:ascii="宋体" w:hAnsi="宋体" w:eastAsia="宋体" w:cs="宋体"/>
          <w:lang w:val="en-US" w:eastAsia="zh-CN"/>
        </w:rPr>
      </w:pPr>
    </w:p>
    <w:p w14:paraId="3D445B2C">
      <w:pPr>
        <w:rPr>
          <w:rFonts w:hint="eastAsia" w:ascii="宋体" w:hAnsi="宋体" w:eastAsia="宋体" w:cs="宋体"/>
          <w:lang w:val="en-US" w:eastAsia="zh-CN"/>
        </w:rPr>
      </w:pPr>
    </w:p>
    <w:p w14:paraId="3F59C9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**以上共41项已采纳方案 + 5项底层冻结原则，构成《ATLAS沉浸式俯冲探索》V1.0的完整决策基线。**</w:t>
      </w:r>
    </w:p>
    <w:p w14:paraId="049AF66F">
      <w:pPr>
        <w:rPr>
          <w:rFonts w:hint="eastAsia" w:ascii="宋体" w:hAnsi="宋体" w:eastAsia="宋体" w:cs="宋体"/>
          <w:lang w:val="en-US" w:eastAsia="zh-CN"/>
        </w:rPr>
      </w:pPr>
    </w:p>
    <w:p w14:paraId="15D9F6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下一步：基于此清单，输出《交互规格说明书V1.0》——两个MVP模板（山地/水域/水下）的内容表、标签文案、场景反馈定义和数据字段Schema。方案冻结后进入技术选型。</w:t>
      </w:r>
    </w:p>
    <w:p w14:paraId="2EF2CC40">
      <w:pPr>
        <w:rPr>
          <w:rFonts w:hint="eastAsia" w:ascii="宋体" w:hAnsi="宋体" w:eastAsia="宋体" w:cs="宋体"/>
          <w:lang w:val="en-US" w:eastAsia="zh-CN"/>
        </w:rPr>
      </w:pPr>
    </w:p>
    <w:p w14:paraId="7F5DB5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grok：</w:t>
      </w:r>
    </w:p>
    <w:p w14:paraId="0BFBC9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**✅ 仅同意方案清单（已复盘并精简）**</w:t>
      </w:r>
    </w:p>
    <w:p w14:paraId="65828979">
      <w:pPr>
        <w:rPr>
          <w:rFonts w:hint="eastAsia" w:ascii="宋体" w:hAnsi="宋体" w:eastAsia="宋体" w:cs="宋体"/>
          <w:lang w:val="en-US" w:eastAsia="zh-CN"/>
        </w:rPr>
      </w:pPr>
    </w:p>
    <w:p w14:paraId="09B67E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以下为各模型方案中**明确同意采纳**的核心决策，已按主题分类整理，仅保留结论与关键理由。</w:t>
      </w:r>
    </w:p>
    <w:p w14:paraId="2D686D46">
      <w:pPr>
        <w:rPr>
          <w:rFonts w:hint="eastAsia" w:ascii="宋体" w:hAnsi="宋体" w:eastAsia="宋体" w:cs="宋体"/>
          <w:lang w:val="en-US" w:eastAsia="zh-CN"/>
        </w:rPr>
      </w:pPr>
    </w:p>
    <w:p w14:paraId="7C2DBC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一、核心体验框架</w:t>
      </w:r>
    </w:p>
    <w:p w14:paraId="66E6CE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**四个状态（地图巡航 → 俯冲过渡 → 沉浸场景 → 上升过渡）**  </w:t>
      </w:r>
    </w:p>
    <w:p w14:paraId="4279EF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来源：Deepseek  </w:t>
      </w:r>
    </w:p>
    <w:p w14:paraId="5DB023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理由：逻辑闭环清晰，过渡期不可操作，保证沉浸感。</w:t>
      </w:r>
    </w:p>
    <w:p w14:paraId="2877386B">
      <w:pPr>
        <w:rPr>
          <w:rFonts w:hint="eastAsia" w:ascii="宋体" w:hAnsi="宋体" w:eastAsia="宋体" w:cs="宋体"/>
          <w:lang w:val="en-US" w:eastAsia="zh-CN"/>
        </w:rPr>
      </w:pPr>
    </w:p>
    <w:p w14:paraId="3D530A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**功能定位为“目的地体验与旅行判断”而非“模型展示”**  </w:t>
      </w:r>
    </w:p>
    <w:p w14:paraId="5EC608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3E5B57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理由：区分“看热闹”与“辅助决策”，这是产品核心价值。</w:t>
      </w:r>
    </w:p>
    <w:p w14:paraId="42368AC6">
      <w:pPr>
        <w:rPr>
          <w:rFonts w:hint="eastAsia" w:ascii="宋体" w:hAnsi="宋体" w:eastAsia="宋体" w:cs="宋体"/>
          <w:lang w:val="en-US" w:eastAsia="zh-CN"/>
        </w:rPr>
      </w:pPr>
    </w:p>
    <w:p w14:paraId="2CA97D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**俯冲时长 900-1200ms**  </w:t>
      </w:r>
    </w:p>
    <w:p w14:paraId="724ACB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来源：Grok  </w:t>
      </w:r>
    </w:p>
    <w:p w14:paraId="1A40A4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理由：有戏剧感但不拖沓。</w:t>
      </w:r>
    </w:p>
    <w:p w14:paraId="15BC2E71">
      <w:pPr>
        <w:rPr>
          <w:rFonts w:hint="eastAsia" w:ascii="宋体" w:hAnsi="宋体" w:eastAsia="宋体" w:cs="宋体"/>
          <w:lang w:val="en-US" w:eastAsia="zh-CN"/>
        </w:rPr>
      </w:pPr>
    </w:p>
    <w:p w14:paraId="000F6A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**快速连续点击第二个锚点可打断当前动画**  </w:t>
      </w:r>
    </w:p>
    <w:p w14:paraId="499AEA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来源：Deepseek/GPT  </w:t>
      </w:r>
    </w:p>
    <w:p w14:paraId="573F51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理由：避免排队堆积，符合直觉。</w:t>
      </w:r>
    </w:p>
    <w:p w14:paraId="39D3D03A">
      <w:pPr>
        <w:rPr>
          <w:rFonts w:hint="eastAsia" w:ascii="宋体" w:hAnsi="宋体" w:eastAsia="宋体" w:cs="宋体"/>
          <w:lang w:val="en-US" w:eastAsia="zh-CN"/>
        </w:rPr>
      </w:pPr>
    </w:p>
    <w:p w14:paraId="5F77CE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二、POI分类体系</w:t>
      </w:r>
    </w:p>
    <w:p w14:paraId="0F0922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**一级分类（自然风光/户外极限/人文历史等）仅作为内容频道和筛选入口**  </w:t>
      </w:r>
    </w:p>
    <w:p w14:paraId="51D6AA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1FDF23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理由：同一地点可属于多个频道，避免互斥分类问题。</w:t>
      </w:r>
    </w:p>
    <w:p w14:paraId="02853E5E">
      <w:pPr>
        <w:rPr>
          <w:rFonts w:hint="eastAsia" w:ascii="宋体" w:hAnsi="宋体" w:eastAsia="宋体" w:cs="宋体"/>
          <w:lang w:val="en-US" w:eastAsia="zh-CN"/>
        </w:rPr>
      </w:pPr>
    </w:p>
    <w:p w14:paraId="58F555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**探索对象形态分为：点 / 区域 / 线路 / 活动场所 / 时间现象**  </w:t>
      </w:r>
    </w:p>
    <w:p w14:paraId="7AC6965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59FA6C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理由：不同形态需要不同进入逻辑，不能全部套用单一模板。</w:t>
      </w:r>
    </w:p>
    <w:p w14:paraId="301B2FDB">
      <w:pPr>
        <w:rPr>
          <w:rFonts w:hint="eastAsia" w:ascii="宋体" w:hAnsi="宋体" w:eastAsia="宋体" w:cs="宋体"/>
          <w:lang w:val="en-US" w:eastAsia="zh-CN"/>
        </w:rPr>
      </w:pPr>
    </w:p>
    <w:p w14:paraId="1F2B5F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**活动标签（徒步/潜水/摄影等）不作为独立POI类型**  </w:t>
      </w:r>
    </w:p>
    <w:p w14:paraId="17BBA8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7D5D36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理由：它们是场景中的“玩法”，而非目的地本身。</w:t>
      </w:r>
    </w:p>
    <w:p w14:paraId="70BABBC5">
      <w:pPr>
        <w:rPr>
          <w:rFonts w:hint="eastAsia" w:ascii="宋体" w:hAnsi="宋体" w:eastAsia="宋体" w:cs="宋体"/>
          <w:lang w:val="en-US" w:eastAsia="zh-CN"/>
        </w:rPr>
      </w:pPr>
    </w:p>
    <w:p w14:paraId="7EA9A1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**世界遗产、季节限定、夜景等作为标签/认证，不作为独立场景类型**  </w:t>
      </w:r>
    </w:p>
    <w:p w14:paraId="45F885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4B09A8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理由：避免把属性当成对象。</w:t>
      </w:r>
    </w:p>
    <w:p w14:paraId="71A10AC4">
      <w:pPr>
        <w:rPr>
          <w:rFonts w:hint="eastAsia" w:ascii="宋体" w:hAnsi="宋体" w:eastAsia="宋体" w:cs="宋体"/>
          <w:lang w:val="en-US" w:eastAsia="zh-CN"/>
        </w:rPr>
      </w:pPr>
    </w:p>
    <w:p w14:paraId="3866ED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三、交互主题与规则</w:t>
      </w:r>
    </w:p>
    <w:p w14:paraId="395934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**五个主题框架（景色、怎么玩、适合谁、自然观察、注意事项）**  </w:t>
      </w:r>
    </w:p>
    <w:p w14:paraId="600B22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来源：原方案 + 多模型  </w:t>
      </w:r>
    </w:p>
    <w:p w14:paraId="137171A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理由：覆盖用户决策所需全部维度。</w:t>
      </w:r>
    </w:p>
    <w:p w14:paraId="5E18A4A7">
      <w:pPr>
        <w:rPr>
          <w:rFonts w:hint="eastAsia" w:ascii="宋体" w:hAnsi="宋体" w:eastAsia="宋体" w:cs="宋体"/>
          <w:lang w:val="en-US" w:eastAsia="zh-CN"/>
        </w:rPr>
      </w:pPr>
    </w:p>
    <w:p w14:paraId="19B677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**非自然类将“自然观察”替换为“人文观察/工程观察”**  </w:t>
      </w:r>
    </w:p>
    <w:p w14:paraId="492D60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来源：Deepseek/GPT  </w:t>
      </w:r>
    </w:p>
    <w:p w14:paraId="2932DA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理由：保持交互一致性，同时适配不同场景。</w:t>
      </w:r>
    </w:p>
    <w:p w14:paraId="084171F5">
      <w:pPr>
        <w:rPr>
          <w:rFonts w:hint="eastAsia" w:ascii="宋体" w:hAnsi="宋体" w:eastAsia="宋体" w:cs="宋体"/>
          <w:lang w:val="en-US" w:eastAsia="zh-CN"/>
        </w:rPr>
      </w:pPr>
    </w:p>
    <w:p w14:paraId="299C3B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**首次进入只显示最少信息（名称+类型+核心景观+当前适合活动）**  </w:t>
      </w:r>
    </w:p>
    <w:p w14:paraId="2B9289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70034EF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理由：先让用户感受，再提供探索入口，避免信息过载。</w:t>
      </w:r>
    </w:p>
    <w:p w14:paraId="19C0A0D3">
      <w:pPr>
        <w:rPr>
          <w:rFonts w:hint="eastAsia" w:ascii="宋体" w:hAnsi="宋体" w:eastAsia="宋体" w:cs="宋体"/>
          <w:lang w:val="en-US" w:eastAsia="zh-CN"/>
        </w:rPr>
      </w:pPr>
    </w:p>
    <w:p w14:paraId="70D02D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**信息面板文字随场景状态实时变化**  </w:t>
      </w:r>
    </w:p>
    <w:p w14:paraId="3BED3C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来源：多模型  </w:t>
      </w:r>
    </w:p>
    <w:p w14:paraId="3210F6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理由：强化“点击标签 → 场景响应”的沉浸感。</w:t>
      </w:r>
    </w:p>
    <w:p w14:paraId="7F855977">
      <w:pPr>
        <w:rPr>
          <w:rFonts w:hint="eastAsia" w:ascii="宋体" w:hAnsi="宋体" w:eastAsia="宋体" w:cs="宋体"/>
          <w:lang w:val="en-US" w:eastAsia="zh-CN"/>
        </w:rPr>
      </w:pPr>
    </w:p>
    <w:p w14:paraId="76448E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**点击标签必须同时改变场景 + 空间标签 + 说明内容**  </w:t>
      </w:r>
    </w:p>
    <w:p w14:paraId="6373CD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来源：Grok/Gemini/GPT  </w:t>
      </w:r>
    </w:p>
    <w:p w14:paraId="3A3EC1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理由：这是沉浸式与普通详情页的本质区别。</w:t>
      </w:r>
    </w:p>
    <w:p w14:paraId="6F8D98FF">
      <w:pPr>
        <w:rPr>
          <w:rFonts w:hint="eastAsia" w:ascii="宋体" w:hAnsi="宋体" w:eastAsia="宋体" w:cs="宋体"/>
          <w:lang w:val="en-US" w:eastAsia="zh-CN"/>
        </w:rPr>
      </w:pPr>
    </w:p>
    <w:p w14:paraId="1A4688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**一次只激活一个主探索主题**  </w:t>
      </w:r>
    </w:p>
    <w:p w14:paraId="482A9D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0AB66F1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理由：避免多状态叠加造成场景混乱。</w:t>
      </w:r>
    </w:p>
    <w:p w14:paraId="5F4F991A">
      <w:pPr>
        <w:rPr>
          <w:rFonts w:hint="eastAsia" w:ascii="宋体" w:hAnsi="宋体" w:eastAsia="宋体" w:cs="宋体"/>
          <w:lang w:val="en-US" w:eastAsia="zh-CN"/>
        </w:rPr>
      </w:pPr>
    </w:p>
    <w:p w14:paraId="767502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**当前实况、季节预览、风险演示严格分离并明确标注**  </w:t>
      </w:r>
    </w:p>
    <w:p w14:paraId="2FEC7C8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来源：GPT/Gemini  </w:t>
      </w:r>
    </w:p>
    <w:p w14:paraId="5A1C47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理由：保证内容可信度，避免用户误解。</w:t>
      </w:r>
    </w:p>
    <w:p w14:paraId="08B12677">
      <w:pPr>
        <w:rPr>
          <w:rFonts w:hint="eastAsia" w:ascii="宋体" w:hAnsi="宋体" w:eastAsia="宋体" w:cs="宋体"/>
          <w:lang w:val="en-US" w:eastAsia="zh-CN"/>
        </w:rPr>
      </w:pPr>
    </w:p>
    <w:p w14:paraId="1854CD5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**风险演示必须包含形成原因 → 影响区域 → 行动建议**  </w:t>
      </w:r>
    </w:p>
    <w:p w14:paraId="64633D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012769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理由：风险不能只作为视觉特效。</w:t>
      </w:r>
    </w:p>
    <w:p w14:paraId="761DE00C">
      <w:pPr>
        <w:rPr>
          <w:rFonts w:hint="eastAsia" w:ascii="宋体" w:hAnsi="宋体" w:eastAsia="宋体" w:cs="宋体"/>
          <w:lang w:val="en-US" w:eastAsia="zh-CN"/>
        </w:rPr>
      </w:pPr>
    </w:p>
    <w:p w14:paraId="74B5E6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**风险演示支持暂停、重播、恢复平静（不自动消退）**  </w:t>
      </w:r>
    </w:p>
    <w:p w14:paraId="79969D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来源：Deepseek/GPT  </w:t>
      </w:r>
    </w:p>
    <w:p w14:paraId="6DCECE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理由：用户需要控制观察节奏。</w:t>
      </w:r>
    </w:p>
    <w:p w14:paraId="702A9244">
      <w:pPr>
        <w:rPr>
          <w:rFonts w:hint="eastAsia" w:ascii="宋体" w:hAnsi="宋体" w:eastAsia="宋体" w:cs="宋体"/>
          <w:lang w:val="en-US" w:eastAsia="zh-CN"/>
        </w:rPr>
      </w:pPr>
    </w:p>
    <w:p w14:paraId="3E8863C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**标签应锚定在对应3D空间坐标**  </w:t>
      </w:r>
    </w:p>
    <w:p w14:paraId="0FCE7D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来源：Gemini/GPT  </w:t>
      </w:r>
    </w:p>
    <w:p w14:paraId="57BF3C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理由：增强空间感（海拔在山顶、鱼类跟随鱼群）。</w:t>
      </w:r>
    </w:p>
    <w:p w14:paraId="6FC4BA9E">
      <w:pPr>
        <w:rPr>
          <w:rFonts w:hint="eastAsia" w:ascii="宋体" w:hAnsi="宋体" w:eastAsia="宋体" w:cs="宋体"/>
          <w:lang w:val="en-US" w:eastAsia="zh-CN"/>
        </w:rPr>
      </w:pPr>
    </w:p>
    <w:p w14:paraId="1DD2D1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四、MVP范围</w:t>
      </w:r>
    </w:p>
    <w:p w14:paraId="15F09D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**首期只做“山地/高原 + 水域/海岸”两个模板**  </w:t>
      </w:r>
    </w:p>
    <w:p w14:paraId="2F7BA37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来源：Grok/Deepseek  </w:t>
      </w:r>
    </w:p>
    <w:p w14:paraId="300271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理由：视觉差异最大，覆盖自然主线，能最快验证核心价值。</w:t>
      </w:r>
    </w:p>
    <w:p w14:paraId="1E9165DF">
      <w:pPr>
        <w:rPr>
          <w:rFonts w:hint="eastAsia" w:ascii="宋体" w:hAnsi="宋体" w:eastAsia="宋体" w:cs="宋体"/>
          <w:lang w:val="en-US" w:eastAsia="zh-CN"/>
        </w:rPr>
      </w:pPr>
    </w:p>
    <w:p w14:paraId="535B83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**首期必须支持：景色（四季切换）+ 风险 + 怎么玩（路线高亮）+ 适合谁**  </w:t>
      </w:r>
    </w:p>
    <w:p w14:paraId="1C9925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来源：Grok  </w:t>
      </w:r>
    </w:p>
    <w:p w14:paraId="5384D1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理由：这四项是验证沉浸式决策的最小闭环。</w:t>
      </w:r>
    </w:p>
    <w:p w14:paraId="2A4C2BE4">
      <w:pPr>
        <w:rPr>
          <w:rFonts w:hint="eastAsia" w:ascii="宋体" w:hAnsi="宋体" w:eastAsia="宋体" w:cs="宋体"/>
          <w:lang w:val="en-US" w:eastAsia="zh-CN"/>
        </w:rPr>
      </w:pPr>
    </w:p>
    <w:p w14:paraId="141F62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**水下下潜 + 鱼群作为水域模板的必做功能**  </w:t>
      </w:r>
    </w:p>
    <w:p w14:paraId="64C2D9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来源：Grok/Gemini  </w:t>
      </w:r>
    </w:p>
    <w:p w14:paraId="3C7F37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理由：这是水域模板最具辨识度的沉浸体验。</w:t>
      </w:r>
    </w:p>
    <w:p w14:paraId="0C886B8E">
      <w:pPr>
        <w:rPr>
          <w:rFonts w:hint="eastAsia" w:ascii="宋体" w:hAnsi="宋体" w:eastAsia="宋体" w:cs="宋体"/>
          <w:lang w:val="en-US" w:eastAsia="zh-CN"/>
        </w:rPr>
      </w:pPr>
    </w:p>
    <w:p w14:paraId="0F70CA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五、退出与总结</w:t>
      </w:r>
    </w:p>
    <w:p w14:paraId="77A4BB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**退出3D场景前必须出现“探索结论 + 下一步行动”总结页**  </w:t>
      </w:r>
    </w:p>
    <w:p w14:paraId="1B1B37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来源：Grok/GPT  </w:t>
      </w:r>
    </w:p>
    <w:p w14:paraId="2A0060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理由：将沉浸体验转化为实际旅行决策价值。</w:t>
      </w:r>
    </w:p>
    <w:p w14:paraId="09AA6899">
      <w:pPr>
        <w:rPr>
          <w:rFonts w:hint="eastAsia" w:ascii="宋体" w:hAnsi="宋体" w:eastAsia="宋体" w:cs="宋体"/>
          <w:lang w:val="en-US" w:eastAsia="zh-CN"/>
        </w:rPr>
      </w:pPr>
    </w:p>
    <w:p w14:paraId="676C04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**总结页内容包含：最适合的季节/玩法/人群 + 需要留意的风险 + 行动按钮**  </w:t>
      </w:r>
    </w:p>
    <w:p w14:paraId="68D70A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来源：GPT  </w:t>
      </w:r>
    </w:p>
    <w:p w14:paraId="2A3255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理由：给用户明确的行动出口。</w:t>
      </w:r>
    </w:p>
    <w:p w14:paraId="2952EACB">
      <w:pPr>
        <w:rPr>
          <w:rFonts w:hint="eastAsia" w:ascii="宋体" w:hAnsi="宋体" w:eastAsia="宋体" w:cs="宋体"/>
          <w:lang w:val="en-US" w:eastAsia="zh-CN"/>
        </w:rPr>
      </w:pPr>
    </w:p>
    <w:p w14:paraId="4FA9AB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六、降级与边界</w:t>
      </w:r>
    </w:p>
    <w:p w14:paraId="392D17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**低性能设备关闭粒子特效，保留3D模型**  </w:t>
      </w:r>
    </w:p>
    <w:p w14:paraId="7C19B1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来源：Deepseek  </w:t>
      </w:r>
    </w:p>
    <w:p w14:paraId="7D2380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理由：保证基础可用性。</w:t>
      </w:r>
    </w:p>
    <w:p w14:paraId="4B3AA5D4">
      <w:pPr>
        <w:rPr>
          <w:rFonts w:hint="eastAsia" w:ascii="宋体" w:hAnsi="宋体" w:eastAsia="宋体" w:cs="宋体"/>
          <w:lang w:val="en-US" w:eastAsia="zh-CN"/>
        </w:rPr>
      </w:pPr>
    </w:p>
    <w:p w14:paraId="369E1E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**模型未准备好时显示占位卡片，不阻塞俯冲动画**  </w:t>
      </w:r>
    </w:p>
    <w:p w14:paraId="1FF6CA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来源：Deepseek  </w:t>
      </w:r>
    </w:p>
    <w:p w14:paraId="126033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理由：保持流畅感。</w:t>
      </w:r>
    </w:p>
    <w:p w14:paraId="0D615FCE">
      <w:pPr>
        <w:rPr>
          <w:rFonts w:hint="eastAsia" w:ascii="宋体" w:hAnsi="宋体" w:eastAsia="宋体" w:cs="宋体"/>
          <w:lang w:val="en-US" w:eastAsia="zh-CN"/>
        </w:rPr>
      </w:pPr>
    </w:p>
    <w:p w14:paraId="198A0FC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22362954">
      <w:pPr>
        <w:rPr>
          <w:rFonts w:hint="eastAsia" w:ascii="宋体" w:hAnsi="宋体" w:eastAsia="宋体" w:cs="宋体"/>
          <w:lang w:val="en-US" w:eastAsia="zh-CN"/>
        </w:rPr>
      </w:pPr>
    </w:p>
    <w:p w14:paraId="0F3BF9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**最终结论**：以上所有决策已形成完整闭环，可直接进入《ATLAS 沉浸式俯冲探索·交互规格说明书 V1.0》编写阶段。</w:t>
      </w:r>
    </w:p>
    <w:p w14:paraId="4886A225">
      <w:pPr>
        <w:rPr>
          <w:rFonts w:hint="eastAsia" w:ascii="宋体" w:hAnsi="宋体" w:eastAsia="宋体" w:cs="宋体"/>
          <w:lang w:val="en-US" w:eastAsia="zh-CN"/>
        </w:rPr>
      </w:pPr>
    </w:p>
    <w:p w14:paraId="4944F0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Gemini：</w:t>
      </w:r>
    </w:p>
    <w:p w14:paraId="195599F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以下是当前所有达成共识并予以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同意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的方案复盘清单，已剔除所有被搁置或反对的项：</w:t>
      </w:r>
    </w:p>
    <w:p w14:paraId="53FCB18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一、 基础架构与分类逻辑</w:t>
      </w:r>
    </w:p>
    <w:p w14:paraId="3A1A48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FB9F4C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保留六个一级入口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：保留“自然风光、户外极限、人文历史、网红奇观、休闲露营、超级工程”六个一级入口。理由：作为内容频道和筛选入口，同一景点可属于多个频道。提出方：GPT。决策：同意。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2A42D8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C2CE5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C1C740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一级频道非互斥分类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：一级频道不作为互斥的 POI 类型。理由：富士山等对象可能同时属于自然、户外和奇观。提出方：GPT。决策：同意。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66F2BA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13E84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183001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清单对象拆分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：将清单拆分为地理实体、活动方式、线路、区域集合、时间/内容标签。理由：避免把湖泊、徒步、国家公园和世界遗产当成同一类对象。提出方：GPT。决策：同意。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58FCB0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CCBF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FFE285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统一定义“探索对象”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：内部统一使用“探索对象”概念。理由：能同时覆盖点、区域、线路、活动场所和时间现象；前端仍可显示“景点”。提出方：GPT。决策：同意。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02F494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1846E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606162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划分五种对象形态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：探索对象分为点、区域、线路、活动场所、时间现象五种形态。理由：不同对象需要不同进入方式，不能全部套用中心模型。提出方：GPT。决策：同意。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477630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3CFDE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二、 场景模板与物理形态</w:t>
      </w:r>
    </w:p>
    <w:p w14:paraId="01B68D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790B7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确立六个核心场景家族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：采用六个核心沉浸场景家族。理由：兼顾覆盖率与场景差异，不无限拆分。提出方：DeepSeek + Gemini + GPT 裁决。决策：同意。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2B8BA4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1443D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3A1FE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场景家族构成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：六个家族分别为山地高差、水域海岸、水下生态、生态荒野、人文城市、工程线路。理由：单独保留水下和线路，满足原始沉浸需求。提出方：DeepSeek + Gemini + GPT 裁决。决策：同意。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0B9989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2EFDF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D55EB4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水域与水下彻底分离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：水下生态与水面水域分成两个场景家族。理由：水下具有独立进入方式、生态内容、活动与风险逻辑。提出方：Gemini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35BAF1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536CE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50055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线路类预演逻辑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：线路类采用沿线预演，不采用中心模型环绕。理由：高山列车、海岸公路、自驾路线的重点在沿途变化。提出方：GPT。决策：同意。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34FDA0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2B2DF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C3946F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区域类沙盘逻辑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：区域类先展示整体沙盘，再进入内部子景点。理由：国家公园、古城和森林并非单一落点。提出方：GPT。决策：同意。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0B400C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5798B0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三、 探索主题与标签机制</w:t>
      </w:r>
    </w:p>
    <w:p w14:paraId="552883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2042B2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活动方式归属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：活动方式作为“怎么体验”的玩法，不作为基础地貌模板。理由：潜水、徒步、滑雪、骑行可发生在不同场景中。提出方：GPT + Gemini。决策：同意。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116963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36A9B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03726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确立四个通用主题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：四个全类型公共主题为“看什么、怎么体验、适合谁、注意什么”。理由：能同时覆盖自然、人文和工程对象。提出方：GPT。决策：同意。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0CF24B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86933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D7A4E8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第五主题动态变化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：第五个主题根据场景类型动态变化。理由：自然类用自然观察，人文类用故事与过去，工程类用如何建成/运行。提出方：GPT + DeepSeek。决策：同意。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1494B1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CADF7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2089A6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标签触发联动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：点击主题必须同时改变场景、空间标签和解释内容。理由：保证不是普通文字详情页。提出方：Grok + Gemini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77E8BF9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BE52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8EDC5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单主题激活限制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：同一时间只激活一个主探索主题。理由：防止天气、季节、路线、动物和风险效果叠加混乱。提出方：GPT。决策：同意。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588279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AAD0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455C85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标签空间锚定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：标签应锚定在对应场景位置。理由：海拔、路线、鱼类和风险应与实际空间位置建立关联。提出方：Gemini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438708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DE649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EE110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属性标签降级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：摄影、夜景、露营、亲子、世界遗产等作为体验或属性标签。理由：它们不决定基础场景类型。提出方：DeepSeek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4617B7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9B1A9D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6EAABA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标签绑定强制反馈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：每个体验标签必须绑定明确的场景反馈。理由：禁止只有标签名称而没有实际场景变化。提出方：DeepSeek + Grok。决策：同意。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77B642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C941D1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四、 交互体验与界面呈现</w:t>
      </w:r>
    </w:p>
    <w:p w14:paraId="72FBFA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48B5E0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渐进式信息披露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：初次抵达只显示地点、核心景观和当前主要玩法。理由：先建立沉浸感，避免信息面板立即遮住场景。提出方：GPT。决策：同意。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6AE411B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4474F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2378EF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情境状态严格分离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：当前实况、季节预览、风险演示严格分开。理由：防止用户将模拟雷雨或风险误认为当前真实情况。提出方：GPT。决策：同意。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7EC27B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DF801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A88B3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风险演示完整性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：风险演示必须包含形成原因、过程、影响区域和行动建议。理由：风险不能只作为视觉特效。提出方：GPT。决策：同意。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0FDCE8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0B00F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A6D61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风险交互控制权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：风险演示支持暂停、重播、恢复平静。理由：用户需要控制观察节奏，不应被强制播放。提出方：GPT。决策：同意。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18A16D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0705A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C5DE30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地图状态无缝记忆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：返回地图后恢复原地图位置、选择和探索状态。理由：保持连续探索体验。提出方：Grok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635A8A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FBE35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BCBE9F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输出旅行判断总结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：沉浸体验结束时形成旅行判断总结。理由：将沉浸体验转化为是否去、何时去和如何准备的决策。提出方：GPT。决策：同意。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7F455F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187F1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C1025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动态适配结论替代评分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：不使用固定景点评分，改为当前用户与当前时间的动态适配结论。理由：延续此前已经冻结的适配度规则。提出方：GPT。决策：同意。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2C2107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D7020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B3F037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保留视觉降级入口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：沉浸体验保留非沉浸式信息入口。理由：为不适应动态场景或无障碍用户提供等价信息路径。提出方：Grok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2BE3B1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CF7670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五、 MVP 首期范围确认</w:t>
      </w:r>
    </w:p>
    <w:p w14:paraId="4A2387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59907D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首期三大核心场景确立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：首期采用“山地、水域、水下”三套完整场景。理由：分别验证高差、表面水域和穿水进入三种核心体验。提出方：Gemini + 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619451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20740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C4BBE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首期验证闭环</w:t>
      </w:r>
      <w:r>
        <w:rPr>
          <w:rFonts w:hint="eastAsia" w:ascii="宋体" w:hAnsi="宋体" w:eastAsia="宋体" w:cs="宋体"/>
          <w:color w:val="1F1F1F"/>
          <w:bdr w:val="none" w:color="1F1F1F" w:sz="0" w:space="0"/>
        </w:rPr>
        <w:t>：首期每套场景必须覆盖看什么、怎么体验、适合谁、注意什么和动态第五主题。理由：确保验证完整体验，而不是只制作视觉样片。提出方：GPT。决策：同意。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</w:t>
      </w:r>
    </w:p>
    <w:p w14:paraId="053286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39E30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GPT：</w:t>
      </w:r>
    </w:p>
    <w:p w14:paraId="4723F95D">
      <w:pPr>
        <w:pStyle w:val="7"/>
        <w:keepNext w:val="0"/>
        <w:keepLines w:val="0"/>
        <w:widowControl/>
        <w:suppressLineNumbers w:val="0"/>
      </w:pPr>
      <w:r>
        <w:t>以下仅保留已经确认“同意实施”的方案，删除搁置项和反对项，并按最终冻结方向统一冲突：</w:t>
      </w:r>
      <w:r>
        <w:rPr>
          <w:rStyle w:val="10"/>
        </w:rPr>
        <w:t>首期采用山地、水域、水下三套完整场景</w:t>
      </w:r>
      <w:r>
        <w:t>。</w:t>
      </w:r>
    </w:p>
    <w:p w14:paraId="3B91CFC4">
      <w:pPr>
        <w:pStyle w:val="2"/>
        <w:keepNext w:val="0"/>
        <w:keepLines w:val="0"/>
        <w:widowControl/>
        <w:suppressLineNumbers w:val="0"/>
      </w:pPr>
      <w:r>
        <w:t>一、产品定位与体验流程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6014"/>
        <w:gridCol w:w="1826"/>
      </w:tblGrid>
      <w:tr w14:paraId="361AF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8C5E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D3AE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111C2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544C0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EA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A-01</w:t>
            </w:r>
          </w:p>
        </w:tc>
        <w:tc>
          <w:tcPr>
            <w:tcW w:w="0" w:type="auto"/>
            <w:shd w:val="clear"/>
            <w:vAlign w:val="center"/>
          </w:tcPr>
          <w:p w14:paraId="5C266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功能定位为“目的地沉浸预演与旅行判断”，不是单纯展示3D模型</w:t>
            </w:r>
          </w:p>
        </w:tc>
        <w:tc>
          <w:tcPr>
            <w:tcW w:w="0" w:type="auto"/>
            <w:shd w:val="clear"/>
            <w:vAlign w:val="center"/>
          </w:tcPr>
          <w:p w14:paraId="359EF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23C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C6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A-02</w:t>
            </w:r>
          </w:p>
        </w:tc>
        <w:tc>
          <w:tcPr>
            <w:tcW w:w="0" w:type="auto"/>
            <w:shd w:val="clear"/>
            <w:vAlign w:val="center"/>
          </w:tcPr>
          <w:p w14:paraId="751EA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用户完整流程为：地图巡航 → 点击探索对象 → 俯冲进入 → 沉浸探索 → 旅行判断总结 → 返回地图</w:t>
            </w:r>
          </w:p>
        </w:tc>
        <w:tc>
          <w:tcPr>
            <w:tcW w:w="0" w:type="auto"/>
            <w:shd w:val="clear"/>
            <w:vAlign w:val="center"/>
          </w:tcPr>
          <w:p w14:paraId="346CC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+ GPT</w:t>
            </w:r>
          </w:p>
        </w:tc>
      </w:tr>
      <w:tr w14:paraId="25307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3C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A-03</w:t>
            </w:r>
          </w:p>
        </w:tc>
        <w:tc>
          <w:tcPr>
            <w:tcW w:w="0" w:type="auto"/>
            <w:shd w:val="clear"/>
            <w:vAlign w:val="center"/>
          </w:tcPr>
          <w:p w14:paraId="6C58F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点击地图锚点后，以俯冲方式从卫星地图进入目的地场景</w:t>
            </w:r>
          </w:p>
        </w:tc>
        <w:tc>
          <w:tcPr>
            <w:tcW w:w="0" w:type="auto"/>
            <w:shd w:val="clear"/>
            <w:vAlign w:val="center"/>
          </w:tcPr>
          <w:p w14:paraId="4C08D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17C5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4F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A-04</w:t>
            </w:r>
          </w:p>
        </w:tc>
        <w:tc>
          <w:tcPr>
            <w:tcW w:w="0" w:type="auto"/>
            <w:shd w:val="clear"/>
            <w:vAlign w:val="center"/>
          </w:tcPr>
          <w:p w14:paraId="324C3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俯冲过程中只展示地点名称、地点类型、计划月份或当前预览条件</w:t>
            </w:r>
          </w:p>
        </w:tc>
        <w:tc>
          <w:tcPr>
            <w:tcW w:w="0" w:type="auto"/>
            <w:shd w:val="clear"/>
            <w:vAlign w:val="center"/>
          </w:tcPr>
          <w:p w14:paraId="16141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01DA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2B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A-05</w:t>
            </w:r>
          </w:p>
        </w:tc>
        <w:tc>
          <w:tcPr>
            <w:tcW w:w="0" w:type="auto"/>
            <w:shd w:val="clear"/>
            <w:vAlign w:val="center"/>
          </w:tcPr>
          <w:p w14:paraId="72DC9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抵达场景后先保留短暂纯场景观察，不立即展开完整信息面板</w:t>
            </w:r>
          </w:p>
        </w:tc>
        <w:tc>
          <w:tcPr>
            <w:tcW w:w="0" w:type="auto"/>
            <w:shd w:val="clear"/>
            <w:vAlign w:val="center"/>
          </w:tcPr>
          <w:p w14:paraId="5CF58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BD53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DDE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A-06</w:t>
            </w:r>
          </w:p>
        </w:tc>
        <w:tc>
          <w:tcPr>
            <w:tcW w:w="0" w:type="auto"/>
            <w:shd w:val="clear"/>
            <w:vAlign w:val="center"/>
          </w:tcPr>
          <w:p w14:paraId="43A3D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用户误触或改变目标时，可以取消当前俯冲或切换到新目标</w:t>
            </w:r>
          </w:p>
        </w:tc>
        <w:tc>
          <w:tcPr>
            <w:tcW w:w="0" w:type="auto"/>
            <w:shd w:val="clear"/>
            <w:vAlign w:val="center"/>
          </w:tcPr>
          <w:p w14:paraId="338CA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9AB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25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A-07</w:t>
            </w:r>
          </w:p>
        </w:tc>
        <w:tc>
          <w:tcPr>
            <w:tcW w:w="0" w:type="auto"/>
            <w:shd w:val="clear"/>
            <w:vAlign w:val="center"/>
          </w:tcPr>
          <w:p w14:paraId="1E64D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快速点击其他锚点时，取消旧目标的转场和状态，不排队播放</w:t>
            </w:r>
          </w:p>
        </w:tc>
        <w:tc>
          <w:tcPr>
            <w:tcW w:w="0" w:type="auto"/>
            <w:shd w:val="clear"/>
            <w:vAlign w:val="center"/>
          </w:tcPr>
          <w:p w14:paraId="177C5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424D8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22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A-08</w:t>
            </w:r>
          </w:p>
        </w:tc>
        <w:tc>
          <w:tcPr>
            <w:tcW w:w="0" w:type="auto"/>
            <w:shd w:val="clear"/>
            <w:vAlign w:val="center"/>
          </w:tcPr>
          <w:p w14:paraId="76471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返回地图后恢复原地图中心、缩放、选中对象和探索上下文</w:t>
            </w:r>
          </w:p>
        </w:tc>
        <w:tc>
          <w:tcPr>
            <w:tcW w:w="0" w:type="auto"/>
            <w:shd w:val="clear"/>
            <w:vAlign w:val="center"/>
          </w:tcPr>
          <w:p w14:paraId="1A703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GPT</w:t>
            </w:r>
          </w:p>
        </w:tc>
      </w:tr>
    </w:tbl>
    <w:p w14:paraId="61F65C43">
      <w:pPr>
        <w:pStyle w:val="2"/>
        <w:keepNext w:val="0"/>
        <w:keepLines w:val="0"/>
        <w:widowControl/>
        <w:suppressLineNumbers w:val="0"/>
      </w:pPr>
      <w:r>
        <w:t>二、POI与探索对象分类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6263"/>
        <w:gridCol w:w="1577"/>
      </w:tblGrid>
      <w:tr w14:paraId="11067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B741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695B53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1A893E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0E337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52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B-01</w:t>
            </w:r>
          </w:p>
        </w:tc>
        <w:tc>
          <w:tcPr>
            <w:tcW w:w="0" w:type="auto"/>
            <w:shd w:val="clear"/>
            <w:vAlign w:val="center"/>
          </w:tcPr>
          <w:p w14:paraId="1B6CA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保留“自然风光、户外极限、人文历史、网红奇观、休闲露营、超级工程”六个内容频道</w:t>
            </w:r>
          </w:p>
        </w:tc>
        <w:tc>
          <w:tcPr>
            <w:tcW w:w="0" w:type="auto"/>
            <w:shd w:val="clear"/>
            <w:vAlign w:val="center"/>
          </w:tcPr>
          <w:p w14:paraId="6162C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2225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AEB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B-02</w:t>
            </w:r>
          </w:p>
        </w:tc>
        <w:tc>
          <w:tcPr>
            <w:tcW w:w="0" w:type="auto"/>
            <w:shd w:val="clear"/>
            <w:vAlign w:val="center"/>
          </w:tcPr>
          <w:p w14:paraId="2F90B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六个频道只用于内容入口、筛选和策展，不作为互斥POI类型</w:t>
            </w:r>
          </w:p>
        </w:tc>
        <w:tc>
          <w:tcPr>
            <w:tcW w:w="0" w:type="auto"/>
            <w:shd w:val="clear"/>
            <w:vAlign w:val="center"/>
          </w:tcPr>
          <w:p w14:paraId="77B33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3CB1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C0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B-03</w:t>
            </w:r>
          </w:p>
        </w:tc>
        <w:tc>
          <w:tcPr>
            <w:tcW w:w="0" w:type="auto"/>
            <w:shd w:val="clear"/>
            <w:vAlign w:val="center"/>
          </w:tcPr>
          <w:p w14:paraId="5D9F7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同一个地点允许同时属于多个内容频道</w:t>
            </w:r>
          </w:p>
        </w:tc>
        <w:tc>
          <w:tcPr>
            <w:tcW w:w="0" w:type="auto"/>
            <w:shd w:val="clear"/>
            <w:vAlign w:val="center"/>
          </w:tcPr>
          <w:p w14:paraId="78C59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89E4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03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B-04</w:t>
            </w:r>
          </w:p>
        </w:tc>
        <w:tc>
          <w:tcPr>
            <w:tcW w:w="0" w:type="auto"/>
            <w:shd w:val="clear"/>
            <w:vAlign w:val="center"/>
          </w:tcPr>
          <w:p w14:paraId="6CEFE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内部统一使用“探索对象”概念，前端仍可使用“景点”等自然语言</w:t>
            </w:r>
          </w:p>
        </w:tc>
        <w:tc>
          <w:tcPr>
            <w:tcW w:w="0" w:type="auto"/>
            <w:shd w:val="clear"/>
            <w:vAlign w:val="center"/>
          </w:tcPr>
          <w:p w14:paraId="695F7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AFFA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E8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B-05</w:t>
            </w:r>
          </w:p>
        </w:tc>
        <w:tc>
          <w:tcPr>
            <w:tcW w:w="0" w:type="auto"/>
            <w:shd w:val="clear"/>
            <w:vAlign w:val="center"/>
          </w:tcPr>
          <w:p w14:paraId="47F43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探索对象分为：点、区域、线路、活动场所、时间现象</w:t>
            </w:r>
          </w:p>
        </w:tc>
        <w:tc>
          <w:tcPr>
            <w:tcW w:w="0" w:type="auto"/>
            <w:shd w:val="clear"/>
            <w:vAlign w:val="center"/>
          </w:tcPr>
          <w:p w14:paraId="351D0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76FB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828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B-06</w:t>
            </w:r>
          </w:p>
        </w:tc>
        <w:tc>
          <w:tcPr>
            <w:tcW w:w="0" w:type="auto"/>
            <w:shd w:val="clear"/>
            <w:vAlign w:val="center"/>
          </w:tcPr>
          <w:p w14:paraId="632E3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点状对象采用聚焦式进入</w:t>
            </w:r>
          </w:p>
        </w:tc>
        <w:tc>
          <w:tcPr>
            <w:tcW w:w="0" w:type="auto"/>
            <w:shd w:val="clear"/>
            <w:vAlign w:val="center"/>
          </w:tcPr>
          <w:p w14:paraId="6A0B4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27BF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0A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B-07</w:t>
            </w:r>
          </w:p>
        </w:tc>
        <w:tc>
          <w:tcPr>
            <w:tcW w:w="0" w:type="auto"/>
            <w:shd w:val="clear"/>
            <w:vAlign w:val="center"/>
          </w:tcPr>
          <w:p w14:paraId="3C73A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区域对象先展示整体沙盘，再进入内部子景点</w:t>
            </w:r>
          </w:p>
        </w:tc>
        <w:tc>
          <w:tcPr>
            <w:tcW w:w="0" w:type="auto"/>
            <w:shd w:val="clear"/>
            <w:vAlign w:val="center"/>
          </w:tcPr>
          <w:p w14:paraId="5D8A9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EFA2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A7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B-08</w:t>
            </w:r>
          </w:p>
        </w:tc>
        <w:tc>
          <w:tcPr>
            <w:tcW w:w="0" w:type="auto"/>
            <w:shd w:val="clear"/>
            <w:vAlign w:val="center"/>
          </w:tcPr>
          <w:p w14:paraId="57548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线路对象采用沿线预演，不采用围绕中心模型旋转</w:t>
            </w:r>
          </w:p>
        </w:tc>
        <w:tc>
          <w:tcPr>
            <w:tcW w:w="0" w:type="auto"/>
            <w:shd w:val="clear"/>
            <w:vAlign w:val="center"/>
          </w:tcPr>
          <w:p w14:paraId="3F2E5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9DB7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A5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B-09</w:t>
            </w:r>
          </w:p>
        </w:tc>
        <w:tc>
          <w:tcPr>
            <w:tcW w:w="0" w:type="auto"/>
            <w:shd w:val="clear"/>
            <w:vAlign w:val="center"/>
          </w:tcPr>
          <w:p w14:paraId="3BD77D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活动场所采用活动流程预演</w:t>
            </w:r>
          </w:p>
        </w:tc>
        <w:tc>
          <w:tcPr>
            <w:tcW w:w="0" w:type="auto"/>
            <w:shd w:val="clear"/>
            <w:vAlign w:val="center"/>
          </w:tcPr>
          <w:p w14:paraId="05675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BA2D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3C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B-10</w:t>
            </w:r>
          </w:p>
        </w:tc>
        <w:tc>
          <w:tcPr>
            <w:tcW w:w="0" w:type="auto"/>
            <w:shd w:val="clear"/>
            <w:vAlign w:val="center"/>
          </w:tcPr>
          <w:p w14:paraId="7B989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时间现象采用时间变化预演，如花期、红叶、极光和祭典</w:t>
            </w:r>
          </w:p>
        </w:tc>
        <w:tc>
          <w:tcPr>
            <w:tcW w:w="0" w:type="auto"/>
            <w:shd w:val="clear"/>
            <w:vAlign w:val="center"/>
          </w:tcPr>
          <w:p w14:paraId="2BBF3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53C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36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B-11</w:t>
            </w:r>
          </w:p>
        </w:tc>
        <w:tc>
          <w:tcPr>
            <w:tcW w:w="0" w:type="auto"/>
            <w:shd w:val="clear"/>
            <w:vAlign w:val="center"/>
          </w:tcPr>
          <w:p w14:paraId="40CAD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徒步、潜水、滑雪、骑行、摄影、露营等属于玩法标签</w:t>
            </w:r>
          </w:p>
        </w:tc>
        <w:tc>
          <w:tcPr>
            <w:tcW w:w="0" w:type="auto"/>
            <w:shd w:val="clear"/>
            <w:vAlign w:val="center"/>
          </w:tcPr>
          <w:p w14:paraId="51E031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</w:tr>
      <w:tr w14:paraId="38BEF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70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B-12</w:t>
            </w:r>
          </w:p>
        </w:tc>
        <w:tc>
          <w:tcPr>
            <w:tcW w:w="0" w:type="auto"/>
            <w:shd w:val="clear"/>
            <w:vAlign w:val="center"/>
          </w:tcPr>
          <w:p w14:paraId="0CE1F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世界遗产、夜景、季节限定、亲子、网红奇观等属于属性或策展标签</w:t>
            </w:r>
          </w:p>
        </w:tc>
        <w:tc>
          <w:tcPr>
            <w:tcW w:w="0" w:type="auto"/>
            <w:shd w:val="clear"/>
            <w:vAlign w:val="center"/>
          </w:tcPr>
          <w:p w14:paraId="4618A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5975C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4F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B-13</w:t>
            </w:r>
          </w:p>
        </w:tc>
        <w:tc>
          <w:tcPr>
            <w:tcW w:w="0" w:type="auto"/>
            <w:shd w:val="clear"/>
            <w:vAlign w:val="center"/>
          </w:tcPr>
          <w:p w14:paraId="0D54D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每个体验标签必须绑定明确的场景反馈，不允许只有文字标签</w:t>
            </w:r>
          </w:p>
        </w:tc>
        <w:tc>
          <w:tcPr>
            <w:tcW w:w="0" w:type="auto"/>
            <w:shd w:val="clear"/>
            <w:vAlign w:val="center"/>
          </w:tcPr>
          <w:p w14:paraId="3FA38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</w:t>
            </w:r>
          </w:p>
        </w:tc>
      </w:tr>
    </w:tbl>
    <w:p w14:paraId="4DECE8DF">
      <w:pPr>
        <w:pStyle w:val="2"/>
        <w:keepNext w:val="0"/>
        <w:keepLines w:val="0"/>
        <w:widowControl/>
        <w:suppressLineNumbers w:val="0"/>
      </w:pPr>
      <w:r>
        <w:t>三、沉浸场景家族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4998"/>
        <w:gridCol w:w="2842"/>
      </w:tblGrid>
      <w:tr w14:paraId="51C2B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4172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F94EE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0B298C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63CE9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4A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C-01</w:t>
            </w:r>
          </w:p>
        </w:tc>
        <w:tc>
          <w:tcPr>
            <w:tcW w:w="0" w:type="auto"/>
            <w:shd w:val="clear"/>
            <w:vAlign w:val="center"/>
          </w:tcPr>
          <w:p w14:paraId="29823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建立六个核心场景家族</w:t>
            </w:r>
          </w:p>
        </w:tc>
        <w:tc>
          <w:tcPr>
            <w:tcW w:w="0" w:type="auto"/>
            <w:shd w:val="clear"/>
            <w:vAlign w:val="center"/>
          </w:tcPr>
          <w:p w14:paraId="2AEC9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Gemini + GPT综合裁决</w:t>
            </w:r>
          </w:p>
        </w:tc>
      </w:tr>
      <w:tr w14:paraId="5CD26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8A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C-02</w:t>
            </w:r>
          </w:p>
        </w:tc>
        <w:tc>
          <w:tcPr>
            <w:tcW w:w="0" w:type="auto"/>
            <w:shd w:val="clear"/>
            <w:vAlign w:val="center"/>
          </w:tcPr>
          <w:p w14:paraId="33335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场景家族一：山地高差</w:t>
            </w:r>
          </w:p>
        </w:tc>
        <w:tc>
          <w:tcPr>
            <w:tcW w:w="0" w:type="auto"/>
            <w:shd w:val="clear"/>
            <w:vAlign w:val="center"/>
          </w:tcPr>
          <w:p w14:paraId="1D22D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31EF4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5B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C-03</w:t>
            </w:r>
          </w:p>
        </w:tc>
        <w:tc>
          <w:tcPr>
            <w:tcW w:w="0" w:type="auto"/>
            <w:shd w:val="clear"/>
            <w:vAlign w:val="center"/>
          </w:tcPr>
          <w:p w14:paraId="57FD4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场景家族二：水域海岸</w:t>
            </w:r>
          </w:p>
        </w:tc>
        <w:tc>
          <w:tcPr>
            <w:tcW w:w="0" w:type="auto"/>
            <w:shd w:val="clear"/>
            <w:vAlign w:val="center"/>
          </w:tcPr>
          <w:p w14:paraId="49627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04875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83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C-04</w:t>
            </w:r>
          </w:p>
        </w:tc>
        <w:tc>
          <w:tcPr>
            <w:tcW w:w="0" w:type="auto"/>
            <w:shd w:val="clear"/>
            <w:vAlign w:val="center"/>
          </w:tcPr>
          <w:p w14:paraId="59F34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场景家族三：水下生态</w:t>
            </w:r>
          </w:p>
        </w:tc>
        <w:tc>
          <w:tcPr>
            <w:tcW w:w="0" w:type="auto"/>
            <w:shd w:val="clear"/>
            <w:vAlign w:val="center"/>
          </w:tcPr>
          <w:p w14:paraId="7F49D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3D2AF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82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C-05</w:t>
            </w:r>
          </w:p>
        </w:tc>
        <w:tc>
          <w:tcPr>
            <w:tcW w:w="0" w:type="auto"/>
            <w:shd w:val="clear"/>
            <w:vAlign w:val="center"/>
          </w:tcPr>
          <w:p w14:paraId="4A90C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场景家族四：生态荒野</w:t>
            </w:r>
          </w:p>
        </w:tc>
        <w:tc>
          <w:tcPr>
            <w:tcW w:w="0" w:type="auto"/>
            <w:shd w:val="clear"/>
            <w:vAlign w:val="center"/>
          </w:tcPr>
          <w:p w14:paraId="3BA65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5381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3A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C-06</w:t>
            </w:r>
          </w:p>
        </w:tc>
        <w:tc>
          <w:tcPr>
            <w:tcW w:w="0" w:type="auto"/>
            <w:shd w:val="clear"/>
            <w:vAlign w:val="center"/>
          </w:tcPr>
          <w:p w14:paraId="6ECCD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场景家族五：人文城市</w:t>
            </w:r>
          </w:p>
        </w:tc>
        <w:tc>
          <w:tcPr>
            <w:tcW w:w="0" w:type="auto"/>
            <w:shd w:val="clear"/>
            <w:vAlign w:val="center"/>
          </w:tcPr>
          <w:p w14:paraId="39A7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00140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FB6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C-07</w:t>
            </w:r>
          </w:p>
        </w:tc>
        <w:tc>
          <w:tcPr>
            <w:tcW w:w="0" w:type="auto"/>
            <w:shd w:val="clear"/>
            <w:vAlign w:val="center"/>
          </w:tcPr>
          <w:p w14:paraId="0D4D0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场景家族六：工程线路</w:t>
            </w:r>
          </w:p>
        </w:tc>
        <w:tc>
          <w:tcPr>
            <w:tcW w:w="0" w:type="auto"/>
            <w:shd w:val="clear"/>
            <w:vAlign w:val="center"/>
          </w:tcPr>
          <w:p w14:paraId="4F531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4B73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81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C-08</w:t>
            </w:r>
          </w:p>
        </w:tc>
        <w:tc>
          <w:tcPr>
            <w:tcW w:w="0" w:type="auto"/>
            <w:shd w:val="clear"/>
            <w:vAlign w:val="center"/>
          </w:tcPr>
          <w:p w14:paraId="1E0C9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水下生态必须与水面水域分开设计</w:t>
            </w:r>
          </w:p>
        </w:tc>
        <w:tc>
          <w:tcPr>
            <w:tcW w:w="0" w:type="auto"/>
            <w:shd w:val="clear"/>
            <w:vAlign w:val="center"/>
          </w:tcPr>
          <w:p w14:paraId="5EC02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65C9D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95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C-09</w:t>
            </w:r>
          </w:p>
        </w:tc>
        <w:tc>
          <w:tcPr>
            <w:tcW w:w="0" w:type="auto"/>
            <w:shd w:val="clear"/>
            <w:vAlign w:val="center"/>
          </w:tcPr>
          <w:p w14:paraId="7DEB5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不为每一个具体POI单独创造一套完整交互</w:t>
            </w:r>
          </w:p>
        </w:tc>
        <w:tc>
          <w:tcPr>
            <w:tcW w:w="0" w:type="auto"/>
            <w:shd w:val="clear"/>
            <w:vAlign w:val="center"/>
          </w:tcPr>
          <w:p w14:paraId="6624F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759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BD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C-10</w:t>
            </w:r>
          </w:p>
        </w:tc>
        <w:tc>
          <w:tcPr>
            <w:tcW w:w="0" w:type="auto"/>
            <w:shd w:val="clear"/>
            <w:vAlign w:val="center"/>
          </w:tcPr>
          <w:p w14:paraId="0FCB8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具体POI通过“探索对象形态 + 场景家族 + 体验标签”组合生成体验</w:t>
            </w:r>
          </w:p>
        </w:tc>
        <w:tc>
          <w:tcPr>
            <w:tcW w:w="0" w:type="auto"/>
            <w:shd w:val="clear"/>
            <w:vAlign w:val="center"/>
          </w:tcPr>
          <w:p w14:paraId="1EFAF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4427A591">
      <w:pPr>
        <w:pStyle w:val="2"/>
        <w:keepNext w:val="0"/>
        <w:keepLines w:val="0"/>
        <w:widowControl/>
        <w:suppressLineNumbers w:val="0"/>
      </w:pPr>
      <w:r>
        <w:t>四、首期MVP范围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371"/>
        <w:gridCol w:w="1468"/>
      </w:tblGrid>
      <w:tr w14:paraId="2F5AC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71E5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BAB02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3C81E3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0AF55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BF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D-01</w:t>
            </w:r>
          </w:p>
        </w:tc>
        <w:tc>
          <w:tcPr>
            <w:tcW w:w="0" w:type="auto"/>
            <w:shd w:val="clear"/>
            <w:vAlign w:val="center"/>
          </w:tcPr>
          <w:p w14:paraId="1C948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首期完整落地山地场景</w:t>
            </w:r>
          </w:p>
        </w:tc>
        <w:tc>
          <w:tcPr>
            <w:tcW w:w="0" w:type="auto"/>
            <w:shd w:val="clear"/>
            <w:vAlign w:val="center"/>
          </w:tcPr>
          <w:p w14:paraId="12E5A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2F5C9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5E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D-02</w:t>
            </w:r>
          </w:p>
        </w:tc>
        <w:tc>
          <w:tcPr>
            <w:tcW w:w="0" w:type="auto"/>
            <w:shd w:val="clear"/>
            <w:vAlign w:val="center"/>
          </w:tcPr>
          <w:p w14:paraId="29190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首期完整落地水域场景</w:t>
            </w:r>
          </w:p>
        </w:tc>
        <w:tc>
          <w:tcPr>
            <w:tcW w:w="0" w:type="auto"/>
            <w:shd w:val="clear"/>
            <w:vAlign w:val="center"/>
          </w:tcPr>
          <w:p w14:paraId="45B2F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1476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1A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D-03</w:t>
            </w:r>
          </w:p>
        </w:tc>
        <w:tc>
          <w:tcPr>
            <w:tcW w:w="0" w:type="auto"/>
            <w:shd w:val="clear"/>
            <w:vAlign w:val="center"/>
          </w:tcPr>
          <w:p w14:paraId="1E60A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首期完整落地水下场景</w:t>
            </w:r>
          </w:p>
        </w:tc>
        <w:tc>
          <w:tcPr>
            <w:tcW w:w="0" w:type="auto"/>
            <w:shd w:val="clear"/>
            <w:vAlign w:val="center"/>
          </w:tcPr>
          <w:p w14:paraId="6120E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4826B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6D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D-04</w:t>
            </w:r>
          </w:p>
        </w:tc>
        <w:tc>
          <w:tcPr>
            <w:tcW w:w="0" w:type="auto"/>
            <w:shd w:val="clear"/>
            <w:vAlign w:val="center"/>
          </w:tcPr>
          <w:p w14:paraId="16D87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山地用于验证高差、海拔、季节景观、路线和山地风险</w:t>
            </w:r>
          </w:p>
        </w:tc>
        <w:tc>
          <w:tcPr>
            <w:tcW w:w="0" w:type="auto"/>
            <w:shd w:val="clear"/>
            <w:vAlign w:val="center"/>
          </w:tcPr>
          <w:p w14:paraId="71B34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5A9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C5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D-05</w:t>
            </w:r>
          </w:p>
        </w:tc>
        <w:tc>
          <w:tcPr>
            <w:tcW w:w="0" w:type="auto"/>
            <w:shd w:val="clear"/>
            <w:vAlign w:val="center"/>
          </w:tcPr>
          <w:p w14:paraId="05490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水域用于验证水面、岸线、晨昏景观、水上玩法和风浪风险</w:t>
            </w:r>
          </w:p>
        </w:tc>
        <w:tc>
          <w:tcPr>
            <w:tcW w:w="0" w:type="auto"/>
            <w:shd w:val="clear"/>
            <w:vAlign w:val="center"/>
          </w:tcPr>
          <w:p w14:paraId="625CE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F510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42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D-06</w:t>
            </w:r>
          </w:p>
        </w:tc>
        <w:tc>
          <w:tcPr>
            <w:tcW w:w="0" w:type="auto"/>
            <w:shd w:val="clear"/>
            <w:vAlign w:val="center"/>
          </w:tcPr>
          <w:p w14:paraId="439E1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水下用于验证穿水进入、能见度、生态观察和水下风险</w:t>
            </w:r>
          </w:p>
        </w:tc>
        <w:tc>
          <w:tcPr>
            <w:tcW w:w="0" w:type="auto"/>
            <w:shd w:val="clear"/>
            <w:vAlign w:val="center"/>
          </w:tcPr>
          <w:p w14:paraId="131A4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43F4F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B8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D-07</w:t>
            </w:r>
          </w:p>
        </w:tc>
        <w:tc>
          <w:tcPr>
            <w:tcW w:w="0" w:type="auto"/>
            <w:shd w:val="clear"/>
            <w:vAlign w:val="center"/>
          </w:tcPr>
          <w:p w14:paraId="105B9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首期每套场景必须形成完整旅行决策闭环，不只制作视觉演示</w:t>
            </w:r>
          </w:p>
        </w:tc>
        <w:tc>
          <w:tcPr>
            <w:tcW w:w="0" w:type="auto"/>
            <w:shd w:val="clear"/>
            <w:vAlign w:val="center"/>
          </w:tcPr>
          <w:p w14:paraId="2F1DE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6663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1F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D-08</w:t>
            </w:r>
          </w:p>
        </w:tc>
        <w:tc>
          <w:tcPr>
            <w:tcW w:w="0" w:type="auto"/>
            <w:shd w:val="clear"/>
            <w:vAlign w:val="center"/>
          </w:tcPr>
          <w:p w14:paraId="37159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三套场景均需要支持“看什么、怎么体验、适合谁、注意什么”</w:t>
            </w:r>
          </w:p>
        </w:tc>
        <w:tc>
          <w:tcPr>
            <w:tcW w:w="0" w:type="auto"/>
            <w:shd w:val="clear"/>
            <w:vAlign w:val="center"/>
          </w:tcPr>
          <w:p w14:paraId="44A26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C76E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53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D-09</w:t>
            </w:r>
          </w:p>
        </w:tc>
        <w:tc>
          <w:tcPr>
            <w:tcW w:w="0" w:type="auto"/>
            <w:shd w:val="clear"/>
            <w:vAlign w:val="center"/>
          </w:tcPr>
          <w:p w14:paraId="4178A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三套场景均需要一个根据类型变化的第五深度主题</w:t>
            </w:r>
          </w:p>
        </w:tc>
        <w:tc>
          <w:tcPr>
            <w:tcW w:w="0" w:type="auto"/>
            <w:shd w:val="clear"/>
            <w:vAlign w:val="center"/>
          </w:tcPr>
          <w:p w14:paraId="2607B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092A2E0F">
      <w:pPr>
        <w:pStyle w:val="2"/>
        <w:keepNext w:val="0"/>
        <w:keepLines w:val="0"/>
        <w:widowControl/>
        <w:suppressLineNumbers w:val="0"/>
      </w:pPr>
      <w:r>
        <w:t>五、统一探索主题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80"/>
        <w:gridCol w:w="1755"/>
      </w:tblGrid>
      <w:tr w14:paraId="70B91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E942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89CDF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33B994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72FA5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D8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E-01</w:t>
            </w:r>
          </w:p>
        </w:tc>
        <w:tc>
          <w:tcPr>
            <w:tcW w:w="0" w:type="auto"/>
            <w:shd w:val="clear"/>
            <w:vAlign w:val="center"/>
          </w:tcPr>
          <w:p w14:paraId="5891C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全类型公共主题一：看什么</w:t>
            </w:r>
          </w:p>
        </w:tc>
        <w:tc>
          <w:tcPr>
            <w:tcW w:w="0" w:type="auto"/>
            <w:shd w:val="clear"/>
            <w:vAlign w:val="center"/>
          </w:tcPr>
          <w:p w14:paraId="732CF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A982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AF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E-02</w:t>
            </w:r>
          </w:p>
        </w:tc>
        <w:tc>
          <w:tcPr>
            <w:tcW w:w="0" w:type="auto"/>
            <w:shd w:val="clear"/>
            <w:vAlign w:val="center"/>
          </w:tcPr>
          <w:p w14:paraId="0426D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全类型公共主题二：怎么体验</w:t>
            </w:r>
          </w:p>
        </w:tc>
        <w:tc>
          <w:tcPr>
            <w:tcW w:w="0" w:type="auto"/>
            <w:shd w:val="clear"/>
            <w:vAlign w:val="center"/>
          </w:tcPr>
          <w:p w14:paraId="362086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37DF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72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E-03</w:t>
            </w:r>
          </w:p>
        </w:tc>
        <w:tc>
          <w:tcPr>
            <w:tcW w:w="0" w:type="auto"/>
            <w:shd w:val="clear"/>
            <w:vAlign w:val="center"/>
          </w:tcPr>
          <w:p w14:paraId="69422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全类型公共主题三：适合谁</w:t>
            </w:r>
          </w:p>
        </w:tc>
        <w:tc>
          <w:tcPr>
            <w:tcW w:w="0" w:type="auto"/>
            <w:shd w:val="clear"/>
            <w:vAlign w:val="center"/>
          </w:tcPr>
          <w:p w14:paraId="4533D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67D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64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E-04</w:t>
            </w:r>
          </w:p>
        </w:tc>
        <w:tc>
          <w:tcPr>
            <w:tcW w:w="0" w:type="auto"/>
            <w:shd w:val="clear"/>
            <w:vAlign w:val="center"/>
          </w:tcPr>
          <w:p w14:paraId="6BF6E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全类型公共主题四：注意什么</w:t>
            </w:r>
          </w:p>
        </w:tc>
        <w:tc>
          <w:tcPr>
            <w:tcW w:w="0" w:type="auto"/>
            <w:shd w:val="clear"/>
            <w:vAlign w:val="center"/>
          </w:tcPr>
          <w:p w14:paraId="6DCB7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3E85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E1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E-05</w:t>
            </w:r>
          </w:p>
        </w:tc>
        <w:tc>
          <w:tcPr>
            <w:tcW w:w="0" w:type="auto"/>
            <w:shd w:val="clear"/>
            <w:vAlign w:val="center"/>
          </w:tcPr>
          <w:p w14:paraId="6648C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第五主题根据场景家族动态变化</w:t>
            </w:r>
          </w:p>
        </w:tc>
        <w:tc>
          <w:tcPr>
            <w:tcW w:w="0" w:type="auto"/>
            <w:shd w:val="clear"/>
            <w:vAlign w:val="center"/>
          </w:tcPr>
          <w:p w14:paraId="4D2EC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</w:tr>
      <w:tr w14:paraId="2F4BC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F7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E-06</w:t>
            </w:r>
          </w:p>
        </w:tc>
        <w:tc>
          <w:tcPr>
            <w:tcW w:w="0" w:type="auto"/>
            <w:shd w:val="clear"/>
            <w:vAlign w:val="center"/>
          </w:tcPr>
          <w:p w14:paraId="07670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山地第五主题为自然与地质观察</w:t>
            </w:r>
          </w:p>
        </w:tc>
        <w:tc>
          <w:tcPr>
            <w:tcW w:w="0" w:type="auto"/>
            <w:shd w:val="clear"/>
            <w:vAlign w:val="center"/>
          </w:tcPr>
          <w:p w14:paraId="3922B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BC9E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A41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E-07</w:t>
            </w:r>
          </w:p>
        </w:tc>
        <w:tc>
          <w:tcPr>
            <w:tcW w:w="0" w:type="auto"/>
            <w:shd w:val="clear"/>
            <w:vAlign w:val="center"/>
          </w:tcPr>
          <w:p w14:paraId="33A83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水域第五主题为水域生态观察</w:t>
            </w:r>
          </w:p>
        </w:tc>
        <w:tc>
          <w:tcPr>
            <w:tcW w:w="0" w:type="auto"/>
            <w:shd w:val="clear"/>
            <w:vAlign w:val="center"/>
          </w:tcPr>
          <w:p w14:paraId="0C767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C4C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1B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E-08</w:t>
            </w:r>
          </w:p>
        </w:tc>
        <w:tc>
          <w:tcPr>
            <w:tcW w:w="0" w:type="auto"/>
            <w:shd w:val="clear"/>
            <w:vAlign w:val="center"/>
          </w:tcPr>
          <w:p w14:paraId="4B199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水下第五主题为水下生态</w:t>
            </w:r>
          </w:p>
        </w:tc>
        <w:tc>
          <w:tcPr>
            <w:tcW w:w="0" w:type="auto"/>
            <w:shd w:val="clear"/>
            <w:vAlign w:val="center"/>
          </w:tcPr>
          <w:p w14:paraId="6ADE7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BB9F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BA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E-09</w:t>
            </w:r>
          </w:p>
        </w:tc>
        <w:tc>
          <w:tcPr>
            <w:tcW w:w="0" w:type="auto"/>
            <w:shd w:val="clear"/>
            <w:vAlign w:val="center"/>
          </w:tcPr>
          <w:p w14:paraId="0078F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人文类后续使用故事与过去</w:t>
            </w:r>
          </w:p>
        </w:tc>
        <w:tc>
          <w:tcPr>
            <w:tcW w:w="0" w:type="auto"/>
            <w:shd w:val="clear"/>
            <w:vAlign w:val="center"/>
          </w:tcPr>
          <w:p w14:paraId="06BD9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8F10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EE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E-10</w:t>
            </w:r>
          </w:p>
        </w:tc>
        <w:tc>
          <w:tcPr>
            <w:tcW w:w="0" w:type="auto"/>
            <w:shd w:val="clear"/>
            <w:vAlign w:val="center"/>
          </w:tcPr>
          <w:p w14:paraId="14934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工程类后续使用如何建成或如何运行</w:t>
            </w:r>
          </w:p>
        </w:tc>
        <w:tc>
          <w:tcPr>
            <w:tcW w:w="0" w:type="auto"/>
            <w:shd w:val="clear"/>
            <w:vAlign w:val="center"/>
          </w:tcPr>
          <w:p w14:paraId="1EC50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D7B1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59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E-11</w:t>
            </w:r>
          </w:p>
        </w:tc>
        <w:tc>
          <w:tcPr>
            <w:tcW w:w="0" w:type="auto"/>
            <w:shd w:val="clear"/>
            <w:vAlign w:val="center"/>
          </w:tcPr>
          <w:p w14:paraId="6EABEC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同一时间只激活一个主探索主题</w:t>
            </w:r>
          </w:p>
        </w:tc>
        <w:tc>
          <w:tcPr>
            <w:tcW w:w="0" w:type="auto"/>
            <w:shd w:val="clear"/>
            <w:vAlign w:val="center"/>
          </w:tcPr>
          <w:p w14:paraId="108D7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88B9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D8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E-12</w:t>
            </w:r>
          </w:p>
        </w:tc>
        <w:tc>
          <w:tcPr>
            <w:tcW w:w="0" w:type="auto"/>
            <w:shd w:val="clear"/>
            <w:vAlign w:val="center"/>
          </w:tcPr>
          <w:p w14:paraId="756D5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切换主题时先清除上一主题的标签、说明和场景状态</w:t>
            </w:r>
          </w:p>
        </w:tc>
        <w:tc>
          <w:tcPr>
            <w:tcW w:w="0" w:type="auto"/>
            <w:shd w:val="clear"/>
            <w:vAlign w:val="center"/>
          </w:tcPr>
          <w:p w14:paraId="2FA16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3E1D80D9">
      <w:pPr>
        <w:pStyle w:val="2"/>
        <w:keepNext w:val="0"/>
        <w:keepLines w:val="0"/>
        <w:widowControl/>
        <w:suppressLineNumbers w:val="0"/>
      </w:pPr>
      <w:r>
        <w:t>六、首次抵达与信息层级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060"/>
        <w:gridCol w:w="1039"/>
      </w:tblGrid>
      <w:tr w14:paraId="1FF5A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1DC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1A17E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4EE98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12CB9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3A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F-01</w:t>
            </w:r>
          </w:p>
        </w:tc>
        <w:tc>
          <w:tcPr>
            <w:tcW w:w="0" w:type="auto"/>
            <w:shd w:val="clear"/>
            <w:vAlign w:val="center"/>
          </w:tcPr>
          <w:p w14:paraId="72986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首次抵达只显示地点名称</w:t>
            </w:r>
          </w:p>
        </w:tc>
        <w:tc>
          <w:tcPr>
            <w:tcW w:w="0" w:type="auto"/>
            <w:shd w:val="clear"/>
            <w:vAlign w:val="center"/>
          </w:tcPr>
          <w:p w14:paraId="6BDF7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16F1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C1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F-02</w:t>
            </w:r>
          </w:p>
        </w:tc>
        <w:tc>
          <w:tcPr>
            <w:tcW w:w="0" w:type="auto"/>
            <w:shd w:val="clear"/>
            <w:vAlign w:val="center"/>
          </w:tcPr>
          <w:p w14:paraId="50A2E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首次抵达显示地点类型或核心自然属性</w:t>
            </w:r>
          </w:p>
        </w:tc>
        <w:tc>
          <w:tcPr>
            <w:tcW w:w="0" w:type="auto"/>
            <w:shd w:val="clear"/>
            <w:vAlign w:val="center"/>
          </w:tcPr>
          <w:p w14:paraId="3A25F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DACD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8A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F-03</w:t>
            </w:r>
          </w:p>
        </w:tc>
        <w:tc>
          <w:tcPr>
            <w:tcW w:w="0" w:type="auto"/>
            <w:shd w:val="clear"/>
            <w:vAlign w:val="center"/>
          </w:tcPr>
          <w:p w14:paraId="36CB6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首次抵达显示当前最值得看的景观</w:t>
            </w:r>
          </w:p>
        </w:tc>
        <w:tc>
          <w:tcPr>
            <w:tcW w:w="0" w:type="auto"/>
            <w:shd w:val="clear"/>
            <w:vAlign w:val="center"/>
          </w:tcPr>
          <w:p w14:paraId="28A9F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12F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59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F-04</w:t>
            </w:r>
          </w:p>
        </w:tc>
        <w:tc>
          <w:tcPr>
            <w:tcW w:w="0" w:type="auto"/>
            <w:shd w:val="clear"/>
            <w:vAlign w:val="center"/>
          </w:tcPr>
          <w:p w14:paraId="1FDB7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首次抵达显示当前主要适合的玩法</w:t>
            </w:r>
          </w:p>
        </w:tc>
        <w:tc>
          <w:tcPr>
            <w:tcW w:w="0" w:type="auto"/>
            <w:shd w:val="clear"/>
            <w:vAlign w:val="center"/>
          </w:tcPr>
          <w:p w14:paraId="4E1B6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EF70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41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F-05</w:t>
            </w:r>
          </w:p>
        </w:tc>
        <w:tc>
          <w:tcPr>
            <w:tcW w:w="0" w:type="auto"/>
            <w:shd w:val="clear"/>
            <w:vAlign w:val="center"/>
          </w:tcPr>
          <w:p w14:paraId="2CD90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首次抵达不同时显示路线、风险、温度、评分和全部标签</w:t>
            </w:r>
          </w:p>
        </w:tc>
        <w:tc>
          <w:tcPr>
            <w:tcW w:w="0" w:type="auto"/>
            <w:shd w:val="clear"/>
            <w:vAlign w:val="center"/>
          </w:tcPr>
          <w:p w14:paraId="2782F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5070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05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F-06</w:t>
            </w:r>
          </w:p>
        </w:tc>
        <w:tc>
          <w:tcPr>
            <w:tcW w:w="0" w:type="auto"/>
            <w:shd w:val="clear"/>
            <w:vAlign w:val="center"/>
          </w:tcPr>
          <w:p w14:paraId="03A54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用户开始探索后再逐步开放深度主题</w:t>
            </w:r>
          </w:p>
        </w:tc>
        <w:tc>
          <w:tcPr>
            <w:tcW w:w="0" w:type="auto"/>
            <w:shd w:val="clear"/>
            <w:vAlign w:val="center"/>
          </w:tcPr>
          <w:p w14:paraId="4CCA7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34A2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1D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F-07</w:t>
            </w:r>
          </w:p>
        </w:tc>
        <w:tc>
          <w:tcPr>
            <w:tcW w:w="0" w:type="auto"/>
            <w:shd w:val="clear"/>
            <w:vAlign w:val="center"/>
          </w:tcPr>
          <w:p w14:paraId="5F0DC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默认空间标签数量保持克制</w:t>
            </w:r>
          </w:p>
        </w:tc>
        <w:tc>
          <w:tcPr>
            <w:tcW w:w="0" w:type="auto"/>
            <w:shd w:val="clear"/>
            <w:vAlign w:val="center"/>
          </w:tcPr>
          <w:p w14:paraId="6FD55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E0A7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0C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F-08</w:t>
            </w:r>
          </w:p>
        </w:tc>
        <w:tc>
          <w:tcPr>
            <w:tcW w:w="0" w:type="auto"/>
            <w:shd w:val="clear"/>
            <w:vAlign w:val="center"/>
          </w:tcPr>
          <w:p w14:paraId="7D58A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用户选中一个标签后，其他非相关标签降低强调</w:t>
            </w:r>
          </w:p>
        </w:tc>
        <w:tc>
          <w:tcPr>
            <w:tcW w:w="0" w:type="auto"/>
            <w:shd w:val="clear"/>
            <w:vAlign w:val="center"/>
          </w:tcPr>
          <w:p w14:paraId="38C46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0AC286E8">
      <w:pPr>
        <w:pStyle w:val="2"/>
        <w:keepNext w:val="0"/>
        <w:keepLines w:val="0"/>
        <w:widowControl/>
        <w:suppressLineNumbers w:val="0"/>
      </w:pPr>
      <w:r>
        <w:t>七、标签与场景联动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4860"/>
        <w:gridCol w:w="2355"/>
      </w:tblGrid>
      <w:tr w14:paraId="1197B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22ED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39410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179C95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0A55E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1D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G-01</w:t>
            </w:r>
          </w:p>
        </w:tc>
        <w:tc>
          <w:tcPr>
            <w:tcW w:w="0" w:type="auto"/>
            <w:shd w:val="clear"/>
            <w:vAlign w:val="center"/>
          </w:tcPr>
          <w:p w14:paraId="68A02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点击标签必须同时改变场景表现</w:t>
            </w:r>
          </w:p>
        </w:tc>
        <w:tc>
          <w:tcPr>
            <w:tcW w:w="0" w:type="auto"/>
            <w:shd w:val="clear"/>
            <w:vAlign w:val="center"/>
          </w:tcPr>
          <w:p w14:paraId="7FF37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Gemini + GPT</w:t>
            </w:r>
          </w:p>
        </w:tc>
      </w:tr>
      <w:tr w14:paraId="291C1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88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G-02</w:t>
            </w:r>
          </w:p>
        </w:tc>
        <w:tc>
          <w:tcPr>
            <w:tcW w:w="0" w:type="auto"/>
            <w:shd w:val="clear"/>
            <w:vAlign w:val="center"/>
          </w:tcPr>
          <w:p w14:paraId="48D12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点击标签必须更新空间标签</w:t>
            </w:r>
          </w:p>
        </w:tc>
        <w:tc>
          <w:tcPr>
            <w:tcW w:w="0" w:type="auto"/>
            <w:shd w:val="clear"/>
            <w:vAlign w:val="center"/>
          </w:tcPr>
          <w:p w14:paraId="1CC95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Gemini + GPT</w:t>
            </w:r>
          </w:p>
        </w:tc>
      </w:tr>
      <w:tr w14:paraId="60EB8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0F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G-03</w:t>
            </w:r>
          </w:p>
        </w:tc>
        <w:tc>
          <w:tcPr>
            <w:tcW w:w="0" w:type="auto"/>
            <w:shd w:val="clear"/>
            <w:vAlign w:val="center"/>
          </w:tcPr>
          <w:p w14:paraId="21DE8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点击标签必须更新说明内容</w:t>
            </w:r>
          </w:p>
        </w:tc>
        <w:tc>
          <w:tcPr>
            <w:tcW w:w="0" w:type="auto"/>
            <w:shd w:val="clear"/>
            <w:vAlign w:val="center"/>
          </w:tcPr>
          <w:p w14:paraId="1E688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Gemini + GPT</w:t>
            </w:r>
          </w:p>
        </w:tc>
      </w:tr>
      <w:tr w14:paraId="68EC0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30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G-04</w:t>
            </w:r>
          </w:p>
        </w:tc>
        <w:tc>
          <w:tcPr>
            <w:tcW w:w="0" w:type="auto"/>
            <w:shd w:val="clear"/>
            <w:vAlign w:val="center"/>
          </w:tcPr>
          <w:p w14:paraId="4D6A8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标签应锚定在对应场景位置</w:t>
            </w:r>
          </w:p>
        </w:tc>
        <w:tc>
          <w:tcPr>
            <w:tcW w:w="0" w:type="auto"/>
            <w:shd w:val="clear"/>
            <w:vAlign w:val="center"/>
          </w:tcPr>
          <w:p w14:paraId="72E82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1D186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E7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G-05</w:t>
            </w:r>
          </w:p>
        </w:tc>
        <w:tc>
          <w:tcPr>
            <w:tcW w:w="0" w:type="auto"/>
            <w:shd w:val="clear"/>
            <w:vAlign w:val="center"/>
          </w:tcPr>
          <w:p w14:paraId="4375A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山峰海拔标签放在峰顶或对应高度位置</w:t>
            </w:r>
          </w:p>
        </w:tc>
        <w:tc>
          <w:tcPr>
            <w:tcW w:w="0" w:type="auto"/>
            <w:shd w:val="clear"/>
            <w:vAlign w:val="center"/>
          </w:tcPr>
          <w:p w14:paraId="04487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22537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ADE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G-06</w:t>
            </w:r>
          </w:p>
        </w:tc>
        <w:tc>
          <w:tcPr>
            <w:tcW w:w="0" w:type="auto"/>
            <w:shd w:val="clear"/>
            <w:vAlign w:val="center"/>
          </w:tcPr>
          <w:p w14:paraId="3203F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路线标签跟随实际路线分布</w:t>
            </w:r>
          </w:p>
        </w:tc>
        <w:tc>
          <w:tcPr>
            <w:tcW w:w="0" w:type="auto"/>
            <w:shd w:val="clear"/>
            <w:vAlign w:val="center"/>
          </w:tcPr>
          <w:p w14:paraId="11E3D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7850C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BD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G-07</w:t>
            </w:r>
          </w:p>
        </w:tc>
        <w:tc>
          <w:tcPr>
            <w:tcW w:w="0" w:type="auto"/>
            <w:shd w:val="clear"/>
            <w:vAlign w:val="center"/>
          </w:tcPr>
          <w:p w14:paraId="00BAF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水下生物标签跟随对应生态或生物对象</w:t>
            </w:r>
          </w:p>
        </w:tc>
        <w:tc>
          <w:tcPr>
            <w:tcW w:w="0" w:type="auto"/>
            <w:shd w:val="clear"/>
            <w:vAlign w:val="center"/>
          </w:tcPr>
          <w:p w14:paraId="34D11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6B2D6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DB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G-08</w:t>
            </w:r>
          </w:p>
        </w:tc>
        <w:tc>
          <w:tcPr>
            <w:tcW w:w="0" w:type="auto"/>
            <w:shd w:val="clear"/>
            <w:vAlign w:val="center"/>
          </w:tcPr>
          <w:p w14:paraId="488EF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风险标签放在实际受影响区域</w:t>
            </w:r>
          </w:p>
        </w:tc>
        <w:tc>
          <w:tcPr>
            <w:tcW w:w="0" w:type="auto"/>
            <w:shd w:val="clear"/>
            <w:vAlign w:val="center"/>
          </w:tcPr>
          <w:p w14:paraId="16900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216E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68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G-09</w:t>
            </w:r>
          </w:p>
        </w:tc>
        <w:tc>
          <w:tcPr>
            <w:tcW w:w="0" w:type="auto"/>
            <w:shd w:val="clear"/>
            <w:vAlign w:val="center"/>
          </w:tcPr>
          <w:p w14:paraId="3A7F2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信息面板内容随当前主题和场景状态同步变化</w:t>
            </w:r>
          </w:p>
        </w:tc>
        <w:tc>
          <w:tcPr>
            <w:tcW w:w="0" w:type="auto"/>
            <w:shd w:val="clear"/>
            <w:vAlign w:val="center"/>
          </w:tcPr>
          <w:p w14:paraId="4EF44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多模型共识</w:t>
            </w:r>
          </w:p>
        </w:tc>
      </w:tr>
    </w:tbl>
    <w:p w14:paraId="5F912BB1">
      <w:pPr>
        <w:pStyle w:val="2"/>
        <w:keepNext w:val="0"/>
        <w:keepLines w:val="0"/>
        <w:widowControl/>
        <w:suppressLineNumbers w:val="0"/>
      </w:pPr>
      <w:r>
        <w:t>八、景色与季节预览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780"/>
        <w:gridCol w:w="1039"/>
      </w:tblGrid>
      <w:tr w14:paraId="0323F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108A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5CFAD7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5FAD8F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62936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E1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H-01</w:t>
            </w:r>
          </w:p>
        </w:tc>
        <w:tc>
          <w:tcPr>
            <w:tcW w:w="0" w:type="auto"/>
            <w:shd w:val="clear"/>
            <w:vAlign w:val="center"/>
          </w:tcPr>
          <w:p w14:paraId="0A303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默认优先展示用户Journey月份或用户选择月份对应的典型景观</w:t>
            </w:r>
          </w:p>
        </w:tc>
        <w:tc>
          <w:tcPr>
            <w:tcW w:w="0" w:type="auto"/>
            <w:shd w:val="clear"/>
            <w:vAlign w:val="center"/>
          </w:tcPr>
          <w:p w14:paraId="624DF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D559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72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H-02</w:t>
            </w:r>
          </w:p>
        </w:tc>
        <w:tc>
          <w:tcPr>
            <w:tcW w:w="0" w:type="auto"/>
            <w:shd w:val="clear"/>
            <w:vAlign w:val="center"/>
          </w:tcPr>
          <w:p w14:paraId="11476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没有计划月份时，使用当前月份或地点推荐月份</w:t>
            </w:r>
          </w:p>
        </w:tc>
        <w:tc>
          <w:tcPr>
            <w:tcW w:w="0" w:type="auto"/>
            <w:shd w:val="clear"/>
            <w:vAlign w:val="center"/>
          </w:tcPr>
          <w:p w14:paraId="6C618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EF4C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C9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H-03</w:t>
            </w:r>
          </w:p>
        </w:tc>
        <w:tc>
          <w:tcPr>
            <w:tcW w:w="0" w:type="auto"/>
            <w:shd w:val="clear"/>
            <w:vAlign w:val="center"/>
          </w:tcPr>
          <w:p w14:paraId="164CE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不强制所有场景显示完整春夏秋冬</w:t>
            </w:r>
          </w:p>
        </w:tc>
        <w:tc>
          <w:tcPr>
            <w:tcW w:w="0" w:type="auto"/>
            <w:shd w:val="clear"/>
            <w:vAlign w:val="center"/>
          </w:tcPr>
          <w:p w14:paraId="7F26F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02CB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EF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H-04</w:t>
            </w:r>
          </w:p>
        </w:tc>
        <w:tc>
          <w:tcPr>
            <w:tcW w:w="0" w:type="auto"/>
            <w:shd w:val="clear"/>
            <w:vAlign w:val="center"/>
          </w:tcPr>
          <w:p w14:paraId="3BC87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每个地点只显示有真实差异和决策价值的景色选项</w:t>
            </w:r>
          </w:p>
        </w:tc>
        <w:tc>
          <w:tcPr>
            <w:tcW w:w="0" w:type="auto"/>
            <w:shd w:val="clear"/>
            <w:vAlign w:val="center"/>
          </w:tcPr>
          <w:p w14:paraId="0C0DC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2D72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73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H-05</w:t>
            </w:r>
          </w:p>
        </w:tc>
        <w:tc>
          <w:tcPr>
            <w:tcW w:w="0" w:type="auto"/>
            <w:shd w:val="clear"/>
            <w:vAlign w:val="center"/>
          </w:tcPr>
          <w:p w14:paraId="25545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山地可展示红叶、积雪、云海、日出和雪线变化</w:t>
            </w:r>
          </w:p>
        </w:tc>
        <w:tc>
          <w:tcPr>
            <w:tcW w:w="0" w:type="auto"/>
            <w:shd w:val="clear"/>
            <w:vAlign w:val="center"/>
          </w:tcPr>
          <w:p w14:paraId="37758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CDAF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9A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H-06</w:t>
            </w:r>
          </w:p>
        </w:tc>
        <w:tc>
          <w:tcPr>
            <w:tcW w:w="0" w:type="auto"/>
            <w:shd w:val="clear"/>
            <w:vAlign w:val="center"/>
          </w:tcPr>
          <w:p w14:paraId="53B6A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水域可展示清晨薄雾、晴天倒影、傍晚和季节水岸景观</w:t>
            </w:r>
          </w:p>
        </w:tc>
        <w:tc>
          <w:tcPr>
            <w:tcW w:w="0" w:type="auto"/>
            <w:shd w:val="clear"/>
            <w:vAlign w:val="center"/>
          </w:tcPr>
          <w:p w14:paraId="2876E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DAD2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B0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H-07</w:t>
            </w:r>
          </w:p>
        </w:tc>
        <w:tc>
          <w:tcPr>
            <w:tcW w:w="0" w:type="auto"/>
            <w:shd w:val="clear"/>
            <w:vAlign w:val="center"/>
          </w:tcPr>
          <w:p w14:paraId="79A54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水下重点展示能见度、光线、水温和生态活跃变化</w:t>
            </w:r>
          </w:p>
        </w:tc>
        <w:tc>
          <w:tcPr>
            <w:tcW w:w="0" w:type="auto"/>
            <w:shd w:val="clear"/>
            <w:vAlign w:val="center"/>
          </w:tcPr>
          <w:p w14:paraId="4CF1D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9BFF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88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H-08</w:t>
            </w:r>
          </w:p>
        </w:tc>
        <w:tc>
          <w:tcPr>
            <w:tcW w:w="0" w:type="auto"/>
            <w:shd w:val="clear"/>
            <w:vAlign w:val="center"/>
          </w:tcPr>
          <w:p w14:paraId="2B444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景色变化必须同步改变观景点或观察区域</w:t>
            </w:r>
          </w:p>
        </w:tc>
        <w:tc>
          <w:tcPr>
            <w:tcW w:w="0" w:type="auto"/>
            <w:shd w:val="clear"/>
            <w:vAlign w:val="center"/>
          </w:tcPr>
          <w:p w14:paraId="2CBED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2A2D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51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H-09</w:t>
            </w:r>
          </w:p>
        </w:tc>
        <w:tc>
          <w:tcPr>
            <w:tcW w:w="0" w:type="auto"/>
            <w:shd w:val="clear"/>
            <w:vAlign w:val="center"/>
          </w:tcPr>
          <w:p w14:paraId="0AA16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场景文案必须说明为什么这个时间或位置值得看</w:t>
            </w:r>
          </w:p>
        </w:tc>
        <w:tc>
          <w:tcPr>
            <w:tcW w:w="0" w:type="auto"/>
            <w:shd w:val="clear"/>
            <w:vAlign w:val="center"/>
          </w:tcPr>
          <w:p w14:paraId="7622E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1432834C">
      <w:pPr>
        <w:pStyle w:val="2"/>
        <w:keepNext w:val="0"/>
        <w:keepLines w:val="0"/>
        <w:widowControl/>
        <w:suppressLineNumbers w:val="0"/>
      </w:pPr>
      <w:r>
        <w:t>九、“怎么体验”主题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6109"/>
        <w:gridCol w:w="1731"/>
      </w:tblGrid>
      <w:tr w14:paraId="5F0BC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0E3E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92529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6CD0CE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3E9E0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A4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I-01</w:t>
            </w:r>
          </w:p>
        </w:tc>
        <w:tc>
          <w:tcPr>
            <w:tcW w:w="0" w:type="auto"/>
            <w:shd w:val="clear"/>
            <w:vAlign w:val="center"/>
          </w:tcPr>
          <w:p w14:paraId="6A3FC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“怎么体验”不是静态活动列表，而是一次活动预演</w:t>
            </w:r>
          </w:p>
        </w:tc>
        <w:tc>
          <w:tcPr>
            <w:tcW w:w="0" w:type="auto"/>
            <w:shd w:val="clear"/>
            <w:vAlign w:val="center"/>
          </w:tcPr>
          <w:p w14:paraId="7623B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82BE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AC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I-02</w:t>
            </w:r>
          </w:p>
        </w:tc>
        <w:tc>
          <w:tcPr>
            <w:tcW w:w="0" w:type="auto"/>
            <w:shd w:val="clear"/>
            <w:vAlign w:val="center"/>
          </w:tcPr>
          <w:p w14:paraId="26D9A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山地支持轻松观景、亲子短途、徒步、登山和摄影</w:t>
            </w:r>
          </w:p>
        </w:tc>
        <w:tc>
          <w:tcPr>
            <w:tcW w:w="0" w:type="auto"/>
            <w:shd w:val="clear"/>
            <w:vAlign w:val="center"/>
          </w:tcPr>
          <w:p w14:paraId="38D22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A6BC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BF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I-03</w:t>
            </w:r>
          </w:p>
        </w:tc>
        <w:tc>
          <w:tcPr>
            <w:tcW w:w="0" w:type="auto"/>
            <w:shd w:val="clear"/>
            <w:vAlign w:val="center"/>
          </w:tcPr>
          <w:p w14:paraId="1883C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不同山地玩法显示不同路线、坡度、时长和设施</w:t>
            </w:r>
          </w:p>
        </w:tc>
        <w:tc>
          <w:tcPr>
            <w:tcW w:w="0" w:type="auto"/>
            <w:shd w:val="clear"/>
            <w:vAlign w:val="center"/>
          </w:tcPr>
          <w:p w14:paraId="3B7C7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F75A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9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I-04</w:t>
            </w:r>
          </w:p>
        </w:tc>
        <w:tc>
          <w:tcPr>
            <w:tcW w:w="0" w:type="auto"/>
            <w:shd w:val="clear"/>
            <w:vAlign w:val="center"/>
          </w:tcPr>
          <w:p w14:paraId="5B42E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水域支持湖边漫步、游船、独木舟、SUP、骑行和摄影</w:t>
            </w:r>
          </w:p>
        </w:tc>
        <w:tc>
          <w:tcPr>
            <w:tcW w:w="0" w:type="auto"/>
            <w:shd w:val="clear"/>
            <w:vAlign w:val="center"/>
          </w:tcPr>
          <w:p w14:paraId="12248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44FD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CE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I-05</w:t>
            </w:r>
          </w:p>
        </w:tc>
        <w:tc>
          <w:tcPr>
            <w:tcW w:w="0" w:type="auto"/>
            <w:shd w:val="clear"/>
            <w:vAlign w:val="center"/>
          </w:tcPr>
          <w:p w14:paraId="54A20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不同水域玩法显示对应路线、活动区域和限制区域</w:t>
            </w:r>
          </w:p>
        </w:tc>
        <w:tc>
          <w:tcPr>
            <w:tcW w:w="0" w:type="auto"/>
            <w:shd w:val="clear"/>
            <w:vAlign w:val="center"/>
          </w:tcPr>
          <w:p w14:paraId="45F41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87CA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89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I-06</w:t>
            </w:r>
          </w:p>
        </w:tc>
        <w:tc>
          <w:tcPr>
            <w:tcW w:w="0" w:type="auto"/>
            <w:shd w:val="clear"/>
            <w:vAlign w:val="center"/>
          </w:tcPr>
          <w:p w14:paraId="74857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水下支持浮潜、体验潜水、持证潜水、水下摄影和生态观察</w:t>
            </w:r>
          </w:p>
        </w:tc>
        <w:tc>
          <w:tcPr>
            <w:tcW w:w="0" w:type="auto"/>
            <w:shd w:val="clear"/>
            <w:vAlign w:val="center"/>
          </w:tcPr>
          <w:p w14:paraId="113DD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5C91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5B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I-07</w:t>
            </w:r>
          </w:p>
        </w:tc>
        <w:tc>
          <w:tcPr>
            <w:tcW w:w="0" w:type="auto"/>
            <w:shd w:val="clear"/>
            <w:vAlign w:val="center"/>
          </w:tcPr>
          <w:p w14:paraId="4E767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不同潜水玩法显示不同水深、活动范围和条件限制</w:t>
            </w:r>
          </w:p>
        </w:tc>
        <w:tc>
          <w:tcPr>
            <w:tcW w:w="0" w:type="auto"/>
            <w:shd w:val="clear"/>
            <w:vAlign w:val="center"/>
          </w:tcPr>
          <w:p w14:paraId="0468A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1357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71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I-08</w:t>
            </w:r>
          </w:p>
        </w:tc>
        <w:tc>
          <w:tcPr>
            <w:tcW w:w="0" w:type="auto"/>
            <w:shd w:val="clear"/>
            <w:vAlign w:val="center"/>
          </w:tcPr>
          <w:p w14:paraId="570F6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不适用的活动不得出现在对应POI中</w:t>
            </w:r>
          </w:p>
        </w:tc>
        <w:tc>
          <w:tcPr>
            <w:tcW w:w="0" w:type="auto"/>
            <w:shd w:val="clear"/>
            <w:vAlign w:val="center"/>
          </w:tcPr>
          <w:p w14:paraId="444C7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</w:tbl>
    <w:p w14:paraId="6109AF22">
      <w:pPr>
        <w:pStyle w:val="2"/>
        <w:keepNext w:val="0"/>
        <w:keepLines w:val="0"/>
        <w:widowControl/>
        <w:suppressLineNumbers w:val="0"/>
      </w:pPr>
      <w:r>
        <w:t>十、“适合谁”主题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944"/>
        <w:gridCol w:w="895"/>
      </w:tblGrid>
      <w:tr w14:paraId="01B39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CB0E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A0DE9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47985A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4AD04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F0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J-01</w:t>
            </w:r>
          </w:p>
        </w:tc>
        <w:tc>
          <w:tcPr>
            <w:tcW w:w="0" w:type="auto"/>
            <w:shd w:val="clear"/>
            <w:vAlign w:val="center"/>
          </w:tcPr>
          <w:p w14:paraId="1C5BE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支持幼儿家庭、学龄儿童、老人、轻松旅行、摄影、徒步、探险、初学者和有经验者</w:t>
            </w:r>
          </w:p>
        </w:tc>
        <w:tc>
          <w:tcPr>
            <w:tcW w:w="0" w:type="auto"/>
            <w:shd w:val="clear"/>
            <w:vAlign w:val="center"/>
          </w:tcPr>
          <w:p w14:paraId="30276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1244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E5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J-02</w:t>
            </w:r>
          </w:p>
        </w:tc>
        <w:tc>
          <w:tcPr>
            <w:tcW w:w="0" w:type="auto"/>
            <w:shd w:val="clear"/>
            <w:vAlign w:val="center"/>
          </w:tcPr>
          <w:p w14:paraId="5956B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选择某类人群后重新筛选路线、设施、风险和玩法</w:t>
            </w:r>
          </w:p>
        </w:tc>
        <w:tc>
          <w:tcPr>
            <w:tcW w:w="0" w:type="auto"/>
            <w:shd w:val="clear"/>
            <w:vAlign w:val="center"/>
          </w:tcPr>
          <w:p w14:paraId="7C1AC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56CA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8D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J-03</w:t>
            </w:r>
          </w:p>
        </w:tc>
        <w:tc>
          <w:tcPr>
            <w:tcW w:w="0" w:type="auto"/>
            <w:shd w:val="clear"/>
            <w:vAlign w:val="center"/>
          </w:tcPr>
          <w:p w14:paraId="01AF0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亲子模式优先显示短路线、厕所、休息点、护栏和低风险区域</w:t>
            </w:r>
          </w:p>
        </w:tc>
        <w:tc>
          <w:tcPr>
            <w:tcW w:w="0" w:type="auto"/>
            <w:shd w:val="clear"/>
            <w:vAlign w:val="center"/>
          </w:tcPr>
          <w:p w14:paraId="22E4C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852F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B0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J-04</w:t>
            </w:r>
          </w:p>
        </w:tc>
        <w:tc>
          <w:tcPr>
            <w:tcW w:w="0" w:type="auto"/>
            <w:shd w:val="clear"/>
            <w:vAlign w:val="center"/>
          </w:tcPr>
          <w:p w14:paraId="0DC3A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专业或探险模式展示更高难度路线、装备和资质要求</w:t>
            </w:r>
          </w:p>
        </w:tc>
        <w:tc>
          <w:tcPr>
            <w:tcW w:w="0" w:type="auto"/>
            <w:shd w:val="clear"/>
            <w:vAlign w:val="center"/>
          </w:tcPr>
          <w:p w14:paraId="5D1EB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B19F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47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J-05</w:t>
            </w:r>
          </w:p>
        </w:tc>
        <w:tc>
          <w:tcPr>
            <w:tcW w:w="0" w:type="auto"/>
            <w:shd w:val="clear"/>
            <w:vAlign w:val="center"/>
          </w:tcPr>
          <w:p w14:paraId="6685A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不以“越危险越推荐”作为探险表达逻辑</w:t>
            </w:r>
          </w:p>
        </w:tc>
        <w:tc>
          <w:tcPr>
            <w:tcW w:w="0" w:type="auto"/>
            <w:shd w:val="clear"/>
            <w:vAlign w:val="center"/>
          </w:tcPr>
          <w:p w14:paraId="1B8B5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5171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2B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J-06</w:t>
            </w:r>
          </w:p>
        </w:tc>
        <w:tc>
          <w:tcPr>
            <w:tcW w:w="0" w:type="auto"/>
            <w:shd w:val="clear"/>
            <w:vAlign w:val="center"/>
          </w:tcPr>
          <w:p w14:paraId="6FB7A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不使用固定星级评价人群适合度</w:t>
            </w:r>
          </w:p>
        </w:tc>
        <w:tc>
          <w:tcPr>
            <w:tcW w:w="0" w:type="auto"/>
            <w:shd w:val="clear"/>
            <w:vAlign w:val="center"/>
          </w:tcPr>
          <w:p w14:paraId="69B3D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0C38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FE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J-07</w:t>
            </w:r>
          </w:p>
        </w:tc>
        <w:tc>
          <w:tcPr>
            <w:tcW w:w="0" w:type="auto"/>
            <w:shd w:val="clear"/>
            <w:vAlign w:val="center"/>
          </w:tcPr>
          <w:p w14:paraId="2B532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输出当前家庭、当前日期和当前玩法下的动态适配结论</w:t>
            </w:r>
          </w:p>
        </w:tc>
        <w:tc>
          <w:tcPr>
            <w:tcW w:w="0" w:type="auto"/>
            <w:shd w:val="clear"/>
            <w:vAlign w:val="center"/>
          </w:tcPr>
          <w:p w14:paraId="60F4B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25900C8E">
      <w:pPr>
        <w:pStyle w:val="2"/>
        <w:keepNext w:val="0"/>
        <w:keepLines w:val="0"/>
        <w:widowControl/>
        <w:suppressLineNumbers w:val="0"/>
      </w:pPr>
      <w:r>
        <w:t>十一、水下场景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060"/>
        <w:gridCol w:w="1635"/>
      </w:tblGrid>
      <w:tr w14:paraId="54F4C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4151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26775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4C578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7E90F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EF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K-01</w:t>
            </w:r>
          </w:p>
        </w:tc>
        <w:tc>
          <w:tcPr>
            <w:tcW w:w="0" w:type="auto"/>
            <w:shd w:val="clear"/>
            <w:vAlign w:val="center"/>
          </w:tcPr>
          <w:p w14:paraId="654FC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水下场景作为首期独立完整场景</w:t>
            </w:r>
          </w:p>
        </w:tc>
        <w:tc>
          <w:tcPr>
            <w:tcW w:w="0" w:type="auto"/>
            <w:shd w:val="clear"/>
            <w:vAlign w:val="center"/>
          </w:tcPr>
          <w:p w14:paraId="7B9A1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79E8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A5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K-02</w:t>
            </w:r>
          </w:p>
        </w:tc>
        <w:tc>
          <w:tcPr>
            <w:tcW w:w="0" w:type="auto"/>
            <w:shd w:val="clear"/>
            <w:vAlign w:val="center"/>
          </w:tcPr>
          <w:p w14:paraId="52C1C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潜水点进入时包含从水面进入水下的完整体验</w:t>
            </w:r>
          </w:p>
        </w:tc>
        <w:tc>
          <w:tcPr>
            <w:tcW w:w="0" w:type="auto"/>
            <w:shd w:val="clear"/>
            <w:vAlign w:val="center"/>
          </w:tcPr>
          <w:p w14:paraId="70E3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</w:tr>
      <w:tr w14:paraId="7F4C1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CC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K-03</w:t>
            </w:r>
          </w:p>
        </w:tc>
        <w:tc>
          <w:tcPr>
            <w:tcW w:w="0" w:type="auto"/>
            <w:shd w:val="clear"/>
            <w:vAlign w:val="center"/>
          </w:tcPr>
          <w:p w14:paraId="73B54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水下场景包含鱼群或典型生态入场</w:t>
            </w:r>
          </w:p>
        </w:tc>
        <w:tc>
          <w:tcPr>
            <w:tcW w:w="0" w:type="auto"/>
            <w:shd w:val="clear"/>
            <w:vAlign w:val="center"/>
          </w:tcPr>
          <w:p w14:paraId="77F3A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Grok</w:t>
            </w:r>
          </w:p>
        </w:tc>
      </w:tr>
      <w:tr w14:paraId="222C6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8D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K-04</w:t>
            </w:r>
          </w:p>
        </w:tc>
        <w:tc>
          <w:tcPr>
            <w:tcW w:w="0" w:type="auto"/>
            <w:shd w:val="clear"/>
            <w:vAlign w:val="center"/>
          </w:tcPr>
          <w:p w14:paraId="4AFFB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“能看到什么”使用“通常有机会观察到”表达</w:t>
            </w:r>
          </w:p>
        </w:tc>
        <w:tc>
          <w:tcPr>
            <w:tcW w:w="0" w:type="auto"/>
            <w:shd w:val="clear"/>
            <w:vAlign w:val="center"/>
          </w:tcPr>
          <w:p w14:paraId="07D64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3B45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DC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K-05</w:t>
            </w:r>
          </w:p>
        </w:tc>
        <w:tc>
          <w:tcPr>
            <w:tcW w:w="0" w:type="auto"/>
            <w:shd w:val="clear"/>
            <w:vAlign w:val="center"/>
          </w:tcPr>
          <w:p w14:paraId="29D19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不使用未经可靠数据支持的固定出现概率</w:t>
            </w:r>
          </w:p>
        </w:tc>
        <w:tc>
          <w:tcPr>
            <w:tcW w:w="0" w:type="auto"/>
            <w:shd w:val="clear"/>
            <w:vAlign w:val="center"/>
          </w:tcPr>
          <w:p w14:paraId="38004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F2D9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C2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K-06</w:t>
            </w:r>
          </w:p>
        </w:tc>
        <w:tc>
          <w:tcPr>
            <w:tcW w:w="0" w:type="auto"/>
            <w:shd w:val="clear"/>
            <w:vAlign w:val="center"/>
          </w:tcPr>
          <w:p w14:paraId="1AB89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水下观察重点包括水深、能见度、光线、水温和生态区域</w:t>
            </w:r>
          </w:p>
        </w:tc>
        <w:tc>
          <w:tcPr>
            <w:tcW w:w="0" w:type="auto"/>
            <w:shd w:val="clear"/>
            <w:vAlign w:val="center"/>
          </w:tcPr>
          <w:p w14:paraId="1F0AC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2421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61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K-07</w:t>
            </w:r>
          </w:p>
        </w:tc>
        <w:tc>
          <w:tcPr>
            <w:tcW w:w="0" w:type="auto"/>
            <w:shd w:val="clear"/>
            <w:vAlign w:val="center"/>
          </w:tcPr>
          <w:p w14:paraId="3B30A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潜水玩法应区分浮潜、体验潜水和持证潜水</w:t>
            </w:r>
          </w:p>
        </w:tc>
        <w:tc>
          <w:tcPr>
            <w:tcW w:w="0" w:type="auto"/>
            <w:shd w:val="clear"/>
            <w:vAlign w:val="center"/>
          </w:tcPr>
          <w:p w14:paraId="4C2C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9D58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48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K-08</w:t>
            </w:r>
          </w:p>
        </w:tc>
        <w:tc>
          <w:tcPr>
            <w:tcW w:w="0" w:type="auto"/>
            <w:shd w:val="clear"/>
            <w:vAlign w:val="center"/>
          </w:tcPr>
          <w:p w14:paraId="5B48F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风浪、海流和能见度变化必须影响路线与活动建议</w:t>
            </w:r>
          </w:p>
        </w:tc>
        <w:tc>
          <w:tcPr>
            <w:tcW w:w="0" w:type="auto"/>
            <w:shd w:val="clear"/>
            <w:vAlign w:val="center"/>
          </w:tcPr>
          <w:p w14:paraId="7839B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4FB3078E">
      <w:pPr>
        <w:pStyle w:val="2"/>
        <w:keepNext w:val="0"/>
        <w:keepLines w:val="0"/>
        <w:widowControl/>
        <w:suppressLineNumbers w:val="0"/>
      </w:pPr>
      <w:r>
        <w:t>十二、风险与注意事项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80"/>
        <w:gridCol w:w="1755"/>
      </w:tblGrid>
      <w:tr w14:paraId="09D5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6D1D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098874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6B405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3AF24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C0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L-01</w:t>
            </w:r>
          </w:p>
        </w:tc>
        <w:tc>
          <w:tcPr>
            <w:tcW w:w="0" w:type="auto"/>
            <w:shd w:val="clear"/>
            <w:vAlign w:val="center"/>
          </w:tcPr>
          <w:p w14:paraId="7C0F9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风险演示必须说明风险为什么产生</w:t>
            </w:r>
          </w:p>
        </w:tc>
        <w:tc>
          <w:tcPr>
            <w:tcW w:w="0" w:type="auto"/>
            <w:shd w:val="clear"/>
            <w:vAlign w:val="center"/>
          </w:tcPr>
          <w:p w14:paraId="52D6B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B511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6B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L-02</w:t>
            </w:r>
          </w:p>
        </w:tc>
        <w:tc>
          <w:tcPr>
            <w:tcW w:w="0" w:type="auto"/>
            <w:shd w:val="clear"/>
            <w:vAlign w:val="center"/>
          </w:tcPr>
          <w:p w14:paraId="57B72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风险演示必须展示风险如何发展</w:t>
            </w:r>
          </w:p>
        </w:tc>
        <w:tc>
          <w:tcPr>
            <w:tcW w:w="0" w:type="auto"/>
            <w:shd w:val="clear"/>
            <w:vAlign w:val="center"/>
          </w:tcPr>
          <w:p w14:paraId="10DCD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5393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5F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L-03</w:t>
            </w:r>
          </w:p>
        </w:tc>
        <w:tc>
          <w:tcPr>
            <w:tcW w:w="0" w:type="auto"/>
            <w:shd w:val="clear"/>
            <w:vAlign w:val="center"/>
          </w:tcPr>
          <w:p w14:paraId="12A32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风险演示必须标识受影响区域</w:t>
            </w:r>
          </w:p>
        </w:tc>
        <w:tc>
          <w:tcPr>
            <w:tcW w:w="0" w:type="auto"/>
            <w:shd w:val="clear"/>
            <w:vAlign w:val="center"/>
          </w:tcPr>
          <w:p w14:paraId="72115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3108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21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L-04</w:t>
            </w:r>
          </w:p>
        </w:tc>
        <w:tc>
          <w:tcPr>
            <w:tcW w:w="0" w:type="auto"/>
            <w:shd w:val="clear"/>
            <w:vAlign w:val="center"/>
          </w:tcPr>
          <w:p w14:paraId="05776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风险演示必须提供判断信号和行动建议</w:t>
            </w:r>
          </w:p>
        </w:tc>
        <w:tc>
          <w:tcPr>
            <w:tcW w:w="0" w:type="auto"/>
            <w:shd w:val="clear"/>
            <w:vAlign w:val="center"/>
          </w:tcPr>
          <w:p w14:paraId="673A2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25DE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C7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L-05</w:t>
            </w:r>
          </w:p>
        </w:tc>
        <w:tc>
          <w:tcPr>
            <w:tcW w:w="0" w:type="auto"/>
            <w:shd w:val="clear"/>
            <w:vAlign w:val="center"/>
          </w:tcPr>
          <w:p w14:paraId="108C5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风险不能只依靠雷云、闪电或红色特效表达</w:t>
            </w:r>
          </w:p>
        </w:tc>
        <w:tc>
          <w:tcPr>
            <w:tcW w:w="0" w:type="auto"/>
            <w:shd w:val="clear"/>
            <w:vAlign w:val="center"/>
          </w:tcPr>
          <w:p w14:paraId="219BE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EE38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BF1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L-06</w:t>
            </w:r>
          </w:p>
        </w:tc>
        <w:tc>
          <w:tcPr>
            <w:tcW w:w="0" w:type="auto"/>
            <w:shd w:val="clear"/>
            <w:vAlign w:val="center"/>
          </w:tcPr>
          <w:p w14:paraId="5DCC5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山地支持雷暴、落石、泥石流、雪崩等适用风险</w:t>
            </w:r>
          </w:p>
        </w:tc>
        <w:tc>
          <w:tcPr>
            <w:tcW w:w="0" w:type="auto"/>
            <w:shd w:val="clear"/>
            <w:vAlign w:val="center"/>
          </w:tcPr>
          <w:p w14:paraId="1E3F1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3768F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3E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L-07</w:t>
            </w:r>
          </w:p>
        </w:tc>
        <w:tc>
          <w:tcPr>
            <w:tcW w:w="0" w:type="auto"/>
            <w:shd w:val="clear"/>
            <w:vAlign w:val="center"/>
          </w:tcPr>
          <w:p w14:paraId="7AA3C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水域支持风浪、低水温、薄冰和水位变化等适用风险</w:t>
            </w:r>
          </w:p>
        </w:tc>
        <w:tc>
          <w:tcPr>
            <w:tcW w:w="0" w:type="auto"/>
            <w:shd w:val="clear"/>
            <w:vAlign w:val="center"/>
          </w:tcPr>
          <w:p w14:paraId="3AAF2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F94F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BC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L-08</w:t>
            </w:r>
          </w:p>
        </w:tc>
        <w:tc>
          <w:tcPr>
            <w:tcW w:w="0" w:type="auto"/>
            <w:shd w:val="clear"/>
            <w:vAlign w:val="center"/>
          </w:tcPr>
          <w:p w14:paraId="31DCB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水下支持海流、能见度下降和水面风浪等适用风险</w:t>
            </w:r>
          </w:p>
        </w:tc>
        <w:tc>
          <w:tcPr>
            <w:tcW w:w="0" w:type="auto"/>
            <w:shd w:val="clear"/>
            <w:vAlign w:val="center"/>
          </w:tcPr>
          <w:p w14:paraId="5C705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6D3D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B65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L-09</w:t>
            </w:r>
          </w:p>
        </w:tc>
        <w:tc>
          <w:tcPr>
            <w:tcW w:w="0" w:type="auto"/>
            <w:shd w:val="clear"/>
            <w:vAlign w:val="center"/>
          </w:tcPr>
          <w:p w14:paraId="7EC3C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风险演示由用户主动触发</w:t>
            </w:r>
          </w:p>
        </w:tc>
        <w:tc>
          <w:tcPr>
            <w:tcW w:w="0" w:type="auto"/>
            <w:shd w:val="clear"/>
            <w:vAlign w:val="center"/>
          </w:tcPr>
          <w:p w14:paraId="7EE91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05C8E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D9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L-10</w:t>
            </w:r>
          </w:p>
        </w:tc>
        <w:tc>
          <w:tcPr>
            <w:tcW w:w="0" w:type="auto"/>
            <w:shd w:val="clear"/>
            <w:vAlign w:val="center"/>
          </w:tcPr>
          <w:p w14:paraId="764C0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风险演示支持暂停</w:t>
            </w:r>
          </w:p>
        </w:tc>
        <w:tc>
          <w:tcPr>
            <w:tcW w:w="0" w:type="auto"/>
            <w:shd w:val="clear"/>
            <w:vAlign w:val="center"/>
          </w:tcPr>
          <w:p w14:paraId="5D301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0CBA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01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L-11</w:t>
            </w:r>
          </w:p>
        </w:tc>
        <w:tc>
          <w:tcPr>
            <w:tcW w:w="0" w:type="auto"/>
            <w:shd w:val="clear"/>
            <w:vAlign w:val="center"/>
          </w:tcPr>
          <w:p w14:paraId="09B2F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风险演示支持重播</w:t>
            </w:r>
          </w:p>
        </w:tc>
        <w:tc>
          <w:tcPr>
            <w:tcW w:w="0" w:type="auto"/>
            <w:shd w:val="clear"/>
            <w:vAlign w:val="center"/>
          </w:tcPr>
          <w:p w14:paraId="69DDB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08B4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0D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L-12</w:t>
            </w:r>
          </w:p>
        </w:tc>
        <w:tc>
          <w:tcPr>
            <w:tcW w:w="0" w:type="auto"/>
            <w:shd w:val="clear"/>
            <w:vAlign w:val="center"/>
          </w:tcPr>
          <w:p w14:paraId="62C35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风险演示支持恢复平静</w:t>
            </w:r>
          </w:p>
        </w:tc>
        <w:tc>
          <w:tcPr>
            <w:tcW w:w="0" w:type="auto"/>
            <w:shd w:val="clear"/>
            <w:vAlign w:val="center"/>
          </w:tcPr>
          <w:p w14:paraId="5C42C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A831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93E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L-13</w:t>
            </w:r>
          </w:p>
        </w:tc>
        <w:tc>
          <w:tcPr>
            <w:tcW w:w="0" w:type="auto"/>
            <w:shd w:val="clear"/>
            <w:vAlign w:val="center"/>
          </w:tcPr>
          <w:p w14:paraId="47D3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风险状态不强制在固定时间后自动消失</w:t>
            </w:r>
          </w:p>
        </w:tc>
        <w:tc>
          <w:tcPr>
            <w:tcW w:w="0" w:type="auto"/>
            <w:shd w:val="clear"/>
            <w:vAlign w:val="center"/>
          </w:tcPr>
          <w:p w14:paraId="10024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21E14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1C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L-14</w:t>
            </w:r>
          </w:p>
        </w:tc>
        <w:tc>
          <w:tcPr>
            <w:tcW w:w="0" w:type="auto"/>
            <w:shd w:val="clear"/>
            <w:vAlign w:val="center"/>
          </w:tcPr>
          <w:p w14:paraId="552AF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风险提示必须注明是演示还是当前真实提醒</w:t>
            </w:r>
          </w:p>
        </w:tc>
        <w:tc>
          <w:tcPr>
            <w:tcW w:w="0" w:type="auto"/>
            <w:shd w:val="clear"/>
            <w:vAlign w:val="center"/>
          </w:tcPr>
          <w:p w14:paraId="6B753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741186F9">
      <w:pPr>
        <w:pStyle w:val="2"/>
        <w:keepNext w:val="0"/>
        <w:keepLines w:val="0"/>
        <w:widowControl/>
        <w:suppressLineNumbers w:val="0"/>
      </w:pPr>
      <w:r>
        <w:t>十三、数据口径与可信度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80"/>
        <w:gridCol w:w="1039"/>
      </w:tblGrid>
      <w:tr w14:paraId="10582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64AC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37D1E1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24FA27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5F447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8C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M-01</w:t>
            </w:r>
          </w:p>
        </w:tc>
        <w:tc>
          <w:tcPr>
            <w:tcW w:w="0" w:type="auto"/>
            <w:shd w:val="clear"/>
            <w:vAlign w:val="center"/>
          </w:tcPr>
          <w:p w14:paraId="01134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当前实况、景色预览和风险演示使用不同状态标识</w:t>
            </w:r>
          </w:p>
        </w:tc>
        <w:tc>
          <w:tcPr>
            <w:tcW w:w="0" w:type="auto"/>
            <w:shd w:val="clear"/>
            <w:vAlign w:val="center"/>
          </w:tcPr>
          <w:p w14:paraId="01665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F840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C1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M-02</w:t>
            </w:r>
          </w:p>
        </w:tc>
        <w:tc>
          <w:tcPr>
            <w:tcW w:w="0" w:type="auto"/>
            <w:shd w:val="clear"/>
            <w:vAlign w:val="center"/>
          </w:tcPr>
          <w:p w14:paraId="5EC24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当前实况显示数据来源和更新时间</w:t>
            </w:r>
          </w:p>
        </w:tc>
        <w:tc>
          <w:tcPr>
            <w:tcW w:w="0" w:type="auto"/>
            <w:shd w:val="clear"/>
            <w:vAlign w:val="center"/>
          </w:tcPr>
          <w:p w14:paraId="4C79B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0897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1B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  <w:tc>
          <w:tcPr>
            <w:tcW w:w="0" w:type="auto"/>
            <w:shd w:val="clear"/>
            <w:vAlign w:val="center"/>
          </w:tcPr>
          <w:p w14:paraId="15A4C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景色预览注明基于典型季节特征</w:t>
            </w:r>
          </w:p>
        </w:tc>
        <w:tc>
          <w:tcPr>
            <w:tcW w:w="0" w:type="auto"/>
            <w:shd w:val="clear"/>
            <w:vAlign w:val="center"/>
          </w:tcPr>
          <w:p w14:paraId="68F45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245CA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10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M-04</w:t>
            </w:r>
          </w:p>
        </w:tc>
        <w:tc>
          <w:tcPr>
            <w:tcW w:w="0" w:type="auto"/>
            <w:shd w:val="clear"/>
            <w:vAlign w:val="center"/>
          </w:tcPr>
          <w:p w14:paraId="60D2B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风险演示注明“非当前实况”</w:t>
            </w:r>
          </w:p>
        </w:tc>
        <w:tc>
          <w:tcPr>
            <w:tcW w:w="0" w:type="auto"/>
            <w:shd w:val="clear"/>
            <w:vAlign w:val="center"/>
          </w:tcPr>
          <w:p w14:paraId="45138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C379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38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M-05</w:t>
            </w:r>
          </w:p>
        </w:tc>
        <w:tc>
          <w:tcPr>
            <w:tcW w:w="0" w:type="auto"/>
            <w:shd w:val="clear"/>
            <w:vAlign w:val="center"/>
          </w:tcPr>
          <w:p w14:paraId="7EB37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当前确有官方风险时，单独显示相关提醒和来源入口</w:t>
            </w:r>
          </w:p>
        </w:tc>
        <w:tc>
          <w:tcPr>
            <w:tcW w:w="0" w:type="auto"/>
            <w:shd w:val="clear"/>
            <w:vAlign w:val="center"/>
          </w:tcPr>
          <w:p w14:paraId="305D4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696DB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AE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M-06</w:t>
            </w:r>
          </w:p>
        </w:tc>
        <w:tc>
          <w:tcPr>
            <w:tcW w:w="0" w:type="auto"/>
            <w:shd w:val="clear"/>
            <w:vAlign w:val="center"/>
          </w:tcPr>
          <w:p w14:paraId="416CB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多个来源或建议不得被合并成虚构统一结论</w:t>
            </w:r>
          </w:p>
        </w:tc>
        <w:tc>
          <w:tcPr>
            <w:tcW w:w="0" w:type="auto"/>
            <w:shd w:val="clear"/>
            <w:vAlign w:val="center"/>
          </w:tcPr>
          <w:p w14:paraId="20E8B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7BD7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38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M-07</w:t>
            </w:r>
          </w:p>
        </w:tc>
        <w:tc>
          <w:tcPr>
            <w:tcW w:w="0" w:type="auto"/>
            <w:shd w:val="clear"/>
            <w:vAlign w:val="center"/>
          </w:tcPr>
          <w:p w14:paraId="70B9F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动物、鱼类和季节景观不表达为必然出现</w:t>
            </w:r>
          </w:p>
        </w:tc>
        <w:tc>
          <w:tcPr>
            <w:tcW w:w="0" w:type="auto"/>
            <w:shd w:val="clear"/>
            <w:vAlign w:val="center"/>
          </w:tcPr>
          <w:p w14:paraId="50292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097D711E">
      <w:pPr>
        <w:pStyle w:val="2"/>
        <w:keepNext w:val="0"/>
        <w:keepLines w:val="0"/>
        <w:widowControl/>
        <w:suppressLineNumbers w:val="0"/>
      </w:pPr>
      <w:r>
        <w:t>十四、退出总结与下一步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4140"/>
        <w:gridCol w:w="1275"/>
      </w:tblGrid>
      <w:tr w14:paraId="37990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E283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F8CEC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630310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7E367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F5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N-01</w:t>
            </w:r>
          </w:p>
        </w:tc>
        <w:tc>
          <w:tcPr>
            <w:tcW w:w="0" w:type="auto"/>
            <w:shd w:val="clear"/>
            <w:vAlign w:val="center"/>
          </w:tcPr>
          <w:p w14:paraId="626DB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结束沉浸探索时形成一张旅行判断总结</w:t>
            </w:r>
          </w:p>
        </w:tc>
        <w:tc>
          <w:tcPr>
            <w:tcW w:w="0" w:type="auto"/>
            <w:shd w:val="clear"/>
            <w:vAlign w:val="center"/>
          </w:tcPr>
          <w:p w14:paraId="18CB2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Grok</w:t>
            </w:r>
          </w:p>
        </w:tc>
      </w:tr>
      <w:tr w14:paraId="54214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5A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N-02</w:t>
            </w:r>
          </w:p>
        </w:tc>
        <w:tc>
          <w:tcPr>
            <w:tcW w:w="0" w:type="auto"/>
            <w:shd w:val="clear"/>
            <w:vAlign w:val="center"/>
          </w:tcPr>
          <w:p w14:paraId="37046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总结包含最适合的时间或景色</w:t>
            </w:r>
          </w:p>
        </w:tc>
        <w:tc>
          <w:tcPr>
            <w:tcW w:w="0" w:type="auto"/>
            <w:shd w:val="clear"/>
            <w:vAlign w:val="center"/>
          </w:tcPr>
          <w:p w14:paraId="5D7FE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495D3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D9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N-03</w:t>
            </w:r>
          </w:p>
        </w:tc>
        <w:tc>
          <w:tcPr>
            <w:tcW w:w="0" w:type="auto"/>
            <w:shd w:val="clear"/>
            <w:vAlign w:val="center"/>
          </w:tcPr>
          <w:p w14:paraId="4CE43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总结包含最适合的玩法</w:t>
            </w:r>
          </w:p>
        </w:tc>
        <w:tc>
          <w:tcPr>
            <w:tcW w:w="0" w:type="auto"/>
            <w:shd w:val="clear"/>
            <w:vAlign w:val="center"/>
          </w:tcPr>
          <w:p w14:paraId="4AE10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3877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A1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N-04</w:t>
            </w:r>
          </w:p>
        </w:tc>
        <w:tc>
          <w:tcPr>
            <w:tcW w:w="0" w:type="auto"/>
            <w:shd w:val="clear"/>
            <w:vAlign w:val="center"/>
          </w:tcPr>
          <w:p w14:paraId="63B8F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总结包含对当前家庭或用户的适配判断</w:t>
            </w:r>
          </w:p>
        </w:tc>
        <w:tc>
          <w:tcPr>
            <w:tcW w:w="0" w:type="auto"/>
            <w:shd w:val="clear"/>
            <w:vAlign w:val="center"/>
          </w:tcPr>
          <w:p w14:paraId="3F4E7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5CB7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08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N-05</w:t>
            </w:r>
          </w:p>
        </w:tc>
        <w:tc>
          <w:tcPr>
            <w:tcW w:w="0" w:type="auto"/>
            <w:shd w:val="clear"/>
            <w:vAlign w:val="center"/>
          </w:tcPr>
          <w:p w14:paraId="16D80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总结包含需要留意的主要风险</w:t>
            </w:r>
          </w:p>
        </w:tc>
        <w:tc>
          <w:tcPr>
            <w:tcW w:w="0" w:type="auto"/>
            <w:shd w:val="clear"/>
            <w:vAlign w:val="center"/>
          </w:tcPr>
          <w:p w14:paraId="3E176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7F626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CA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N-06</w:t>
            </w:r>
          </w:p>
        </w:tc>
        <w:tc>
          <w:tcPr>
            <w:tcW w:w="0" w:type="auto"/>
            <w:shd w:val="clear"/>
            <w:vAlign w:val="center"/>
          </w:tcPr>
          <w:p w14:paraId="27232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总结提供加入心愿入口</w:t>
            </w:r>
          </w:p>
        </w:tc>
        <w:tc>
          <w:tcPr>
            <w:tcW w:w="0" w:type="auto"/>
            <w:shd w:val="clear"/>
            <w:vAlign w:val="center"/>
          </w:tcPr>
          <w:p w14:paraId="7DCFA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0FCB1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F8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N-07</w:t>
            </w:r>
          </w:p>
        </w:tc>
        <w:tc>
          <w:tcPr>
            <w:tcW w:w="0" w:type="auto"/>
            <w:shd w:val="clear"/>
            <w:vAlign w:val="center"/>
          </w:tcPr>
          <w:p w14:paraId="711D2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总结提供查看准备事项入口</w:t>
            </w:r>
          </w:p>
        </w:tc>
        <w:tc>
          <w:tcPr>
            <w:tcW w:w="0" w:type="auto"/>
            <w:shd w:val="clear"/>
            <w:vAlign w:val="center"/>
          </w:tcPr>
          <w:p w14:paraId="7D48C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1D95C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6D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N-08</w:t>
            </w:r>
          </w:p>
        </w:tc>
        <w:tc>
          <w:tcPr>
            <w:tcW w:w="0" w:type="auto"/>
            <w:shd w:val="clear"/>
            <w:vAlign w:val="center"/>
          </w:tcPr>
          <w:p w14:paraId="34C14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总结提供加入Journey或继续规划入口</w:t>
            </w:r>
          </w:p>
        </w:tc>
        <w:tc>
          <w:tcPr>
            <w:tcW w:w="0" w:type="auto"/>
            <w:shd w:val="clear"/>
            <w:vAlign w:val="center"/>
          </w:tcPr>
          <w:p w14:paraId="193FD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  <w:tr w14:paraId="5F81D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08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N-09</w:t>
            </w:r>
          </w:p>
        </w:tc>
        <w:tc>
          <w:tcPr>
            <w:tcW w:w="0" w:type="auto"/>
            <w:shd w:val="clear"/>
            <w:vAlign w:val="center"/>
          </w:tcPr>
          <w:p w14:paraId="0CF41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总结提供返回地图入口</w:t>
            </w:r>
          </w:p>
        </w:tc>
        <w:tc>
          <w:tcPr>
            <w:tcW w:w="0" w:type="auto"/>
            <w:shd w:val="clear"/>
            <w:vAlign w:val="center"/>
          </w:tcPr>
          <w:p w14:paraId="7EBDB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5BAC5CDF">
      <w:pPr>
        <w:pStyle w:val="2"/>
        <w:keepNext w:val="0"/>
        <w:keepLines w:val="0"/>
        <w:widowControl/>
        <w:suppressLineNumbers w:val="0"/>
      </w:pPr>
      <w:r>
        <w:t>十五、可用性与降级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6156"/>
        <w:gridCol w:w="1683"/>
      </w:tblGrid>
      <w:tr w14:paraId="4DFC2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0FD4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1CF815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实施清单</w:t>
            </w:r>
          </w:p>
        </w:tc>
        <w:tc>
          <w:tcPr>
            <w:tcW w:w="0" w:type="auto"/>
            <w:shd w:val="clear"/>
            <w:vAlign w:val="center"/>
          </w:tcPr>
          <w:p w14:paraId="65AE7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</w:tr>
      <w:tr w14:paraId="3AED7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8F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O-01</w:t>
            </w:r>
          </w:p>
        </w:tc>
        <w:tc>
          <w:tcPr>
            <w:tcW w:w="0" w:type="auto"/>
            <w:shd w:val="clear"/>
            <w:vAlign w:val="center"/>
          </w:tcPr>
          <w:p w14:paraId="6FC47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保留非沉浸式信息入口</w:t>
            </w:r>
          </w:p>
        </w:tc>
        <w:tc>
          <w:tcPr>
            <w:tcW w:w="0" w:type="auto"/>
            <w:shd w:val="clear"/>
            <w:vAlign w:val="center"/>
          </w:tcPr>
          <w:p w14:paraId="6DD02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GPT</w:t>
            </w:r>
          </w:p>
        </w:tc>
      </w:tr>
      <w:tr w14:paraId="02862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0C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O-02</w:t>
            </w:r>
          </w:p>
        </w:tc>
        <w:tc>
          <w:tcPr>
            <w:tcW w:w="0" w:type="auto"/>
            <w:shd w:val="clear"/>
            <w:vAlign w:val="center"/>
          </w:tcPr>
          <w:p w14:paraId="64539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不适应动态场景的用户可直接查看等价信息</w:t>
            </w:r>
          </w:p>
        </w:tc>
        <w:tc>
          <w:tcPr>
            <w:tcW w:w="0" w:type="auto"/>
            <w:shd w:val="clear"/>
            <w:vAlign w:val="center"/>
          </w:tcPr>
          <w:p w14:paraId="3119E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GPT</w:t>
            </w:r>
          </w:p>
        </w:tc>
      </w:tr>
      <w:tr w14:paraId="67F8F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00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O-03</w:t>
            </w:r>
          </w:p>
        </w:tc>
        <w:tc>
          <w:tcPr>
            <w:tcW w:w="0" w:type="auto"/>
            <w:shd w:val="clear"/>
            <w:vAlign w:val="center"/>
          </w:tcPr>
          <w:p w14:paraId="01A1E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动态效果关闭后不影响地点信息和旅行判断</w:t>
            </w:r>
          </w:p>
        </w:tc>
        <w:tc>
          <w:tcPr>
            <w:tcW w:w="0" w:type="auto"/>
            <w:shd w:val="clear"/>
            <w:vAlign w:val="center"/>
          </w:tcPr>
          <w:p w14:paraId="305BB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GPT</w:t>
            </w:r>
          </w:p>
        </w:tc>
      </w:tr>
      <w:tr w14:paraId="63BC5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16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O-04</w:t>
            </w:r>
          </w:p>
        </w:tc>
        <w:tc>
          <w:tcPr>
            <w:tcW w:w="0" w:type="auto"/>
            <w:shd w:val="clear"/>
            <w:vAlign w:val="center"/>
          </w:tcPr>
          <w:p w14:paraId="4799B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场景或资源异常时仍可查看地点摘要、玩法、风险和下一步行动</w:t>
            </w:r>
          </w:p>
        </w:tc>
        <w:tc>
          <w:tcPr>
            <w:tcW w:w="0" w:type="auto"/>
            <w:shd w:val="clear"/>
            <w:vAlign w:val="center"/>
          </w:tcPr>
          <w:p w14:paraId="27E55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</w:tr>
      <w:tr w14:paraId="56CE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09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O-05</w:t>
            </w:r>
          </w:p>
        </w:tc>
        <w:tc>
          <w:tcPr>
            <w:tcW w:w="0" w:type="auto"/>
            <w:shd w:val="clear"/>
            <w:vAlign w:val="center"/>
          </w:tcPr>
          <w:p w14:paraId="067DB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进入和退出过程中始终保留取消或返回能力</w:t>
            </w:r>
          </w:p>
        </w:tc>
        <w:tc>
          <w:tcPr>
            <w:tcW w:w="0" w:type="auto"/>
            <w:shd w:val="clear"/>
            <w:vAlign w:val="center"/>
          </w:tcPr>
          <w:p w14:paraId="45008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</w:tr>
    </w:tbl>
    <w:p w14:paraId="39ACF148">
      <w:pPr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B5389"/>
    <w:multiLevelType w:val="multilevel"/>
    <w:tmpl w:val="AAFB5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5F54D4"/>
    <w:multiLevelType w:val="multilevel"/>
    <w:tmpl w:val="DD5F5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EBED42"/>
    <w:multiLevelType w:val="multilevel"/>
    <w:tmpl w:val="E5EBE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D37058F"/>
    <w:multiLevelType w:val="multilevel"/>
    <w:tmpl w:val="3D370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39745F"/>
    <w:multiLevelType w:val="multilevel"/>
    <w:tmpl w:val="5C397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77EA"/>
    <w:rsid w:val="08843074"/>
    <w:rsid w:val="0C1D53EF"/>
    <w:rsid w:val="1C2D3246"/>
    <w:rsid w:val="45857D9C"/>
    <w:rsid w:val="4A7777EA"/>
    <w:rsid w:val="50444A82"/>
    <w:rsid w:val="6FCC3E02"/>
    <w:rsid w:val="7C36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2026-07-17T02:43:00Z</dcterms:created>
  <dc:creator>企业用户_407986562</dc:creator>
  <cp:lastModifiedBy>企业用户_407986562</cp:lastModifiedBy>
  <dcterms:modified xsi:type="dcterms:W3CDTF">2026-07-17T03:18:42Z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C9C0FBAE6EC24EFAA53A363CF8A4D4FF_13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