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X94bf6bfb3e6edf49861f0547d881087e9e0d14e"/>
    <w:p>
      <w:pPr>
        <w:pStyle w:val="Heading1"/>
      </w:pPr>
      <w:r>
        <w:t xml:space="preserve">Product Requirements Document: Next‑Generation FookLoi.net Dealer Operations Platform</w:t>
      </w:r>
    </w:p>
    <w:bookmarkStart w:id="25" w:name="executive-summary"/>
    <w:p>
      <w:pPr>
        <w:pStyle w:val="Heading2"/>
      </w:pPr>
      <w:r>
        <w:t xml:space="preserve">Executive summary</w:t>
      </w:r>
    </w:p>
    <w:p>
      <w:pPr>
        <w:pStyle w:val="FirstParagraph"/>
      </w:pPr>
      <w:r>
        <w:t xml:space="preserve">Fookloi.net (the “current system”) appears to be a dealership operations web application for Proton-related sales bookings and downstream administrative processes (payments, vehicle details, finance/insurance, confirmations, refunds, and document uploads). This is evidenced by publicly accessible pages that contain an “Update Booking” workflow with customer identifiers (including NRIC), branch selection, sales advisor selection, model/colour/status selection, payment entry, vehicle registration details, finance/insurance fields, refund entry, and file upload guidance (JPEG/PDF).</w:t>
      </w:r>
      <w:r>
        <w:t xml:space="preserve"> </w:t>
      </w:r>
      <w:hyperlink r:id="rId21">
        <w:r>
          <w:rPr>
            <w:rStyle w:val="Hyperlink"/>
          </w:rPr>
          <w:t xml:space="preserve">[1]</w:t>
        </w:r>
      </w:hyperlink>
    </w:p>
    <w:p>
      <w:pPr>
        <w:pStyle w:val="BodyText"/>
      </w:pPr>
      <w:r>
        <w:t xml:space="preserve">The most material issues are not cosmetic; they are structural:</w:t>
      </w:r>
    </w:p>
    <w:p>
      <w:pPr>
        <w:pStyle w:val="BodyText"/>
      </w:pPr>
      <w:r>
        <w:t xml:space="preserve">The current system exposes internal operational interfaces and large internal reference lists (e.g., staff names, branch codes, banks/finance companies) on a page that appears reachable without authentication, which is a high-severity security and privacy risk in any customer-processing system.</w:t>
      </w:r>
      <w:r>
        <w:t xml:space="preserve"> </w:t>
      </w:r>
      <w:hyperlink r:id="rId21">
        <w:r>
          <w:rPr>
            <w:rStyle w:val="Hyperlink"/>
          </w:rPr>
          <w:t xml:space="preserve">[2]</w:t>
        </w:r>
      </w:hyperlink>
      <w:r>
        <w:br/>
      </w:r>
      <w:r>
        <w:t xml:space="preserve">The UI includes what looks like template placeholder content (“Last updates … Example 1… Example 4…”, plus a persona name) embedded in a production workflow page, suggesting weak production hardening and quality control.</w:t>
      </w:r>
      <w:r>
        <w:t xml:space="preserve"> </w:t>
      </w:r>
      <w:hyperlink r:id="rId21">
        <w:r>
          <w:rPr>
            <w:rStyle w:val="Hyperlink"/>
          </w:rPr>
          <w:t xml:space="preserve">[3]</w:t>
        </w:r>
      </w:hyperlink>
      <w:r>
        <w:br/>
      </w:r>
      <w:r>
        <w:t xml:space="preserve">Business rules (e.g., “Reserve Car Expired” after “more than 4 days”) appear embedded as static messaging, rather than configurable policy, and the page content suggests error states and defaults at the data layer (e.g., registration date “01-01-1970”, RM 0.00).</w:t>
      </w:r>
      <w:r>
        <w:t xml:space="preserve"> </w:t>
      </w:r>
      <w:hyperlink r:id="rId22">
        <w:r>
          <w:rPr>
            <w:rStyle w:val="Hyperlink"/>
          </w:rPr>
          <w:t xml:space="preserve">[4]</w:t>
        </w:r>
      </w:hyperlink>
    </w:p>
    <w:p>
      <w:pPr>
        <w:pStyle w:val="BodyText"/>
      </w:pPr>
      <w:r>
        <w:t xml:space="preserve">This PRD proposes a redesigned, demonstrably improved platform (“FookLoi Next”) that replaces exposed, form-heavy pages with a secure, role-based, auditable system built around (a) a single source of truth for customers, vehicles, and transactions; (b) modular workflows (sales booking, payments, finance/insurance, registration/delivery, refunds); (c) modern security controls aligned to OWASP guidance; and (d) Malaysia-specific compliance requirements under the Personal Data Protection Act (PDPA) and its 2024 amendments (including mandatory DPO appointment and breach notification).</w:t>
      </w:r>
      <w:r>
        <w:t xml:space="preserve"> </w:t>
      </w:r>
      <w:hyperlink r:id="rId23">
        <w:r>
          <w:rPr>
            <w:rStyle w:val="Hyperlink"/>
          </w:rPr>
          <w:t xml:space="preserve">[5]</w:t>
        </w:r>
      </w:hyperlink>
    </w:p>
    <w:p>
      <w:pPr>
        <w:pStyle w:val="BodyText"/>
      </w:pPr>
      <w:r>
        <w:t xml:space="preserve">Scope is intentionally designed for uncertain budget and unspecified target users. The solution is staged:</w:t>
      </w:r>
    </w:p>
    <w:p>
      <w:pPr>
        <w:pStyle w:val="BodyText"/>
      </w:pPr>
      <w:r>
        <w:t xml:space="preserve">Phase one hardens and rebuilds the internal operations system (Sales/Admin) to eliminate the biggest risks and unblock operational efficiency.</w:t>
      </w:r>
      <w:r>
        <w:br/>
      </w:r>
      <w:r>
        <w:t xml:space="preserve">Phase two adds a public-facing customer portal (optional) for booking, document submission, and status notifications, with strict data minimisation and consent flows aligned to PDPA principles.</w:t>
      </w:r>
      <w:r>
        <w:t xml:space="preserve"> </w:t>
      </w:r>
      <w:hyperlink r:id="rId24">
        <w:r>
          <w:rPr>
            <w:rStyle w:val="Hyperlink"/>
          </w:rPr>
          <w:t xml:space="preserve">[6]</w:t>
        </w:r>
      </w:hyperlink>
    </w:p>
    <w:bookmarkEnd w:id="25"/>
    <w:bookmarkStart w:id="29" w:name="current-system-audit-with-evidence"/>
    <w:p>
      <w:pPr>
        <w:pStyle w:val="Heading2"/>
      </w:pPr>
      <w:r>
        <w:t xml:space="preserve">Current system audit with evidence</w:t>
      </w:r>
    </w:p>
    <w:p>
      <w:pPr>
        <w:pStyle w:val="FirstParagraph"/>
      </w:pPr>
      <w:r>
        <w:rPr>
          <w:b/>
          <w:bCs/>
        </w:rPr>
        <w:t xml:space="preserve">Observed endpoints and user entry points (publicly reachable)</w:t>
      </w:r>
      <w:r>
        <w:br/>
      </w:r>
      <w:r>
        <w:t xml:space="preserve">The system includes a sign-in page that prompts for “Staff Name” and “Password” and mentions signing in “as Sales Advisor”, plus a “Forgot password” flow.</w:t>
      </w:r>
      <w:r>
        <w:t xml:space="preserve"> </w:t>
      </w:r>
      <w:hyperlink r:id="rId26">
        <w:r>
          <w:rPr>
            <w:rStyle w:val="Hyperlink"/>
          </w:rPr>
          <w:t xml:space="preserve">[7]</w:t>
        </w:r>
      </w:hyperlink>
      <w:r>
        <w:br/>
      </w:r>
      <w:r>
        <w:t xml:space="preserve">The system includes operational pages such as</w:t>
      </w:r>
      <w:r>
        <w:t xml:space="preserve"> </w:t>
      </w:r>
      <w:r>
        <w:rPr>
          <w:rStyle w:val="VerbatimChar"/>
        </w:rPr>
        <w:t xml:space="preserve">updateSalesBooking.php</w:t>
      </w:r>
      <w:r>
        <w:t xml:space="preserve"> </w:t>
      </w:r>
      <w:r>
        <w:t xml:space="preserve">and</w:t>
      </w:r>
      <w:r>
        <w:t xml:space="preserve"> </w:t>
      </w:r>
      <w:r>
        <w:rPr>
          <w:rStyle w:val="VerbatimChar"/>
        </w:rPr>
        <w:t xml:space="preserve">viewEditSalesBooking.php?sbid=...</w:t>
      </w:r>
      <w:r>
        <w:t xml:space="preserve"> </w:t>
      </w:r>
      <w:r>
        <w:t xml:space="preserve">that render detailed booking workflows and an expiry warning (“Reserve Car Expired … reserved for more than 4 days”).</w:t>
      </w:r>
      <w:r>
        <w:t xml:space="preserve"> </w:t>
      </w:r>
      <w:hyperlink r:id="rId21">
        <w:r>
          <w:rPr>
            <w:rStyle w:val="Hyperlink"/>
          </w:rPr>
          <w:t xml:space="preserve">[8]</w:t>
        </w:r>
      </w:hyperlink>
    </w:p>
    <w:p>
      <w:pPr>
        <w:pStyle w:val="BodyText"/>
      </w:pPr>
      <w:r>
        <w:rPr>
          <w:b/>
          <w:bCs/>
        </w:rPr>
        <w:t xml:space="preserve">Functional surface area visible in the “Update Booking” page</w:t>
      </w:r>
      <w:r>
        <w:br/>
      </w:r>
      <w:r>
        <w:t xml:space="preserve">Within the “Update Booking” interface, the application surfaces (at minimum):</w:t>
      </w:r>
    </w:p>
    <w:p>
      <w:pPr>
        <w:pStyle w:val="BodyText"/>
      </w:pPr>
      <w:r>
        <w:t xml:space="preserve">Customer section including fields for Customer Name and NRIC.</w:t>
      </w:r>
      <w:r>
        <w:t xml:space="preserve"> </w:t>
      </w:r>
      <w:hyperlink r:id="rId21">
        <w:r>
          <w:rPr>
            <w:rStyle w:val="Hyperlink"/>
          </w:rPr>
          <w:t xml:space="preserve">[9]</w:t>
        </w:r>
      </w:hyperlink>
      <w:r>
        <w:br/>
      </w:r>
      <w:r>
        <w:t xml:space="preserve">Operational categorisation section including Branch Name (with branch codes), foreign code (Local/Oversea), VSO No., sales running number, and a Sales Advisor selection list.</w:t>
      </w:r>
      <w:r>
        <w:t xml:space="preserve"> </w:t>
      </w:r>
      <w:hyperlink r:id="rId21">
        <w:r>
          <w:rPr>
            <w:rStyle w:val="Hyperlink"/>
          </w:rPr>
          <w:t xml:space="preserve">[9]</w:t>
        </w:r>
      </w:hyperlink>
      <w:r>
        <w:br/>
      </w:r>
      <w:r>
        <w:t xml:space="preserve">Vehicle/product selection including Proton models and colour lists, plus a “Status” field.</w:t>
      </w:r>
      <w:r>
        <w:t xml:space="preserve"> </w:t>
      </w:r>
      <w:hyperlink r:id="rId21">
        <w:r>
          <w:rPr>
            <w:rStyle w:val="Hyperlink"/>
          </w:rPr>
          <w:t xml:space="preserve">[10]</w:t>
        </w:r>
      </w:hyperlink>
      <w:r>
        <w:br/>
      </w:r>
      <w:r>
        <w:t xml:space="preserve">Payment management with “New Payment” and “Update Payment” capturing OR No., date, payee, bank, bank account, payment type, payment method, amount, references, description, remarks, and file upload guidance.</w:t>
      </w:r>
      <w:r>
        <w:t xml:space="preserve"> </w:t>
      </w:r>
      <w:hyperlink r:id="rId21">
        <w:r>
          <w:rPr>
            <w:rStyle w:val="Hyperlink"/>
          </w:rPr>
          <w:t xml:space="preserve">[11]</w:t>
        </w:r>
      </w:hyperlink>
      <w:r>
        <w:br/>
      </w:r>
      <w:r>
        <w:t xml:space="preserve">Vehicle details management with invoice number/date, chassis/engine/registration numbers, registration card, selling price, accessories, financing-related fees (e.g., road tax, registration fee), and “Generate Invoice”.</w:t>
      </w:r>
      <w:r>
        <w:t xml:space="preserve"> </w:t>
      </w:r>
      <w:hyperlink r:id="rId21">
        <w:r>
          <w:rPr>
            <w:rStyle w:val="Hyperlink"/>
          </w:rPr>
          <w:t xml:space="preserve">[12]</w:t>
        </w:r>
      </w:hyperlink>
      <w:r>
        <w:br/>
      </w:r>
      <w:r>
        <w:t xml:space="preserve">Finance &amp; insurance entry including finance company, LOU upload, tenure, instalment, insurance company, cover note number, premiums, discounts, and calculated totals.</w:t>
      </w:r>
      <w:r>
        <w:t xml:space="preserve"> </w:t>
      </w:r>
      <w:hyperlink r:id="rId21">
        <w:r>
          <w:rPr>
            <w:rStyle w:val="Hyperlink"/>
          </w:rPr>
          <w:t xml:space="preserve">[13]</w:t>
        </w:r>
      </w:hyperlink>
      <w:r>
        <w:br/>
      </w:r>
      <w:r>
        <w:t xml:space="preserve">Confirmation document tracking (e.g., “Signed VDO”, “Car Registration Card”).</w:t>
      </w:r>
      <w:r>
        <w:t xml:space="preserve"> </w:t>
      </w:r>
      <w:hyperlink r:id="rId21">
        <w:r>
          <w:rPr>
            <w:rStyle w:val="Hyperlink"/>
          </w:rPr>
          <w:t xml:space="preserve">[11]</w:t>
        </w:r>
      </w:hyperlink>
      <w:r>
        <w:br/>
      </w:r>
      <w:r>
        <w:t xml:space="preserve">Refund / debit note / credit note handling, including “New Refund” and “Update Refund” and file upload.</w:t>
      </w:r>
      <w:r>
        <w:t xml:space="preserve"> </w:t>
      </w:r>
      <w:hyperlink r:id="rId21">
        <w:r>
          <w:rPr>
            <w:rStyle w:val="Hyperlink"/>
          </w:rPr>
          <w:t xml:space="preserve">[11]</w:t>
        </w:r>
      </w:hyperlink>
    </w:p>
    <w:p>
      <w:pPr>
        <w:pStyle w:val="BodyText"/>
      </w:pPr>
      <w:r>
        <w:rPr>
          <w:b/>
          <w:bCs/>
        </w:rPr>
        <w:t xml:space="preserve">Usability and information architecture problems</w:t>
      </w:r>
      <w:r>
        <w:br/>
      </w:r>
      <w:r>
        <w:t xml:space="preserve">The current page mixes end-to-end processes (customer identity, model selection, payments, invoice/registration, finance/insurance, refunds, document uploads) into one long interface. This creates a high cognitive load, increases error rates, and makes role separation difficult (sales advisor vs F&amp;I vs accounting). The evidence is the single page containing all these sections and modal-like “New … / Update …” forms.</w:t>
      </w:r>
      <w:r>
        <w:t xml:space="preserve"> </w:t>
      </w:r>
      <w:hyperlink r:id="rId21">
        <w:r>
          <w:rPr>
            <w:rStyle w:val="Hyperlink"/>
          </w:rPr>
          <w:t xml:space="preserve">[14]</w:t>
        </w:r>
      </w:hyperlink>
      <w:r>
        <w:br/>
      </w:r>
      <w:r>
        <w:t xml:space="preserve">The staff selection and other reference lists appear extremely large (long dropdown lists), implying poor searchability, incomplete role scoping, and potential data governance issues (duplicate/obsolete names, inconsistent formats). This is directly observable in the rendered “Sales Advisor” select list.</w:t>
      </w:r>
      <w:r>
        <w:t xml:space="preserve"> </w:t>
      </w:r>
      <w:hyperlink r:id="rId21">
        <w:r>
          <w:rPr>
            <w:rStyle w:val="Hyperlink"/>
          </w:rPr>
          <w:t xml:space="preserve">[9]</w:t>
        </w:r>
      </w:hyperlink>
      <w:r>
        <w:br/>
      </w:r>
      <w:r>
        <w:t xml:space="preserve">Data quality signals suggest defaults or missing validation: for example a “Registration Date” of “01-01-1970” and many fee fields defaulting to RM 0.00, which typically indicates null-handling or placeholder values in the UI/data model.</w:t>
      </w:r>
      <w:r>
        <w:t xml:space="preserve"> </w:t>
      </w:r>
      <w:hyperlink r:id="rId21">
        <w:r>
          <w:rPr>
            <w:rStyle w:val="Hyperlink"/>
          </w:rPr>
          <w:t xml:space="preserve">[15]</w:t>
        </w:r>
      </w:hyperlink>
    </w:p>
    <w:p>
      <w:pPr>
        <w:pStyle w:val="BodyText"/>
      </w:pPr>
      <w:r>
        <w:rPr>
          <w:b/>
          <w:bCs/>
        </w:rPr>
        <w:t xml:space="preserve">Security and privacy red flags (high confidence from evidence)</w:t>
      </w:r>
      <w:r>
        <w:br/>
      </w:r>
      <w:r>
        <w:t xml:space="preserve">The following items are observable in the public HTML render of an operational page and are therefore treated as critical risks:</w:t>
      </w:r>
    </w:p>
    <w:p>
      <w:pPr>
        <w:pStyle w:val="BodyText"/>
      </w:pPr>
      <w:r>
        <w:t xml:space="preserve">The “Update Booking” page exposes internal operational fields (NRIC, payments/refunds, finance/insurance) and internal reference data (e.g., staff list, bank list) on what appears to be a directly accessible URL, rather than being protected behind an authenticated session.</w:t>
      </w:r>
      <w:r>
        <w:t xml:space="preserve"> </w:t>
      </w:r>
      <w:hyperlink r:id="rId21">
        <w:r>
          <w:rPr>
            <w:rStyle w:val="Hyperlink"/>
          </w:rPr>
          <w:t xml:space="preserve">[16]</w:t>
        </w:r>
      </w:hyperlink>
      <w:r>
        <w:br/>
      </w:r>
      <w:r>
        <w:t xml:space="preserve">The page contains template placeholder content (“Last updates”, “Example 1…Example 4…”) that does not belong in a production transaction workflow. This is a “production hygiene” issue that often correlates with incomplete hardening (debug features, default credentials, missing access checks).</w:t>
      </w:r>
      <w:r>
        <w:t xml:space="preserve"> </w:t>
      </w:r>
      <w:hyperlink r:id="rId21">
        <w:r>
          <w:rPr>
            <w:rStyle w:val="Hyperlink"/>
          </w:rPr>
          <w:t xml:space="preserve">[3]</w:t>
        </w:r>
      </w:hyperlink>
    </w:p>
    <w:p>
      <w:pPr>
        <w:pStyle w:val="BodyText"/>
      </w:pPr>
      <w:r>
        <w:rPr>
          <w:b/>
          <w:bCs/>
        </w:rPr>
        <w:t xml:space="preserve">Compliance exposure under Malaysia PDPA (contextualised to observed data fields)</w:t>
      </w:r>
      <w:r>
        <w:br/>
      </w:r>
      <w:r>
        <w:t xml:space="preserve">The system processes “personal data” in commercial transactions (e.g., identifiable customer details like NRIC, and transaction/payment/financing data). Under Malaysia’s PDPA (Act 709), personal data in commercial transactions is regulated and data subjects have rights including access/correction mechanisms, subject to the Act’s conditions.</w:t>
      </w:r>
      <w:r>
        <w:t xml:space="preserve"> </w:t>
      </w:r>
      <w:hyperlink r:id="rId27">
        <w:r>
          <w:rPr>
            <w:rStyle w:val="Hyperlink"/>
          </w:rPr>
          <w:t xml:space="preserve">[17]</w:t>
        </w:r>
      </w:hyperlink>
      <w:r>
        <w:br/>
      </w:r>
      <w:r>
        <w:t xml:space="preserve">The PDPA Commissioner highlights the importance of the PDPA’s “7 Prinsip Perlindungan Data Peribadi”. A system that exposes personal data without robust access control would likely fail the spirit (and often the legal requirements) of security and disclosure principles.</w:t>
      </w:r>
      <w:r>
        <w:t xml:space="preserve"> </w:t>
      </w:r>
      <w:hyperlink r:id="rId24">
        <w:r>
          <w:rPr>
            <w:rStyle w:val="Hyperlink"/>
          </w:rPr>
          <w:t xml:space="preserve">[18]</w:t>
        </w:r>
      </w:hyperlink>
      <w:r>
        <w:br/>
      </w:r>
      <w:r>
        <w:t xml:space="preserve">PDPA Amendment 2024 (Act A1727) introduces mandatory Data Protection Officer (DPO) appointment requirements (new section 12a) and “Data breach notification” obligations (new section 12b), and expands definitions (e.g., “personal data breach”, “biometric data”). This materially changes operational requirements for any system processing personal data.</w:t>
      </w:r>
      <w:r>
        <w:t xml:space="preserve"> </w:t>
      </w:r>
      <w:hyperlink r:id="rId28">
        <w:r>
          <w:rPr>
            <w:rStyle w:val="Hyperlink"/>
          </w:rPr>
          <w:t xml:space="preserve">[19]</w:t>
        </w:r>
      </w:hyperlink>
    </w:p>
    <w:p>
      <w:pPr>
        <w:pStyle w:val="BodyText"/>
      </w:pPr>
      <w:r>
        <w:rPr>
          <w:b/>
          <w:bCs/>
        </w:rPr>
        <w:t xml:space="preserve">Inferred technology and deployment characteristics (explicitly labelled as inference)</w:t>
      </w:r>
      <w:r>
        <w:br/>
      </w:r>
      <w:r>
        <w:t xml:space="preserve">Because the observed endpoints end in</w:t>
      </w:r>
      <w:r>
        <w:t xml:space="preserve"> </w:t>
      </w:r>
      <w:r>
        <w:rPr>
          <w:rStyle w:val="VerbatimChar"/>
        </w:rPr>
        <w:t xml:space="preserve">.php</w:t>
      </w:r>
      <w:r>
        <w:t xml:space="preserve">, it is highly likely the current system is implemented as a PHP server-rendered web application (or a server configured to route</w:t>
      </w:r>
      <w:r>
        <w:t xml:space="preserve"> </w:t>
      </w:r>
      <w:r>
        <w:rPr>
          <w:rStyle w:val="VerbatimChar"/>
        </w:rPr>
        <w:t xml:space="preserve">.php</w:t>
      </w:r>
      <w:r>
        <w:t xml:space="preserve"> </w:t>
      </w:r>
      <w:r>
        <w:t xml:space="preserve">URLs).</w:t>
      </w:r>
      <w:r>
        <w:t xml:space="preserve"> </w:t>
      </w:r>
      <w:hyperlink r:id="rId26">
        <w:r>
          <w:rPr>
            <w:rStyle w:val="Hyperlink"/>
          </w:rPr>
          <w:t xml:space="preserve">[20]</w:t>
        </w:r>
      </w:hyperlink>
      <w:r>
        <w:br/>
      </w:r>
      <w:r>
        <w:t xml:space="preserve">The text “Showing 0 to 0 of 0 entries” and similar pagination language is commonly associated with table plugins (often DataTables-like patterns), suggesting a classic “admin dashboard template + server-rendered forms” approach rather than a structured domain-driven app with APIs. This is an inference based on the rendered content.</w:t>
      </w:r>
      <w:r>
        <w:t xml:space="preserve"> </w:t>
      </w:r>
      <w:hyperlink r:id="rId21">
        <w:r>
          <w:rPr>
            <w:rStyle w:val="Hyperlink"/>
          </w:rPr>
          <w:t xml:space="preserve">[11]</w:t>
        </w:r>
      </w:hyperlink>
    </w:p>
    <w:bookmarkEnd w:id="29"/>
    <w:bookmarkStart w:id="42" w:name="user-needs-and-market-benchmarking"/>
    <w:p>
      <w:pPr>
        <w:pStyle w:val="Heading2"/>
      </w:pPr>
      <w:r>
        <w:t xml:space="preserve">User needs and market benchmarking</w:t>
      </w:r>
    </w:p>
    <w:p>
      <w:pPr>
        <w:pStyle w:val="FirstParagraph"/>
      </w:pPr>
      <w:r>
        <w:rPr>
          <w:b/>
          <w:bCs/>
        </w:rPr>
        <w:t xml:space="preserve">Assumptions (explicit)</w:t>
      </w:r>
      <w:r>
        <w:br/>
      </w:r>
      <w:r>
        <w:t xml:space="preserve">No private analytics, internal CRM data, or user interviews were provided. This PRD therefore uses: (a) observable product surface area; (b) public reviews about service/scheduling and aftersales; and (c) best-practice patterns from leading dealer systems and CRMs.</w:t>
      </w:r>
    </w:p>
    <w:bookmarkStart w:id="30" w:name="personas-and-jobs-to-be-done"/>
    <w:p>
      <w:pPr>
        <w:pStyle w:val="Heading3"/>
      </w:pPr>
      <w:r>
        <w:t xml:space="preserve">Personas and jobs-to-be-done</w:t>
      </w:r>
    </w:p>
    <w:p>
      <w:pPr>
        <w:pStyle w:val="FirstParagraph"/>
      </w:pPr>
      <w:r>
        <w:t xml:space="preserve">Customer (public): wants a low-friction booking/test drive and clear status updates; wants transparency on documents needed and timelines.</w:t>
      </w:r>
      <w:r>
        <w:br/>
      </w:r>
      <w:r>
        <w:t xml:space="preserve">Sales Advisor: wants to create and update bookings quickly, reserve vehicles correctly, request/collect deposits, and coordinate delivery without rekeying.</w:t>
      </w:r>
      <w:r>
        <w:br/>
      </w:r>
      <w:r>
        <w:t xml:space="preserve">F&amp;I / Admin: wants clean payment tracking, finance approval progress, document completeness, and auditability.</w:t>
      </w:r>
      <w:r>
        <w:br/>
      </w:r>
      <w:r>
        <w:t xml:space="preserve">Branch Manager: wants pipeline visibility, ageing/expiry (“reserved &gt; 4 days”), and compliance reporting.</w:t>
      </w:r>
      <w:r>
        <w:t xml:space="preserve"> </w:t>
      </w:r>
      <w:hyperlink r:id="rId22">
        <w:r>
          <w:rPr>
            <w:rStyle w:val="Hyperlink"/>
          </w:rPr>
          <w:t xml:space="preserve">[21]</w:t>
        </w:r>
      </w:hyperlink>
    </w:p>
    <w:bookmarkEnd w:id="30"/>
    <w:bookmarkStart w:id="32" w:name="X9426e12876bf5a62d0a962ad8ff76359a9716ac"/>
    <w:p>
      <w:pPr>
        <w:pStyle w:val="Heading3"/>
      </w:pPr>
      <w:r>
        <w:t xml:space="preserve">Pain points from public review evidence and how they map to system needs</w:t>
      </w:r>
    </w:p>
    <w:p>
      <w:pPr>
        <w:pStyle w:val="FirstParagraph"/>
      </w:pPr>
      <w:r>
        <w:t xml:space="preserve">Public dealership reviews repeatedly mention appointment failures, long waits even after bookings, and delays or issues with parts availability and aftersales. For example, reviewers cite “Very bad service… appointment…”, “wait 3–4 hrs even you’ve booked the time”, and “waiting for replacement part since 6 months ago”.</w:t>
      </w:r>
      <w:r>
        <w:t xml:space="preserve"> </w:t>
      </w:r>
      <w:hyperlink r:id="rId31">
        <w:r>
          <w:rPr>
            <w:rStyle w:val="Hyperlink"/>
          </w:rPr>
          <w:t xml:space="preserve">[22]</w:t>
        </w:r>
      </w:hyperlink>
      <w:r>
        <w:br/>
      </w:r>
      <w:r>
        <w:t xml:space="preserve">While some of these are operational rather than purely digital, modern dealer platforms reduce these outcomes by (a) enforcing appointment scheduling workflows; (b) providing proactive notifications; (c) tracking parts/service dependencies; and (d) measuring SLA adherence (e.g., promised vs actual completion). The PRD therefore includes a scalable foundation for scheduled events, status timelines, and automated notifications even if the initial MVP focuses on sales bookings.</w:t>
      </w:r>
      <w:r>
        <w:t xml:space="preserve"> </w:t>
      </w:r>
      <w:hyperlink r:id="rId31">
        <w:r>
          <w:rPr>
            <w:rStyle w:val="Hyperlink"/>
          </w:rPr>
          <w:t xml:space="preserve">[22]</w:t>
        </w:r>
      </w:hyperlink>
    </w:p>
    <w:bookmarkEnd w:id="32"/>
    <w:bookmarkStart w:id="41" w:name="Xfce30b64245bbf0187d6ad9b2c968fe7831ed45"/>
    <w:p>
      <w:pPr>
        <w:pStyle w:val="Heading3"/>
      </w:pPr>
      <w:r>
        <w:t xml:space="preserve">Competitor benchmark (best practice patterns)</w:t>
      </w:r>
    </w:p>
    <w:p>
      <w:pPr>
        <w:pStyle w:val="FirstParagraph"/>
      </w:pPr>
      <w:r>
        <w:t xml:space="preserve">The benchmark focuses on dealership management systems (DMS), automotive CRMs, and an automotive-specific enterprise CRM platform. These are not all direct substitutes, but they represent the pattern library FookLoi Next should meet or exceed.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Category</w:t>
            </w:r>
          </w:p>
        </w:tc>
        <w:tc>
          <w:tcPr/>
          <w:p>
            <w:pPr>
              <w:pStyle w:val="Compact"/>
            </w:pPr>
            <w:r>
              <w:t xml:space="preserve">Best-practice capabilities relevant to FookLoi Next</w:t>
            </w:r>
          </w:p>
        </w:tc>
        <w:tc>
          <w:tcPr/>
          <w:p>
            <w:pPr>
              <w:pStyle w:val="Compact"/>
            </w:pPr>
            <w:r>
              <w:t xml:space="preserve">Evidence</w:t>
            </w:r>
          </w:p>
        </w:tc>
      </w:tr>
      <w:tr>
        <w:tc>
          <w:tcPr/>
          <w:p>
            <w:pPr>
              <w:pStyle w:val="Compact"/>
            </w:pPr>
            <w:r>
              <w:t xml:space="preserve">Tekion DMS</w:t>
            </w:r>
          </w:p>
        </w:tc>
        <w:tc>
          <w:tcPr/>
          <w:p>
            <w:pPr>
              <w:pStyle w:val="Compact"/>
            </w:pPr>
            <w:r>
              <w:t xml:space="preserve">Cloud DMS</w:t>
            </w:r>
          </w:p>
        </w:tc>
        <w:tc>
          <w:tcPr/>
          <w:p>
            <w:pPr>
              <w:pStyle w:val="Compact"/>
            </w:pPr>
            <w:r>
              <w:t xml:space="preserve">Digital signatures, built-in reporting, clear audit trails, cloud security foundation and encryption/audit controls</w:t>
            </w:r>
          </w:p>
        </w:tc>
        <w:tc>
          <w:tcPr/>
          <w:p>
            <w:pPr>
              <w:pStyle w:val="Compact"/>
            </w:pPr>
            <w:hyperlink r:id="rId33">
              <w:r>
                <w:rPr>
                  <w:rStyle w:val="Hyperlink"/>
                </w:rPr>
                <w:t xml:space="preserve">[23]</w:t>
              </w:r>
            </w:hyperlink>
          </w:p>
        </w:tc>
      </w:tr>
      <w:tr>
        <w:tc>
          <w:tcPr/>
          <w:p>
            <w:pPr>
              <w:pStyle w:val="Compact"/>
            </w:pPr>
            <w:r>
              <w:t xml:space="preserve">CDK Global DMS</w:t>
            </w:r>
          </w:p>
        </w:tc>
        <w:tc>
          <w:tcPr/>
          <w:p>
            <w:pPr>
              <w:pStyle w:val="Compact"/>
            </w:pPr>
            <w:r>
              <w:t xml:space="preserve">DMS</w:t>
            </w:r>
          </w:p>
        </w:tc>
        <w:tc>
          <w:tcPr/>
          <w:p>
            <w:pPr>
              <w:pStyle w:val="Compact"/>
            </w:pPr>
            <w:r>
              <w:t xml:space="preserve">“Best-in-class” DMS positioned to support growth across dealership operations</w:t>
            </w:r>
          </w:p>
        </w:tc>
        <w:tc>
          <w:tcPr/>
          <w:p>
            <w:pPr>
              <w:pStyle w:val="Compact"/>
            </w:pPr>
            <w:hyperlink r:id="rId34">
              <w:r>
                <w:rPr>
                  <w:rStyle w:val="Hyperlink"/>
                </w:rPr>
                <w:t xml:space="preserve">[24]</w:t>
              </w:r>
            </w:hyperlink>
          </w:p>
        </w:tc>
      </w:tr>
      <w:tr>
        <w:tc>
          <w:tcPr/>
          <w:p>
            <w:pPr>
              <w:pStyle w:val="Compact"/>
            </w:pPr>
            <w:r>
              <w:t xml:space="preserve">Reynolds ERA‑IGNITE</w:t>
            </w:r>
          </w:p>
        </w:tc>
        <w:tc>
          <w:tcPr/>
          <w:p>
            <w:pPr>
              <w:pStyle w:val="Compact"/>
            </w:pPr>
            <w:r>
              <w:t xml:space="preserve">DMS</w:t>
            </w:r>
          </w:p>
        </w:tc>
        <w:tc>
          <w:tcPr/>
          <w:p>
            <w:pPr>
              <w:pStyle w:val="Compact"/>
            </w:pPr>
            <w:r>
              <w:t xml:space="preserve">“Single system” and a single unique identifier for every customer, vehicle, and transaction (reduces rekeying &amp; mismatch risk)</w:t>
            </w:r>
          </w:p>
        </w:tc>
        <w:tc>
          <w:tcPr/>
          <w:p>
            <w:pPr>
              <w:pStyle w:val="Compact"/>
            </w:pPr>
            <w:hyperlink r:id="rId35">
              <w:r>
                <w:rPr>
                  <w:rStyle w:val="Hyperlink"/>
                </w:rPr>
                <w:t xml:space="preserve">[25]</w:t>
              </w:r>
            </w:hyperlink>
          </w:p>
        </w:tc>
      </w:tr>
      <w:tr>
        <w:tc>
          <w:tcPr/>
          <w:p>
            <w:pPr>
              <w:pStyle w:val="Compact"/>
            </w:pPr>
            <w:r>
              <w:t xml:space="preserve">Dealertrack DMS (Cox)</w:t>
            </w:r>
          </w:p>
        </w:tc>
        <w:tc>
          <w:tcPr/>
          <w:p>
            <w:pPr>
              <w:pStyle w:val="Compact"/>
            </w:pPr>
            <w:r>
              <w:t xml:space="preserve">DMS</w:t>
            </w:r>
          </w:p>
        </w:tc>
        <w:tc>
          <w:tcPr/>
          <w:p>
            <w:pPr>
              <w:pStyle w:val="Compact"/>
            </w:pPr>
            <w:r>
              <w:t xml:space="preserve">Open integrations and cloud platform designed to streamline operations and connect ecosystem tools</w:t>
            </w:r>
          </w:p>
        </w:tc>
        <w:tc>
          <w:tcPr/>
          <w:p>
            <w:pPr>
              <w:pStyle w:val="Compact"/>
            </w:pPr>
            <w:hyperlink r:id="rId36">
              <w:r>
                <w:rPr>
                  <w:rStyle w:val="Hyperlink"/>
                </w:rPr>
                <w:t xml:space="preserve">[26]</w:t>
              </w:r>
            </w:hyperlink>
          </w:p>
        </w:tc>
      </w:tr>
      <w:tr>
        <w:tc>
          <w:tcPr/>
          <w:p>
            <w:pPr>
              <w:pStyle w:val="Compact"/>
            </w:pPr>
            <w:r>
              <w:t xml:space="preserve">DealerSocket</w:t>
            </w:r>
          </w:p>
        </w:tc>
        <w:tc>
          <w:tcPr/>
          <w:p>
            <w:pPr>
              <w:pStyle w:val="Compact"/>
            </w:pPr>
            <w:r>
              <w:t xml:space="preserve">Automotive CRM suite</w:t>
            </w:r>
          </w:p>
        </w:tc>
        <w:tc>
          <w:tcPr/>
          <w:p>
            <w:pPr>
              <w:pStyle w:val="Compact"/>
            </w:pPr>
            <w:r>
              <w:t xml:space="preserve">Consolidated customer intelligence, real-time analytics, dealership CRM positioning for pipeline + profitability</w:t>
            </w:r>
          </w:p>
        </w:tc>
        <w:tc>
          <w:tcPr/>
          <w:p>
            <w:pPr>
              <w:pStyle w:val="Compact"/>
            </w:pPr>
            <w:hyperlink r:id="rId37">
              <w:r>
                <w:rPr>
                  <w:rStyle w:val="Hyperlink"/>
                </w:rPr>
                <w:t xml:space="preserve">[27]</w:t>
              </w:r>
            </w:hyperlink>
          </w:p>
        </w:tc>
      </w:tr>
      <w:tr>
        <w:tc>
          <w:tcPr/>
          <w:p>
            <w:pPr>
              <w:pStyle w:val="Compact"/>
            </w:pPr>
            <w:r>
              <w:t xml:space="preserve">VinSolutions</w:t>
            </w:r>
          </w:p>
        </w:tc>
        <w:tc>
          <w:tcPr/>
          <w:p>
            <w:pPr>
              <w:pStyle w:val="Compact"/>
            </w:pPr>
            <w:r>
              <w:t xml:space="preserve">Automotive CRM</w:t>
            </w:r>
          </w:p>
        </w:tc>
        <w:tc>
          <w:tcPr/>
          <w:p>
            <w:pPr>
              <w:pStyle w:val="Compact"/>
            </w:pPr>
            <w:r>
              <w:t xml:space="preserve">AI-driven insights, automated marketing, desking tools, integration ecosystem</w:t>
            </w:r>
          </w:p>
        </w:tc>
        <w:tc>
          <w:tcPr/>
          <w:p>
            <w:pPr>
              <w:pStyle w:val="Compact"/>
            </w:pPr>
            <w:hyperlink r:id="rId38">
              <w:r>
                <w:rPr>
                  <w:rStyle w:val="Hyperlink"/>
                </w:rPr>
                <w:t xml:space="preserve">[28]</w:t>
              </w:r>
            </w:hyperlink>
          </w:p>
        </w:tc>
      </w:tr>
      <w:tr>
        <w:tc>
          <w:tcPr/>
          <w:p>
            <w:pPr>
              <w:pStyle w:val="Compact"/>
            </w:pPr>
            <w:r>
              <w:t xml:space="preserve">AutoRaptor</w:t>
            </w:r>
          </w:p>
        </w:tc>
        <w:tc>
          <w:tcPr/>
          <w:p>
            <w:pPr>
              <w:pStyle w:val="Compact"/>
            </w:pPr>
            <w:r>
              <w:t xml:space="preserve">Automotive CRM</w:t>
            </w:r>
          </w:p>
        </w:tc>
        <w:tc>
          <w:tcPr/>
          <w:p>
            <w:pPr>
              <w:pStyle w:val="Compact"/>
            </w:pPr>
            <w:r>
              <w:t xml:space="preserve">Lead management, multi-stage pipelines, activity tracking and filtering</w:t>
            </w:r>
          </w:p>
        </w:tc>
        <w:tc>
          <w:tcPr/>
          <w:p>
            <w:pPr>
              <w:pStyle w:val="Compact"/>
            </w:pPr>
            <w:hyperlink r:id="rId39">
              <w:r>
                <w:rPr>
                  <w:rStyle w:val="Hyperlink"/>
                </w:rPr>
                <w:t xml:space="preserve">[29]</w:t>
              </w:r>
            </w:hyperlink>
          </w:p>
        </w:tc>
      </w:tr>
      <w:tr>
        <w:tc>
          <w:tcPr/>
          <w:p>
            <w:pPr>
              <w:pStyle w:val="Compact"/>
            </w:pPr>
            <w:r>
              <w:t xml:space="preserve">Salesforce Automotive Cloud</w:t>
            </w:r>
          </w:p>
        </w:tc>
        <w:tc>
          <w:tcPr/>
          <w:p>
            <w:pPr>
              <w:pStyle w:val="Compact"/>
            </w:pPr>
            <w:r>
              <w:t xml:space="preserve">Enterprise CRM (auto)</w:t>
            </w:r>
          </w:p>
        </w:tc>
        <w:tc>
          <w:tcPr/>
          <w:p>
            <w:pPr>
              <w:pStyle w:val="Compact"/>
            </w:pPr>
            <w:r>
              <w:t xml:space="preserve">Connects customer data and vehicle management on one platform; supports an automotive-specific data approach</w:t>
            </w:r>
          </w:p>
        </w:tc>
        <w:tc>
          <w:tcPr/>
          <w:p>
            <w:pPr>
              <w:pStyle w:val="Compact"/>
            </w:pPr>
            <w:hyperlink r:id="rId40">
              <w:r>
                <w:rPr>
                  <w:rStyle w:val="Hyperlink"/>
                </w:rPr>
                <w:t xml:space="preserve">[30]</w:t>
              </w:r>
            </w:hyperlink>
          </w:p>
        </w:tc>
      </w:tr>
      <w:tr>
        <w:tc>
          <w:tcPr/>
          <w:p>
            <w:pPr>
              <w:pStyle w:val="Compact"/>
            </w:pPr>
            <w:r>
              <w:t xml:space="preserve">HubSpot CRM (as baseline)</w:t>
            </w:r>
          </w:p>
        </w:tc>
        <w:tc>
          <w:tcPr/>
          <w:p>
            <w:pPr>
              <w:pStyle w:val="Compact"/>
            </w:pPr>
            <w:r>
              <w:t xml:space="preserve">General CRM</w:t>
            </w:r>
          </w:p>
        </w:tc>
        <w:tc>
          <w:tcPr/>
          <w:p>
            <w:pPr>
              <w:pStyle w:val="Compact"/>
            </w:pPr>
            <w:r>
              <w:t xml:space="preserve">Strong workflow automation/reporting baseline; commonly used for pipeline and service ticketing (not automotive-specific)</w:t>
            </w:r>
          </w:p>
        </w:tc>
        <w:tc>
          <w:tcPr/>
          <w:p>
            <w:pPr>
              <w:pStyle w:val="Compact"/>
            </w:pPr>
            <w:r>
              <w:t xml:space="preserve">(General market baseline; not directly cited)</w:t>
            </w:r>
          </w:p>
        </w:tc>
      </w:tr>
      <w:tr>
        <w:tc>
          <w:tcPr/>
          <w:p>
            <w:pPr>
              <w:pStyle w:val="Compact"/>
            </w:pPr>
            <w:r>
              <w:t xml:space="preserve">Microsoft Dynamics 365 (as baseline)</w:t>
            </w:r>
          </w:p>
        </w:tc>
        <w:tc>
          <w:tcPr/>
          <w:p>
            <w:pPr>
              <w:pStyle w:val="Compact"/>
            </w:pPr>
            <w:r>
              <w:t xml:space="preserve">Enterprise CRM/ERP</w:t>
            </w:r>
          </w:p>
        </w:tc>
        <w:tc>
          <w:tcPr/>
          <w:p>
            <w:pPr>
              <w:pStyle w:val="Compact"/>
            </w:pPr>
            <w:r>
              <w:t xml:space="preserve">Enterprise-grade governance and integration baseline; often used where deep integration is needed</w:t>
            </w:r>
          </w:p>
        </w:tc>
        <w:tc>
          <w:tcPr/>
          <w:p>
            <w:pPr>
              <w:pStyle w:val="Compact"/>
            </w:pPr>
            <w:r>
              <w:t xml:space="preserve">(General market baseline; not directly cited)</w:t>
            </w:r>
          </w:p>
        </w:tc>
      </w:tr>
    </w:tbl>
    <w:p>
      <w:pPr>
        <w:pStyle w:val="BodyText"/>
      </w:pPr>
      <w:r>
        <w:rPr>
          <w:b/>
          <w:bCs/>
        </w:rPr>
        <w:t xml:space="preserve">Implications for FookLoi Next</w:t>
      </w:r>
      <w:r>
        <w:br/>
      </w:r>
      <w:r>
        <w:t xml:space="preserve">The “single customer/vehicle/transaction identity” principle (Reynolds) should be a first-class design constraint.</w:t>
      </w:r>
      <w:r>
        <w:t xml:space="preserve"> </w:t>
      </w:r>
      <w:hyperlink r:id="rId35">
        <w:r>
          <w:rPr>
            <w:rStyle w:val="Hyperlink"/>
          </w:rPr>
          <w:t xml:space="preserve">[25]</w:t>
        </w:r>
      </w:hyperlink>
      <w:r>
        <w:br/>
      </w:r>
      <w:r>
        <w:t xml:space="preserve">System design should treat audit trails and financial workflow traceability as core, not optional (Tekion).</w:t>
      </w:r>
      <w:r>
        <w:t xml:space="preserve"> </w:t>
      </w:r>
      <w:hyperlink r:id="rId33">
        <w:r>
          <w:rPr>
            <w:rStyle w:val="Hyperlink"/>
          </w:rPr>
          <w:t xml:space="preserve">[23]</w:t>
        </w:r>
      </w:hyperlink>
      <w:r>
        <w:br/>
      </w:r>
      <w:r>
        <w:t xml:space="preserve">Open integration is not a nice-to-have: a dealership environment requires flexible connectivity to finance, insurance, messaging, and OEM tooling (Dealertrack, VinSolutions ecosystems).</w:t>
      </w:r>
      <w:r>
        <w:t xml:space="preserve"> </w:t>
      </w:r>
      <w:hyperlink r:id="rId36">
        <w:r>
          <w:rPr>
            <w:rStyle w:val="Hyperlink"/>
          </w:rPr>
          <w:t xml:space="preserve">[31]</w:t>
        </w:r>
      </w:hyperlink>
    </w:p>
    <w:bookmarkEnd w:id="41"/>
    <w:bookmarkEnd w:id="42"/>
    <w:bookmarkStart w:id="51" w:name="product-requirements"/>
    <w:p>
      <w:pPr>
        <w:pStyle w:val="Heading2"/>
      </w:pPr>
      <w:r>
        <w:t xml:space="preserve">Product requirements</w:t>
      </w:r>
    </w:p>
    <w:bookmarkStart w:id="44" w:name="product-goals"/>
    <w:p>
      <w:pPr>
        <w:pStyle w:val="Heading3"/>
      </w:pPr>
      <w:r>
        <w:t xml:space="preserve">Product goals</w:t>
      </w:r>
    </w:p>
    <w:p>
      <w:pPr>
        <w:pStyle w:val="FirstParagraph"/>
      </w:pPr>
      <w:r>
        <w:t xml:space="preserve">Deliver a secure, role-based dealer operations system that eliminates unauthorised access exposure and supports end-to-end booking-to-delivery workflows with auditability.</w:t>
      </w:r>
      <w:r>
        <w:t xml:space="preserve"> </w:t>
      </w:r>
      <w:hyperlink r:id="rId21">
        <w:r>
          <w:rPr>
            <w:rStyle w:val="Hyperlink"/>
          </w:rPr>
          <w:t xml:space="preserve">[32]</w:t>
        </w:r>
      </w:hyperlink>
      <w:r>
        <w:br/>
      </w:r>
      <w:r>
        <w:t xml:space="preserve">Create a clean data foundation: one customer record, one vehicle record, one transaction identity, and structured events over time (payments, document submissions, status changes).</w:t>
      </w:r>
      <w:r>
        <w:t xml:space="preserve"> </w:t>
      </w:r>
      <w:hyperlink r:id="rId35">
        <w:r>
          <w:rPr>
            <w:rStyle w:val="Hyperlink"/>
          </w:rPr>
          <w:t xml:space="preserve">[33]</w:t>
        </w:r>
      </w:hyperlink>
      <w:r>
        <w:br/>
      </w:r>
      <w:r>
        <w:t xml:space="preserve">Enable compliance readiness for PDPA (Act 709) and PDPA Amendment 2024 requirements, including DPO accountability and breach notification processes.</w:t>
      </w:r>
      <w:r>
        <w:t xml:space="preserve"> </w:t>
      </w:r>
      <w:hyperlink r:id="rId43">
        <w:r>
          <w:rPr>
            <w:rStyle w:val="Hyperlink"/>
          </w:rPr>
          <w:t xml:space="preserve">[34]</w:t>
        </w:r>
      </w:hyperlink>
      <w:r>
        <w:br/>
      </w:r>
      <w:r>
        <w:t xml:space="preserve">Reduce operational friction caused by large unsearchable dropdowns and “everything in one page” UX by modular workflows and task-based UI.</w:t>
      </w:r>
      <w:r>
        <w:t xml:space="preserve"> </w:t>
      </w:r>
      <w:hyperlink r:id="rId21">
        <w:r>
          <w:rPr>
            <w:rStyle w:val="Hyperlink"/>
          </w:rPr>
          <w:t xml:space="preserve">[16]</w:t>
        </w:r>
      </w:hyperlink>
    </w:p>
    <w:bookmarkEnd w:id="44"/>
    <w:bookmarkStart w:id="46" w:name="non-goals-initial"/>
    <w:p>
      <w:pPr>
        <w:pStyle w:val="Heading3"/>
      </w:pPr>
      <w:r>
        <w:t xml:space="preserve">Non-goals (initial)</w:t>
      </w:r>
    </w:p>
    <w:p>
      <w:pPr>
        <w:pStyle w:val="FirstParagraph"/>
      </w:pPr>
      <w:r>
        <w:t xml:space="preserve">Full replacement of service centre systems/parts inventory in MVP (but architecture supports extension).</w:t>
      </w:r>
      <w:r>
        <w:br/>
      </w:r>
      <w:r>
        <w:t xml:space="preserve">Direct integration into JPJ back-office systems (no evidence of public API; instead provide guided workflows and fee references). Official fee schedules remain referenceable and should be treated as externally governed content.</w:t>
      </w:r>
      <w:r>
        <w:t xml:space="preserve"> </w:t>
      </w:r>
      <w:hyperlink r:id="rId45">
        <w:r>
          <w:rPr>
            <w:rStyle w:val="Hyperlink"/>
          </w:rPr>
          <w:t xml:space="preserve">[35]</w:t>
        </w:r>
      </w:hyperlink>
    </w:p>
    <w:bookmarkEnd w:id="46"/>
    <w:bookmarkStart w:id="49" w:name="functional-requirements-prioritised"/>
    <w:p>
      <w:pPr>
        <w:pStyle w:val="Heading3"/>
      </w:pPr>
      <w:r>
        <w:t xml:space="preserve">Functional requirements (prioritised)</w:t>
      </w:r>
    </w:p>
    <w:p>
      <w:pPr>
        <w:pStyle w:val="FirstParagraph"/>
      </w:pPr>
      <w:r>
        <w:t xml:space="preserve">Priorities: P0 = required to launch safely; P1 = should be in first post-launch cycle; P2 = later/optional.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Rationale</w:t>
            </w:r>
          </w:p>
        </w:tc>
        <w:tc>
          <w:tcPr/>
          <w:p>
            <w:pPr>
              <w:pStyle w:val="Compact"/>
            </w:pPr>
            <w:r>
              <w:t xml:space="preserve">Acceptance criteria</w:t>
            </w:r>
          </w:p>
        </w:tc>
      </w:tr>
      <w:tr>
        <w:tc>
          <w:tcPr/>
          <w:p>
            <w:pPr>
              <w:pStyle w:val="Compact"/>
            </w:pPr>
            <w:r>
              <w:t xml:space="preserve">FR-Auth-01</w:t>
            </w:r>
          </w:p>
        </w:tc>
        <w:tc>
          <w:tcPr/>
          <w:p>
            <w:pPr>
              <w:pStyle w:val="Compact"/>
            </w:pPr>
            <w:r>
              <w:t xml:space="preserve">Strong authentication for all staff/admin interfaces; no operational pages accessible without auth</w:t>
            </w:r>
          </w:p>
        </w:tc>
        <w:tc>
          <w:tcPr/>
          <w:p>
            <w:pPr>
              <w:pStyle w:val="Compact"/>
            </w:pPr>
            <w:r>
              <w:t xml:space="preserve">P0</w:t>
            </w:r>
          </w:p>
        </w:tc>
        <w:tc>
          <w:tcPr/>
          <w:p>
            <w:pPr>
              <w:pStyle w:val="Compact"/>
            </w:pPr>
            <w:r>
              <w:t xml:space="preserve">Current operational UI appears reachable via direct URLs, creating unacceptable exposure risk</w:t>
            </w:r>
          </w:p>
        </w:tc>
        <w:tc>
          <w:tcPr/>
          <w:p>
            <w:pPr>
              <w:pStyle w:val="Compact"/>
            </w:pPr>
            <w:r>
              <w:t xml:space="preserve">All</w:t>
            </w:r>
            <w:r>
              <w:t xml:space="preserve"> </w:t>
            </w:r>
            <w:r>
              <w:rPr>
                <w:rStyle w:val="VerbatimChar"/>
              </w:rPr>
              <w:t xml:space="preserve">/admin</w:t>
            </w:r>
            <w:r>
              <w:t xml:space="preserve"> </w:t>
            </w:r>
            <w:r>
              <w:t xml:space="preserve">and workflow routes require valid session; unauthenticated requests return 401/redirect</w:t>
            </w:r>
          </w:p>
        </w:tc>
      </w:tr>
      <w:tr>
        <w:tc>
          <w:tcPr/>
          <w:p>
            <w:pPr>
              <w:pStyle w:val="Compact"/>
            </w:pPr>
            <w:r>
              <w:t xml:space="preserve">FR-Auth-02</w:t>
            </w:r>
          </w:p>
        </w:tc>
        <w:tc>
          <w:tcPr/>
          <w:p>
            <w:pPr>
              <w:pStyle w:val="Compact"/>
            </w:pPr>
            <w:r>
              <w:t xml:space="preserve">Role-based access control (RBAC): Sales Advisor, F&amp;I/Admin, Manager, System Admin</w:t>
            </w:r>
          </w:p>
        </w:tc>
        <w:tc>
          <w:tcPr/>
          <w:p>
            <w:pPr>
              <w:pStyle w:val="Compact"/>
            </w:pPr>
            <w:r>
              <w:t xml:space="preserve">P0</w:t>
            </w:r>
          </w:p>
        </w:tc>
        <w:tc>
          <w:tcPr/>
          <w:p>
            <w:pPr>
              <w:pStyle w:val="Compact"/>
            </w:pPr>
            <w:r>
              <w:t xml:space="preserve">Single “super page” suggests poor separation of duties; RBAC limits mistakes and insider risk (OWASP highlights broken access control as critical)</w:t>
            </w:r>
            <w:r>
              <w:t xml:space="preserve"> </w:t>
            </w:r>
            <w:hyperlink r:id="rId47">
              <w:r>
                <w:rPr>
                  <w:rStyle w:val="Hyperlink"/>
                </w:rPr>
                <w:t xml:space="preserve">[36]</w:t>
              </w:r>
            </w:hyperlink>
          </w:p>
        </w:tc>
        <w:tc>
          <w:tcPr/>
          <w:p>
            <w:pPr>
              <w:pStyle w:val="Compact"/>
            </w:pPr>
            <w:r>
              <w:t xml:space="preserve">Role policy tests; managers can approve/refund, sales cannot</w:t>
            </w:r>
          </w:p>
        </w:tc>
      </w:tr>
      <w:tr>
        <w:tc>
          <w:tcPr/>
          <w:p>
            <w:pPr>
              <w:pStyle w:val="Compact"/>
            </w:pPr>
            <w:r>
              <w:t xml:space="preserve">FR-Auth-03</w:t>
            </w:r>
          </w:p>
        </w:tc>
        <w:tc>
          <w:tcPr/>
          <w:p>
            <w:pPr>
              <w:pStyle w:val="Compact"/>
            </w:pPr>
            <w:r>
              <w:t xml:space="preserve">MFA for privileged roles (Admin, Finance, Manager); step-up auth when accessing NRIC/payment exports</w:t>
            </w:r>
          </w:p>
        </w:tc>
        <w:tc>
          <w:tcPr/>
          <w:p>
            <w:pPr>
              <w:pStyle w:val="Compact"/>
            </w:pPr>
            <w:r>
              <w:t xml:space="preserve">P0</w:t>
            </w:r>
          </w:p>
        </w:tc>
        <w:tc>
          <w:tcPr/>
          <w:p>
            <w:pPr>
              <w:pStyle w:val="Compact"/>
            </w:pPr>
            <w:r>
              <w:t xml:space="preserve">NIST 800‑63B notes MFA requirements when personal information is available online in their context; step-up aligns to modern practice</w:t>
            </w:r>
            <w:r>
              <w:t xml:space="preserve"> </w:t>
            </w:r>
            <w:hyperlink r:id="rId48">
              <w:r>
                <w:rPr>
                  <w:rStyle w:val="Hyperlink"/>
                </w:rPr>
                <w:t xml:space="preserve">[37]</w:t>
              </w:r>
            </w:hyperlink>
          </w:p>
        </w:tc>
        <w:tc>
          <w:tcPr/>
          <w:p>
            <w:pPr>
              <w:pStyle w:val="Compact"/>
            </w:pPr>
            <w:r>
              <w:t xml:space="preserve">MFA enforced via policy; step-up required for export endpoints</w:t>
            </w:r>
          </w:p>
        </w:tc>
      </w:tr>
      <w:tr>
        <w:tc>
          <w:tcPr/>
          <w:p>
            <w:pPr>
              <w:pStyle w:val="Compact"/>
            </w:pPr>
            <w:r>
              <w:t xml:space="preserve">FR-Booking-01</w:t>
            </w:r>
          </w:p>
        </w:tc>
        <w:tc>
          <w:tcPr/>
          <w:p>
            <w:pPr>
              <w:pStyle w:val="Compact"/>
            </w:pPr>
            <w:r>
              <w:t xml:space="preserve">Booking lifecycle model with statuses, timestamps, and ownership (advisor, branch)</w:t>
            </w:r>
          </w:p>
        </w:tc>
        <w:tc>
          <w:tcPr/>
          <w:p>
            <w:pPr>
              <w:pStyle w:val="Compact"/>
            </w:pPr>
            <w:r>
              <w:t xml:space="preserve">P0</w:t>
            </w:r>
          </w:p>
        </w:tc>
        <w:tc>
          <w:tcPr/>
          <w:p>
            <w:pPr>
              <w:pStyle w:val="Compact"/>
            </w:pPr>
            <w:r>
              <w:t xml:space="preserve">Current system shows booking workflow and a “reserved &gt; 4 days” rule; lifecycle must be explicit and auditable</w:t>
            </w:r>
            <w:r>
              <w:t xml:space="preserve"> </w:t>
            </w:r>
            <w:hyperlink r:id="rId22">
              <w:r>
                <w:rPr>
                  <w:rStyle w:val="Hyperlink"/>
                </w:rPr>
                <w:t xml:space="preserve">[38]</w:t>
              </w:r>
            </w:hyperlink>
          </w:p>
        </w:tc>
        <w:tc>
          <w:tcPr/>
          <w:p>
            <w:pPr>
              <w:pStyle w:val="Compact"/>
            </w:pPr>
            <w:r>
              <w:t xml:space="preserve">Create/update booking; status history preserved</w:t>
            </w:r>
          </w:p>
        </w:tc>
      </w:tr>
      <w:tr>
        <w:tc>
          <w:tcPr/>
          <w:p>
            <w:pPr>
              <w:pStyle w:val="Compact"/>
            </w:pPr>
            <w:r>
              <w:t xml:space="preserve">FR-Booking-02</w:t>
            </w:r>
          </w:p>
        </w:tc>
        <w:tc>
          <w:tcPr/>
          <w:p>
            <w:pPr>
              <w:pStyle w:val="Compact"/>
            </w:pPr>
            <w:r>
              <w:t xml:space="preserve">Vehicle reservation module with configurable expiry policy (e.g., 4 days default)</w:t>
            </w:r>
          </w:p>
        </w:tc>
        <w:tc>
          <w:tcPr/>
          <w:p>
            <w:pPr>
              <w:pStyle w:val="Compact"/>
            </w:pPr>
            <w:r>
              <w:t xml:space="preserve">P0</w:t>
            </w:r>
          </w:p>
        </w:tc>
        <w:tc>
          <w:tcPr/>
          <w:p>
            <w:pPr>
              <w:pStyle w:val="Compact"/>
            </w:pPr>
            <w:r>
              <w:t xml:space="preserve">Current UI uses fixed message; policy must be configurable and measurable</w:t>
            </w:r>
            <w:r>
              <w:t xml:space="preserve"> </w:t>
            </w:r>
            <w:hyperlink r:id="rId22">
              <w:r>
                <w:rPr>
                  <w:rStyle w:val="Hyperlink"/>
                </w:rPr>
                <w:t xml:space="preserve">[39]</w:t>
              </w:r>
            </w:hyperlink>
          </w:p>
        </w:tc>
        <w:tc>
          <w:tcPr/>
          <w:p>
            <w:pPr>
              <w:pStyle w:val="Compact"/>
            </w:pPr>
            <w:r>
              <w:t xml:space="preserve">Admin can set SLA/expiry; alerts triggered when threshold reached</w:t>
            </w:r>
          </w:p>
        </w:tc>
      </w:tr>
      <w:tr>
        <w:tc>
          <w:tcPr/>
          <w:p>
            <w:pPr>
              <w:pStyle w:val="Compact"/>
            </w:pPr>
            <w:r>
              <w:t xml:space="preserve">FR-Customer-01</w:t>
            </w:r>
          </w:p>
        </w:tc>
        <w:tc>
          <w:tcPr/>
          <w:p>
            <w:pPr>
              <w:pStyle w:val="Compact"/>
            </w:pPr>
            <w:r>
              <w:t xml:space="preserve">Customer record with identity fields (NRIC/passport), contacts, consent flags, and history timeline</w:t>
            </w:r>
          </w:p>
        </w:tc>
        <w:tc>
          <w:tcPr/>
          <w:p>
            <w:pPr>
              <w:pStyle w:val="Compact"/>
            </w:pPr>
            <w:r>
              <w:t xml:space="preserve">P0</w:t>
            </w:r>
          </w:p>
        </w:tc>
        <w:tc>
          <w:tcPr/>
          <w:p>
            <w:pPr>
              <w:pStyle w:val="Compact"/>
            </w:pPr>
            <w:r>
              <w:t xml:space="preserve">Current page uses NRIC; PDPA requires careful handling and access/correction rights in principle</w:t>
            </w:r>
            <w:r>
              <w:t xml:space="preserve"> </w:t>
            </w:r>
            <w:hyperlink r:id="rId21">
              <w:r>
                <w:rPr>
                  <w:rStyle w:val="Hyperlink"/>
                </w:rPr>
                <w:t xml:space="preserve">[40]</w:t>
              </w:r>
            </w:hyperlink>
          </w:p>
        </w:tc>
        <w:tc>
          <w:tcPr/>
          <w:p>
            <w:pPr>
              <w:pStyle w:val="Compact"/>
            </w:pPr>
            <w:r>
              <w:t xml:space="preserve">CRUD with validation; audit log; “view history”</w:t>
            </w:r>
          </w:p>
        </w:tc>
      </w:tr>
      <w:tr>
        <w:tc>
          <w:tcPr/>
          <w:p>
            <w:pPr>
              <w:pStyle w:val="Compact"/>
            </w:pPr>
            <w:r>
              <w:t xml:space="preserve">FR-Pay-01</w:t>
            </w:r>
          </w:p>
        </w:tc>
        <w:tc>
          <w:tcPr/>
          <w:p>
            <w:pPr>
              <w:pStyle w:val="Compact"/>
            </w:pPr>
            <w:r>
              <w:t xml:space="preserve">Payment ledger per booking: OR no, date, method, amount, reference, uploaded receipt</w:t>
            </w:r>
          </w:p>
        </w:tc>
        <w:tc>
          <w:tcPr/>
          <w:p>
            <w:pPr>
              <w:pStyle w:val="Compact"/>
            </w:pPr>
            <w:r>
              <w:t xml:space="preserve">P0</w:t>
            </w:r>
          </w:p>
        </w:tc>
        <w:tc>
          <w:tcPr/>
          <w:p>
            <w:pPr>
              <w:pStyle w:val="Compact"/>
            </w:pPr>
            <w:r>
              <w:t xml:space="preserve">Current UI supports payment entries and file uploads; must be structured and auditable</w:t>
            </w:r>
            <w:r>
              <w:t xml:space="preserve"> </w:t>
            </w:r>
            <w:hyperlink r:id="rId21">
              <w:r>
                <w:rPr>
                  <w:rStyle w:val="Hyperlink"/>
                </w:rPr>
                <w:t xml:space="preserve">[11]</w:t>
              </w:r>
            </w:hyperlink>
          </w:p>
        </w:tc>
        <w:tc>
          <w:tcPr/>
          <w:p>
            <w:pPr>
              <w:pStyle w:val="Compact"/>
            </w:pPr>
            <w:r>
              <w:t xml:space="preserve">Payment entries immutable after “verified” except via reversal workflow</w:t>
            </w:r>
          </w:p>
        </w:tc>
      </w:tr>
      <w:tr>
        <w:tc>
          <w:tcPr/>
          <w:p>
            <w:pPr>
              <w:pStyle w:val="Compact"/>
            </w:pPr>
            <w:r>
              <w:t xml:space="preserve">FR-Pay-02</w:t>
            </w:r>
          </w:p>
        </w:tc>
        <w:tc>
          <w:tcPr/>
          <w:p>
            <w:pPr>
              <w:pStyle w:val="Compact"/>
            </w:pPr>
            <w:r>
              <w:t xml:space="preserve">Refund/credit/debit note workflow with approvals and attachment requirements</w:t>
            </w:r>
          </w:p>
        </w:tc>
        <w:tc>
          <w:tcPr/>
          <w:p>
            <w:pPr>
              <w:pStyle w:val="Compact"/>
            </w:pPr>
            <w:r>
              <w:t xml:space="preserve">P0</w:t>
            </w:r>
          </w:p>
        </w:tc>
        <w:tc>
          <w:tcPr/>
          <w:p>
            <w:pPr>
              <w:pStyle w:val="Compact"/>
            </w:pPr>
            <w:r>
              <w:t xml:space="preserve">Current UI includes refund module; high fraud/controls area</w:t>
            </w:r>
          </w:p>
        </w:tc>
        <w:tc>
          <w:tcPr/>
          <w:p>
            <w:pPr>
              <w:pStyle w:val="Compact"/>
            </w:pPr>
            <w:r>
              <w:t xml:space="preserve">Two-step approval for refunds; audit trail of approvals</w:t>
            </w:r>
          </w:p>
        </w:tc>
      </w:tr>
      <w:tr>
        <w:tc>
          <w:tcPr/>
          <w:p>
            <w:pPr>
              <w:pStyle w:val="Compact"/>
            </w:pPr>
            <w:r>
              <w:t xml:space="preserve">FR-Docs-01</w:t>
            </w:r>
          </w:p>
        </w:tc>
        <w:tc>
          <w:tcPr/>
          <w:p>
            <w:pPr>
              <w:pStyle w:val="Compact"/>
            </w:pPr>
            <w:r>
              <w:t xml:space="preserve">Secure document management for LOU/insurance/registration documents with metadata</w:t>
            </w:r>
          </w:p>
        </w:tc>
        <w:tc>
          <w:tcPr/>
          <w:p>
            <w:pPr>
              <w:pStyle w:val="Compact"/>
            </w:pPr>
            <w:r>
              <w:t xml:space="preserve">P0</w:t>
            </w:r>
          </w:p>
        </w:tc>
        <w:tc>
          <w:tcPr/>
          <w:p>
            <w:pPr>
              <w:pStyle w:val="Compact"/>
            </w:pPr>
            <w:r>
              <w:t xml:space="preserve">Current UI includes multiple uploads; must be secured and searchable</w:t>
            </w:r>
            <w:r>
              <w:t xml:space="preserve"> </w:t>
            </w:r>
            <w:hyperlink r:id="rId21">
              <w:r>
                <w:rPr>
                  <w:rStyle w:val="Hyperlink"/>
                </w:rPr>
                <w:t xml:space="preserve">[13]</w:t>
              </w:r>
            </w:hyperlink>
          </w:p>
        </w:tc>
        <w:tc>
          <w:tcPr/>
          <w:p>
            <w:pPr>
              <w:pStyle w:val="Compact"/>
            </w:pPr>
            <w:r>
              <w:t xml:space="preserve">Encrypted storage; document categories; download permission checks</w:t>
            </w:r>
          </w:p>
        </w:tc>
      </w:tr>
      <w:tr>
        <w:tc>
          <w:tcPr/>
          <w:p>
            <w:pPr>
              <w:pStyle w:val="Compact"/>
            </w:pPr>
            <w:r>
              <w:t xml:space="preserve">FR-FI-01</w:t>
            </w:r>
          </w:p>
        </w:tc>
        <w:tc>
          <w:tcPr/>
          <w:p>
            <w:pPr>
              <w:pStyle w:val="Compact"/>
            </w:pPr>
            <w:r>
              <w:t xml:space="preserve">Finance/insurance module supporting tenure, instalments, insurer, premium, cover note, upload</w:t>
            </w:r>
          </w:p>
        </w:tc>
        <w:tc>
          <w:tcPr/>
          <w:p>
            <w:pPr>
              <w:pStyle w:val="Compact"/>
            </w:pPr>
            <w:r>
              <w:t xml:space="preserve">P0</w:t>
            </w:r>
          </w:p>
        </w:tc>
        <w:tc>
          <w:tcPr/>
          <w:p>
            <w:pPr>
              <w:pStyle w:val="Compact"/>
            </w:pPr>
            <w:r>
              <w:t xml:space="preserve">Current system already collects these; must be coherent and role-scoped</w:t>
            </w:r>
            <w:r>
              <w:t xml:space="preserve"> </w:t>
            </w:r>
            <w:hyperlink r:id="rId21">
              <w:r>
                <w:rPr>
                  <w:rStyle w:val="Hyperlink"/>
                </w:rPr>
                <w:t xml:space="preserve">[13]</w:t>
              </w:r>
            </w:hyperlink>
          </w:p>
        </w:tc>
        <w:tc>
          <w:tcPr/>
          <w:p>
            <w:pPr>
              <w:pStyle w:val="Compact"/>
            </w:pPr>
            <w:r>
              <w:t xml:space="preserve">Dedicated F&amp;I screen; computed totals; status tracking</w:t>
            </w:r>
          </w:p>
        </w:tc>
      </w:tr>
      <w:tr>
        <w:tc>
          <w:tcPr/>
          <w:p>
            <w:pPr>
              <w:pStyle w:val="Compact"/>
            </w:pPr>
            <w:r>
              <w:t xml:space="preserve">FR-Reg-01</w:t>
            </w:r>
          </w:p>
        </w:tc>
        <w:tc>
          <w:tcPr/>
          <w:p>
            <w:pPr>
              <w:pStyle w:val="Compact"/>
            </w:pPr>
            <w:r>
              <w:t xml:space="preserve">Vehicle registration &amp; delivery checklist (invoice, chassis/engine, reg no/date, road tax/fees fields)</w:t>
            </w:r>
          </w:p>
        </w:tc>
        <w:tc>
          <w:tcPr/>
          <w:p>
            <w:pPr>
              <w:pStyle w:val="Compact"/>
            </w:pPr>
            <w:r>
              <w:t xml:space="preserve">P0</w:t>
            </w:r>
          </w:p>
        </w:tc>
        <w:tc>
          <w:tcPr/>
          <w:p>
            <w:pPr>
              <w:pStyle w:val="Compact"/>
            </w:pPr>
            <w:r>
              <w:t xml:space="preserve">Current UI exposes these; also JPJ publishes fee schedules, so the system should guide users using official references</w:t>
            </w:r>
            <w:r>
              <w:t xml:space="preserve"> </w:t>
            </w:r>
            <w:hyperlink r:id="rId21">
              <w:r>
                <w:rPr>
                  <w:rStyle w:val="Hyperlink"/>
                </w:rPr>
                <w:t xml:space="preserve">[41]</w:t>
              </w:r>
            </w:hyperlink>
          </w:p>
        </w:tc>
        <w:tc>
          <w:tcPr/>
          <w:p>
            <w:pPr>
              <w:pStyle w:val="Compact"/>
            </w:pPr>
            <w:r>
              <w:t xml:space="preserve">Checklist completion gates “Delivered”; export pack</w:t>
            </w:r>
          </w:p>
        </w:tc>
      </w:tr>
      <w:tr>
        <w:tc>
          <w:tcPr/>
          <w:p>
            <w:pPr>
              <w:pStyle w:val="Compact"/>
            </w:pPr>
            <w:r>
              <w:t xml:space="preserve">FR-RefData-01</w:t>
            </w:r>
          </w:p>
        </w:tc>
        <w:tc>
          <w:tcPr/>
          <w:p>
            <w:pPr>
              <w:pStyle w:val="Compact"/>
            </w:pPr>
            <w:r>
              <w:t xml:space="preserve">Reference data management: branches, staff, banks, finance companies, insurers</w:t>
            </w:r>
          </w:p>
        </w:tc>
        <w:tc>
          <w:tcPr/>
          <w:p>
            <w:pPr>
              <w:pStyle w:val="Compact"/>
            </w:pPr>
            <w:r>
              <w:t xml:space="preserve">P0</w:t>
            </w:r>
          </w:p>
        </w:tc>
        <w:tc>
          <w:tcPr/>
          <w:p>
            <w:pPr>
              <w:pStyle w:val="Compact"/>
            </w:pPr>
            <w:r>
              <w:t xml:space="preserve">Current UI hardcodes extensive lists; must be governed centrally and searchable</w:t>
            </w:r>
            <w:r>
              <w:t xml:space="preserve"> </w:t>
            </w:r>
            <w:hyperlink r:id="rId21">
              <w:r>
                <w:rPr>
                  <w:rStyle w:val="Hyperlink"/>
                </w:rPr>
                <w:t xml:space="preserve">[42]</w:t>
              </w:r>
            </w:hyperlink>
          </w:p>
        </w:tc>
        <w:tc>
          <w:tcPr/>
          <w:p>
            <w:pPr>
              <w:pStyle w:val="Compact"/>
            </w:pPr>
            <w:r>
              <w:t xml:space="preserve">Admin CRUD with effective dating; search; audit of changes</w:t>
            </w:r>
          </w:p>
        </w:tc>
      </w:tr>
      <w:tr>
        <w:tc>
          <w:tcPr/>
          <w:p>
            <w:pPr>
              <w:pStyle w:val="Compact"/>
            </w:pPr>
            <w:r>
              <w:t xml:space="preserve">FR-Search-01</w:t>
            </w:r>
          </w:p>
        </w:tc>
        <w:tc>
          <w:tcPr/>
          <w:p>
            <w:pPr>
              <w:pStyle w:val="Compact"/>
            </w:pPr>
            <w:r>
              <w:t xml:space="preserve">Global search across customers, bookings, vehicles, OR/invoice numbers</w:t>
            </w:r>
          </w:p>
        </w:tc>
        <w:tc>
          <w:tcPr/>
          <w:p>
            <w:pPr>
              <w:pStyle w:val="Compact"/>
            </w:pPr>
            <w:r>
              <w:t xml:space="preserve">P0</w:t>
            </w:r>
          </w:p>
        </w:tc>
        <w:tc>
          <w:tcPr/>
          <w:p>
            <w:pPr>
              <w:pStyle w:val="Compact"/>
            </w:pPr>
            <w:r>
              <w:t xml:space="preserve">Large lists imply discovery problems; search is critical for operations</w:t>
            </w:r>
          </w:p>
        </w:tc>
        <w:tc>
          <w:tcPr/>
          <w:p>
            <w:pPr>
              <w:pStyle w:val="Compact"/>
            </w:pPr>
            <w:r>
              <w:t xml:space="preserve">Search results in &lt;2s for typical loads</w:t>
            </w:r>
          </w:p>
        </w:tc>
      </w:tr>
      <w:tr>
        <w:tc>
          <w:tcPr/>
          <w:p>
            <w:pPr>
              <w:pStyle w:val="Compact"/>
            </w:pPr>
            <w:r>
              <w:t xml:space="preserve">FR-Audit-01</w:t>
            </w:r>
          </w:p>
        </w:tc>
        <w:tc>
          <w:tcPr/>
          <w:p>
            <w:pPr>
              <w:pStyle w:val="Compact"/>
            </w:pPr>
            <w:r>
              <w:t xml:space="preserve">Immutable audit log for critical actions (login, data access, edits, approvals, exports)</w:t>
            </w:r>
          </w:p>
        </w:tc>
        <w:tc>
          <w:tcPr/>
          <w:p>
            <w:pPr>
              <w:pStyle w:val="Compact"/>
            </w:pPr>
            <w:r>
              <w:t xml:space="preserve">P0</w:t>
            </w:r>
          </w:p>
        </w:tc>
        <w:tc>
          <w:tcPr/>
          <w:p>
            <w:pPr>
              <w:pStyle w:val="Compact"/>
            </w:pPr>
            <w:r>
              <w:t xml:space="preserve">Competitors emphasise audit trails; necessary for financial workflows</w:t>
            </w:r>
            <w:r>
              <w:t xml:space="preserve"> </w:t>
            </w:r>
            <w:hyperlink r:id="rId33">
              <w:r>
                <w:rPr>
                  <w:rStyle w:val="Hyperlink"/>
                </w:rPr>
                <w:t xml:space="preserve">[23]</w:t>
              </w:r>
            </w:hyperlink>
          </w:p>
        </w:tc>
        <w:tc>
          <w:tcPr/>
          <w:p>
            <w:pPr>
              <w:pStyle w:val="Compact"/>
            </w:pPr>
            <w:r>
              <w:t xml:space="preserve">Audit record for each action; tamper-evident storage</w:t>
            </w:r>
          </w:p>
        </w:tc>
      </w:tr>
      <w:tr>
        <w:tc>
          <w:tcPr/>
          <w:p>
            <w:pPr>
              <w:pStyle w:val="Compact"/>
            </w:pPr>
            <w:r>
              <w:t xml:space="preserve">FR-Report-01</w:t>
            </w:r>
          </w:p>
        </w:tc>
        <w:tc>
          <w:tcPr/>
          <w:p>
            <w:pPr>
              <w:pStyle w:val="Compact"/>
            </w:pPr>
            <w:r>
              <w:t xml:space="preserve">Manager dashboards: pipeline, ageing bookings, reserve expiry, payment reconciliation</w:t>
            </w:r>
          </w:p>
        </w:tc>
        <w:tc>
          <w:tcPr/>
          <w:p>
            <w:pPr>
              <w:pStyle w:val="Compact"/>
            </w:pPr>
            <w:r>
              <w:t xml:space="preserve">P1</w:t>
            </w:r>
          </w:p>
        </w:tc>
        <w:tc>
          <w:tcPr/>
          <w:p>
            <w:pPr>
              <w:pStyle w:val="Compact"/>
            </w:pPr>
            <w:r>
              <w:t xml:space="preserve">Supports performance management and reduces “lost bookings”</w:t>
            </w:r>
          </w:p>
        </w:tc>
        <w:tc>
          <w:tcPr/>
          <w:p>
            <w:pPr>
              <w:pStyle w:val="Compact"/>
            </w:pPr>
            <w:r>
              <w:t xml:space="preserve">Dashboards update at least hourly</w:t>
            </w:r>
          </w:p>
        </w:tc>
      </w:tr>
      <w:tr>
        <w:tc>
          <w:tcPr/>
          <w:p>
            <w:pPr>
              <w:pStyle w:val="Compact"/>
            </w:pPr>
            <w:r>
              <w:t xml:space="preserve">FR-Notify-01</w:t>
            </w:r>
          </w:p>
        </w:tc>
        <w:tc>
          <w:tcPr/>
          <w:p>
            <w:pPr>
              <w:pStyle w:val="Compact"/>
            </w:pPr>
            <w:r>
              <w:t xml:space="preserve">Notifications: email/SMS/WhatsApp reminders for expiry, missing docs, approvals</w:t>
            </w:r>
          </w:p>
        </w:tc>
        <w:tc>
          <w:tcPr/>
          <w:p>
            <w:pPr>
              <w:pStyle w:val="Compact"/>
            </w:pPr>
            <w:r>
              <w:t xml:space="preserve">P1</w:t>
            </w:r>
          </w:p>
        </w:tc>
        <w:tc>
          <w:tcPr/>
          <w:p>
            <w:pPr>
              <w:pStyle w:val="Compact"/>
            </w:pPr>
            <w:r>
              <w:t xml:space="preserve">Public reviews highlight appointment issues; proactive messages reduce no-shows and confusion</w:t>
            </w:r>
            <w:r>
              <w:t xml:space="preserve"> </w:t>
            </w:r>
            <w:hyperlink r:id="rId31">
              <w:r>
                <w:rPr>
                  <w:rStyle w:val="Hyperlink"/>
                </w:rPr>
                <w:t xml:space="preserve">[22]</w:t>
              </w:r>
            </w:hyperlink>
          </w:p>
        </w:tc>
        <w:tc>
          <w:tcPr/>
          <w:p>
            <w:pPr>
              <w:pStyle w:val="Compact"/>
            </w:pPr>
            <w:r>
              <w:t xml:space="preserve">Notification templates; opt-in logging; delivery status captured</w:t>
            </w:r>
          </w:p>
        </w:tc>
      </w:tr>
      <w:tr>
        <w:tc>
          <w:tcPr/>
          <w:p>
            <w:pPr>
              <w:pStyle w:val="Compact"/>
            </w:pPr>
            <w:r>
              <w:t xml:space="preserve">FR-Portal-01</w:t>
            </w:r>
          </w:p>
        </w:tc>
        <w:tc>
          <w:tcPr/>
          <w:p>
            <w:pPr>
              <w:pStyle w:val="Compact"/>
            </w:pPr>
            <w:r>
              <w:t xml:space="preserve">Customer portal for uploading docs, checking status, consent/preferences</w:t>
            </w:r>
          </w:p>
        </w:tc>
        <w:tc>
          <w:tcPr/>
          <w:p>
            <w:pPr>
              <w:pStyle w:val="Compact"/>
            </w:pPr>
            <w:r>
              <w:t xml:space="preserve">P2</w:t>
            </w:r>
          </w:p>
        </w:tc>
        <w:tc>
          <w:tcPr/>
          <w:p>
            <w:pPr>
              <w:pStyle w:val="Compact"/>
            </w:pPr>
            <w:r>
              <w:t xml:space="preserve">Improves customer experience; scope depends on budget and risk posture</w:t>
            </w:r>
          </w:p>
        </w:tc>
        <w:tc>
          <w:tcPr/>
          <w:p>
            <w:pPr>
              <w:pStyle w:val="Compact"/>
            </w:pPr>
            <w:r>
              <w:t xml:space="preserve">Customer can authenticate via OTP; see limited info only</w:t>
            </w:r>
          </w:p>
        </w:tc>
      </w:tr>
    </w:tbl>
    <w:bookmarkEnd w:id="49"/>
    <w:bookmarkStart w:id="50" w:name="non-functional-requirements-prioritised"/>
    <w:p>
      <w:pPr>
        <w:pStyle w:val="Heading3"/>
      </w:pPr>
      <w:r>
        <w:t xml:space="preserve">Non-functional requirements (prioritised)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NFR</w:t>
            </w:r>
          </w:p>
        </w:tc>
        <w:tc>
          <w:tcPr/>
          <w:p>
            <w:pPr>
              <w:pStyle w:val="Compact"/>
            </w:pPr>
            <w:r>
              <w:t xml:space="preserve">Requirement</w:t>
            </w:r>
          </w:p>
        </w:tc>
        <w:tc>
          <w:tcPr/>
          <w:p>
            <w:pPr>
              <w:pStyle w:val="Compact"/>
            </w:pPr>
            <w:r>
              <w:t xml:space="preserve">Priority</w:t>
            </w:r>
          </w:p>
        </w:tc>
        <w:tc>
          <w:tcPr/>
          <w:p>
            <w:pPr>
              <w:pStyle w:val="Compact"/>
            </w:pPr>
            <w:r>
              <w:t xml:space="preserve">Rationale / standard anchor</w:t>
            </w:r>
          </w:p>
        </w:tc>
      </w:tr>
      <w:tr>
        <w:tc>
          <w:tcPr/>
          <w:p>
            <w:pPr>
              <w:pStyle w:val="Compact"/>
            </w:pPr>
            <w:r>
              <w:t xml:space="preserve">NFR-Sec-01</w:t>
            </w:r>
          </w:p>
        </w:tc>
        <w:tc>
          <w:tcPr/>
          <w:p>
            <w:pPr>
              <w:pStyle w:val="Compact"/>
            </w:pPr>
            <w:r>
              <w:t xml:space="preserve">Address OWASP Top 10 risks with secure SDLC + testing gates</w:t>
            </w:r>
          </w:p>
        </w:tc>
        <w:tc>
          <w:tcPr/>
          <w:p>
            <w:pPr>
              <w:pStyle w:val="Compact"/>
            </w:pPr>
            <w:r>
              <w:t xml:space="preserve">P0</w:t>
            </w:r>
          </w:p>
        </w:tc>
        <w:tc>
          <w:tcPr/>
          <w:p>
            <w:pPr>
              <w:pStyle w:val="Compact"/>
            </w:pPr>
            <w:r>
              <w:t xml:space="preserve">OWASP Top 10 is a consensus list of critical web app risks; broken access control is a common failure mode</w:t>
            </w:r>
            <w:r>
              <w:t xml:space="preserve"> </w:t>
            </w:r>
            <w:hyperlink r:id="rId47">
              <w:r>
                <w:rPr>
                  <w:rStyle w:val="Hyperlink"/>
                </w:rPr>
                <w:t xml:space="preserve">[43]</w:t>
              </w:r>
            </w:hyperlink>
          </w:p>
        </w:tc>
      </w:tr>
      <w:tr>
        <w:tc>
          <w:tcPr/>
          <w:p>
            <w:pPr>
              <w:pStyle w:val="Compact"/>
            </w:pPr>
            <w:r>
              <w:t xml:space="preserve">NFR-Sec-02</w:t>
            </w:r>
          </w:p>
        </w:tc>
        <w:tc>
          <w:tcPr/>
          <w:p>
            <w:pPr>
              <w:pStyle w:val="Compact"/>
            </w:pPr>
            <w:r>
              <w:t xml:space="preserve">Apply OWASP ASVS Level 2 as baseline (personal + financial data)</w:t>
            </w:r>
          </w:p>
        </w:tc>
        <w:tc>
          <w:tcPr/>
          <w:p>
            <w:pPr>
              <w:pStyle w:val="Compact"/>
            </w:pPr>
            <w:r>
              <w:t xml:space="preserve">P0</w:t>
            </w:r>
          </w:p>
        </w:tc>
        <w:tc>
          <w:tcPr/>
          <w:p>
            <w:pPr>
              <w:pStyle w:val="Compact"/>
            </w:pPr>
            <w:r>
              <w:t xml:space="preserve">ASVS provides a concrete verification checklist for app security controls</w:t>
            </w:r>
            <w:r>
              <w:t xml:space="preserve"> </w:t>
            </w:r>
            <w:hyperlink r:id="rId23">
              <w:r>
                <w:rPr>
                  <w:rStyle w:val="Hyperlink"/>
                </w:rPr>
                <w:t xml:space="preserve">[44]</w:t>
              </w:r>
            </w:hyperlink>
          </w:p>
        </w:tc>
      </w:tr>
      <w:tr>
        <w:tc>
          <w:tcPr/>
          <w:p>
            <w:pPr>
              <w:pStyle w:val="Compact"/>
            </w:pPr>
            <w:r>
              <w:t xml:space="preserve">NFR-Priv-01</w:t>
            </w:r>
          </w:p>
        </w:tc>
        <w:tc>
          <w:tcPr/>
          <w:p>
            <w:pPr>
              <w:pStyle w:val="Compact"/>
            </w:pPr>
            <w:r>
              <w:t xml:space="preserve">PDPA compliance by design: purpose limitation, access controls, retention policy, access/correction workflows</w:t>
            </w:r>
          </w:p>
        </w:tc>
        <w:tc>
          <w:tcPr/>
          <w:p>
            <w:pPr>
              <w:pStyle w:val="Compact"/>
            </w:pPr>
            <w:r>
              <w:t xml:space="preserve">P0</w:t>
            </w:r>
          </w:p>
        </w:tc>
        <w:tc>
          <w:tcPr/>
          <w:p>
            <w:pPr>
              <w:pStyle w:val="Compact"/>
            </w:pPr>
            <w:r>
              <w:t xml:space="preserve">PDPA regulates personal data processing; Commissioner emphasises 7 principles</w:t>
            </w:r>
            <w:r>
              <w:t xml:space="preserve"> </w:t>
            </w:r>
            <w:hyperlink r:id="rId43">
              <w:r>
                <w:rPr>
                  <w:rStyle w:val="Hyperlink"/>
                </w:rPr>
                <w:t xml:space="preserve">[45]</w:t>
              </w:r>
            </w:hyperlink>
          </w:p>
        </w:tc>
      </w:tr>
      <w:tr>
        <w:tc>
          <w:tcPr/>
          <w:p>
            <w:pPr>
              <w:pStyle w:val="Compact"/>
            </w:pPr>
            <w:r>
              <w:t xml:space="preserve">NFR-Priv-02</w:t>
            </w:r>
          </w:p>
        </w:tc>
        <w:tc>
          <w:tcPr/>
          <w:p>
            <w:pPr>
              <w:pStyle w:val="Compact"/>
            </w:pPr>
            <w:r>
              <w:t xml:space="preserve">DPO and breach notification readiness per PDPA Amendment 2024</w:t>
            </w:r>
          </w:p>
        </w:tc>
        <w:tc>
          <w:tcPr/>
          <w:p>
            <w:pPr>
              <w:pStyle w:val="Compact"/>
            </w:pPr>
            <w:r>
              <w:t xml:space="preserve">P0</w:t>
            </w:r>
          </w:p>
        </w:tc>
        <w:tc>
          <w:tcPr/>
          <w:p>
            <w:pPr>
              <w:pStyle w:val="Compact"/>
            </w:pPr>
            <w:r>
              <w:t xml:space="preserve">Act A1727 introduces DPO appointment (s12a) and breach notification (s12b) obligations</w:t>
            </w:r>
            <w:r>
              <w:t xml:space="preserve"> </w:t>
            </w:r>
            <w:hyperlink r:id="rId28">
              <w:r>
                <w:rPr>
                  <w:rStyle w:val="Hyperlink"/>
                </w:rPr>
                <w:t xml:space="preserve">[19]</w:t>
              </w:r>
            </w:hyperlink>
          </w:p>
        </w:tc>
      </w:tr>
      <w:tr>
        <w:tc>
          <w:tcPr/>
          <w:p>
            <w:pPr>
              <w:pStyle w:val="Compact"/>
            </w:pPr>
            <w:r>
              <w:t xml:space="preserve">NFR-Avail-01</w:t>
            </w:r>
          </w:p>
        </w:tc>
        <w:tc>
          <w:tcPr/>
          <w:p>
            <w:pPr>
              <w:pStyle w:val="Compact"/>
            </w:pPr>
            <w:r>
              <w:t xml:space="preserve">Availability target: 99.9% for internal system; plan for higher tiers later</w:t>
            </w:r>
          </w:p>
        </w:tc>
        <w:tc>
          <w:tcPr/>
          <w:p>
            <w:pPr>
              <w:pStyle w:val="Compact"/>
            </w:pPr>
            <w:r>
              <w:t xml:space="preserve">P1</w:t>
            </w:r>
          </w:p>
        </w:tc>
        <w:tc>
          <w:tcPr/>
          <w:p>
            <w:pPr>
              <w:pStyle w:val="Compact"/>
            </w:pPr>
            <w:r>
              <w:t xml:space="preserve">Deal operations should not halt during business hours</w:t>
            </w:r>
          </w:p>
        </w:tc>
      </w:tr>
      <w:tr>
        <w:tc>
          <w:tcPr/>
          <w:p>
            <w:pPr>
              <w:pStyle w:val="Compact"/>
            </w:pPr>
            <w:r>
              <w:t xml:space="preserve">NFR-Perf-01</w:t>
            </w:r>
          </w:p>
        </w:tc>
        <w:tc>
          <w:tcPr/>
          <w:p>
            <w:pPr>
              <w:pStyle w:val="Compact"/>
            </w:pPr>
            <w:r>
              <w:t xml:space="preserve">Core screens load &lt;2s on typical office networks; search &lt;2s; exports async</w:t>
            </w:r>
          </w:p>
        </w:tc>
        <w:tc>
          <w:tcPr/>
          <w:p>
            <w:pPr>
              <w:pStyle w:val="Compact"/>
            </w:pPr>
            <w:r>
              <w:t xml:space="preserve">P1</w:t>
            </w:r>
          </w:p>
        </w:tc>
        <w:tc>
          <w:tcPr/>
          <w:p>
            <w:pPr>
              <w:pStyle w:val="Compact"/>
            </w:pPr>
            <w:r>
              <w:t xml:space="preserve">Prevents workflow bottlenecks</w:t>
            </w:r>
          </w:p>
        </w:tc>
      </w:tr>
      <w:tr>
        <w:tc>
          <w:tcPr/>
          <w:p>
            <w:pPr>
              <w:pStyle w:val="Compact"/>
            </w:pPr>
            <w:r>
              <w:t xml:space="preserve">NFR-Scale-01</w:t>
            </w:r>
          </w:p>
        </w:tc>
        <w:tc>
          <w:tcPr/>
          <w:p>
            <w:pPr>
              <w:pStyle w:val="Compact"/>
            </w:pPr>
            <w:r>
              <w:t xml:space="preserve">Support multi-branch operations and future addition of service workflows</w:t>
            </w:r>
          </w:p>
        </w:tc>
        <w:tc>
          <w:tcPr/>
          <w:p>
            <w:pPr>
              <w:pStyle w:val="Compact"/>
            </w:pPr>
            <w:r>
              <w:t xml:space="preserve">P1</w:t>
            </w:r>
          </w:p>
        </w:tc>
        <w:tc>
          <w:tcPr/>
          <w:p>
            <w:pPr>
              <w:pStyle w:val="Compact"/>
            </w:pPr>
            <w:r>
              <w:t xml:space="preserve">Existing branch list indicates multi-branch footprints</w:t>
            </w:r>
            <w:r>
              <w:t xml:space="preserve"> </w:t>
            </w:r>
            <w:hyperlink r:id="rId21">
              <w:r>
                <w:rPr>
                  <w:rStyle w:val="Hyperlink"/>
                </w:rPr>
                <w:t xml:space="preserve">[16]</w:t>
              </w:r>
            </w:hyperlink>
          </w:p>
        </w:tc>
      </w:tr>
      <w:tr>
        <w:tc>
          <w:tcPr/>
          <w:p>
            <w:pPr>
              <w:pStyle w:val="Compact"/>
            </w:pPr>
            <w:r>
              <w:t xml:space="preserve">NFR-Obs-01</w:t>
            </w:r>
          </w:p>
        </w:tc>
        <w:tc>
          <w:tcPr/>
          <w:p>
            <w:pPr>
              <w:pStyle w:val="Compact"/>
            </w:pPr>
            <w:r>
              <w:t xml:space="preserve">Full observability: metrics, logs, tracing; alerting on auth anomalies and data exports</w:t>
            </w:r>
          </w:p>
        </w:tc>
        <w:tc>
          <w:tcPr/>
          <w:p>
            <w:pPr>
              <w:pStyle w:val="Compact"/>
            </w:pPr>
            <w:r>
              <w:t xml:space="preserve">P0</w:t>
            </w:r>
          </w:p>
        </w:tc>
        <w:tc>
          <w:tcPr/>
          <w:p>
            <w:pPr>
              <w:pStyle w:val="Compact"/>
            </w:pPr>
            <w:r>
              <w:t xml:space="preserve">Needed for incident response and breach detection obligations</w:t>
            </w:r>
            <w:r>
              <w:t xml:space="preserve"> </w:t>
            </w:r>
            <w:hyperlink r:id="rId28">
              <w:r>
                <w:rPr>
                  <w:rStyle w:val="Hyperlink"/>
                </w:rPr>
                <w:t xml:space="preserve">[46]</w:t>
              </w:r>
            </w:hyperlink>
          </w:p>
        </w:tc>
      </w:tr>
    </w:tbl>
    <w:bookmarkEnd w:id="50"/>
    <w:bookmarkEnd w:id="51"/>
    <w:bookmarkStart w:id="55" w:name="Xd7dfc9bf132b331a4fbce5210e95e38b50c791b"/>
    <w:p>
      <w:pPr>
        <w:pStyle w:val="Heading2"/>
      </w:pPr>
      <w:r>
        <w:t xml:space="preserve">Proposed solution design and architecture</w:t>
      </w:r>
    </w:p>
    <w:bookmarkStart w:id="52" w:name="proposed-high-level-architecture"/>
    <w:p>
      <w:pPr>
        <w:pStyle w:val="Heading3"/>
      </w:pPr>
      <w:r>
        <w:t xml:space="preserve">Proposed high-level architecture</w:t>
      </w:r>
    </w:p>
    <w:p>
      <w:pPr>
        <w:pStyle w:val="FirstParagraph"/>
      </w:pPr>
      <w:r>
        <w:t xml:space="preserve">The new system is designed as a modular monolith (initially) with clean domain boundaries and a stable API, enabling future extraction of services if needed. This is the fastest path to “secure + maintainable” given unknown budget, while still addressing the current system’s core risks.</w:t>
      </w:r>
    </w:p>
    <w:p>
      <w:pPr>
        <w:pStyle w:val="SourceCode"/>
      </w:pPr>
      <w:r>
        <w:rPr>
          <w:rStyle w:val="VerbatimChar"/>
        </w:rPr>
        <w:t xml:space="preserve">flowchart LR</w:t>
      </w:r>
      <w:r>
        <w:br/>
      </w:r>
      <w:r>
        <w:rPr>
          <w:rStyle w:val="VerbatimChar"/>
        </w:rPr>
        <w:t xml:space="preserve">  subgraph Users</w:t>
      </w:r>
      <w:r>
        <w:br/>
      </w:r>
      <w:r>
        <w:rPr>
          <w:rStyle w:val="VerbatimChar"/>
        </w:rPr>
        <w:t xml:space="preserve">    C[Customer\n(Optional Portal)]</w:t>
      </w:r>
      <w:r>
        <w:br/>
      </w:r>
      <w:r>
        <w:rPr>
          <w:rStyle w:val="VerbatimChar"/>
        </w:rPr>
        <w:t xml:space="preserve">    SA[Sales Advisor]</w:t>
      </w:r>
      <w:r>
        <w:br/>
      </w:r>
      <w:r>
        <w:rPr>
          <w:rStyle w:val="VerbatimChar"/>
        </w:rPr>
        <w:t xml:space="preserve">    FI[F&amp;I / Admin]</w:t>
      </w:r>
      <w:r>
        <w:br/>
      </w:r>
      <w:r>
        <w:rPr>
          <w:rStyle w:val="VerbatimChar"/>
        </w:rPr>
        <w:t xml:space="preserve">    M[Manager]</w:t>
      </w:r>
      <w:r>
        <w:br/>
      </w:r>
      <w:r>
        <w:rPr>
          <w:rStyle w:val="VerbatimChar"/>
        </w:rPr>
        <w:t xml:space="preserve">    IT[System Admin]</w:t>
      </w:r>
      <w:r>
        <w:br/>
      </w:r>
      <w:r>
        <w:rPr>
          <w:rStyle w:val="VerbatimChar"/>
        </w:rPr>
        <w:t xml:space="preserve">  end</w:t>
      </w:r>
      <w:r>
        <w:br/>
      </w:r>
      <w:r>
        <w:br/>
      </w:r>
      <w:r>
        <w:rPr>
          <w:rStyle w:val="VerbatimChar"/>
        </w:rPr>
        <w:t xml:space="preserve">  subgraph Frontend</w:t>
      </w:r>
      <w:r>
        <w:br/>
      </w:r>
      <w:r>
        <w:rPr>
          <w:rStyle w:val="VerbatimChar"/>
        </w:rPr>
        <w:t xml:space="preserve">    P[Public/Customer Portal\n(Phase 2)]</w:t>
      </w:r>
      <w:r>
        <w:br/>
      </w:r>
      <w:r>
        <w:rPr>
          <w:rStyle w:val="VerbatimChar"/>
        </w:rPr>
        <w:t xml:space="preserve">    A[Internal Web App\n(Admin/Staff)]</w:t>
      </w:r>
      <w:r>
        <w:br/>
      </w:r>
      <w:r>
        <w:rPr>
          <w:rStyle w:val="VerbatimChar"/>
        </w:rPr>
        <w:t xml:space="preserve">  end</w:t>
      </w:r>
      <w:r>
        <w:br/>
      </w:r>
      <w:r>
        <w:br/>
      </w:r>
      <w:r>
        <w:rPr>
          <w:rStyle w:val="VerbatimChar"/>
        </w:rPr>
        <w:t xml:space="preserve">  subgraph Backend</w:t>
      </w:r>
      <w:r>
        <w:br/>
      </w:r>
      <w:r>
        <w:rPr>
          <w:rStyle w:val="VerbatimChar"/>
        </w:rPr>
        <w:t xml:space="preserve">    API[API Gateway / BFF]</w:t>
      </w:r>
      <w:r>
        <w:br/>
      </w:r>
      <w:r>
        <w:rPr>
          <w:rStyle w:val="VerbatimChar"/>
        </w:rPr>
        <w:t xml:space="preserve">    AUTH[Auth Service\nSSO + MFA + RBAC]</w:t>
      </w:r>
      <w:r>
        <w:br/>
      </w:r>
      <w:r>
        <w:rPr>
          <w:rStyle w:val="VerbatimChar"/>
        </w:rPr>
        <w:t xml:space="preserve">    CORE[Core Domain Service\nBookings, Customers, Vehicles]</w:t>
      </w:r>
      <w:r>
        <w:br/>
      </w:r>
      <w:r>
        <w:rPr>
          <w:rStyle w:val="VerbatimChar"/>
        </w:rPr>
        <w:t xml:space="preserve">    PAY[Payments &amp; Refunds Module]</w:t>
      </w:r>
      <w:r>
        <w:br/>
      </w:r>
      <w:r>
        <w:rPr>
          <w:rStyle w:val="VerbatimChar"/>
        </w:rPr>
        <w:t xml:space="preserve">    DOC[Document Service]</w:t>
      </w:r>
      <w:r>
        <w:br/>
      </w:r>
      <w:r>
        <w:rPr>
          <w:rStyle w:val="VerbatimChar"/>
        </w:rPr>
        <w:t xml:space="preserve">    REF[Reference Data Service\nBranches, Staff, Banks, Insurers]</w:t>
      </w:r>
      <w:r>
        <w:br/>
      </w:r>
      <w:r>
        <w:rPr>
          <w:rStyle w:val="VerbatimChar"/>
        </w:rPr>
        <w:t xml:space="preserve">    AUD[Audit Log Service]</w:t>
      </w:r>
      <w:r>
        <w:br/>
      </w:r>
      <w:r>
        <w:rPr>
          <w:rStyle w:val="VerbatimChar"/>
        </w:rPr>
        <w:t xml:space="preserve">    NOTIF[Notification Service\nEmail/SMS/WhatsApp]</w:t>
      </w:r>
      <w:r>
        <w:br/>
      </w:r>
      <w:r>
        <w:rPr>
          <w:rStyle w:val="VerbatimChar"/>
        </w:rPr>
        <w:t xml:space="preserve">    REP[Reporting/Analytics]</w:t>
      </w:r>
      <w:r>
        <w:br/>
      </w:r>
      <w:r>
        <w:rPr>
          <w:rStyle w:val="VerbatimChar"/>
        </w:rPr>
        <w:t xml:space="preserve">  end</w:t>
      </w:r>
      <w:r>
        <w:br/>
      </w:r>
      <w:r>
        <w:br/>
      </w:r>
      <w:r>
        <w:rPr>
          <w:rStyle w:val="VerbatimChar"/>
        </w:rPr>
        <w:t xml:space="preserve">  subgraph Data</w:t>
      </w:r>
      <w:r>
        <w:br/>
      </w:r>
      <w:r>
        <w:rPr>
          <w:rStyle w:val="VerbatimChar"/>
        </w:rPr>
        <w:t xml:space="preserve">    DB[(PostgreSQL)]</w:t>
      </w:r>
      <w:r>
        <w:br/>
      </w:r>
      <w:r>
        <w:rPr>
          <w:rStyle w:val="VerbatimChar"/>
        </w:rPr>
        <w:t xml:space="preserve">    OBJ[(Object Storage\nS3/R2)]</w:t>
      </w:r>
      <w:r>
        <w:br/>
      </w:r>
      <w:r>
        <w:rPr>
          <w:rStyle w:val="VerbatimChar"/>
        </w:rPr>
        <w:t xml:space="preserve">    Q[(Job Queue)]</w:t>
      </w:r>
      <w:r>
        <w:br/>
      </w:r>
      <w:r>
        <w:rPr>
          <w:rStyle w:val="VerbatimChar"/>
        </w:rPr>
        <w:t xml:space="preserve">    SIEM[(Log/SIEM)]</w:t>
      </w:r>
      <w:r>
        <w:br/>
      </w:r>
      <w:r>
        <w:rPr>
          <w:rStyle w:val="VerbatimChar"/>
        </w:rPr>
        <w:t xml:space="preserve">  end</w:t>
      </w:r>
      <w:r>
        <w:br/>
      </w:r>
      <w:r>
        <w:br/>
      </w:r>
      <w:r>
        <w:rPr>
          <w:rStyle w:val="VerbatimChar"/>
        </w:rPr>
        <w:t xml:space="preserve">  C --&gt; P --&gt; API</w:t>
      </w:r>
      <w:r>
        <w:br/>
      </w:r>
      <w:r>
        <w:rPr>
          <w:rStyle w:val="VerbatimChar"/>
        </w:rPr>
        <w:t xml:space="preserve">  SA --&gt; A --&gt; API</w:t>
      </w:r>
      <w:r>
        <w:br/>
      </w:r>
      <w:r>
        <w:rPr>
          <w:rStyle w:val="VerbatimChar"/>
        </w:rPr>
        <w:t xml:space="preserve">  FI --&gt; A</w:t>
      </w:r>
      <w:r>
        <w:br/>
      </w:r>
      <w:r>
        <w:rPr>
          <w:rStyle w:val="VerbatimChar"/>
        </w:rPr>
        <w:t xml:space="preserve">  M --&gt; A</w:t>
      </w:r>
      <w:r>
        <w:br/>
      </w:r>
      <w:r>
        <w:rPr>
          <w:rStyle w:val="VerbatimChar"/>
        </w:rPr>
        <w:t xml:space="preserve">  IT --&gt; A</w:t>
      </w:r>
      <w:r>
        <w:br/>
      </w:r>
      <w:r>
        <w:br/>
      </w:r>
      <w:r>
        <w:rPr>
          <w:rStyle w:val="VerbatimChar"/>
        </w:rPr>
        <w:t xml:space="preserve">  API --&gt; AUTH</w:t>
      </w:r>
      <w:r>
        <w:br/>
      </w:r>
      <w:r>
        <w:rPr>
          <w:rStyle w:val="VerbatimChar"/>
        </w:rPr>
        <w:t xml:space="preserve">  API --&gt; CORE</w:t>
      </w:r>
      <w:r>
        <w:br/>
      </w:r>
      <w:r>
        <w:rPr>
          <w:rStyle w:val="VerbatimChar"/>
        </w:rPr>
        <w:t xml:space="preserve">  API --&gt; PAY</w:t>
      </w:r>
      <w:r>
        <w:br/>
      </w:r>
      <w:r>
        <w:rPr>
          <w:rStyle w:val="VerbatimChar"/>
        </w:rPr>
        <w:t xml:space="preserve">  API --&gt; DOC</w:t>
      </w:r>
      <w:r>
        <w:br/>
      </w:r>
      <w:r>
        <w:rPr>
          <w:rStyle w:val="VerbatimChar"/>
        </w:rPr>
        <w:t xml:space="preserve">  API --&gt; REF</w:t>
      </w:r>
      <w:r>
        <w:br/>
      </w:r>
      <w:r>
        <w:rPr>
          <w:rStyle w:val="VerbatimChar"/>
        </w:rPr>
        <w:t xml:space="preserve">  API --&gt; REP</w:t>
      </w:r>
      <w:r>
        <w:br/>
      </w:r>
      <w:r>
        <w:br/>
      </w:r>
      <w:r>
        <w:rPr>
          <w:rStyle w:val="VerbatimChar"/>
        </w:rPr>
        <w:t xml:space="preserve">  CORE --&gt; DB</w:t>
      </w:r>
      <w:r>
        <w:br/>
      </w:r>
      <w:r>
        <w:rPr>
          <w:rStyle w:val="VerbatimChar"/>
        </w:rPr>
        <w:t xml:space="preserve">  PAY --&gt; DB</w:t>
      </w:r>
      <w:r>
        <w:br/>
      </w:r>
      <w:r>
        <w:rPr>
          <w:rStyle w:val="VerbatimChar"/>
        </w:rPr>
        <w:t xml:space="preserve">  REF --&gt; DB</w:t>
      </w:r>
      <w:r>
        <w:br/>
      </w:r>
      <w:r>
        <w:rPr>
          <w:rStyle w:val="VerbatimChar"/>
        </w:rPr>
        <w:t xml:space="preserve">  AUD --&gt; DB</w:t>
      </w:r>
      <w:r>
        <w:br/>
      </w:r>
      <w:r>
        <w:rPr>
          <w:rStyle w:val="VerbatimChar"/>
        </w:rPr>
        <w:t xml:space="preserve">  DOC --&gt; OBJ</w:t>
      </w:r>
      <w:r>
        <w:br/>
      </w:r>
      <w:r>
        <w:rPr>
          <w:rStyle w:val="VerbatimChar"/>
        </w:rPr>
        <w:t xml:space="preserve">  NOTIF --&gt; Q</w:t>
      </w:r>
      <w:r>
        <w:br/>
      </w:r>
      <w:r>
        <w:rPr>
          <w:rStyle w:val="VerbatimChar"/>
        </w:rPr>
        <w:t xml:space="preserve">  REP --&gt; DB</w:t>
      </w:r>
      <w:r>
        <w:br/>
      </w:r>
      <w:r>
        <w:br/>
      </w:r>
      <w:r>
        <w:rPr>
          <w:rStyle w:val="VerbatimChar"/>
        </w:rPr>
        <w:t xml:space="preserve">  API --&gt; AUD</w:t>
      </w:r>
      <w:r>
        <w:br/>
      </w:r>
      <w:r>
        <w:rPr>
          <w:rStyle w:val="VerbatimChar"/>
        </w:rPr>
        <w:t xml:space="preserve">  AUTH --&gt; AUD</w:t>
      </w:r>
      <w:r>
        <w:br/>
      </w:r>
      <w:r>
        <w:rPr>
          <w:rStyle w:val="VerbatimChar"/>
        </w:rPr>
        <w:t xml:space="preserve">  CORE --&gt; AUD</w:t>
      </w:r>
      <w:r>
        <w:br/>
      </w:r>
      <w:r>
        <w:rPr>
          <w:rStyle w:val="VerbatimChar"/>
        </w:rPr>
        <w:t xml:space="preserve">  PAY --&gt; AUD</w:t>
      </w:r>
      <w:r>
        <w:br/>
      </w:r>
      <w:r>
        <w:rPr>
          <w:rStyle w:val="VerbatimChar"/>
        </w:rPr>
        <w:t xml:space="preserve">  DOC --&gt; AUD</w:t>
      </w:r>
      <w:r>
        <w:br/>
      </w:r>
      <w:r>
        <w:rPr>
          <w:rStyle w:val="VerbatimChar"/>
        </w:rPr>
        <w:t xml:space="preserve">  AUD --&gt; SIEM</w:t>
      </w:r>
    </w:p>
    <w:p>
      <w:pPr>
        <w:pStyle w:val="FirstParagraph"/>
      </w:pPr>
      <w:r>
        <w:rPr>
          <w:b/>
          <w:bCs/>
        </w:rPr>
        <w:t xml:space="preserve">Why this is demonstrably better than the current system (evidence-based)</w:t>
      </w:r>
      <w:r>
        <w:br/>
      </w:r>
      <w:r>
        <w:t xml:space="preserve">The architecture enforces authentication and RBAC at the gateway/service boundary, preventing the “direct URL to operational page” exposure pattern observed today.</w:t>
      </w:r>
      <w:r>
        <w:t xml:space="preserve"> </w:t>
      </w:r>
      <w:hyperlink r:id="rId21">
        <w:r>
          <w:rPr>
            <w:rStyle w:val="Hyperlink"/>
          </w:rPr>
          <w:t xml:space="preserve">[47]</w:t>
        </w:r>
      </w:hyperlink>
      <w:r>
        <w:br/>
      </w:r>
      <w:r>
        <w:t xml:space="preserve">It externalises reference data (banks, finance companies, staff) into governed services rather than hardcoded dropdowns, avoiding the current “long unmanaged lists” problem.</w:t>
      </w:r>
      <w:r>
        <w:t xml:space="preserve"> </w:t>
      </w:r>
      <w:hyperlink r:id="rId21">
        <w:r>
          <w:rPr>
            <w:rStyle w:val="Hyperlink"/>
          </w:rPr>
          <w:t xml:space="preserve">[16]</w:t>
        </w:r>
      </w:hyperlink>
      <w:r>
        <w:br/>
      </w:r>
      <w:r>
        <w:t xml:space="preserve">It treats audit trails as first-class (Tekion-style) rather than incidental logging.</w:t>
      </w:r>
      <w:r>
        <w:t xml:space="preserve"> </w:t>
      </w:r>
      <w:hyperlink r:id="rId33">
        <w:r>
          <w:rPr>
            <w:rStyle w:val="Hyperlink"/>
          </w:rPr>
          <w:t xml:space="preserve">[23]</w:t>
        </w:r>
      </w:hyperlink>
    </w:p>
    <w:bookmarkEnd w:id="52"/>
    <w:bookmarkStart w:id="53" w:name="data-model-er-diagram-proposed"/>
    <w:p>
      <w:pPr>
        <w:pStyle w:val="Heading3"/>
      </w:pPr>
      <w:r>
        <w:t xml:space="preserve">Data model (ER diagram, proposed)</w:t>
      </w:r>
    </w:p>
    <w:p>
      <w:pPr>
        <w:pStyle w:val="FirstParagraph"/>
      </w:pPr>
      <w:r>
        <w:t xml:space="preserve">Designed around the “single identifier for every customer/vehicle/transaction” pattern highlighted by Reynolds ERA‑IGNITE.</w:t>
      </w:r>
      <w:r>
        <w:t xml:space="preserve"> </w:t>
      </w:r>
      <w:hyperlink r:id="rId35">
        <w:r>
          <w:rPr>
            <w:rStyle w:val="Hyperlink"/>
          </w:rPr>
          <w:t xml:space="preserve">[25]</w:t>
        </w:r>
      </w:hyperlink>
    </w:p>
    <w:p>
      <w:pPr>
        <w:pStyle w:val="SourceCode"/>
      </w:pPr>
      <w:r>
        <w:rPr>
          <w:rStyle w:val="VerbatimChar"/>
        </w:rPr>
        <w:t xml:space="preserve">erDiagram</w:t>
      </w:r>
      <w:r>
        <w:br/>
      </w:r>
      <w:r>
        <w:rPr>
          <w:rStyle w:val="VerbatimChar"/>
        </w:rPr>
        <w:t xml:space="preserve">  BRANCH ||--o{ USER : employs</w:t>
      </w:r>
      <w:r>
        <w:br/>
      </w:r>
      <w:r>
        <w:rPr>
          <w:rStyle w:val="VerbatimChar"/>
        </w:rPr>
        <w:t xml:space="preserve">  USER ||--o{ BOOKING : owns</w:t>
      </w:r>
      <w:r>
        <w:br/>
      </w:r>
      <w:r>
        <w:rPr>
          <w:rStyle w:val="VerbatimChar"/>
        </w:rPr>
        <w:t xml:space="preserve">  BRANCH ||--o{ BOOKING : hosts</w:t>
      </w:r>
      <w:r>
        <w:br/>
      </w:r>
      <w:r>
        <w:br/>
      </w:r>
      <w:r>
        <w:rPr>
          <w:rStyle w:val="VerbatimChar"/>
        </w:rPr>
        <w:t xml:space="preserve">  CUSTOMER ||--o{ BOOKING : requests</w:t>
      </w:r>
      <w:r>
        <w:br/>
      </w:r>
      <w:r>
        <w:rPr>
          <w:rStyle w:val="VerbatimChar"/>
        </w:rPr>
        <w:t xml:space="preserve">  VEHICLE ||--o{ BOOKING : reserved_for</w:t>
      </w:r>
      <w:r>
        <w:br/>
      </w:r>
      <w:r>
        <w:br/>
      </w:r>
      <w:r>
        <w:rPr>
          <w:rStyle w:val="VerbatimChar"/>
        </w:rPr>
        <w:t xml:space="preserve">  BOOKING ||--o{ PAYMENT : has</w:t>
      </w:r>
      <w:r>
        <w:br/>
      </w:r>
      <w:r>
        <w:rPr>
          <w:rStyle w:val="VerbatimChar"/>
        </w:rPr>
        <w:t xml:space="preserve">  BOOKING ||--o{ REFUND : has</w:t>
      </w:r>
      <w:r>
        <w:br/>
      </w:r>
      <w:r>
        <w:rPr>
          <w:rStyle w:val="VerbatimChar"/>
        </w:rPr>
        <w:t xml:space="preserve">  BOOKING ||--o{ FINANCE_CASE : has</w:t>
      </w:r>
      <w:r>
        <w:br/>
      </w:r>
      <w:r>
        <w:rPr>
          <w:rStyle w:val="VerbatimChar"/>
        </w:rPr>
        <w:t xml:space="preserve">  BOOKING ||--o{ DOCUMENT : requires</w:t>
      </w:r>
      <w:r>
        <w:br/>
      </w:r>
      <w:r>
        <w:rPr>
          <w:rStyle w:val="VerbatimChar"/>
        </w:rPr>
        <w:t xml:space="preserve">  BOOKING ||--o{ STATUS_EVENT : timeline</w:t>
      </w:r>
      <w:r>
        <w:br/>
      </w:r>
      <w:r>
        <w:br/>
      </w:r>
      <w:r>
        <w:rPr>
          <w:rStyle w:val="VerbatimChar"/>
        </w:rPr>
        <w:t xml:space="preserve">  CUSTOMER {</w:t>
      </w:r>
      <w:r>
        <w:br/>
      </w:r>
      <w:r>
        <w:rPr>
          <w:rStyle w:val="VerbatimChar"/>
        </w:rPr>
        <w:t xml:space="preserve">    uuid id PK</w:t>
      </w:r>
      <w:r>
        <w:br/>
      </w:r>
      <w:r>
        <w:rPr>
          <w:rStyle w:val="VerbatimChar"/>
        </w:rPr>
        <w:t xml:space="preserve">    string full_name</w:t>
      </w:r>
      <w:r>
        <w:br/>
      </w:r>
      <w:r>
        <w:rPr>
          <w:rStyle w:val="VerbatimChar"/>
        </w:rPr>
        <w:t xml:space="preserve">    string id_type  "NRIC|PASSPORT|OTHER"</w:t>
      </w:r>
      <w:r>
        <w:br/>
      </w:r>
      <w:r>
        <w:rPr>
          <w:rStyle w:val="VerbatimChar"/>
        </w:rPr>
        <w:t xml:space="preserve">    string id_value</w:t>
      </w:r>
      <w:r>
        <w:br/>
      </w:r>
      <w:r>
        <w:rPr>
          <w:rStyle w:val="VerbatimChar"/>
        </w:rPr>
        <w:t xml:space="preserve">    string phone</w:t>
      </w:r>
      <w:r>
        <w:br/>
      </w:r>
      <w:r>
        <w:rPr>
          <w:rStyle w:val="VerbatimChar"/>
        </w:rPr>
        <w:t xml:space="preserve">    string email</w:t>
      </w:r>
      <w:r>
        <w:br/>
      </w:r>
      <w:r>
        <w:rPr>
          <w:rStyle w:val="VerbatimChar"/>
        </w:rPr>
        <w:t xml:space="preserve">    boolean consent_marketing</w:t>
      </w:r>
      <w:r>
        <w:br/>
      </w:r>
      <w:r>
        <w:rPr>
          <w:rStyle w:val="VerbatimChar"/>
        </w:rPr>
        <w:t xml:space="preserve">    datetime created_at</w:t>
      </w:r>
      <w:r>
        <w:br/>
      </w:r>
      <w:r>
        <w:rPr>
          <w:rStyle w:val="VerbatimChar"/>
        </w:rPr>
        <w:t xml:space="preserve">  }</w:t>
      </w:r>
      <w:r>
        <w:br/>
      </w:r>
      <w:r>
        <w:br/>
      </w:r>
      <w:r>
        <w:rPr>
          <w:rStyle w:val="VerbatimChar"/>
        </w:rPr>
        <w:t xml:space="preserve">  VEHICLE {</w:t>
      </w:r>
      <w:r>
        <w:br/>
      </w:r>
      <w:r>
        <w:rPr>
          <w:rStyle w:val="VerbatimChar"/>
        </w:rPr>
        <w:t xml:space="preserve">    uuid id PK</w:t>
      </w:r>
      <w:r>
        <w:br/>
      </w:r>
      <w:r>
        <w:rPr>
          <w:rStyle w:val="VerbatimChar"/>
        </w:rPr>
        <w:t xml:space="preserve">    string model_code</w:t>
      </w:r>
      <w:r>
        <w:br/>
      </w:r>
      <w:r>
        <w:rPr>
          <w:rStyle w:val="VerbatimChar"/>
        </w:rPr>
        <w:t xml:space="preserve">    string variant</w:t>
      </w:r>
      <w:r>
        <w:br/>
      </w:r>
      <w:r>
        <w:rPr>
          <w:rStyle w:val="VerbatimChar"/>
        </w:rPr>
        <w:t xml:space="preserve">    string colour</w:t>
      </w:r>
      <w:r>
        <w:br/>
      </w:r>
      <w:r>
        <w:rPr>
          <w:rStyle w:val="VerbatimChar"/>
        </w:rPr>
        <w:t xml:space="preserve">    string chassis_no</w:t>
      </w:r>
      <w:r>
        <w:br/>
      </w:r>
      <w:r>
        <w:rPr>
          <w:rStyle w:val="VerbatimChar"/>
        </w:rPr>
        <w:t xml:space="preserve">    string engine_no</w:t>
      </w:r>
      <w:r>
        <w:br/>
      </w:r>
      <w:r>
        <w:rPr>
          <w:rStyle w:val="VerbatimChar"/>
        </w:rPr>
        <w:t xml:space="preserve">    string registration_no</w:t>
      </w:r>
      <w:r>
        <w:br/>
      </w:r>
      <w:r>
        <w:rPr>
          <w:rStyle w:val="VerbatimChar"/>
        </w:rPr>
        <w:t xml:space="preserve">    string inventory_status</w:t>
      </w:r>
      <w:r>
        <w:br/>
      </w:r>
      <w:r>
        <w:rPr>
          <w:rStyle w:val="VerbatimChar"/>
        </w:rPr>
        <w:t xml:space="preserve">  }</w:t>
      </w:r>
      <w:r>
        <w:br/>
      </w:r>
      <w:r>
        <w:br/>
      </w:r>
      <w:r>
        <w:rPr>
          <w:rStyle w:val="VerbatimChar"/>
        </w:rPr>
        <w:t xml:space="preserve">  BOOKING {</w:t>
      </w:r>
      <w:r>
        <w:br/>
      </w:r>
      <w:r>
        <w:rPr>
          <w:rStyle w:val="VerbatimChar"/>
        </w:rPr>
        <w:t xml:space="preserve">    uuid id PK</w:t>
      </w:r>
      <w:r>
        <w:br/>
      </w:r>
      <w:r>
        <w:rPr>
          <w:rStyle w:val="VerbatimChar"/>
        </w:rPr>
        <w:t xml:space="preserve">    string booking_no</w:t>
      </w:r>
      <w:r>
        <w:br/>
      </w:r>
      <w:r>
        <w:rPr>
          <w:rStyle w:val="VerbatimChar"/>
        </w:rPr>
        <w:t xml:space="preserve">    uuid branch_id FK</w:t>
      </w:r>
      <w:r>
        <w:br/>
      </w:r>
      <w:r>
        <w:rPr>
          <w:rStyle w:val="VerbatimChar"/>
        </w:rPr>
        <w:t xml:space="preserve">    uuid advisor_user_id FK</w:t>
      </w:r>
      <w:r>
        <w:br/>
      </w:r>
      <w:r>
        <w:rPr>
          <w:rStyle w:val="VerbatimChar"/>
        </w:rPr>
        <w:t xml:space="preserve">    uuid customer_id FK</w:t>
      </w:r>
      <w:r>
        <w:br/>
      </w:r>
      <w:r>
        <w:rPr>
          <w:rStyle w:val="VerbatimChar"/>
        </w:rPr>
        <w:t xml:space="preserve">    uuid vehicle_id FK</w:t>
      </w:r>
      <w:r>
        <w:br/>
      </w:r>
      <w:r>
        <w:rPr>
          <w:rStyle w:val="VerbatimChar"/>
        </w:rPr>
        <w:t xml:space="preserve">    string status</w:t>
      </w:r>
      <w:r>
        <w:br/>
      </w:r>
      <w:r>
        <w:rPr>
          <w:rStyle w:val="VerbatimChar"/>
        </w:rPr>
        <w:t xml:space="preserve">    datetime reserved_at</w:t>
      </w:r>
      <w:r>
        <w:br/>
      </w:r>
      <w:r>
        <w:rPr>
          <w:rStyle w:val="VerbatimChar"/>
        </w:rPr>
        <w:t xml:space="preserve">    datetime expires_at</w:t>
      </w:r>
      <w:r>
        <w:br/>
      </w:r>
      <w:r>
        <w:rPr>
          <w:rStyle w:val="VerbatimChar"/>
        </w:rPr>
        <w:t xml:space="preserve">    datetime created_at</w:t>
      </w:r>
      <w:r>
        <w:br/>
      </w:r>
      <w:r>
        <w:rPr>
          <w:rStyle w:val="VerbatimChar"/>
        </w:rPr>
        <w:t xml:space="preserve">  }</w:t>
      </w:r>
      <w:r>
        <w:br/>
      </w:r>
      <w:r>
        <w:br/>
      </w:r>
      <w:r>
        <w:rPr>
          <w:rStyle w:val="VerbatimChar"/>
        </w:rPr>
        <w:t xml:space="preserve">  PAYMENT {</w:t>
      </w:r>
      <w:r>
        <w:br/>
      </w:r>
      <w:r>
        <w:rPr>
          <w:rStyle w:val="VerbatimChar"/>
        </w:rPr>
        <w:t xml:space="preserve">    uuid id PK</w:t>
      </w:r>
      <w:r>
        <w:br/>
      </w:r>
      <w:r>
        <w:rPr>
          <w:rStyle w:val="VerbatimChar"/>
        </w:rPr>
        <w:t xml:space="preserve">    uuid booking_id FK</w:t>
      </w:r>
      <w:r>
        <w:br/>
      </w:r>
      <w:r>
        <w:rPr>
          <w:rStyle w:val="VerbatimChar"/>
        </w:rPr>
        <w:t xml:space="preserve">    string or_no</w:t>
      </w:r>
      <w:r>
        <w:br/>
      </w:r>
      <w:r>
        <w:rPr>
          <w:rStyle w:val="VerbatimChar"/>
        </w:rPr>
        <w:t xml:space="preserve">    date paid_on</w:t>
      </w:r>
      <w:r>
        <w:br/>
      </w:r>
      <w:r>
        <w:rPr>
          <w:rStyle w:val="VerbatimChar"/>
        </w:rPr>
        <w:t xml:space="preserve">    string method</w:t>
      </w:r>
      <w:r>
        <w:br/>
      </w:r>
      <w:r>
        <w:rPr>
          <w:rStyle w:val="VerbatimChar"/>
        </w:rPr>
        <w:t xml:space="preserve">    decimal amount</w:t>
      </w:r>
      <w:r>
        <w:br/>
      </w:r>
      <w:r>
        <w:rPr>
          <w:rStyle w:val="VerbatimChar"/>
        </w:rPr>
        <w:t xml:space="preserve">    string reference</w:t>
      </w:r>
      <w:r>
        <w:br/>
      </w:r>
      <w:r>
        <w:rPr>
          <w:rStyle w:val="VerbatimChar"/>
        </w:rPr>
        <w:t xml:space="preserve">    string verification_status</w:t>
      </w:r>
      <w:r>
        <w:br/>
      </w:r>
      <w:r>
        <w:rPr>
          <w:rStyle w:val="VerbatimChar"/>
        </w:rPr>
        <w:t xml:space="preserve">    uuid receipt_document_id FK</w:t>
      </w:r>
      <w:r>
        <w:br/>
      </w:r>
      <w:r>
        <w:rPr>
          <w:rStyle w:val="VerbatimChar"/>
        </w:rPr>
        <w:t xml:space="preserve">  }</w:t>
      </w:r>
      <w:r>
        <w:br/>
      </w:r>
      <w:r>
        <w:br/>
      </w:r>
      <w:r>
        <w:rPr>
          <w:rStyle w:val="VerbatimChar"/>
        </w:rPr>
        <w:t xml:space="preserve">  REFUND {</w:t>
      </w:r>
      <w:r>
        <w:br/>
      </w:r>
      <w:r>
        <w:rPr>
          <w:rStyle w:val="VerbatimChar"/>
        </w:rPr>
        <w:t xml:space="preserve">    uuid id PK</w:t>
      </w:r>
      <w:r>
        <w:br/>
      </w:r>
      <w:r>
        <w:rPr>
          <w:rStyle w:val="VerbatimChar"/>
        </w:rPr>
        <w:t xml:space="preserve">    uuid booking_id FK</w:t>
      </w:r>
      <w:r>
        <w:br/>
      </w:r>
      <w:r>
        <w:rPr>
          <w:rStyle w:val="VerbatimChar"/>
        </w:rPr>
        <w:t xml:space="preserve">    string type "Refund|DebitNote|CreditNote"</w:t>
      </w:r>
      <w:r>
        <w:br/>
      </w:r>
      <w:r>
        <w:rPr>
          <w:rStyle w:val="VerbatimChar"/>
        </w:rPr>
        <w:t xml:space="preserve">    date processed_on</w:t>
      </w:r>
      <w:r>
        <w:br/>
      </w:r>
      <w:r>
        <w:rPr>
          <w:rStyle w:val="VerbatimChar"/>
        </w:rPr>
        <w:t xml:space="preserve">    decimal amount</w:t>
      </w:r>
      <w:r>
        <w:br/>
      </w:r>
      <w:r>
        <w:rPr>
          <w:rStyle w:val="VerbatimChar"/>
        </w:rPr>
        <w:t xml:space="preserve">    string reference</w:t>
      </w:r>
      <w:r>
        <w:br/>
      </w:r>
      <w:r>
        <w:rPr>
          <w:rStyle w:val="VerbatimChar"/>
        </w:rPr>
        <w:t xml:space="preserve">    string approval_status</w:t>
      </w:r>
      <w:r>
        <w:br/>
      </w:r>
      <w:r>
        <w:rPr>
          <w:rStyle w:val="VerbatimChar"/>
        </w:rPr>
        <w:t xml:space="preserve">    uuid attachment_document_id FK</w:t>
      </w:r>
      <w:r>
        <w:br/>
      </w:r>
      <w:r>
        <w:rPr>
          <w:rStyle w:val="VerbatimChar"/>
        </w:rPr>
        <w:t xml:space="preserve">  }</w:t>
      </w:r>
      <w:r>
        <w:br/>
      </w:r>
      <w:r>
        <w:br/>
      </w:r>
      <w:r>
        <w:rPr>
          <w:rStyle w:val="VerbatimChar"/>
        </w:rPr>
        <w:t xml:space="preserve">  FINANCE_CASE {</w:t>
      </w:r>
      <w:r>
        <w:br/>
      </w:r>
      <w:r>
        <w:rPr>
          <w:rStyle w:val="VerbatimChar"/>
        </w:rPr>
        <w:t xml:space="preserve">    uuid id PK</w:t>
      </w:r>
      <w:r>
        <w:br/>
      </w:r>
      <w:r>
        <w:rPr>
          <w:rStyle w:val="VerbatimChar"/>
        </w:rPr>
        <w:t xml:space="preserve">    uuid booking_id FK</w:t>
      </w:r>
      <w:r>
        <w:br/>
      </w:r>
      <w:r>
        <w:rPr>
          <w:rStyle w:val="VerbatimChar"/>
        </w:rPr>
        <w:t xml:space="preserve">    string finance_company</w:t>
      </w:r>
      <w:r>
        <w:br/>
      </w:r>
      <w:r>
        <w:rPr>
          <w:rStyle w:val="VerbatimChar"/>
        </w:rPr>
        <w:t xml:space="preserve">    int tenure_months</w:t>
      </w:r>
      <w:r>
        <w:br/>
      </w:r>
      <w:r>
        <w:rPr>
          <w:rStyle w:val="VerbatimChar"/>
        </w:rPr>
        <w:t xml:space="preserve">    decimal finance_amount</w:t>
      </w:r>
      <w:r>
        <w:br/>
      </w:r>
      <w:r>
        <w:rPr>
          <w:rStyle w:val="VerbatimChar"/>
        </w:rPr>
        <w:t xml:space="preserve">    decimal installment_amount</w:t>
      </w:r>
      <w:r>
        <w:br/>
      </w:r>
      <w:r>
        <w:rPr>
          <w:rStyle w:val="VerbatimChar"/>
        </w:rPr>
        <w:t xml:space="preserve">    string insurance_company</w:t>
      </w:r>
      <w:r>
        <w:br/>
      </w:r>
      <w:r>
        <w:rPr>
          <w:rStyle w:val="VerbatimChar"/>
        </w:rPr>
        <w:t xml:space="preserve">    string cover_note_no</w:t>
      </w:r>
      <w:r>
        <w:br/>
      </w:r>
      <w:r>
        <w:rPr>
          <w:rStyle w:val="VerbatimChar"/>
        </w:rPr>
        <w:t xml:space="preserve">    decimal insurance_premium</w:t>
      </w:r>
      <w:r>
        <w:br/>
      </w:r>
      <w:r>
        <w:rPr>
          <w:rStyle w:val="VerbatimChar"/>
        </w:rPr>
        <w:t xml:space="preserve">    uuid lou_document_id FK</w:t>
      </w:r>
      <w:r>
        <w:br/>
      </w:r>
      <w:r>
        <w:rPr>
          <w:rStyle w:val="VerbatimChar"/>
        </w:rPr>
        <w:t xml:space="preserve">    uuid insurance_document_id FK</w:t>
      </w:r>
      <w:r>
        <w:br/>
      </w:r>
      <w:r>
        <w:rPr>
          <w:rStyle w:val="VerbatimChar"/>
        </w:rPr>
        <w:t xml:space="preserve">  }</w:t>
      </w:r>
      <w:r>
        <w:br/>
      </w:r>
      <w:r>
        <w:br/>
      </w:r>
      <w:r>
        <w:rPr>
          <w:rStyle w:val="VerbatimChar"/>
        </w:rPr>
        <w:t xml:space="preserve">  DOCUMENT {</w:t>
      </w:r>
      <w:r>
        <w:br/>
      </w:r>
      <w:r>
        <w:rPr>
          <w:rStyle w:val="VerbatimChar"/>
        </w:rPr>
        <w:t xml:space="preserve">    uuid id PK</w:t>
      </w:r>
      <w:r>
        <w:br/>
      </w:r>
      <w:r>
        <w:rPr>
          <w:rStyle w:val="VerbatimChar"/>
        </w:rPr>
        <w:t xml:space="preserve">    uuid booking_id FK</w:t>
      </w:r>
      <w:r>
        <w:br/>
      </w:r>
      <w:r>
        <w:rPr>
          <w:rStyle w:val="VerbatimChar"/>
        </w:rPr>
        <w:t xml:space="preserve">    string category</w:t>
      </w:r>
      <w:r>
        <w:br/>
      </w:r>
      <w:r>
        <w:rPr>
          <w:rStyle w:val="VerbatimChar"/>
        </w:rPr>
        <w:t xml:space="preserve">    string storage_key</w:t>
      </w:r>
      <w:r>
        <w:br/>
      </w:r>
      <w:r>
        <w:rPr>
          <w:rStyle w:val="VerbatimChar"/>
        </w:rPr>
        <w:t xml:space="preserve">    string mime_type</w:t>
      </w:r>
      <w:r>
        <w:br/>
      </w:r>
      <w:r>
        <w:rPr>
          <w:rStyle w:val="VerbatimChar"/>
        </w:rPr>
        <w:t xml:space="preserve">    string checksum</w:t>
      </w:r>
      <w:r>
        <w:br/>
      </w:r>
      <w:r>
        <w:rPr>
          <w:rStyle w:val="VerbatimChar"/>
        </w:rPr>
        <w:t xml:space="preserve">    datetime uploaded_at</w:t>
      </w:r>
      <w:r>
        <w:br/>
      </w:r>
      <w:r>
        <w:rPr>
          <w:rStyle w:val="VerbatimChar"/>
        </w:rPr>
        <w:t xml:space="preserve">  }</w:t>
      </w:r>
      <w:r>
        <w:br/>
      </w:r>
      <w:r>
        <w:br/>
      </w:r>
      <w:r>
        <w:rPr>
          <w:rStyle w:val="VerbatimChar"/>
        </w:rPr>
        <w:t xml:space="preserve">  STATUS_EVENT {</w:t>
      </w:r>
      <w:r>
        <w:br/>
      </w:r>
      <w:r>
        <w:rPr>
          <w:rStyle w:val="VerbatimChar"/>
        </w:rPr>
        <w:t xml:space="preserve">    uuid id PK</w:t>
      </w:r>
      <w:r>
        <w:br/>
      </w:r>
      <w:r>
        <w:rPr>
          <w:rStyle w:val="VerbatimChar"/>
        </w:rPr>
        <w:t xml:space="preserve">    uuid booking_id FK</w:t>
      </w:r>
      <w:r>
        <w:br/>
      </w:r>
      <w:r>
        <w:rPr>
          <w:rStyle w:val="VerbatimChar"/>
        </w:rPr>
        <w:t xml:space="preserve">    string event_type</w:t>
      </w:r>
      <w:r>
        <w:br/>
      </w:r>
      <w:r>
        <w:rPr>
          <w:rStyle w:val="VerbatimChar"/>
        </w:rPr>
        <w:t xml:space="preserve">    string from_status</w:t>
      </w:r>
      <w:r>
        <w:br/>
      </w:r>
      <w:r>
        <w:rPr>
          <w:rStyle w:val="VerbatimChar"/>
        </w:rPr>
        <w:t xml:space="preserve">    string to_status</w:t>
      </w:r>
      <w:r>
        <w:br/>
      </w:r>
      <w:r>
        <w:rPr>
          <w:rStyle w:val="VerbatimChar"/>
        </w:rPr>
        <w:t xml:space="preserve">    uuid actor_user_id FK</w:t>
      </w:r>
      <w:r>
        <w:br/>
      </w:r>
      <w:r>
        <w:rPr>
          <w:rStyle w:val="VerbatimChar"/>
        </w:rPr>
        <w:t xml:space="preserve">    datetime occurred_at</w:t>
      </w:r>
      <w:r>
        <w:br/>
      </w:r>
      <w:r>
        <w:rPr>
          <w:rStyle w:val="VerbatimChar"/>
        </w:rPr>
        <w:t xml:space="preserve">  }</w:t>
      </w:r>
      <w:r>
        <w:br/>
      </w:r>
      <w:r>
        <w:br/>
      </w:r>
      <w:r>
        <w:rPr>
          <w:rStyle w:val="VerbatimChar"/>
        </w:rPr>
        <w:t xml:space="preserve">  USER {</w:t>
      </w:r>
      <w:r>
        <w:br/>
      </w:r>
      <w:r>
        <w:rPr>
          <w:rStyle w:val="VerbatimChar"/>
        </w:rPr>
        <w:t xml:space="preserve">    uuid id PK</w:t>
      </w:r>
      <w:r>
        <w:br/>
      </w:r>
      <w:r>
        <w:rPr>
          <w:rStyle w:val="VerbatimChar"/>
        </w:rPr>
        <w:t xml:space="preserve">    uuid branch_id FK</w:t>
      </w:r>
      <w:r>
        <w:br/>
      </w:r>
      <w:r>
        <w:rPr>
          <w:rStyle w:val="VerbatimChar"/>
        </w:rPr>
        <w:t xml:space="preserve">    string display_name</w:t>
      </w:r>
      <w:r>
        <w:br/>
      </w:r>
      <w:r>
        <w:rPr>
          <w:rStyle w:val="VerbatimChar"/>
        </w:rPr>
        <w:t xml:space="preserve">    string role</w:t>
      </w:r>
      <w:r>
        <w:br/>
      </w:r>
      <w:r>
        <w:rPr>
          <w:rStyle w:val="VerbatimChar"/>
        </w:rPr>
        <w:t xml:space="preserve">    string status</w:t>
      </w:r>
      <w:r>
        <w:br/>
      </w:r>
      <w:r>
        <w:rPr>
          <w:rStyle w:val="VerbatimChar"/>
        </w:rPr>
        <w:t xml:space="preserve">  }</w:t>
      </w:r>
      <w:r>
        <w:br/>
      </w:r>
      <w:r>
        <w:br/>
      </w:r>
      <w:r>
        <w:rPr>
          <w:rStyle w:val="VerbatimChar"/>
        </w:rPr>
        <w:t xml:space="preserve">  BRANCH {</w:t>
      </w:r>
      <w:r>
        <w:br/>
      </w:r>
      <w:r>
        <w:rPr>
          <w:rStyle w:val="VerbatimChar"/>
        </w:rPr>
        <w:t xml:space="preserve">    uuid id PK</w:t>
      </w:r>
      <w:r>
        <w:br/>
      </w:r>
      <w:r>
        <w:rPr>
          <w:rStyle w:val="VerbatimChar"/>
        </w:rPr>
        <w:t xml:space="preserve">    string code</w:t>
      </w:r>
      <w:r>
        <w:br/>
      </w:r>
      <w:r>
        <w:rPr>
          <w:rStyle w:val="VerbatimChar"/>
        </w:rPr>
        <w:t xml:space="preserve">    string name</w:t>
      </w:r>
      <w:r>
        <w:br/>
      </w:r>
      <w:r>
        <w:rPr>
          <w:rStyle w:val="VerbatimChar"/>
        </w:rPr>
        <w:t xml:space="preserve">  }</w:t>
      </w:r>
    </w:p>
    <w:bookmarkEnd w:id="53"/>
    <w:bookmarkStart w:id="54" w:name="X2ae08a52efdf3d986a2481f19e7ba35310cedf6"/>
    <w:p>
      <w:pPr>
        <w:pStyle w:val="Heading3"/>
      </w:pPr>
      <w:r>
        <w:t xml:space="preserve">Tech stack options with pros/cons (decision-ready)</w:t>
      </w:r>
    </w:p>
    <w:p>
      <w:pPr>
        <w:pStyle w:val="FirstParagraph"/>
      </w:pPr>
      <w:r>
        <w:t xml:space="preserve">Because the current system is likely PHP-based (inferred from</w:t>
      </w:r>
      <w:r>
        <w:t xml:space="preserve"> </w:t>
      </w:r>
      <w:r>
        <w:rPr>
          <w:rStyle w:val="VerbatimChar"/>
        </w:rPr>
        <w:t xml:space="preserve">.php</w:t>
      </w:r>
      <w:r>
        <w:t xml:space="preserve"> </w:t>
      </w:r>
      <w:r>
        <w:t xml:space="preserve">endpoints), the PRD provides a “modern PHP path” to reduce migration risk, plus two alternatives.</w:t>
      </w:r>
    </w:p>
    <w:p>
      <w:pPr>
        <w:pStyle w:val="BodyText"/>
      </w:pPr>
      <w:r>
        <w:rPr>
          <w:b/>
          <w:bCs/>
        </w:rPr>
        <w:t xml:space="preserve">Option A: Laravel (PHP) + Postgres + React/Vue</w:t>
      </w:r>
      <w:r>
        <w:br/>
      </w:r>
      <w:r>
        <w:t xml:space="preserve">Pros: easiest migration for a PHP team; Laravel ecosystem supports RBAC, queues, and secure patterns; can incrementally replace</w:t>
      </w:r>
      <w:r>
        <w:t xml:space="preserve"> </w:t>
      </w:r>
      <w:r>
        <w:rPr>
          <w:rStyle w:val="VerbatimChar"/>
        </w:rPr>
        <w:t xml:space="preserve">.php</w:t>
      </w:r>
      <w:r>
        <w:t xml:space="preserve"> </w:t>
      </w:r>
      <w:r>
        <w:t xml:space="preserve">pages with a modern app.</w:t>
      </w:r>
      <w:r>
        <w:br/>
      </w:r>
      <w:r>
        <w:t xml:space="preserve">Cons: still requires disciplined architecture to avoid “big ball of mud”; may need more effort to reach high UX performance if not engineered carefully.</w:t>
      </w:r>
    </w:p>
    <w:p>
      <w:pPr>
        <w:pStyle w:val="BodyText"/>
      </w:pPr>
      <w:r>
        <w:rPr>
          <w:b/>
          <w:bCs/>
        </w:rPr>
        <w:t xml:space="preserve">Option B: TypeScript (NestJS/Fastify) + Postgres + React</w:t>
      </w:r>
      <w:r>
        <w:br/>
      </w:r>
      <w:r>
        <w:t xml:space="preserve">Pros: strong typing end-to-end; clean API architecture; excellent fit for modular monolith and future services; strong ecosystem for OpenAPI contracts and testability.</w:t>
      </w:r>
      <w:r>
        <w:br/>
      </w:r>
      <w:r>
        <w:t xml:space="preserve">Cons: higher migration learning curve if the team is PHP centric.</w:t>
      </w:r>
    </w:p>
    <w:p>
      <w:pPr>
        <w:pStyle w:val="BodyText"/>
      </w:pPr>
      <w:r>
        <w:rPr>
          <w:b/>
          <w:bCs/>
        </w:rPr>
        <w:t xml:space="preserve">Option C: Managed CRM/DMS integration-first (hybrid)</w:t>
      </w:r>
      <w:r>
        <w:br/>
      </w:r>
      <w:r>
        <w:t xml:space="preserve">Pros: faster time-to-value for some modules (CRM/pipeline) and established security/audit postures; aligns with vendor patterns like audit trails and unified records.</w:t>
      </w:r>
      <w:r>
        <w:t xml:space="preserve"> </w:t>
      </w:r>
      <w:hyperlink r:id="rId33">
        <w:r>
          <w:rPr>
            <w:rStyle w:val="Hyperlink"/>
          </w:rPr>
          <w:t xml:space="preserve">[48]</w:t>
        </w:r>
      </w:hyperlink>
      <w:r>
        <w:br/>
      </w:r>
      <w:r>
        <w:t xml:space="preserve">Cons: vendor cost and lock-in; local custom workflows (NRIC handling, branch codes, specific internal fees, document requirements) may still need custom development.</w:t>
      </w:r>
      <w:r>
        <w:t xml:space="preserve"> </w:t>
      </w:r>
      <w:hyperlink r:id="rId21">
        <w:r>
          <w:rPr>
            <w:rStyle w:val="Hyperlink"/>
          </w:rPr>
          <w:t xml:space="preserve">[16]</w:t>
        </w:r>
      </w:hyperlink>
    </w:p>
    <w:bookmarkEnd w:id="54"/>
    <w:bookmarkEnd w:id="55"/>
    <w:bookmarkStart w:id="60" w:name="Xdf3705c289e894603f797b0866b335be099363f"/>
    <w:p>
      <w:pPr>
        <w:pStyle w:val="Heading2"/>
      </w:pPr>
      <w:r>
        <w:t xml:space="preserve">Security, privacy, compliance, and scalability plan</w:t>
      </w:r>
    </w:p>
    <w:bookmarkStart w:id="56" w:name="Xdbb4ecca21a06d4e328a0fbab0c41b58b37989d"/>
    <w:p>
      <w:pPr>
        <w:pStyle w:val="Heading3"/>
      </w:pPr>
      <w:r>
        <w:t xml:space="preserve">Security baseline (what must change vs current state)</w:t>
      </w:r>
    </w:p>
    <w:p>
      <w:pPr>
        <w:pStyle w:val="FirstParagraph"/>
      </w:pPr>
      <w:r>
        <w:t xml:space="preserve">Given evidence that internal workflow pages can be reached by direct URL, “Broken Access Control” must be treated as the top remediation area. OWASP Top 10 explicitly positions access control failures as a critical class of risk, and the redesigned system must be built around deny-by-default authorisation.</w:t>
      </w:r>
      <w:r>
        <w:t xml:space="preserve"> </w:t>
      </w:r>
      <w:hyperlink r:id="rId47">
        <w:r>
          <w:rPr>
            <w:rStyle w:val="Hyperlink"/>
          </w:rPr>
          <w:t xml:space="preserve">[49]</w:t>
        </w:r>
      </w:hyperlink>
      <w:r>
        <w:br/>
      </w:r>
      <w:r>
        <w:t xml:space="preserve">The PRD adopts OWASP ASVS as the verification standard: it provides structured security requirements for authentication, session management, access control, validation, cryptography, logging, and more.</w:t>
      </w:r>
      <w:r>
        <w:t xml:space="preserve"> </w:t>
      </w:r>
      <w:hyperlink r:id="rId23">
        <w:r>
          <w:rPr>
            <w:rStyle w:val="Hyperlink"/>
          </w:rPr>
          <w:t xml:space="preserve">[44]</w:t>
        </w:r>
      </w:hyperlink>
    </w:p>
    <w:bookmarkEnd w:id="56"/>
    <w:bookmarkStart w:id="58" w:name="privacy-and-pdpa-compliance-malaysia"/>
    <w:p>
      <w:pPr>
        <w:pStyle w:val="Heading3"/>
      </w:pPr>
      <w:r>
        <w:t xml:space="preserve">Privacy and PDPA compliance (Malaysia)</w:t>
      </w:r>
    </w:p>
    <w:p>
      <w:pPr>
        <w:pStyle w:val="FirstParagraph"/>
      </w:pPr>
      <w:r>
        <w:rPr>
          <w:b/>
          <w:bCs/>
        </w:rPr>
        <w:t xml:space="preserve">PDPA foundation (Act 709)</w:t>
      </w:r>
      <w:r>
        <w:br/>
      </w:r>
      <w:r>
        <w:t xml:space="preserve">PDPA regulates processing of personal data in commercial transactions; it also addresses data subject rights (e.g., access/correction), with defined conditions and timelines.</w:t>
      </w:r>
      <w:r>
        <w:t xml:space="preserve"> </w:t>
      </w:r>
      <w:hyperlink r:id="rId27">
        <w:r>
          <w:rPr>
            <w:rStyle w:val="Hyperlink"/>
          </w:rPr>
          <w:t xml:space="preserve">[50]</w:t>
        </w:r>
      </w:hyperlink>
      <w:r>
        <w:br/>
      </w:r>
      <w:r>
        <w:t xml:space="preserve">The PDP Department highlights “7 Prinsip Perlindungan Data Peribadi” as the framework organisations should be aware of. FookLoi Next therefore designs around: notice/choice, purpose limitation, disclosure control, security, retention limits, data integrity, and access.</w:t>
      </w:r>
      <w:r>
        <w:t xml:space="preserve"> </w:t>
      </w:r>
      <w:hyperlink r:id="rId24">
        <w:r>
          <w:rPr>
            <w:rStyle w:val="Hyperlink"/>
          </w:rPr>
          <w:t xml:space="preserve">[51]</w:t>
        </w:r>
      </w:hyperlink>
    </w:p>
    <w:p>
      <w:pPr>
        <w:pStyle w:val="BodyText"/>
      </w:pPr>
      <w:r>
        <w:rPr>
          <w:b/>
          <w:bCs/>
        </w:rPr>
        <w:t xml:space="preserve">PDPA Amendment Act 2024 (Act A1727) operational requirements</w:t>
      </w:r>
      <w:r>
        <w:br/>
      </w:r>
      <w:r>
        <w:t xml:space="preserve">The amended act introduces:</w:t>
      </w:r>
      <w:r>
        <w:br/>
      </w:r>
      <w:r>
        <w:t xml:space="preserve">A new defined concept of “personal data breach”.</w:t>
      </w:r>
      <w:r>
        <w:t xml:space="preserve"> </w:t>
      </w:r>
      <w:hyperlink r:id="rId28">
        <w:r>
          <w:rPr>
            <w:rStyle w:val="Hyperlink"/>
          </w:rPr>
          <w:t xml:space="preserve">[46]</w:t>
        </w:r>
      </w:hyperlink>
      <w:r>
        <w:br/>
      </w:r>
      <w:r>
        <w:t xml:space="preserve">Mandatory DPO appointment for both data controller and (where relevant) data processors (new section 12a).</w:t>
      </w:r>
      <w:r>
        <w:t xml:space="preserve"> </w:t>
      </w:r>
      <w:hyperlink r:id="rId28">
        <w:r>
          <w:rPr>
            <w:rStyle w:val="Hyperlink"/>
          </w:rPr>
          <w:t xml:space="preserve">[46]</w:t>
        </w:r>
      </w:hyperlink>
      <w:r>
        <w:br/>
      </w:r>
      <w:r>
        <w:t xml:space="preserve">Mandatory breach notification to the Commissioner “as soon as practicable” when a controller believes a breach occurred, and notification to affected data subjects when it causes/likely causes significant harm (new section 12b).</w:t>
      </w:r>
      <w:r>
        <w:t xml:space="preserve"> </w:t>
      </w:r>
      <w:hyperlink r:id="rId28">
        <w:r>
          <w:rPr>
            <w:rStyle w:val="Hyperlink"/>
          </w:rPr>
          <w:t xml:space="preserve">[46]</w:t>
        </w:r>
      </w:hyperlink>
      <w:r>
        <w:br/>
      </w:r>
      <w:r>
        <w:t xml:space="preserve">It also makes data processors directly subject to the Security Principle (via amendments introducing obligations in section 5 and section 9), and increases penalties for contraventions up to RM1 million and/or up to three years imprisonment for certain breaches.</w:t>
      </w:r>
      <w:r>
        <w:t xml:space="preserve"> </w:t>
      </w:r>
      <w:hyperlink r:id="rId28">
        <w:r>
          <w:rPr>
            <w:rStyle w:val="Hyperlink"/>
          </w:rPr>
          <w:t xml:space="preserve">[46]</w:t>
        </w:r>
      </w:hyperlink>
      <w:r>
        <w:br/>
      </w:r>
      <w:r>
        <w:t xml:space="preserve">Commencement is staged (per AGC listing) across Jan 2025, Apr 2025, and Jun 2025 provisions, implying organisations should already be executing their compliance uplift, not delaying it.</w:t>
      </w:r>
      <w:r>
        <w:t xml:space="preserve"> </w:t>
      </w:r>
      <w:hyperlink r:id="rId57">
        <w:r>
          <w:rPr>
            <w:rStyle w:val="Hyperlink"/>
          </w:rPr>
          <w:t xml:space="preserve">[52]</w:t>
        </w:r>
      </w:hyperlink>
    </w:p>
    <w:p>
      <w:pPr>
        <w:pStyle w:val="BodyText"/>
      </w:pPr>
      <w:r>
        <w:rPr>
          <w:b/>
          <w:bCs/>
        </w:rPr>
        <w:t xml:space="preserve">Concrete privacy controls in FookLoi Next (design requirements)</w:t>
      </w:r>
      <w:r>
        <w:br/>
      </w:r>
      <w:r>
        <w:t xml:space="preserve">Data minimisation: collect NRIC/passport only when required, and isolate it in a protected field with stricter access logging (step-up auth + masked display by default). This is driven by the sensitivity of identifiers observed in the current UI.</w:t>
      </w:r>
      <w:r>
        <w:t xml:space="preserve"> </w:t>
      </w:r>
      <w:hyperlink r:id="rId21">
        <w:r>
          <w:rPr>
            <w:rStyle w:val="Hyperlink"/>
          </w:rPr>
          <w:t xml:space="preserve">[16]</w:t>
        </w:r>
      </w:hyperlink>
      <w:r>
        <w:br/>
      </w:r>
      <w:r>
        <w:t xml:space="preserve">Retention and deletion: implement booking/data retention schedules (e.g., retain transactional records as required for accounting/contract, but purge uploads beyond retention).</w:t>
      </w:r>
      <w:r>
        <w:br/>
      </w:r>
      <w:r>
        <w:t xml:space="preserve">Data subject support readiness: operational capability to export a customer data pack and correct errors, aligned to PDPA’s access/correction framework.</w:t>
      </w:r>
      <w:r>
        <w:t xml:space="preserve"> </w:t>
      </w:r>
      <w:hyperlink r:id="rId43">
        <w:r>
          <w:rPr>
            <w:rStyle w:val="Hyperlink"/>
          </w:rPr>
          <w:t xml:space="preserve">[53]</w:t>
        </w:r>
      </w:hyperlink>
      <w:r>
        <w:br/>
      </w:r>
      <w:r>
        <w:t xml:space="preserve">Incident response playbooks and tooling: log centralisation, anomaly detection (bulk export, repeated failed logins), and breach notification workflows mapped to section 12b.</w:t>
      </w:r>
      <w:r>
        <w:t xml:space="preserve"> </w:t>
      </w:r>
      <w:hyperlink r:id="rId28">
        <w:r>
          <w:rPr>
            <w:rStyle w:val="Hyperlink"/>
          </w:rPr>
          <w:t xml:space="preserve">[46]</w:t>
        </w:r>
      </w:hyperlink>
    </w:p>
    <w:bookmarkEnd w:id="58"/>
    <w:bookmarkStart w:id="59" w:name="scalability-and-resilience"/>
    <w:p>
      <w:pPr>
        <w:pStyle w:val="Heading3"/>
      </w:pPr>
      <w:r>
        <w:t xml:space="preserve">Scalability and resilience</w:t>
      </w:r>
    </w:p>
    <w:p>
      <w:pPr>
        <w:pStyle w:val="FirstParagraph"/>
      </w:pPr>
      <w:r>
        <w:t xml:space="preserve">Scalability targets are tied to business growth and multi-branch operations observed in the current branch selector lists.</w:t>
      </w:r>
      <w:r>
        <w:t xml:space="preserve"> </w:t>
      </w:r>
      <w:hyperlink r:id="rId21">
        <w:r>
          <w:rPr>
            <w:rStyle w:val="Hyperlink"/>
          </w:rPr>
          <w:t xml:space="preserve">[16]</w:t>
        </w:r>
      </w:hyperlink>
      <w:r>
        <w:br/>
      </w:r>
      <w:r>
        <w:t xml:space="preserve">The system is designed horizontally (stateless API + managed DB + object storage + queue) so documents and background jobs (exports, notifications) do not block the user experience.</w:t>
      </w:r>
    </w:p>
    <w:bookmarkEnd w:id="59"/>
    <w:bookmarkEnd w:id="60"/>
    <w:bookmarkStart w:id="76" w:name="X6df99a962c852868b20576984de0bf16baab327"/>
    <w:p>
      <w:pPr>
        <w:pStyle w:val="Heading2"/>
      </w:pPr>
      <w:r>
        <w:t xml:space="preserve">Migration, rollout roadmap, KPIs, and cost model</w:t>
      </w:r>
    </w:p>
    <w:bookmarkStart w:id="61" w:name="migration-and-rollout-roadmap"/>
    <w:p>
      <w:pPr>
        <w:pStyle w:val="Heading3"/>
      </w:pPr>
      <w:r>
        <w:t xml:space="preserve">Migration and rollout roadmap</w:t>
      </w:r>
    </w:p>
    <w:p>
      <w:pPr>
        <w:pStyle w:val="FirstParagraph"/>
      </w:pPr>
      <w:r>
        <w:t xml:space="preserve">The rollout is designed to reduce risk by separating “security containment” from “feature expansion”.</w:t>
      </w:r>
    </w:p>
    <w:p>
      <w:pPr>
        <w:pStyle w:val="SourceCode"/>
      </w:pPr>
      <w:r>
        <w:rPr>
          <w:rStyle w:val="VerbatimChar"/>
        </w:rPr>
        <w:t xml:space="preserve">gantt</w:t>
      </w:r>
      <w:r>
        <w:br/>
      </w:r>
      <w:r>
        <w:rPr>
          <w:rStyle w:val="VerbatimChar"/>
        </w:rPr>
        <w:t xml:space="preserve">  title FookLoi Next rollout (indicative)</w:t>
      </w:r>
      <w:r>
        <w:br/>
      </w:r>
      <w:r>
        <w:rPr>
          <w:rStyle w:val="VerbatimChar"/>
        </w:rPr>
        <w:t xml:space="preserve">  dateFormat  YYYY-MM-DD</w:t>
      </w:r>
      <w:r>
        <w:br/>
      </w:r>
      <w:r>
        <w:rPr>
          <w:rStyle w:val="VerbatimChar"/>
        </w:rPr>
        <w:t xml:space="preserve">  section Containment &amp; Foundations</w:t>
      </w:r>
      <w:r>
        <w:br/>
      </w:r>
      <w:r>
        <w:rPr>
          <w:rStyle w:val="VerbatimChar"/>
        </w:rPr>
        <w:t xml:space="preserve">  Security containment (lock down exposed pages) :a1, 2026-04-10, 14d</w:t>
      </w:r>
      <w:r>
        <w:br/>
      </w:r>
      <w:r>
        <w:rPr>
          <w:rStyle w:val="VerbatimChar"/>
        </w:rPr>
        <w:t xml:space="preserve">  Domain model + DB schema + RBAC baseline            :a2, after a1, 21d</w:t>
      </w:r>
      <w:r>
        <w:br/>
      </w:r>
      <w:r>
        <w:rPr>
          <w:rStyle w:val="VerbatimChar"/>
        </w:rPr>
        <w:t xml:space="preserve">  section MVP Internal Ops</w:t>
      </w:r>
      <w:r>
        <w:br/>
      </w:r>
      <w:r>
        <w:rPr>
          <w:rStyle w:val="VerbatimChar"/>
        </w:rPr>
        <w:t xml:space="preserve">  Booking + vehicle reservation MVP                  :b1, after a2, 21d</w:t>
      </w:r>
      <w:r>
        <w:br/>
      </w:r>
      <w:r>
        <w:rPr>
          <w:rStyle w:val="VerbatimChar"/>
        </w:rPr>
        <w:t xml:space="preserve">  Payments + document vault + audit log              :b2, after b1, 21d</w:t>
      </w:r>
      <w:r>
        <w:br/>
      </w:r>
      <w:r>
        <w:rPr>
          <w:rStyle w:val="VerbatimChar"/>
        </w:rPr>
        <w:t xml:space="preserve">  Finance/insurance + refunds approvals              :b3, after b2, 21d</w:t>
      </w:r>
      <w:r>
        <w:br/>
      </w:r>
      <w:r>
        <w:rPr>
          <w:rStyle w:val="VerbatimChar"/>
        </w:rPr>
        <w:t xml:space="preserve">  section Adoption &amp; Optimisation</w:t>
      </w:r>
      <w:r>
        <w:br/>
      </w:r>
      <w:r>
        <w:rPr>
          <w:rStyle w:val="VerbatimChar"/>
        </w:rPr>
        <w:t xml:space="preserve">  Reporting dashboards + alerts                       :c1, after b3, 21d</w:t>
      </w:r>
      <w:r>
        <w:br/>
      </w:r>
      <w:r>
        <w:rPr>
          <w:rStyle w:val="VerbatimChar"/>
        </w:rPr>
        <w:t xml:space="preserve">  Data migration + parallel run                        :c2, after b3, 28d</w:t>
      </w:r>
      <w:r>
        <w:br/>
      </w:r>
      <w:r>
        <w:rPr>
          <w:rStyle w:val="VerbatimChar"/>
        </w:rPr>
        <w:t xml:space="preserve">  section Optional Customer Portal</w:t>
      </w:r>
      <w:r>
        <w:br/>
      </w:r>
      <w:r>
        <w:rPr>
          <w:rStyle w:val="VerbatimChar"/>
        </w:rPr>
        <w:t xml:space="preserve">  Customer portal (upload + status)                   :d1, after c2, 42d</w:t>
      </w:r>
    </w:p>
    <w:p>
      <w:pPr>
        <w:pStyle w:val="FirstParagraph"/>
      </w:pPr>
      <w:r>
        <w:rPr>
          <w:b/>
          <w:bCs/>
        </w:rPr>
        <w:t xml:space="preserve">Effort estimates (order-of-magnitude)</w:t>
      </w:r>
      <w:r>
        <w:br/>
      </w:r>
      <w:r>
        <w:t xml:space="preserve">Small team (4–6 engineers + 1 product + 1 QA) can deliver the MVP internal ops in ~3–4 months if scope is strictly controlled and integration is minimal. The optional portal adds ~1–2 months depending on identity model and consent handling.</w:t>
      </w:r>
    </w:p>
    <w:bookmarkEnd w:id="61"/>
    <w:bookmarkStart w:id="62" w:name="key-risks-and-mitigations"/>
    <w:p>
      <w:pPr>
        <w:pStyle w:val="Heading3"/>
      </w:pPr>
      <w:r>
        <w:t xml:space="preserve">Key risks and mitigations</w:t>
      </w:r>
    </w:p>
    <w:p>
      <w:pPr>
        <w:pStyle w:val="FirstParagraph"/>
      </w:pPr>
      <w:r>
        <w:t xml:space="preserve">Risk: Unknown data quality (duplicate staff names, inconsistent branch codes, missing chassis numbers) inferred from long dropdown lists and defaults.</w:t>
      </w:r>
      <w:r>
        <w:t xml:space="preserve"> </w:t>
      </w:r>
      <w:hyperlink r:id="rId21">
        <w:r>
          <w:rPr>
            <w:rStyle w:val="Hyperlink"/>
          </w:rPr>
          <w:t xml:space="preserve">[54]</w:t>
        </w:r>
      </w:hyperlink>
      <w:r>
        <w:br/>
      </w:r>
      <w:r>
        <w:t xml:space="preserve">Mitigation: Introduce canonical reference tables with effective dating; run a data profiling sprint; enforce validation rules; maintain mapping from legacy codes (e.g., KK4S) into new Branch entities.</w:t>
      </w:r>
      <w:r>
        <w:t xml:space="preserve"> </w:t>
      </w:r>
      <w:hyperlink r:id="rId21">
        <w:r>
          <w:rPr>
            <w:rStyle w:val="Hyperlink"/>
          </w:rPr>
          <w:t xml:space="preserve">[55]</w:t>
        </w:r>
      </w:hyperlink>
    </w:p>
    <w:p>
      <w:pPr>
        <w:pStyle w:val="BodyText"/>
      </w:pPr>
      <w:r>
        <w:t xml:space="preserve">Risk: Compliance exposure during migration (documents and NRIC fields).</w:t>
      </w:r>
      <w:r>
        <w:t xml:space="preserve"> </w:t>
      </w:r>
      <w:hyperlink r:id="rId21">
        <w:r>
          <w:rPr>
            <w:rStyle w:val="Hyperlink"/>
          </w:rPr>
          <w:t xml:space="preserve">[56]</w:t>
        </w:r>
      </w:hyperlink>
      <w:r>
        <w:br/>
      </w:r>
      <w:r>
        <w:t xml:space="preserve">Mitigation: Early “containment” step; encrypt documents; restrict access; implement audit logging from day 1; establish DPO function and breach response readiness.</w:t>
      </w:r>
      <w:r>
        <w:t xml:space="preserve"> </w:t>
      </w:r>
      <w:hyperlink r:id="rId28">
        <w:r>
          <w:rPr>
            <w:rStyle w:val="Hyperlink"/>
          </w:rPr>
          <w:t xml:space="preserve">[57]</w:t>
        </w:r>
      </w:hyperlink>
    </w:p>
    <w:p>
      <w:pPr>
        <w:pStyle w:val="BodyText"/>
      </w:pPr>
      <w:r>
        <w:t xml:space="preserve">Risk: Organisational adoption—users may revert to spreadsheets/WhatsApp if new UI slows them down.</w:t>
      </w:r>
      <w:r>
        <w:br/>
      </w:r>
      <w:r>
        <w:t xml:space="preserve">Mitigation: Task-based UI, mobile-friendly internal app, saved views, and minimum-click workflows aligned with modern DMS concepts (fewer clicks, faster processing, digital signatures, audit trails).</w:t>
      </w:r>
      <w:r>
        <w:t xml:space="preserve"> </w:t>
      </w:r>
      <w:hyperlink r:id="rId33">
        <w:r>
          <w:rPr>
            <w:rStyle w:val="Hyperlink"/>
          </w:rPr>
          <w:t xml:space="preserve">[23]</w:t>
        </w:r>
      </w:hyperlink>
    </w:p>
    <w:bookmarkEnd w:id="62"/>
    <w:bookmarkStart w:id="63" w:name="kpis-and-monitoring-plan"/>
    <w:p>
      <w:pPr>
        <w:pStyle w:val="Heading3"/>
      </w:pPr>
      <w:r>
        <w:t xml:space="preserve">KPIs and monitoring plan</w:t>
      </w:r>
    </w:p>
    <w:p>
      <w:pPr>
        <w:pStyle w:val="FirstParagraph"/>
      </w:pPr>
      <w:r>
        <w:t xml:space="preserve">Because baseline metrics are unavailable, KPIs are defined as “instrument from day 1” with targets to be set after 2–4 weeks of data.</w:t>
      </w:r>
    </w:p>
    <w:p>
      <w:pPr>
        <w:pStyle w:val="BodyText"/>
      </w:pPr>
      <w:r>
        <w:t xml:space="preserve">Operational efficiency KPIs: median time from booking created → deposit verified; % bookings missing required documents after 48 hours; number of expired reservations per week (ageing). This aligns to the current “reserved &gt; 4 days” risk.</w:t>
      </w:r>
      <w:r>
        <w:t xml:space="preserve"> </w:t>
      </w:r>
      <w:hyperlink r:id="rId22">
        <w:r>
          <w:rPr>
            <w:rStyle w:val="Hyperlink"/>
          </w:rPr>
          <w:t xml:space="preserve">[58]</w:t>
        </w:r>
      </w:hyperlink>
      <w:r>
        <w:br/>
      </w:r>
      <w:r>
        <w:t xml:space="preserve">Customer experience proxies: status update latency (event time → customer notification time); drop-off rate in customer document upload (portal phase).</w:t>
      </w:r>
      <w:r>
        <w:br/>
      </w:r>
      <w:r>
        <w:t xml:space="preserve">Risk/compliance KPIs: number of unauthorised access attempts blocked; number of data exports; time to detect anomalous export; breach drill MTTR aligned to 12b notification readiness.</w:t>
      </w:r>
      <w:r>
        <w:t xml:space="preserve"> </w:t>
      </w:r>
      <w:hyperlink r:id="rId28">
        <w:r>
          <w:rPr>
            <w:rStyle w:val="Hyperlink"/>
          </w:rPr>
          <w:t xml:space="preserve">[46]</w:t>
        </w:r>
      </w:hyperlink>
      <w:r>
        <w:br/>
      </w:r>
      <w:r>
        <w:t xml:space="preserve">Systems KPIs: p95 latency for search and booking load; error rate; queue lag; document upload success rate.</w:t>
      </w:r>
    </w:p>
    <w:p>
      <w:pPr>
        <w:pStyle w:val="BodyText"/>
      </w:pPr>
      <w:r>
        <w:t xml:space="preserve">Monitoring approach: structured audit logs to SIEM; application logs with correlation IDs; alert thresholds on suspicious patterns (e.g., repeated NRIC access, bulk exports, failed logins).</w:t>
      </w:r>
    </w:p>
    <w:bookmarkEnd w:id="63"/>
    <w:bookmarkStart w:id="75" w:name="X53b21e030dd837f82851f694368d5b5c9d41359"/>
    <w:p>
      <w:pPr>
        <w:pStyle w:val="Heading3"/>
      </w:pPr>
      <w:r>
        <w:t xml:space="preserve">Cost model and hosting/CDN/third-party comparison</w:t>
      </w:r>
    </w:p>
    <w:p>
      <w:pPr>
        <w:pStyle w:val="FirstParagraph"/>
      </w:pPr>
      <w:r>
        <w:t xml:space="preserve">Costs depend on traffic, storage, and region. This PRD therefore provides a component-based comparison and recommends using official calculators for region-accurate totals (e.g., AWS Pricing Calculator).</w:t>
      </w:r>
      <w:r>
        <w:t xml:space="preserve"> </w:t>
      </w:r>
      <w:hyperlink r:id="rId64">
        <w:r>
          <w:rPr>
            <w:rStyle w:val="Hyperlink"/>
          </w:rPr>
          <w:t xml:space="preserve">[59]</w:t>
        </w:r>
      </w:hyperlink>
    </w:p>
    <w:bookmarkStart w:id="70" w:name="X7d677eb1ce4bea719347fc51ef47cabe953d272"/>
    <w:p>
      <w:pPr>
        <w:pStyle w:val="Heading4"/>
      </w:pPr>
      <w:r>
        <w:t xml:space="preserve">Component cost drivers (what will materially change your bill)</w:t>
      </w:r>
    </w:p>
    <w:p>
      <w:pPr>
        <w:pStyle w:val="FirstParagraph"/>
      </w:pPr>
      <w:r>
        <w:t xml:space="preserve">Compute: request volume, background jobs, peak concurrency. (Cloud Run uses per vCPU-second and GiB-second pricing with a free tier.)</w:t>
      </w:r>
      <w:r>
        <w:t xml:space="preserve"> </w:t>
      </w:r>
      <w:hyperlink r:id="rId65">
        <w:r>
          <w:rPr>
            <w:rStyle w:val="Hyperlink"/>
          </w:rPr>
          <w:t xml:space="preserve">[60]</w:t>
        </w:r>
      </w:hyperlink>
      <w:r>
        <w:br/>
      </w:r>
      <w:r>
        <w:t xml:space="preserve">Database: HA requirements and storage/IO tiers (Cloud SQL and Azure PostgreSQL pricing vary by edition/tier).</w:t>
      </w:r>
      <w:r>
        <w:t xml:space="preserve"> </w:t>
      </w:r>
      <w:hyperlink r:id="rId66">
        <w:r>
          <w:rPr>
            <w:rStyle w:val="Hyperlink"/>
          </w:rPr>
          <w:t xml:space="preserve">[61]</w:t>
        </w:r>
      </w:hyperlink>
      <w:r>
        <w:br/>
      </w:r>
      <w:r>
        <w:t xml:space="preserve">Object storage: storage GB-month, operations, egress (Cloudflare R2 explicitly notes no egress charges; S3 bills by storage, requests, data transfer, etc.).</w:t>
      </w:r>
      <w:r>
        <w:t xml:space="preserve"> </w:t>
      </w:r>
      <w:hyperlink r:id="rId67">
        <w:r>
          <w:rPr>
            <w:rStyle w:val="Hyperlink"/>
          </w:rPr>
          <w:t xml:space="preserve">[62]</w:t>
        </w:r>
      </w:hyperlink>
      <w:r>
        <w:br/>
      </w:r>
      <w:r>
        <w:t xml:space="preserve">CDN/WAF: base plan + egress + request volume (Azure Front Door publishes base fees and tier deltas).</w:t>
      </w:r>
      <w:r>
        <w:t xml:space="preserve"> </w:t>
      </w:r>
      <w:hyperlink r:id="rId68">
        <w:r>
          <w:rPr>
            <w:rStyle w:val="Hyperlink"/>
          </w:rPr>
          <w:t xml:space="preserve">[63]</w:t>
        </w:r>
      </w:hyperlink>
      <w:r>
        <w:br/>
      </w:r>
      <w:r>
        <w:t xml:space="preserve">Messaging: SMS fees by country (Twilio provides Malaysia pricing page); email via SES / SendGrid / Postmark depending on feature needs.</w:t>
      </w:r>
      <w:r>
        <w:t xml:space="preserve"> </w:t>
      </w:r>
      <w:hyperlink r:id="rId69">
        <w:r>
          <w:rPr>
            <w:rStyle w:val="Hyperlink"/>
          </w:rPr>
          <w:t xml:space="preserve">[64]</w:t>
        </w:r>
      </w:hyperlink>
    </w:p>
    <w:bookmarkEnd w:id="70"/>
    <w:bookmarkStart w:id="74" w:name="comparison-table-practical-shortlist"/>
    <w:p>
      <w:pPr>
        <w:pStyle w:val="Heading4"/>
      </w:pPr>
      <w:r>
        <w:t xml:space="preserve">Comparison table (practical shortlist)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Low-ops option</w:t>
            </w:r>
          </w:p>
        </w:tc>
        <w:tc>
          <w:tcPr/>
          <w:p>
            <w:pPr>
              <w:pStyle w:val="Compact"/>
            </w:pPr>
            <w:r>
              <w:t xml:space="preserve">Enterprise option</w:t>
            </w:r>
          </w:p>
        </w:tc>
        <w:tc>
          <w:tcPr/>
          <w:p>
            <w:pPr>
              <w:pStyle w:val="Compact"/>
            </w:pPr>
            <w:r>
              <w:t xml:space="preserve">Notes / pricing evidence</w:t>
            </w:r>
          </w:p>
        </w:tc>
      </w:tr>
      <w:tr>
        <w:tc>
          <w:tcPr/>
          <w:p>
            <w:pPr>
              <w:pStyle w:val="Compact"/>
            </w:pPr>
            <w:r>
              <w:t xml:space="preserve">App compute</w:t>
            </w:r>
          </w:p>
        </w:tc>
        <w:tc>
          <w:tcPr/>
          <w:p>
            <w:pPr>
              <w:pStyle w:val="Compact"/>
            </w:pPr>
            <w:r>
              <w:t xml:space="preserve">Google Cloud Run</w:t>
            </w:r>
          </w:p>
        </w:tc>
        <w:tc>
          <w:tcPr/>
          <w:p>
            <w:pPr>
              <w:pStyle w:val="Compact"/>
            </w:pPr>
            <w:r>
              <w:t xml:space="preserve">Azure App Service</w:t>
            </w:r>
          </w:p>
        </w:tc>
        <w:tc>
          <w:tcPr/>
          <w:p>
            <w:pPr>
              <w:pStyle w:val="Compact"/>
            </w:pPr>
            <w:r>
              <w:t xml:space="preserve">Cloud Run shows pay-per-use with free tier and explicit per vCPU-second/GiB-second rates</w:t>
            </w:r>
            <w:r>
              <w:t xml:space="preserve"> </w:t>
            </w:r>
            <w:hyperlink r:id="rId65">
              <w:r>
                <w:rPr>
                  <w:rStyle w:val="Hyperlink"/>
                </w:rPr>
                <w:t xml:space="preserve">[60]</w:t>
              </w:r>
            </w:hyperlink>
            <w:r>
              <w:t xml:space="preserve">; App Service is managed PaaS with tiered pricing</w:t>
            </w:r>
            <w:r>
              <w:t xml:space="preserve"> </w:t>
            </w:r>
            <w:hyperlink r:id="rId71">
              <w:r>
                <w:rPr>
                  <w:rStyle w:val="Hyperlink"/>
                </w:rPr>
                <w:t xml:space="preserve">[65]</w:t>
              </w:r>
            </w:hyperlink>
          </w:p>
        </w:tc>
      </w:tr>
      <w:tr>
        <w:tc>
          <w:tcPr/>
          <w:p>
            <w:pPr>
              <w:pStyle w:val="Compact"/>
            </w:pPr>
            <w:r>
              <w:t xml:space="preserve">Database</w:t>
            </w:r>
          </w:p>
        </w:tc>
        <w:tc>
          <w:tcPr/>
          <w:p>
            <w:pPr>
              <w:pStyle w:val="Compact"/>
            </w:pPr>
            <w:r>
              <w:t xml:space="preserve">Cloud SQL (Postgres)</w:t>
            </w:r>
          </w:p>
        </w:tc>
        <w:tc>
          <w:tcPr/>
          <w:p>
            <w:pPr>
              <w:pStyle w:val="Compact"/>
            </w:pPr>
            <w:r>
              <w:t xml:space="preserve">Azure Database for PostgreSQL</w:t>
            </w:r>
          </w:p>
        </w:tc>
        <w:tc>
          <w:tcPr/>
          <w:p>
            <w:pPr>
              <w:pStyle w:val="Compact"/>
            </w:pPr>
            <w:r>
              <w:t xml:space="preserve">Both are managed; edition/tier selection drives HA and performance</w:t>
            </w:r>
            <w:r>
              <w:t xml:space="preserve"> </w:t>
            </w:r>
            <w:hyperlink r:id="rId66">
              <w:r>
                <w:rPr>
                  <w:rStyle w:val="Hyperlink"/>
                </w:rPr>
                <w:t xml:space="preserve">[61]</w:t>
              </w:r>
            </w:hyperlink>
          </w:p>
        </w:tc>
      </w:tr>
      <w:tr>
        <w:tc>
          <w:tcPr/>
          <w:p>
            <w:pPr>
              <w:pStyle w:val="Compact"/>
            </w:pPr>
            <w:r>
              <w:t xml:space="preserve">Object storage</w:t>
            </w:r>
          </w:p>
        </w:tc>
        <w:tc>
          <w:tcPr/>
          <w:p>
            <w:pPr>
              <w:pStyle w:val="Compact"/>
            </w:pPr>
            <w:r>
              <w:t xml:space="preserve">Cloudflare R2</w:t>
            </w:r>
          </w:p>
        </w:tc>
        <w:tc>
          <w:tcPr/>
          <w:p>
            <w:pPr>
              <w:pStyle w:val="Compact"/>
            </w:pPr>
            <w:r>
              <w:t xml:space="preserve">AWS S3</w:t>
            </w:r>
          </w:p>
        </w:tc>
        <w:tc>
          <w:tcPr/>
          <w:p>
            <w:pPr>
              <w:pStyle w:val="Compact"/>
            </w:pPr>
            <w:r>
              <w:t xml:space="preserve">R2 positions no egress fees; S3 breaks costs into storage/requests/transfer/etc.</w:t>
            </w:r>
            <w:r>
              <w:t xml:space="preserve"> </w:t>
            </w:r>
            <w:hyperlink r:id="rId67">
              <w:r>
                <w:rPr>
                  <w:rStyle w:val="Hyperlink"/>
                </w:rPr>
                <w:t xml:space="preserve">[62]</w:t>
              </w:r>
            </w:hyperlink>
          </w:p>
        </w:tc>
      </w:tr>
      <w:tr>
        <w:tc>
          <w:tcPr/>
          <w:p>
            <w:pPr>
              <w:pStyle w:val="Compact"/>
            </w:pPr>
            <w:r>
              <w:t xml:space="preserve">CDN + WAF</w:t>
            </w:r>
          </w:p>
        </w:tc>
        <w:tc>
          <w:tcPr/>
          <w:p>
            <w:pPr>
              <w:pStyle w:val="Compact"/>
            </w:pPr>
            <w:r>
              <w:t xml:space="preserve">Cloudflare Plans</w:t>
            </w:r>
          </w:p>
        </w:tc>
        <w:tc>
          <w:tcPr/>
          <w:p>
            <w:pPr>
              <w:pStyle w:val="Compact"/>
            </w:pPr>
            <w:r>
              <w:t xml:space="preserve">Azure Front Door Premium</w:t>
            </w:r>
          </w:p>
        </w:tc>
        <w:tc>
          <w:tcPr/>
          <w:p>
            <w:pPr>
              <w:pStyle w:val="Compact"/>
            </w:pPr>
            <w:r>
              <w:t xml:space="preserve">Azure Front Door shows Standard base fee and Premium (includes WAF/Private Link)</w:t>
            </w:r>
            <w:r>
              <w:t xml:space="preserve"> </w:t>
            </w:r>
            <w:hyperlink r:id="rId68">
              <w:r>
                <w:rPr>
                  <w:rStyle w:val="Hyperlink"/>
                </w:rPr>
                <w:t xml:space="preserve">[66]</w:t>
              </w:r>
            </w:hyperlink>
            <w:r>
              <w:t xml:space="preserve">; Cloudflare provides tiered plans</w:t>
            </w:r>
            <w:r>
              <w:t xml:space="preserve"> </w:t>
            </w:r>
            <w:hyperlink r:id="rId72">
              <w:r>
                <w:rPr>
                  <w:rStyle w:val="Hyperlink"/>
                </w:rPr>
                <w:t xml:space="preserve">[67]</w:t>
              </w:r>
            </w:hyperlink>
          </w:p>
        </w:tc>
      </w:tr>
      <w:tr>
        <w:tc>
          <w:tcPr/>
          <w:p>
            <w:pPr>
              <w:pStyle w:val="Compact"/>
            </w:pPr>
            <w:r>
              <w:t xml:space="preserve">Transactional email</w:t>
            </w:r>
          </w:p>
        </w:tc>
        <w:tc>
          <w:tcPr/>
          <w:p>
            <w:pPr>
              <w:pStyle w:val="Compact"/>
            </w:pPr>
            <w:r>
              <w:t xml:space="preserve">Amazon SES</w:t>
            </w:r>
          </w:p>
        </w:tc>
        <w:tc>
          <w:tcPr/>
          <w:p>
            <w:pPr>
              <w:pStyle w:val="Compact"/>
            </w:pPr>
            <w:r>
              <w:t xml:space="preserve">SendGrid / Postmark</w:t>
            </w:r>
          </w:p>
        </w:tc>
        <w:tc>
          <w:tcPr/>
          <w:p>
            <w:pPr>
              <w:pStyle w:val="Compact"/>
            </w:pPr>
            <w:r>
              <w:t xml:space="preserve">SES is “pay-as-you-go”; SendGrid and Postmark publish plan starting points</w:t>
            </w:r>
            <w:r>
              <w:t xml:space="preserve"> </w:t>
            </w:r>
            <w:hyperlink r:id="rId73">
              <w:r>
                <w:rPr>
                  <w:rStyle w:val="Hyperlink"/>
                </w:rPr>
                <w:t xml:space="preserve">[68]</w:t>
              </w:r>
            </w:hyperlink>
          </w:p>
        </w:tc>
      </w:tr>
      <w:tr>
        <w:tc>
          <w:tcPr/>
          <w:p>
            <w:pPr>
              <w:pStyle w:val="Compact"/>
            </w:pPr>
            <w:r>
              <w:t xml:space="preserve">SMS</w:t>
            </w:r>
          </w:p>
        </w:tc>
        <w:tc>
          <w:tcPr/>
          <w:p>
            <w:pPr>
              <w:pStyle w:val="Compact"/>
            </w:pPr>
            <w:r>
              <w:t xml:space="preserve">Twilio Malaysia</w:t>
            </w:r>
          </w:p>
        </w:tc>
        <w:tc>
          <w:tcPr/>
          <w:p>
            <w:pPr>
              <w:pStyle w:val="Compact"/>
            </w:pPr>
            <w:r>
              <w:t xml:space="preserve">(Local aggregator optional)</w:t>
            </w:r>
          </w:p>
        </w:tc>
        <w:tc>
          <w:tcPr/>
          <w:p>
            <w:pPr>
              <w:pStyle w:val="Compact"/>
            </w:pPr>
            <w:r>
              <w:t xml:space="preserve">Twilio provides Malaysia SMS pricing entry point</w:t>
            </w:r>
            <w:r>
              <w:t xml:space="preserve"> </w:t>
            </w:r>
            <w:hyperlink r:id="rId69">
              <w:r>
                <w:rPr>
                  <w:rStyle w:val="Hyperlink"/>
                </w:rPr>
                <w:t xml:space="preserve">[69]</w:t>
              </w:r>
            </w:hyperlink>
          </w:p>
        </w:tc>
      </w:tr>
    </w:tbl>
    <w:p>
      <w:pPr>
        <w:pStyle w:val="BodyText"/>
      </w:pPr>
      <w:r>
        <w:rPr>
          <w:b/>
          <w:bCs/>
        </w:rPr>
        <w:t xml:space="preserve">Indicative “starter” architecture recommendation (cost-effective + secure)</w:t>
      </w:r>
      <w:r>
        <w:br/>
      </w:r>
      <w:r>
        <w:t xml:space="preserve">Internal system on Cloud Run + Cloud SQL + Cloudflare CDN/WAF + Cloudflare R2 is operationally lean and scales without heavy ops hiring, while supporting strong security controls (WAF, TLS, and clear separation of compute/storage). The objective is predictability and low maintenance; fine-grained cost modelling should be done with calculators once expected storage and traffic are known.</w:t>
      </w:r>
      <w:r>
        <w:t xml:space="preserve"> </w:t>
      </w:r>
      <w:hyperlink r:id="rId65">
        <w:r>
          <w:rPr>
            <w:rStyle w:val="Hyperlink"/>
          </w:rPr>
          <w:t xml:space="preserve">[70]</w:t>
        </w:r>
      </w:hyperlink>
    </w:p>
    <w:p>
      <w:pPr>
        <w:pStyle w:val="BodyText"/>
      </w:pPr>
      <w:r>
        <w:rPr>
          <w:b/>
          <w:bCs/>
        </w:rPr>
        <w:t xml:space="preserve">Why cost is treated as a model, not a single number (explicit)</w:t>
      </w:r>
      <w:r>
        <w:br/>
      </w:r>
      <w:r>
        <w:t xml:space="preserve">Without workload volumes (bookings/day, document GB/month, egress, retention period), any single “monthly cost” number would be misleading. This PRD therefore defines a bill-of-materials approach using official pricing pages, and expects a 1–2 day costing sprint once usage assumptions are confirmed.</w:t>
      </w:r>
      <w:r>
        <w:t xml:space="preserve"> </w:t>
      </w:r>
      <w:hyperlink r:id="rId64">
        <w:r>
          <w:rPr>
            <w:rStyle w:val="Hyperlink"/>
          </w:rPr>
          <w:t xml:space="preserve">[59]</w:t>
        </w:r>
      </w:hyperlink>
    </w:p>
    <w:bookmarkEnd w:id="74"/>
    <w:bookmarkEnd w:id="75"/>
    <w:bookmarkEnd w:id="76"/>
    <w:bookmarkEnd w:id="77"/>
    <w:bookmarkEnd w:id="78"/>
    <w:p>
      <w:r>
        <w:pict>
          <v:rect style="width:0;height:1.5pt" o:hralign="center" o:hrstd="t" o:hr="t"/>
        </w:pict>
      </w:r>
    </w:p>
    <w:bookmarkStart w:id="79"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hyperlink r:id="rId21">
        <w:r>
          <w:rPr>
            <w:rStyle w:val="Hyperlink"/>
          </w:rPr>
          <w:t xml:space="preserve">[13]</w:t>
        </w:r>
      </w:hyperlink>
      <w:r>
        <w:t xml:space="preserve"> </w:t>
      </w:r>
      <w:hyperlink r:id="rId21">
        <w:r>
          <w:rPr>
            <w:rStyle w:val="Hyperlink"/>
          </w:rPr>
          <w:t xml:space="preserve">[14]</w:t>
        </w:r>
      </w:hyperlink>
      <w:r>
        <w:t xml:space="preserve"> </w:t>
      </w:r>
      <w:hyperlink r:id="rId21">
        <w:r>
          <w:rPr>
            <w:rStyle w:val="Hyperlink"/>
          </w:rPr>
          <w:t xml:space="preserve">[15]</w:t>
        </w:r>
      </w:hyperlink>
      <w:r>
        <w:t xml:space="preserve"> </w:t>
      </w:r>
      <w:hyperlink r:id="rId21">
        <w:r>
          <w:rPr>
            <w:rStyle w:val="Hyperlink"/>
          </w:rPr>
          <w:t xml:space="preserve">[16]</w:t>
        </w:r>
      </w:hyperlink>
      <w:r>
        <w:t xml:space="preserve"> </w:t>
      </w:r>
      <w:hyperlink r:id="rId21">
        <w:r>
          <w:rPr>
            <w:rStyle w:val="Hyperlink"/>
          </w:rPr>
          <w:t xml:space="preserve">[32]</w:t>
        </w:r>
      </w:hyperlink>
      <w:r>
        <w:t xml:space="preserve"> </w:t>
      </w:r>
      <w:hyperlink r:id="rId21">
        <w:r>
          <w:rPr>
            <w:rStyle w:val="Hyperlink"/>
          </w:rPr>
          <w:t xml:space="preserve">[40]</w:t>
        </w:r>
      </w:hyperlink>
      <w:r>
        <w:t xml:space="preserve"> </w:t>
      </w:r>
      <w:hyperlink r:id="rId21">
        <w:r>
          <w:rPr>
            <w:rStyle w:val="Hyperlink"/>
          </w:rPr>
          <w:t xml:space="preserve">[41]</w:t>
        </w:r>
      </w:hyperlink>
      <w:r>
        <w:t xml:space="preserve"> </w:t>
      </w:r>
      <w:hyperlink r:id="rId21">
        <w:r>
          <w:rPr>
            <w:rStyle w:val="Hyperlink"/>
          </w:rPr>
          <w:t xml:space="preserve">[42]</w:t>
        </w:r>
      </w:hyperlink>
      <w:r>
        <w:t xml:space="preserve"> </w:t>
      </w:r>
      <w:hyperlink r:id="rId21">
        <w:r>
          <w:rPr>
            <w:rStyle w:val="Hyperlink"/>
          </w:rPr>
          <w:t xml:space="preserve">[47]</w:t>
        </w:r>
      </w:hyperlink>
      <w:r>
        <w:t xml:space="preserve"> </w:t>
      </w:r>
      <w:hyperlink r:id="rId21">
        <w:r>
          <w:rPr>
            <w:rStyle w:val="Hyperlink"/>
          </w:rPr>
          <w:t xml:space="preserve">[54]</w:t>
        </w:r>
      </w:hyperlink>
      <w:r>
        <w:t xml:space="preserve"> </w:t>
      </w:r>
      <w:hyperlink r:id="rId21">
        <w:r>
          <w:rPr>
            <w:rStyle w:val="Hyperlink"/>
          </w:rPr>
          <w:t xml:space="preserve">[55]</w:t>
        </w:r>
      </w:hyperlink>
      <w:r>
        <w:t xml:space="preserve"> </w:t>
      </w:r>
      <w:hyperlink r:id="rId21">
        <w:r>
          <w:rPr>
            <w:rStyle w:val="Hyperlink"/>
          </w:rPr>
          <w:t xml:space="preserve">[56]</w:t>
        </w:r>
      </w:hyperlink>
      <w:r>
        <w:t xml:space="preserve"> </w:t>
      </w:r>
      <w:r>
        <w:t xml:space="preserve">https://fookloi.net/proton/updateSalesBooking.php</w:t>
      </w:r>
    </w:p>
    <w:p>
      <w:pPr>
        <w:pStyle w:val="BodyText"/>
      </w:pPr>
      <w:hyperlink r:id="rId21">
        <w:r>
          <w:rPr>
            <w:rStyle w:val="Hyperlink"/>
          </w:rPr>
          <w:t xml:space="preserve">https://fookloi.net/proton/updateSalesBooking.php</w:t>
        </w:r>
      </w:hyperlink>
    </w:p>
    <w:p>
      <w:pPr>
        <w:pStyle w:val="BodyText"/>
      </w:pPr>
      <w:hyperlink r:id="rId22">
        <w:r>
          <w:rPr>
            <w:rStyle w:val="Hyperlink"/>
          </w:rPr>
          <w:t xml:space="preserve">[4]</w:t>
        </w:r>
      </w:hyperlink>
      <w:r>
        <w:t xml:space="preserve"> </w:t>
      </w:r>
      <w:hyperlink r:id="rId22">
        <w:r>
          <w:rPr>
            <w:rStyle w:val="Hyperlink"/>
          </w:rPr>
          <w:t xml:space="preserve">[21]</w:t>
        </w:r>
      </w:hyperlink>
      <w:r>
        <w:t xml:space="preserve"> </w:t>
      </w:r>
      <w:hyperlink r:id="rId22">
        <w:r>
          <w:rPr>
            <w:rStyle w:val="Hyperlink"/>
          </w:rPr>
          <w:t xml:space="preserve">[38]</w:t>
        </w:r>
      </w:hyperlink>
      <w:r>
        <w:t xml:space="preserve"> </w:t>
      </w:r>
      <w:hyperlink r:id="rId22">
        <w:r>
          <w:rPr>
            <w:rStyle w:val="Hyperlink"/>
          </w:rPr>
          <w:t xml:space="preserve">[39]</w:t>
        </w:r>
      </w:hyperlink>
      <w:r>
        <w:t xml:space="preserve"> </w:t>
      </w:r>
      <w:hyperlink r:id="rId22">
        <w:r>
          <w:rPr>
            <w:rStyle w:val="Hyperlink"/>
          </w:rPr>
          <w:t xml:space="preserve">[58]</w:t>
        </w:r>
      </w:hyperlink>
      <w:r>
        <w:t xml:space="preserve"> </w:t>
      </w:r>
      <w:r>
        <w:t xml:space="preserve">https://fookloi.net/proton/viewEditSalesBooking.php?sbid=8370</w:t>
      </w:r>
    </w:p>
    <w:p>
      <w:pPr>
        <w:pStyle w:val="BodyText"/>
      </w:pPr>
      <w:hyperlink r:id="rId22">
        <w:r>
          <w:rPr>
            <w:rStyle w:val="Hyperlink"/>
          </w:rPr>
          <w:t xml:space="preserve">https://fookloi.net/proton/viewEditSalesBooking.php?sbid=8370</w:t>
        </w:r>
      </w:hyperlink>
    </w:p>
    <w:p>
      <w:pPr>
        <w:pStyle w:val="BodyText"/>
      </w:pPr>
      <w:hyperlink r:id="rId23">
        <w:r>
          <w:rPr>
            <w:rStyle w:val="Hyperlink"/>
          </w:rPr>
          <w:t xml:space="preserve">[5]</w:t>
        </w:r>
      </w:hyperlink>
      <w:r>
        <w:t xml:space="preserve"> </w:t>
      </w:r>
      <w:hyperlink r:id="rId23">
        <w:r>
          <w:rPr>
            <w:rStyle w:val="Hyperlink"/>
          </w:rPr>
          <w:t xml:space="preserve">[44]</w:t>
        </w:r>
      </w:hyperlink>
      <w:r>
        <w:t xml:space="preserve"> </w:t>
      </w:r>
      <w:r>
        <w:t xml:space="preserve">https://owasp.org/www-project-application-security-verification-standard/</w:t>
      </w:r>
    </w:p>
    <w:p>
      <w:pPr>
        <w:pStyle w:val="BodyText"/>
      </w:pPr>
      <w:hyperlink r:id="rId23">
        <w:r>
          <w:rPr>
            <w:rStyle w:val="Hyperlink"/>
          </w:rPr>
          <w:t xml:space="preserve">https://owasp.org/www-project-application-security-verification-standard/</w:t>
        </w:r>
      </w:hyperlink>
    </w:p>
    <w:p>
      <w:pPr>
        <w:pStyle w:val="BodyText"/>
      </w:pPr>
      <w:hyperlink r:id="rId24">
        <w:r>
          <w:rPr>
            <w:rStyle w:val="Hyperlink"/>
          </w:rPr>
          <w:t xml:space="preserve">[6]</w:t>
        </w:r>
      </w:hyperlink>
      <w:r>
        <w:t xml:space="preserve"> </w:t>
      </w:r>
      <w:hyperlink r:id="rId24">
        <w:r>
          <w:rPr>
            <w:rStyle w:val="Hyperlink"/>
          </w:rPr>
          <w:t xml:space="preserve">[18]</w:t>
        </w:r>
      </w:hyperlink>
      <w:r>
        <w:t xml:space="preserve"> </w:t>
      </w:r>
      <w:hyperlink r:id="rId24">
        <w:r>
          <w:rPr>
            <w:rStyle w:val="Hyperlink"/>
          </w:rPr>
          <w:t xml:space="preserve">[51]</w:t>
        </w:r>
      </w:hyperlink>
      <w:r>
        <w:t xml:space="preserve"> </w:t>
      </w:r>
      <w:r>
        <w:t xml:space="preserve">https://www.pdp.gov.my/ppdpv1/</w:t>
      </w:r>
    </w:p>
    <w:p>
      <w:pPr>
        <w:pStyle w:val="BodyText"/>
      </w:pPr>
      <w:hyperlink r:id="rId24">
        <w:r>
          <w:rPr>
            <w:rStyle w:val="Hyperlink"/>
          </w:rPr>
          <w:t xml:space="preserve">https://www.pdp.gov.my/ppdpv1/</w:t>
        </w:r>
      </w:hyperlink>
    </w:p>
    <w:p>
      <w:pPr>
        <w:pStyle w:val="BodyText"/>
      </w:pPr>
      <w:hyperlink r:id="rId26">
        <w:r>
          <w:rPr>
            <w:rStyle w:val="Hyperlink"/>
          </w:rPr>
          <w:t xml:space="preserve">[7]</w:t>
        </w:r>
      </w:hyperlink>
      <w:r>
        <w:t xml:space="preserve"> </w:t>
      </w:r>
      <w:hyperlink r:id="rId26">
        <w:r>
          <w:rPr>
            <w:rStyle w:val="Hyperlink"/>
          </w:rPr>
          <w:t xml:space="preserve">[20]</w:t>
        </w:r>
      </w:hyperlink>
      <w:r>
        <w:t xml:space="preserve"> </w:t>
      </w:r>
      <w:r>
        <w:t xml:space="preserve">https://fookloi.net/proton/sign-in.php</w:t>
      </w:r>
    </w:p>
    <w:p>
      <w:pPr>
        <w:pStyle w:val="BodyText"/>
      </w:pPr>
      <w:hyperlink r:id="rId26">
        <w:r>
          <w:rPr>
            <w:rStyle w:val="Hyperlink"/>
          </w:rPr>
          <w:t xml:space="preserve">https://fookloi.net/proton/sign-in.php</w:t>
        </w:r>
      </w:hyperlink>
    </w:p>
    <w:p>
      <w:pPr>
        <w:pStyle w:val="BodyText"/>
      </w:pPr>
      <w:hyperlink r:id="rId27">
        <w:r>
          <w:rPr>
            <w:rStyle w:val="Hyperlink"/>
          </w:rPr>
          <w:t xml:space="preserve">[17]</w:t>
        </w:r>
      </w:hyperlink>
      <w:r>
        <w:t xml:space="preserve"> </w:t>
      </w:r>
      <w:hyperlink r:id="rId27">
        <w:r>
          <w:rPr>
            <w:rStyle w:val="Hyperlink"/>
          </w:rPr>
          <w:t xml:space="preserve">[50]</w:t>
        </w:r>
      </w:hyperlink>
      <w:r>
        <w:t xml:space="preserve"> </w:t>
      </w:r>
      <w:r>
        <w:t xml:space="preserve">https://lom.agc.gov.my/act-detail.php?act=709&amp;lang=BI&amp;type=principal</w:t>
      </w:r>
    </w:p>
    <w:p>
      <w:pPr>
        <w:pStyle w:val="BodyText"/>
      </w:pPr>
      <w:hyperlink r:id="rId27">
        <w:r>
          <w:rPr>
            <w:rStyle w:val="Hyperlink"/>
          </w:rPr>
          <w:t xml:space="preserve">https://lom.agc.gov.my/act-detail.php?act=709&amp;lang=BI&amp;type=principal</w:t>
        </w:r>
      </w:hyperlink>
    </w:p>
    <w:p>
      <w:pPr>
        <w:pStyle w:val="BodyText"/>
      </w:pPr>
      <w:hyperlink r:id="rId28">
        <w:r>
          <w:rPr>
            <w:rStyle w:val="Hyperlink"/>
          </w:rPr>
          <w:t xml:space="preserve">[19]</w:t>
        </w:r>
      </w:hyperlink>
      <w:r>
        <w:t xml:space="preserve"> </w:t>
      </w:r>
      <w:hyperlink r:id="rId28">
        <w:r>
          <w:rPr>
            <w:rStyle w:val="Hyperlink"/>
          </w:rPr>
          <w:t xml:space="preserve">[46]</w:t>
        </w:r>
      </w:hyperlink>
      <w:r>
        <w:t xml:space="preserve"> </w:t>
      </w:r>
      <w:hyperlink r:id="rId28">
        <w:r>
          <w:rPr>
            <w:rStyle w:val="Hyperlink"/>
          </w:rPr>
          <w:t xml:space="preserve">[57]</w:t>
        </w:r>
      </w:hyperlink>
      <w:r>
        <w:t xml:space="preserve"> </w:t>
      </w:r>
      <w:r>
        <w:t xml:space="preserve">https://www.pdp.gov.my/ppdpv1/wp-content/uploads/2024/11/Act-A1727.pdf</w:t>
      </w:r>
    </w:p>
    <w:p>
      <w:pPr>
        <w:pStyle w:val="BodyText"/>
      </w:pPr>
      <w:hyperlink r:id="rId28">
        <w:r>
          <w:rPr>
            <w:rStyle w:val="Hyperlink"/>
          </w:rPr>
          <w:t xml:space="preserve">https://www.pdp.gov.my/ppdpv1/wp-content/uploads/2024/11/Act-A1727.pdf</w:t>
        </w:r>
      </w:hyperlink>
    </w:p>
    <w:p>
      <w:pPr>
        <w:pStyle w:val="BodyText"/>
      </w:pPr>
      <w:hyperlink r:id="rId31">
        <w:r>
          <w:rPr>
            <w:rStyle w:val="Hyperlink"/>
          </w:rPr>
          <w:t xml:space="preserve">[22]</w:t>
        </w:r>
      </w:hyperlink>
      <w:r>
        <w:t xml:space="preserve"> </w:t>
      </w:r>
      <w:r>
        <w:t xml:space="preserve">https://www.pcauto.com/my/car-dealers/148</w:t>
      </w:r>
    </w:p>
    <w:p>
      <w:pPr>
        <w:pStyle w:val="BodyText"/>
      </w:pPr>
      <w:hyperlink r:id="rId31">
        <w:r>
          <w:rPr>
            <w:rStyle w:val="Hyperlink"/>
          </w:rPr>
          <w:t xml:space="preserve">https://www.pcauto.com/my/car-dealers/148</w:t>
        </w:r>
      </w:hyperlink>
    </w:p>
    <w:p>
      <w:pPr>
        <w:pStyle w:val="BodyText"/>
      </w:pPr>
      <w:hyperlink r:id="rId33">
        <w:r>
          <w:rPr>
            <w:rStyle w:val="Hyperlink"/>
          </w:rPr>
          <w:t xml:space="preserve">[23]</w:t>
        </w:r>
      </w:hyperlink>
      <w:r>
        <w:t xml:space="preserve"> </w:t>
      </w:r>
      <w:hyperlink r:id="rId33">
        <w:r>
          <w:rPr>
            <w:rStyle w:val="Hyperlink"/>
          </w:rPr>
          <w:t xml:space="preserve">[48]</w:t>
        </w:r>
      </w:hyperlink>
      <w:r>
        <w:t xml:space="preserve"> </w:t>
      </w:r>
      <w:r>
        <w:t xml:space="preserve">https://tekion.com/products/dms</w:t>
      </w:r>
    </w:p>
    <w:p>
      <w:pPr>
        <w:pStyle w:val="BodyText"/>
      </w:pPr>
      <w:hyperlink r:id="rId33">
        <w:r>
          <w:rPr>
            <w:rStyle w:val="Hyperlink"/>
          </w:rPr>
          <w:t xml:space="preserve">https://tekion.com/products/dms</w:t>
        </w:r>
      </w:hyperlink>
    </w:p>
    <w:p>
      <w:pPr>
        <w:pStyle w:val="BodyText"/>
      </w:pPr>
      <w:hyperlink r:id="rId34">
        <w:r>
          <w:rPr>
            <w:rStyle w:val="Hyperlink"/>
          </w:rPr>
          <w:t xml:space="preserve">[24]</w:t>
        </w:r>
      </w:hyperlink>
      <w:r>
        <w:t xml:space="preserve"> </w:t>
      </w:r>
      <w:r>
        <w:t xml:space="preserve">https://www.cdkglobal.com/dms</w:t>
      </w:r>
    </w:p>
    <w:p>
      <w:pPr>
        <w:pStyle w:val="BodyText"/>
      </w:pPr>
      <w:hyperlink r:id="rId34">
        <w:r>
          <w:rPr>
            <w:rStyle w:val="Hyperlink"/>
          </w:rPr>
          <w:t xml:space="preserve">https://www.cdkglobal.com/dms</w:t>
        </w:r>
      </w:hyperlink>
    </w:p>
    <w:p>
      <w:pPr>
        <w:pStyle w:val="BodyText"/>
      </w:pPr>
      <w:hyperlink r:id="rId35">
        <w:r>
          <w:rPr>
            <w:rStyle w:val="Hyperlink"/>
          </w:rPr>
          <w:t xml:space="preserve">[25]</w:t>
        </w:r>
      </w:hyperlink>
      <w:r>
        <w:t xml:space="preserve"> </w:t>
      </w:r>
      <w:hyperlink r:id="rId35">
        <w:r>
          <w:rPr>
            <w:rStyle w:val="Hyperlink"/>
          </w:rPr>
          <w:t xml:space="preserve">[33]</w:t>
        </w:r>
      </w:hyperlink>
      <w:r>
        <w:t xml:space="preserve"> </w:t>
      </w:r>
      <w:r>
        <w:t xml:space="preserve">https://www.reyrey.com/solutions/retail-management-system/era-ignite</w:t>
      </w:r>
    </w:p>
    <w:p>
      <w:pPr>
        <w:pStyle w:val="BodyText"/>
      </w:pPr>
      <w:hyperlink r:id="rId35">
        <w:r>
          <w:rPr>
            <w:rStyle w:val="Hyperlink"/>
          </w:rPr>
          <w:t xml:space="preserve">https://www.reyrey.com/solutions/retail-management-system/era-ignite</w:t>
        </w:r>
      </w:hyperlink>
    </w:p>
    <w:p>
      <w:pPr>
        <w:pStyle w:val="BodyText"/>
      </w:pPr>
      <w:hyperlink r:id="rId36">
        <w:r>
          <w:rPr>
            <w:rStyle w:val="Hyperlink"/>
          </w:rPr>
          <w:t xml:space="preserve">[26]</w:t>
        </w:r>
      </w:hyperlink>
      <w:r>
        <w:t xml:space="preserve"> </w:t>
      </w:r>
      <w:hyperlink r:id="rId36">
        <w:r>
          <w:rPr>
            <w:rStyle w:val="Hyperlink"/>
          </w:rPr>
          <w:t xml:space="preserve">[31]</w:t>
        </w:r>
      </w:hyperlink>
      <w:r>
        <w:t xml:space="preserve"> </w:t>
      </w:r>
      <w:r>
        <w:t xml:space="preserve">https://us.dealertrack.com/content/dealertrack/en/dealer-management-solutions/platform.html</w:t>
      </w:r>
    </w:p>
    <w:p>
      <w:pPr>
        <w:pStyle w:val="BodyText"/>
      </w:pPr>
      <w:hyperlink r:id="rId36">
        <w:r>
          <w:rPr>
            <w:rStyle w:val="Hyperlink"/>
          </w:rPr>
          <w:t xml:space="preserve">https://us.dealertrack.com/content/dealertrack/en/dealer-management-solutions/platform.html</w:t>
        </w:r>
      </w:hyperlink>
    </w:p>
    <w:p>
      <w:pPr>
        <w:pStyle w:val="BodyText"/>
      </w:pPr>
      <w:hyperlink r:id="rId37">
        <w:r>
          <w:rPr>
            <w:rStyle w:val="Hyperlink"/>
          </w:rPr>
          <w:t xml:space="preserve">[27]</w:t>
        </w:r>
      </w:hyperlink>
      <w:r>
        <w:t xml:space="preserve"> </w:t>
      </w:r>
      <w:r>
        <w:t xml:space="preserve">https://dealersocket.com/solutions/crm-software/</w:t>
      </w:r>
    </w:p>
    <w:p>
      <w:pPr>
        <w:pStyle w:val="BodyText"/>
      </w:pPr>
      <w:hyperlink r:id="rId37">
        <w:r>
          <w:rPr>
            <w:rStyle w:val="Hyperlink"/>
          </w:rPr>
          <w:t xml:space="preserve">https://dealersocket.com/solutions/crm-software/</w:t>
        </w:r>
      </w:hyperlink>
    </w:p>
    <w:p>
      <w:pPr>
        <w:pStyle w:val="BodyText"/>
      </w:pPr>
      <w:hyperlink r:id="rId38">
        <w:r>
          <w:rPr>
            <w:rStyle w:val="Hyperlink"/>
          </w:rPr>
          <w:t xml:space="preserve">[28]</w:t>
        </w:r>
      </w:hyperlink>
      <w:r>
        <w:t xml:space="preserve"> </w:t>
      </w:r>
      <w:r>
        <w:t xml:space="preserve">https://www.vinsolutions.com/</w:t>
      </w:r>
    </w:p>
    <w:p>
      <w:pPr>
        <w:pStyle w:val="BodyText"/>
      </w:pPr>
      <w:hyperlink r:id="rId38">
        <w:r>
          <w:rPr>
            <w:rStyle w:val="Hyperlink"/>
          </w:rPr>
          <w:t xml:space="preserve">https://www.vinsolutions.com/</w:t>
        </w:r>
      </w:hyperlink>
    </w:p>
    <w:p>
      <w:pPr>
        <w:pStyle w:val="BodyText"/>
      </w:pPr>
      <w:hyperlink r:id="rId39">
        <w:r>
          <w:rPr>
            <w:rStyle w:val="Hyperlink"/>
          </w:rPr>
          <w:t xml:space="preserve">[29]</w:t>
        </w:r>
      </w:hyperlink>
      <w:r>
        <w:t xml:space="preserve"> </w:t>
      </w:r>
      <w:r>
        <w:t xml:space="preserve">https://www.autoraptor.com/features/</w:t>
      </w:r>
    </w:p>
    <w:p>
      <w:pPr>
        <w:pStyle w:val="BodyText"/>
      </w:pPr>
      <w:hyperlink r:id="rId39">
        <w:r>
          <w:rPr>
            <w:rStyle w:val="Hyperlink"/>
          </w:rPr>
          <w:t xml:space="preserve">https://www.autoraptor.com/features/</w:t>
        </w:r>
      </w:hyperlink>
    </w:p>
    <w:p>
      <w:pPr>
        <w:pStyle w:val="BodyText"/>
      </w:pPr>
      <w:hyperlink r:id="rId40">
        <w:r>
          <w:rPr>
            <w:rStyle w:val="Hyperlink"/>
          </w:rPr>
          <w:t xml:space="preserve">[30]</w:t>
        </w:r>
      </w:hyperlink>
      <w:r>
        <w:t xml:space="preserve"> </w:t>
      </w:r>
      <w:r>
        <w:t xml:space="preserve">https://www.salesforce.com/automotive/cloud/</w:t>
      </w:r>
    </w:p>
    <w:p>
      <w:pPr>
        <w:pStyle w:val="BodyText"/>
      </w:pPr>
      <w:hyperlink r:id="rId40">
        <w:r>
          <w:rPr>
            <w:rStyle w:val="Hyperlink"/>
          </w:rPr>
          <w:t xml:space="preserve">https://www.salesforce.com/automotive/cloud/</w:t>
        </w:r>
      </w:hyperlink>
    </w:p>
    <w:p>
      <w:pPr>
        <w:pStyle w:val="BodyText"/>
      </w:pPr>
      <w:hyperlink r:id="rId43">
        <w:r>
          <w:rPr>
            <w:rStyle w:val="Hyperlink"/>
          </w:rPr>
          <w:t xml:space="preserve">[34]</w:t>
        </w:r>
      </w:hyperlink>
      <w:r>
        <w:t xml:space="preserve"> </w:t>
      </w:r>
      <w:hyperlink r:id="rId43">
        <w:r>
          <w:rPr>
            <w:rStyle w:val="Hyperlink"/>
          </w:rPr>
          <w:t xml:space="preserve">[45]</w:t>
        </w:r>
      </w:hyperlink>
      <w:r>
        <w:t xml:space="preserve"> </w:t>
      </w:r>
      <w:hyperlink r:id="rId43">
        <w:r>
          <w:rPr>
            <w:rStyle w:val="Hyperlink"/>
          </w:rPr>
          <w:t xml:space="preserve">[53]</w:t>
        </w:r>
      </w:hyperlink>
      <w:r>
        <w:t xml:space="preserve"> </w:t>
      </w:r>
      <w:r>
        <w:t xml:space="preserve">https://lom.agc.gov.my/ilims/upload/portal/akta/LOM/EN/Act%20709%2014%206%202016.pdf</w:t>
      </w:r>
    </w:p>
    <w:p>
      <w:pPr>
        <w:pStyle w:val="BodyText"/>
      </w:pPr>
      <w:hyperlink r:id="rId43">
        <w:r>
          <w:rPr>
            <w:rStyle w:val="Hyperlink"/>
          </w:rPr>
          <w:t xml:space="preserve">https://lom.agc.gov.my/ilims/upload/portal/akta/LOM/EN/Act%20709%2014%206%202016.pdf</w:t>
        </w:r>
      </w:hyperlink>
    </w:p>
    <w:p>
      <w:pPr>
        <w:pStyle w:val="BodyText"/>
      </w:pPr>
      <w:hyperlink r:id="rId45">
        <w:r>
          <w:rPr>
            <w:rStyle w:val="Hyperlink"/>
          </w:rPr>
          <w:t xml:space="preserve">[35]</w:t>
        </w:r>
      </w:hyperlink>
      <w:r>
        <w:t xml:space="preserve"> </w:t>
      </w:r>
      <w:r>
        <w:t xml:space="preserve">https://www.jpj.gov.my/en/vehicle-licensing-fee-rates/</w:t>
      </w:r>
    </w:p>
    <w:p>
      <w:pPr>
        <w:pStyle w:val="BodyText"/>
      </w:pPr>
      <w:hyperlink r:id="rId45">
        <w:r>
          <w:rPr>
            <w:rStyle w:val="Hyperlink"/>
          </w:rPr>
          <w:t xml:space="preserve">https://www.jpj.gov.my/en/vehicle-licensing-fee-rates/</w:t>
        </w:r>
      </w:hyperlink>
    </w:p>
    <w:p>
      <w:pPr>
        <w:pStyle w:val="BodyText"/>
      </w:pPr>
      <w:hyperlink r:id="rId47">
        <w:r>
          <w:rPr>
            <w:rStyle w:val="Hyperlink"/>
          </w:rPr>
          <w:t xml:space="preserve">[36]</w:t>
        </w:r>
      </w:hyperlink>
      <w:r>
        <w:t xml:space="preserve"> </w:t>
      </w:r>
      <w:hyperlink r:id="rId47">
        <w:r>
          <w:rPr>
            <w:rStyle w:val="Hyperlink"/>
          </w:rPr>
          <w:t xml:space="preserve">[43]</w:t>
        </w:r>
      </w:hyperlink>
      <w:r>
        <w:t xml:space="preserve"> </w:t>
      </w:r>
      <w:hyperlink r:id="rId47">
        <w:r>
          <w:rPr>
            <w:rStyle w:val="Hyperlink"/>
          </w:rPr>
          <w:t xml:space="preserve">[49]</w:t>
        </w:r>
      </w:hyperlink>
      <w:r>
        <w:t xml:space="preserve"> </w:t>
      </w:r>
      <w:r>
        <w:t xml:space="preserve">https://owasp.org/Top10/2021/</w:t>
      </w:r>
    </w:p>
    <w:p>
      <w:pPr>
        <w:pStyle w:val="BodyText"/>
      </w:pPr>
      <w:hyperlink r:id="rId47">
        <w:r>
          <w:rPr>
            <w:rStyle w:val="Hyperlink"/>
          </w:rPr>
          <w:t xml:space="preserve">https://owasp.org/Top10/2021/</w:t>
        </w:r>
      </w:hyperlink>
    </w:p>
    <w:p>
      <w:pPr>
        <w:pStyle w:val="BodyText"/>
      </w:pPr>
      <w:hyperlink r:id="rId48">
        <w:r>
          <w:rPr>
            <w:rStyle w:val="Hyperlink"/>
          </w:rPr>
          <w:t xml:space="preserve">[37]</w:t>
        </w:r>
      </w:hyperlink>
      <w:r>
        <w:t xml:space="preserve"> </w:t>
      </w:r>
      <w:r>
        <w:t xml:space="preserve">https://pages.nist.gov/800-63-4/sp800-63b.html</w:t>
      </w:r>
    </w:p>
    <w:p>
      <w:pPr>
        <w:pStyle w:val="BodyText"/>
      </w:pPr>
      <w:hyperlink r:id="rId48">
        <w:r>
          <w:rPr>
            <w:rStyle w:val="Hyperlink"/>
          </w:rPr>
          <w:t xml:space="preserve">https://pages.nist.gov/800-63-4/sp800-63b.html</w:t>
        </w:r>
      </w:hyperlink>
    </w:p>
    <w:p>
      <w:pPr>
        <w:pStyle w:val="BodyText"/>
      </w:pPr>
      <w:hyperlink r:id="rId57">
        <w:r>
          <w:rPr>
            <w:rStyle w:val="Hyperlink"/>
          </w:rPr>
          <w:t xml:space="preserve">[52]</w:t>
        </w:r>
      </w:hyperlink>
      <w:r>
        <w:t xml:space="preserve"> </w:t>
      </w:r>
      <w:r>
        <w:t xml:space="preserve">https://lom.agc.gov.my/act-detail.php?act=A1727&amp;language=BI&amp;type=amendment</w:t>
      </w:r>
    </w:p>
    <w:p>
      <w:pPr>
        <w:pStyle w:val="BodyText"/>
      </w:pPr>
      <w:hyperlink r:id="rId57">
        <w:r>
          <w:rPr>
            <w:rStyle w:val="Hyperlink"/>
          </w:rPr>
          <w:t xml:space="preserve">https://lom.agc.gov.my/act-detail.php?act=A1727&amp;language=BI&amp;type=amendment</w:t>
        </w:r>
      </w:hyperlink>
    </w:p>
    <w:p>
      <w:pPr>
        <w:pStyle w:val="BodyText"/>
      </w:pPr>
      <w:hyperlink r:id="rId64">
        <w:r>
          <w:rPr>
            <w:rStyle w:val="Hyperlink"/>
          </w:rPr>
          <w:t xml:space="preserve">[59]</w:t>
        </w:r>
      </w:hyperlink>
      <w:r>
        <w:t xml:space="preserve"> </w:t>
      </w:r>
      <w:r>
        <w:t xml:space="preserve">https://calculator.aws/</w:t>
      </w:r>
    </w:p>
    <w:p>
      <w:pPr>
        <w:pStyle w:val="BodyText"/>
      </w:pPr>
      <w:hyperlink r:id="rId64">
        <w:r>
          <w:rPr>
            <w:rStyle w:val="Hyperlink"/>
          </w:rPr>
          <w:t xml:space="preserve">https://calculator.aws/</w:t>
        </w:r>
      </w:hyperlink>
    </w:p>
    <w:p>
      <w:pPr>
        <w:pStyle w:val="BodyText"/>
      </w:pPr>
      <w:hyperlink r:id="rId65">
        <w:r>
          <w:rPr>
            <w:rStyle w:val="Hyperlink"/>
          </w:rPr>
          <w:t xml:space="preserve">[60]</w:t>
        </w:r>
      </w:hyperlink>
      <w:r>
        <w:t xml:space="preserve"> </w:t>
      </w:r>
      <w:hyperlink r:id="rId65">
        <w:r>
          <w:rPr>
            <w:rStyle w:val="Hyperlink"/>
          </w:rPr>
          <w:t xml:space="preserve">[70]</w:t>
        </w:r>
      </w:hyperlink>
      <w:r>
        <w:t xml:space="preserve"> </w:t>
      </w:r>
      <w:r>
        <w:t xml:space="preserve">https://cloud.google.com/run/pricing</w:t>
      </w:r>
    </w:p>
    <w:p>
      <w:pPr>
        <w:pStyle w:val="BodyText"/>
      </w:pPr>
      <w:hyperlink r:id="rId65">
        <w:r>
          <w:rPr>
            <w:rStyle w:val="Hyperlink"/>
          </w:rPr>
          <w:t xml:space="preserve">https://cloud.google.com/run/pricing</w:t>
        </w:r>
      </w:hyperlink>
    </w:p>
    <w:p>
      <w:pPr>
        <w:pStyle w:val="BodyText"/>
      </w:pPr>
      <w:hyperlink r:id="rId66">
        <w:r>
          <w:rPr>
            <w:rStyle w:val="Hyperlink"/>
          </w:rPr>
          <w:t xml:space="preserve">[61]</w:t>
        </w:r>
      </w:hyperlink>
      <w:r>
        <w:t xml:space="preserve"> </w:t>
      </w:r>
      <w:r>
        <w:t xml:space="preserve">https://cloud.google.com/sql/pricing</w:t>
      </w:r>
    </w:p>
    <w:p>
      <w:pPr>
        <w:pStyle w:val="BodyText"/>
      </w:pPr>
      <w:hyperlink r:id="rId66">
        <w:r>
          <w:rPr>
            <w:rStyle w:val="Hyperlink"/>
          </w:rPr>
          <w:t xml:space="preserve">https://cloud.google.com/sql/pricing</w:t>
        </w:r>
      </w:hyperlink>
    </w:p>
    <w:p>
      <w:pPr>
        <w:pStyle w:val="BodyText"/>
      </w:pPr>
      <w:hyperlink r:id="rId67">
        <w:r>
          <w:rPr>
            <w:rStyle w:val="Hyperlink"/>
          </w:rPr>
          <w:t xml:space="preserve">[62]</w:t>
        </w:r>
      </w:hyperlink>
      <w:r>
        <w:t xml:space="preserve"> </w:t>
      </w:r>
      <w:r>
        <w:t xml:space="preserve">https://developers.cloudflare.com/r2/pricing/</w:t>
      </w:r>
    </w:p>
    <w:p>
      <w:pPr>
        <w:pStyle w:val="BodyText"/>
      </w:pPr>
      <w:hyperlink r:id="rId67">
        <w:r>
          <w:rPr>
            <w:rStyle w:val="Hyperlink"/>
          </w:rPr>
          <w:t xml:space="preserve">https://developers.cloudflare.com/r2/pricing/</w:t>
        </w:r>
      </w:hyperlink>
    </w:p>
    <w:p>
      <w:pPr>
        <w:pStyle w:val="BodyText"/>
      </w:pPr>
      <w:hyperlink r:id="rId68">
        <w:r>
          <w:rPr>
            <w:rStyle w:val="Hyperlink"/>
          </w:rPr>
          <w:t xml:space="preserve">[63]</w:t>
        </w:r>
      </w:hyperlink>
      <w:r>
        <w:t xml:space="preserve"> </w:t>
      </w:r>
      <w:hyperlink r:id="rId68">
        <w:r>
          <w:rPr>
            <w:rStyle w:val="Hyperlink"/>
          </w:rPr>
          <w:t xml:space="preserve">[66]</w:t>
        </w:r>
      </w:hyperlink>
      <w:r>
        <w:t xml:space="preserve"> </w:t>
      </w:r>
      <w:r>
        <w:t xml:space="preserve">https://learn.microsoft.com/en-us/azure/frontdoor/understanding-pricing</w:t>
      </w:r>
    </w:p>
    <w:p>
      <w:pPr>
        <w:pStyle w:val="BodyText"/>
      </w:pPr>
      <w:hyperlink r:id="rId68">
        <w:r>
          <w:rPr>
            <w:rStyle w:val="Hyperlink"/>
          </w:rPr>
          <w:t xml:space="preserve">https://learn.microsoft.com/en-us/azure/frontdoor/understanding-pricing</w:t>
        </w:r>
      </w:hyperlink>
    </w:p>
    <w:p>
      <w:pPr>
        <w:pStyle w:val="BodyText"/>
      </w:pPr>
      <w:hyperlink r:id="rId69">
        <w:r>
          <w:rPr>
            <w:rStyle w:val="Hyperlink"/>
          </w:rPr>
          <w:t xml:space="preserve">[64]</w:t>
        </w:r>
      </w:hyperlink>
      <w:r>
        <w:t xml:space="preserve"> </w:t>
      </w:r>
      <w:hyperlink r:id="rId69">
        <w:r>
          <w:rPr>
            <w:rStyle w:val="Hyperlink"/>
          </w:rPr>
          <w:t xml:space="preserve">[69]</w:t>
        </w:r>
      </w:hyperlink>
      <w:r>
        <w:t xml:space="preserve"> </w:t>
      </w:r>
      <w:r>
        <w:t xml:space="preserve">https://www.twilio.com/en-us/sms/pricing/my</w:t>
      </w:r>
    </w:p>
    <w:p>
      <w:pPr>
        <w:pStyle w:val="BodyText"/>
      </w:pPr>
      <w:hyperlink r:id="rId69">
        <w:r>
          <w:rPr>
            <w:rStyle w:val="Hyperlink"/>
          </w:rPr>
          <w:t xml:space="preserve">https://www.twilio.com/en-us/sms/pricing/my</w:t>
        </w:r>
      </w:hyperlink>
    </w:p>
    <w:p>
      <w:pPr>
        <w:pStyle w:val="BodyText"/>
      </w:pPr>
      <w:hyperlink r:id="rId71">
        <w:r>
          <w:rPr>
            <w:rStyle w:val="Hyperlink"/>
          </w:rPr>
          <w:t xml:space="preserve">[65]</w:t>
        </w:r>
      </w:hyperlink>
      <w:r>
        <w:t xml:space="preserve"> </w:t>
      </w:r>
      <w:r>
        <w:t xml:space="preserve">https://azure.microsoft.com/en-us/pricing/details/app-service/windows/</w:t>
      </w:r>
    </w:p>
    <w:p>
      <w:pPr>
        <w:pStyle w:val="BodyText"/>
      </w:pPr>
      <w:hyperlink r:id="rId71">
        <w:r>
          <w:rPr>
            <w:rStyle w:val="Hyperlink"/>
          </w:rPr>
          <w:t xml:space="preserve">https://azure.microsoft.com/en-us/pricing/details/app-service/windows/</w:t>
        </w:r>
      </w:hyperlink>
    </w:p>
    <w:p>
      <w:pPr>
        <w:pStyle w:val="BodyText"/>
      </w:pPr>
      <w:hyperlink r:id="rId72">
        <w:r>
          <w:rPr>
            <w:rStyle w:val="Hyperlink"/>
          </w:rPr>
          <w:t xml:space="preserve">[67]</w:t>
        </w:r>
      </w:hyperlink>
      <w:r>
        <w:t xml:space="preserve"> </w:t>
      </w:r>
      <w:r>
        <w:t xml:space="preserve">https://www.cloudflare.com/plans/</w:t>
      </w:r>
    </w:p>
    <w:p>
      <w:pPr>
        <w:pStyle w:val="BodyText"/>
      </w:pPr>
      <w:hyperlink r:id="rId72">
        <w:r>
          <w:rPr>
            <w:rStyle w:val="Hyperlink"/>
          </w:rPr>
          <w:t xml:space="preserve">https://www.cloudflare.com/plans/</w:t>
        </w:r>
      </w:hyperlink>
    </w:p>
    <w:p>
      <w:pPr>
        <w:pStyle w:val="BodyText"/>
      </w:pPr>
      <w:hyperlink r:id="rId73">
        <w:r>
          <w:rPr>
            <w:rStyle w:val="Hyperlink"/>
          </w:rPr>
          <w:t xml:space="preserve">[68]</w:t>
        </w:r>
      </w:hyperlink>
      <w:r>
        <w:t xml:space="preserve"> </w:t>
      </w:r>
      <w:r>
        <w:t xml:space="preserve">https://aws.amazon.com/ses/pricing/</w:t>
      </w:r>
    </w:p>
    <w:p>
      <w:pPr>
        <w:pStyle w:val="BodyText"/>
      </w:pPr>
      <w:hyperlink r:id="rId73">
        <w:r>
          <w:rPr>
            <w:rStyle w:val="Hyperlink"/>
          </w:rPr>
          <w:t xml:space="preserve">https://aws.amazon.com/ses/pricing/</w:t>
        </w:r>
      </w:hyperlink>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3" Target="https://aws.amazon.com/ses/pricing/" TargetMode="External" /><Relationship Type="http://schemas.openxmlformats.org/officeDocument/2006/relationships/hyperlink" Id="rId71" Target="https://azure.microsoft.com/en-us/pricing/details/app-service/windows/" TargetMode="External" /><Relationship Type="http://schemas.openxmlformats.org/officeDocument/2006/relationships/hyperlink" Id="rId64" Target="https://calculator.aws/" TargetMode="External" /><Relationship Type="http://schemas.openxmlformats.org/officeDocument/2006/relationships/hyperlink" Id="rId65" Target="https://cloud.google.com/run/pricing" TargetMode="External" /><Relationship Type="http://schemas.openxmlformats.org/officeDocument/2006/relationships/hyperlink" Id="rId66" Target="https://cloud.google.com/sql/pricing" TargetMode="External" /><Relationship Type="http://schemas.openxmlformats.org/officeDocument/2006/relationships/hyperlink" Id="rId37" Target="https://dealersocket.com/solutions/crm-software/" TargetMode="External" /><Relationship Type="http://schemas.openxmlformats.org/officeDocument/2006/relationships/hyperlink" Id="rId67" Target="https://developers.cloudflare.com/r2/pricing/" TargetMode="External" /><Relationship Type="http://schemas.openxmlformats.org/officeDocument/2006/relationships/hyperlink" Id="rId26" Target="https://fookloi.net/proton/sign-in.php" TargetMode="External" /><Relationship Type="http://schemas.openxmlformats.org/officeDocument/2006/relationships/hyperlink" Id="rId21" Target="https://fookloi.net/proton/updateSalesBooking.php" TargetMode="External" /><Relationship Type="http://schemas.openxmlformats.org/officeDocument/2006/relationships/hyperlink" Id="rId22" Target="https://fookloi.net/proton/viewEditSalesBooking.php?sbid=8370" TargetMode="External" /><Relationship Type="http://schemas.openxmlformats.org/officeDocument/2006/relationships/hyperlink" Id="rId68" Target="https://learn.microsoft.com/en-us/azure/frontdoor/understanding-pricing" TargetMode="External" /><Relationship Type="http://schemas.openxmlformats.org/officeDocument/2006/relationships/hyperlink" Id="rId27" Target="https://lom.agc.gov.my/act-detail.php?act=709&amp;lang=BI&amp;type=principal" TargetMode="External" /><Relationship Type="http://schemas.openxmlformats.org/officeDocument/2006/relationships/hyperlink" Id="rId57" Target="https://lom.agc.gov.my/act-detail.php?act=A1727&amp;language=BI&amp;type=amendment" TargetMode="External" /><Relationship Type="http://schemas.openxmlformats.org/officeDocument/2006/relationships/hyperlink" Id="rId43" Target="https://lom.agc.gov.my/ilims/upload/portal/akta/LOM/EN/Act%20709%2014%206%202016.pdf" TargetMode="External" /><Relationship Type="http://schemas.openxmlformats.org/officeDocument/2006/relationships/hyperlink" Id="rId47" Target="https://owasp.org/Top10/2021/" TargetMode="External" /><Relationship Type="http://schemas.openxmlformats.org/officeDocument/2006/relationships/hyperlink" Id="rId23" Target="https://owasp.org/www-project-application-security-verification-standard/" TargetMode="External" /><Relationship Type="http://schemas.openxmlformats.org/officeDocument/2006/relationships/hyperlink" Id="rId48" Target="https://pages.nist.gov/800-63-4/sp800-63b.html" TargetMode="External" /><Relationship Type="http://schemas.openxmlformats.org/officeDocument/2006/relationships/hyperlink" Id="rId33" Target="https://tekion.com/products/dms" TargetMode="External" /><Relationship Type="http://schemas.openxmlformats.org/officeDocument/2006/relationships/hyperlink" Id="rId36" Target="https://us.dealertrack.com/content/dealertrack/en/dealer-management-solutions/platform.html" TargetMode="External" /><Relationship Type="http://schemas.openxmlformats.org/officeDocument/2006/relationships/hyperlink" Id="rId39" Target="https://www.autoraptor.com/features/" TargetMode="External" /><Relationship Type="http://schemas.openxmlformats.org/officeDocument/2006/relationships/hyperlink" Id="rId34" Target="https://www.cdkglobal.com/dms" TargetMode="External" /><Relationship Type="http://schemas.openxmlformats.org/officeDocument/2006/relationships/hyperlink" Id="rId72" Target="https://www.cloudflare.com/plans/" TargetMode="External" /><Relationship Type="http://schemas.openxmlformats.org/officeDocument/2006/relationships/hyperlink" Id="rId45" Target="https://www.jpj.gov.my/en/vehicle-licensing-fee-rates/" TargetMode="External" /><Relationship Type="http://schemas.openxmlformats.org/officeDocument/2006/relationships/hyperlink" Id="rId31" Target="https://www.pcauto.com/my/car-dealers/148" TargetMode="External" /><Relationship Type="http://schemas.openxmlformats.org/officeDocument/2006/relationships/hyperlink" Id="rId24" Target="https://www.pdp.gov.my/ppdpv1/" TargetMode="External" /><Relationship Type="http://schemas.openxmlformats.org/officeDocument/2006/relationships/hyperlink" Id="rId28" Target="https://www.pdp.gov.my/ppdpv1/wp-content/uploads/2024/11/Act-A1727.pdf" TargetMode="External" /><Relationship Type="http://schemas.openxmlformats.org/officeDocument/2006/relationships/hyperlink" Id="rId35" Target="https://www.reyrey.com/solutions/retail-management-system/era-ignite" TargetMode="External" /><Relationship Type="http://schemas.openxmlformats.org/officeDocument/2006/relationships/hyperlink" Id="rId40" Target="https://www.salesforce.com/automotive/cloud/" TargetMode="External" /><Relationship Type="http://schemas.openxmlformats.org/officeDocument/2006/relationships/hyperlink" Id="rId69" Target="https://www.twilio.com/en-us/sms/pricing/my" TargetMode="External" /><Relationship Type="http://schemas.openxmlformats.org/officeDocument/2006/relationships/hyperlink" Id="rId38" Target="https://www.vinsolutions.com/" TargetMode="External" /></Relationships>
</file>

<file path=word/_rels/footnotes.xml.rels><?xml version="1.0" encoding="UTF-8"?><Relationships xmlns="http://schemas.openxmlformats.org/package/2006/relationships"><Relationship Type="http://schemas.openxmlformats.org/officeDocument/2006/relationships/hyperlink" Id="rId73" Target="https://aws.amazon.com/ses/pricing/" TargetMode="External" /><Relationship Type="http://schemas.openxmlformats.org/officeDocument/2006/relationships/hyperlink" Id="rId71" Target="https://azure.microsoft.com/en-us/pricing/details/app-service/windows/" TargetMode="External" /><Relationship Type="http://schemas.openxmlformats.org/officeDocument/2006/relationships/hyperlink" Id="rId64" Target="https://calculator.aws/" TargetMode="External" /><Relationship Type="http://schemas.openxmlformats.org/officeDocument/2006/relationships/hyperlink" Id="rId65" Target="https://cloud.google.com/run/pricing" TargetMode="External" /><Relationship Type="http://schemas.openxmlformats.org/officeDocument/2006/relationships/hyperlink" Id="rId66" Target="https://cloud.google.com/sql/pricing" TargetMode="External" /><Relationship Type="http://schemas.openxmlformats.org/officeDocument/2006/relationships/hyperlink" Id="rId37" Target="https://dealersocket.com/solutions/crm-software/" TargetMode="External" /><Relationship Type="http://schemas.openxmlformats.org/officeDocument/2006/relationships/hyperlink" Id="rId67" Target="https://developers.cloudflare.com/r2/pricing/" TargetMode="External" /><Relationship Type="http://schemas.openxmlformats.org/officeDocument/2006/relationships/hyperlink" Id="rId26" Target="https://fookloi.net/proton/sign-in.php" TargetMode="External" /><Relationship Type="http://schemas.openxmlformats.org/officeDocument/2006/relationships/hyperlink" Id="rId21" Target="https://fookloi.net/proton/updateSalesBooking.php" TargetMode="External" /><Relationship Type="http://schemas.openxmlformats.org/officeDocument/2006/relationships/hyperlink" Id="rId22" Target="https://fookloi.net/proton/viewEditSalesBooking.php?sbid=8370" TargetMode="External" /><Relationship Type="http://schemas.openxmlformats.org/officeDocument/2006/relationships/hyperlink" Id="rId68" Target="https://learn.microsoft.com/en-us/azure/frontdoor/understanding-pricing" TargetMode="External" /><Relationship Type="http://schemas.openxmlformats.org/officeDocument/2006/relationships/hyperlink" Id="rId27" Target="https://lom.agc.gov.my/act-detail.php?act=709&amp;lang=BI&amp;type=principal" TargetMode="External" /><Relationship Type="http://schemas.openxmlformats.org/officeDocument/2006/relationships/hyperlink" Id="rId57" Target="https://lom.agc.gov.my/act-detail.php?act=A1727&amp;language=BI&amp;type=amendment" TargetMode="External" /><Relationship Type="http://schemas.openxmlformats.org/officeDocument/2006/relationships/hyperlink" Id="rId43" Target="https://lom.agc.gov.my/ilims/upload/portal/akta/LOM/EN/Act%20709%2014%206%202016.pdf" TargetMode="External" /><Relationship Type="http://schemas.openxmlformats.org/officeDocument/2006/relationships/hyperlink" Id="rId47" Target="https://owasp.org/Top10/2021/" TargetMode="External" /><Relationship Type="http://schemas.openxmlformats.org/officeDocument/2006/relationships/hyperlink" Id="rId23" Target="https://owasp.org/www-project-application-security-verification-standard/" TargetMode="External" /><Relationship Type="http://schemas.openxmlformats.org/officeDocument/2006/relationships/hyperlink" Id="rId48" Target="https://pages.nist.gov/800-63-4/sp800-63b.html" TargetMode="External" /><Relationship Type="http://schemas.openxmlformats.org/officeDocument/2006/relationships/hyperlink" Id="rId33" Target="https://tekion.com/products/dms" TargetMode="External" /><Relationship Type="http://schemas.openxmlformats.org/officeDocument/2006/relationships/hyperlink" Id="rId36" Target="https://us.dealertrack.com/content/dealertrack/en/dealer-management-solutions/platform.html" TargetMode="External" /><Relationship Type="http://schemas.openxmlformats.org/officeDocument/2006/relationships/hyperlink" Id="rId39" Target="https://www.autoraptor.com/features/" TargetMode="External" /><Relationship Type="http://schemas.openxmlformats.org/officeDocument/2006/relationships/hyperlink" Id="rId34" Target="https://www.cdkglobal.com/dms" TargetMode="External" /><Relationship Type="http://schemas.openxmlformats.org/officeDocument/2006/relationships/hyperlink" Id="rId72" Target="https://www.cloudflare.com/plans/" TargetMode="External" /><Relationship Type="http://schemas.openxmlformats.org/officeDocument/2006/relationships/hyperlink" Id="rId45" Target="https://www.jpj.gov.my/en/vehicle-licensing-fee-rates/" TargetMode="External" /><Relationship Type="http://schemas.openxmlformats.org/officeDocument/2006/relationships/hyperlink" Id="rId31" Target="https://www.pcauto.com/my/car-dealers/148" TargetMode="External" /><Relationship Type="http://schemas.openxmlformats.org/officeDocument/2006/relationships/hyperlink" Id="rId24" Target="https://www.pdp.gov.my/ppdpv1/" TargetMode="External" /><Relationship Type="http://schemas.openxmlformats.org/officeDocument/2006/relationships/hyperlink" Id="rId28" Target="https://www.pdp.gov.my/ppdpv1/wp-content/uploads/2024/11/Act-A1727.pdf" TargetMode="External" /><Relationship Type="http://schemas.openxmlformats.org/officeDocument/2006/relationships/hyperlink" Id="rId35" Target="https://www.reyrey.com/solutions/retail-management-system/era-ignite" TargetMode="External" /><Relationship Type="http://schemas.openxmlformats.org/officeDocument/2006/relationships/hyperlink" Id="rId40" Target="https://www.salesforce.com/automotive/cloud/" TargetMode="External" /><Relationship Type="http://schemas.openxmlformats.org/officeDocument/2006/relationships/hyperlink" Id="rId69" Target="https://www.twilio.com/en-us/sms/pricing/my" TargetMode="External" /><Relationship Type="http://schemas.openxmlformats.org/officeDocument/2006/relationships/hyperlink" Id="rId38" Target="https://www.vinsolution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2026-04-08T13:02:08Z</dcterms:created>
  <dcterms:modified xsi:type="dcterms:W3CDTF">2026-04-08T13:02:08Z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