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0B0F">
      <w:pPr>
        <w:spacing w:line="520" w:lineRule="exact"/>
        <w:jc w:val="center"/>
        <w:rPr>
          <w:rFonts w:hint="eastAsia" w:asciiTheme="majorEastAsia" w:hAnsiTheme="majorEastAsia" w:eastAsiaTheme="majorEastAsia" w:cstheme="majorEastAsia"/>
          <w:b/>
          <w:bCs/>
          <w:sz w:val="44"/>
          <w:szCs w:val="44"/>
          <w:highlight w:val="none"/>
        </w:rPr>
      </w:pPr>
    </w:p>
    <w:p w14:paraId="77C3EE53">
      <w:pPr>
        <w:spacing w:line="520" w:lineRule="exact"/>
        <w:jc w:val="center"/>
        <w:rPr>
          <w:rFonts w:hint="eastAsia" w:asciiTheme="majorEastAsia" w:hAnsiTheme="majorEastAsia" w:eastAsiaTheme="majorEastAsia" w:cstheme="majorEastAsia"/>
          <w:b/>
          <w:bCs/>
          <w:sz w:val="44"/>
          <w:szCs w:val="44"/>
          <w:highlight w:val="none"/>
        </w:rPr>
      </w:pPr>
    </w:p>
    <w:p w14:paraId="0DB315FA">
      <w:pPr>
        <w:spacing w:line="520" w:lineRule="exact"/>
        <w:jc w:val="center"/>
        <w:rPr>
          <w:rFonts w:hint="eastAsia" w:asciiTheme="majorEastAsia" w:hAnsiTheme="majorEastAsia" w:eastAsiaTheme="majorEastAsia" w:cstheme="majorEastAsia"/>
          <w:b/>
          <w:bCs/>
          <w:sz w:val="44"/>
          <w:szCs w:val="44"/>
          <w:highlight w:val="none"/>
        </w:rPr>
      </w:pPr>
    </w:p>
    <w:p w14:paraId="158D3C24">
      <w:pPr>
        <w:spacing w:line="520" w:lineRule="exact"/>
        <w:jc w:val="center"/>
        <w:rPr>
          <w:rFonts w:hint="eastAsia" w:asciiTheme="majorEastAsia" w:hAnsiTheme="majorEastAsia" w:eastAsiaTheme="majorEastAsia" w:cstheme="majorEastAsia"/>
          <w:b/>
          <w:bCs/>
          <w:sz w:val="44"/>
          <w:szCs w:val="44"/>
          <w:highlight w:val="none"/>
        </w:rPr>
      </w:pPr>
    </w:p>
    <w:p w14:paraId="24F9D0B3">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土 地 估 价 报 告</w:t>
      </w:r>
    </w:p>
    <w:p w14:paraId="2E50EE65">
      <w:pPr>
        <w:spacing w:line="520" w:lineRule="exact"/>
        <w:jc w:val="center"/>
        <w:rPr>
          <w:rFonts w:hint="eastAsia" w:asciiTheme="majorEastAsia" w:hAnsiTheme="majorEastAsia" w:eastAsiaTheme="majorEastAsia" w:cstheme="majorEastAsia"/>
          <w:sz w:val="44"/>
          <w:szCs w:val="44"/>
          <w:highlight w:val="none"/>
        </w:rPr>
      </w:pPr>
    </w:p>
    <w:p w14:paraId="467E9F4E">
      <w:pPr>
        <w:spacing w:line="520" w:lineRule="exact"/>
        <w:rPr>
          <w:sz w:val="32"/>
          <w:highlight w:val="none"/>
        </w:rPr>
      </w:pPr>
    </w:p>
    <w:tbl>
      <w:tblPr>
        <w:tblStyle w:val="12"/>
        <w:tblpPr w:leftFromText="180" w:rightFromText="180" w:vertAnchor="text" w:horzAnchor="page" w:tblpX="1303" w:tblpY="1108"/>
        <w:tblOverlap w:val="never"/>
        <w:tblW w:w="9741" w:type="dxa"/>
        <w:tblInd w:w="0" w:type="dxa"/>
        <w:tblLayout w:type="fixed"/>
        <w:tblCellMar>
          <w:top w:w="0" w:type="dxa"/>
          <w:left w:w="108" w:type="dxa"/>
          <w:bottom w:w="0" w:type="dxa"/>
          <w:right w:w="108" w:type="dxa"/>
        </w:tblCellMar>
      </w:tblPr>
      <w:tblGrid>
        <w:gridCol w:w="3364"/>
        <w:gridCol w:w="6377"/>
      </w:tblGrid>
      <w:tr w14:paraId="2AECAE1C">
        <w:tblPrEx>
          <w:tblCellMar>
            <w:top w:w="0" w:type="dxa"/>
            <w:left w:w="108" w:type="dxa"/>
            <w:bottom w:w="0" w:type="dxa"/>
            <w:right w:w="108" w:type="dxa"/>
          </w:tblCellMar>
        </w:tblPrEx>
        <w:trPr>
          <w:trHeight w:val="1820" w:hRule="atLeast"/>
        </w:trPr>
        <w:tc>
          <w:tcPr>
            <w:tcW w:w="3364" w:type="dxa"/>
            <w:vAlign w:val="center"/>
          </w:tcPr>
          <w:p w14:paraId="62EE682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b/>
                <w:bCs/>
                <w:spacing w:val="14"/>
                <w:sz w:val="32"/>
                <w:szCs w:val="32"/>
                <w:highlight w:val="none"/>
              </w:rPr>
            </w:pPr>
            <w:r>
              <w:rPr>
                <w:rFonts w:hint="eastAsia" w:ascii="楷体" w:hAnsi="楷体" w:eastAsia="楷体"/>
                <w:b/>
                <w:bCs/>
                <w:spacing w:val="32"/>
                <w:kern w:val="0"/>
                <w:sz w:val="32"/>
                <w:szCs w:val="32"/>
                <w:highlight w:val="none"/>
                <w:fitText w:val="3200" w:id="676294051"/>
              </w:rPr>
              <w:t>项  目  名  称</w:t>
            </w:r>
            <w:r>
              <w:rPr>
                <w:rFonts w:hint="eastAsia" w:ascii="楷体" w:hAnsi="楷体" w:eastAsia="楷体"/>
                <w:b/>
                <w:bCs/>
                <w:spacing w:val="0"/>
                <w:kern w:val="0"/>
                <w:sz w:val="32"/>
                <w:szCs w:val="32"/>
                <w:highlight w:val="none"/>
                <w:fitText w:val="3200" w:id="676294051"/>
              </w:rPr>
              <w:t>：</w:t>
            </w:r>
          </w:p>
        </w:tc>
        <w:tc>
          <w:tcPr>
            <w:tcW w:w="6377" w:type="dxa"/>
            <w:vAlign w:val="center"/>
          </w:tcPr>
          <w:p w14:paraId="42CCF805">
            <w:pPr>
              <w:pStyle w:val="8"/>
              <w:keepNext w:val="0"/>
              <w:keepLines w:val="0"/>
              <w:pageBreakBefore w:val="0"/>
              <w:widowControl w:val="0"/>
              <w:suppressLineNumbers w:val="0"/>
              <w:tabs>
                <w:tab w:val="left" w:pos="0"/>
              </w:tabs>
              <w:kinsoku/>
              <w:wordWrap/>
              <w:overflowPunct/>
              <w:topLinePunct w:val="0"/>
              <w:autoSpaceDE/>
              <w:autoSpaceDN/>
              <w:bidi w:val="0"/>
              <w:adjustRightInd w:val="0"/>
              <w:snapToGrid w:val="0"/>
              <w:spacing w:before="0" w:beforeAutospacing="0" w:after="0" w:afterAutospacing="0" w:line="480" w:lineRule="exact"/>
              <w:ind w:right="0" w:rightChars="0"/>
              <w:jc w:val="both"/>
              <w:textAlignment w:val="auto"/>
              <w:rPr>
                <w:rFonts w:hint="default" w:ascii="楷体" w:hAnsi="楷体" w:eastAsia="楷体"/>
                <w:spacing w:val="14"/>
                <w:sz w:val="32"/>
                <w:szCs w:val="32"/>
                <w:highlight w:val="none"/>
                <w:lang w:val="en-US" w:eastAsia="zh-CN"/>
              </w:rPr>
            </w:pPr>
            <w:r>
              <w:rPr>
                <w:rFonts w:hint="default" w:ascii="楷体" w:hAnsi="楷体" w:eastAsia="楷体"/>
                <w:spacing w:val="14"/>
                <w:sz w:val="32"/>
                <w:szCs w:val="32"/>
                <w:highlight w:val="none"/>
                <w:lang w:val="en-US" w:eastAsia="zh-CN"/>
              </w:rPr>
              <w:t>道县自然资源局</w:t>
            </w:r>
            <w:r>
              <w:rPr>
                <w:rFonts w:hint="eastAsia" w:ascii="楷体" w:hAnsi="楷体" w:eastAsia="楷体" w:cs="楷体"/>
                <w:bCs/>
                <w:color w:val="auto"/>
                <w:sz w:val="32"/>
                <w:szCs w:val="32"/>
                <w:highlight w:val="none"/>
                <w:lang w:val="en-US" w:eastAsia="zh-CN"/>
              </w:rPr>
              <w:t>办理土地使用权出让手续涉及</w:t>
            </w:r>
            <w:r>
              <w:rPr>
                <w:rFonts w:hint="default" w:ascii="楷体" w:hAnsi="楷体" w:eastAsia="楷体"/>
                <w:spacing w:val="14"/>
                <w:sz w:val="32"/>
                <w:szCs w:val="32"/>
                <w:highlight w:val="none"/>
                <w:lang w:val="en-US" w:eastAsia="zh-CN"/>
              </w:rPr>
              <w:t>的位于</w:t>
            </w:r>
            <w:r>
              <w:rPr>
                <w:rFonts w:hint="eastAsia" w:ascii="楷体" w:hAnsi="楷体" w:eastAsia="楷体"/>
                <w:spacing w:val="14"/>
                <w:sz w:val="32"/>
                <w:szCs w:val="32"/>
                <w:highlight w:val="none"/>
                <w:lang w:val="en-US" w:eastAsia="zh-CN"/>
              </w:rPr>
              <w:t>道县月岩西路</w:t>
            </w:r>
            <w:r>
              <w:rPr>
                <w:rFonts w:hint="default" w:ascii="楷体" w:hAnsi="楷体" w:eastAsia="楷体"/>
                <w:spacing w:val="14"/>
                <w:sz w:val="32"/>
                <w:szCs w:val="32"/>
                <w:highlight w:val="none"/>
                <w:lang w:val="en-US" w:eastAsia="zh-CN"/>
              </w:rPr>
              <w:t>的一宗住宅用途国有建设用地使用权市场价格评估</w:t>
            </w:r>
          </w:p>
        </w:tc>
      </w:tr>
      <w:tr w14:paraId="1BDC1475">
        <w:tblPrEx>
          <w:tblCellMar>
            <w:top w:w="0" w:type="dxa"/>
            <w:left w:w="108" w:type="dxa"/>
            <w:bottom w:w="0" w:type="dxa"/>
            <w:right w:w="108" w:type="dxa"/>
          </w:tblCellMar>
        </w:tblPrEx>
        <w:trPr>
          <w:trHeight w:val="1134" w:hRule="atLeast"/>
        </w:trPr>
        <w:tc>
          <w:tcPr>
            <w:tcW w:w="3364" w:type="dxa"/>
            <w:vAlign w:val="center"/>
          </w:tcPr>
          <w:p w14:paraId="522D9DA5">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ascii="楷体" w:hAnsi="楷体" w:eastAsia="楷体"/>
                <w:b/>
                <w:bCs/>
                <w:spacing w:val="80"/>
                <w:kern w:val="0"/>
                <w:sz w:val="32"/>
                <w:szCs w:val="32"/>
                <w:highlight w:val="none"/>
                <w:fitText w:val="3200" w:id="237595524"/>
              </w:rPr>
              <w:t>受托估价单位</w:t>
            </w:r>
            <w:r>
              <w:rPr>
                <w:rFonts w:ascii="楷体" w:hAnsi="楷体" w:eastAsia="楷体"/>
                <w:b/>
                <w:bCs/>
                <w:spacing w:val="0"/>
                <w:kern w:val="0"/>
                <w:sz w:val="32"/>
                <w:szCs w:val="32"/>
                <w:highlight w:val="none"/>
                <w:fitText w:val="3200" w:id="237595524"/>
              </w:rPr>
              <w:t>：</w:t>
            </w:r>
          </w:p>
        </w:tc>
        <w:tc>
          <w:tcPr>
            <w:tcW w:w="6377" w:type="dxa"/>
            <w:vAlign w:val="center"/>
          </w:tcPr>
          <w:p w14:paraId="212B9C1F">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ascii="楷体" w:hAnsi="楷体" w:eastAsia="楷体"/>
                <w:spacing w:val="14"/>
                <w:sz w:val="32"/>
                <w:szCs w:val="32"/>
                <w:highlight w:val="none"/>
              </w:rPr>
            </w:pPr>
            <w:r>
              <w:rPr>
                <w:rFonts w:hint="eastAsia" w:ascii="楷体" w:hAnsi="楷体" w:eastAsia="楷体"/>
                <w:spacing w:val="14"/>
                <w:sz w:val="32"/>
                <w:szCs w:val="32"/>
                <w:highlight w:val="none"/>
                <w:lang w:eastAsia="zh-CN"/>
              </w:rPr>
              <w:t>湖南兆财不动产规划评估有限公司</w:t>
            </w:r>
          </w:p>
        </w:tc>
      </w:tr>
      <w:tr w14:paraId="2DB607AD">
        <w:tblPrEx>
          <w:tblCellMar>
            <w:top w:w="0" w:type="dxa"/>
            <w:left w:w="108" w:type="dxa"/>
            <w:bottom w:w="0" w:type="dxa"/>
            <w:right w:w="108" w:type="dxa"/>
          </w:tblCellMar>
        </w:tblPrEx>
        <w:trPr>
          <w:trHeight w:val="1134" w:hRule="atLeast"/>
        </w:trPr>
        <w:tc>
          <w:tcPr>
            <w:tcW w:w="3364" w:type="dxa"/>
            <w:vAlign w:val="center"/>
          </w:tcPr>
          <w:p w14:paraId="6A3C88CB">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highlight w:val="none"/>
              </w:rPr>
            </w:pPr>
            <w:r>
              <w:rPr>
                <w:rFonts w:ascii="楷体" w:hAnsi="楷体" w:eastAsia="楷体"/>
                <w:b/>
                <w:bCs/>
                <w:spacing w:val="20"/>
                <w:kern w:val="0"/>
                <w:sz w:val="32"/>
                <w:szCs w:val="32"/>
                <w:highlight w:val="none"/>
                <w:fitText w:val="3200" w:id="77156251"/>
              </w:rPr>
              <w:t>土地估价报告编号</w:t>
            </w:r>
            <w:r>
              <w:rPr>
                <w:rFonts w:ascii="楷体" w:hAnsi="楷体" w:eastAsia="楷体"/>
                <w:b/>
                <w:bCs/>
                <w:spacing w:val="0"/>
                <w:kern w:val="0"/>
                <w:sz w:val="32"/>
                <w:szCs w:val="32"/>
                <w:highlight w:val="none"/>
                <w:fitText w:val="3200" w:id="77156251"/>
              </w:rPr>
              <w:t>：</w:t>
            </w:r>
          </w:p>
        </w:tc>
        <w:tc>
          <w:tcPr>
            <w:tcW w:w="6377" w:type="dxa"/>
            <w:vAlign w:val="center"/>
          </w:tcPr>
          <w:p w14:paraId="10BB2AC7">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spacing w:val="14"/>
                <w:sz w:val="32"/>
                <w:szCs w:val="32"/>
                <w:highlight w:val="none"/>
                <w:lang w:val="en-US" w:eastAsia="zh-CN"/>
              </w:rPr>
            </w:pP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湖南</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湘兆财土地</w:t>
            </w:r>
            <w:r>
              <w:rPr>
                <w:rFonts w:hint="eastAsia" w:ascii="楷体" w:hAnsi="楷体" w:eastAsia="楷体"/>
                <w:color w:val="auto"/>
                <w:spacing w:val="-11"/>
                <w:sz w:val="32"/>
                <w:szCs w:val="32"/>
                <w:highlight w:val="none"/>
                <w:lang w:eastAsia="zh-CN"/>
              </w:rPr>
              <w:t>[202</w:t>
            </w:r>
            <w:r>
              <w:rPr>
                <w:rFonts w:hint="eastAsia" w:ascii="楷体" w:hAnsi="楷体" w:eastAsia="楷体"/>
                <w:color w:val="auto"/>
                <w:spacing w:val="-11"/>
                <w:sz w:val="32"/>
                <w:szCs w:val="32"/>
                <w:highlight w:val="none"/>
                <w:lang w:val="en-US" w:eastAsia="zh-CN"/>
              </w:rPr>
              <w:t>6</w:t>
            </w:r>
            <w:r>
              <w:rPr>
                <w:rFonts w:hint="eastAsia" w:ascii="楷体" w:hAnsi="楷体" w:eastAsia="楷体"/>
                <w:color w:val="auto"/>
                <w:spacing w:val="-11"/>
                <w:sz w:val="32"/>
                <w:szCs w:val="32"/>
                <w:highlight w:val="none"/>
                <w:lang w:eastAsia="zh-CN"/>
              </w:rPr>
              <w:t>]（</w:t>
            </w:r>
            <w:r>
              <w:rPr>
                <w:rFonts w:hint="eastAsia" w:ascii="楷体" w:hAnsi="楷体" w:eastAsia="楷体"/>
                <w:color w:val="auto"/>
                <w:spacing w:val="-11"/>
                <w:sz w:val="32"/>
                <w:szCs w:val="32"/>
                <w:highlight w:val="none"/>
                <w:lang w:val="en-US" w:eastAsia="zh-CN"/>
              </w:rPr>
              <w:t>估</w:t>
            </w:r>
            <w:r>
              <w:rPr>
                <w:rFonts w:hint="eastAsia" w:ascii="楷体" w:hAnsi="楷体" w:eastAsia="楷体"/>
                <w:color w:val="auto"/>
                <w:spacing w:val="-11"/>
                <w:sz w:val="32"/>
                <w:szCs w:val="32"/>
                <w:highlight w:val="none"/>
                <w:lang w:eastAsia="zh-CN"/>
              </w:rPr>
              <w:t>）字第</w:t>
            </w:r>
            <w:r>
              <w:rPr>
                <w:rFonts w:hint="eastAsia" w:ascii="楷体" w:hAnsi="楷体" w:eastAsia="楷体"/>
                <w:color w:val="auto"/>
                <w:spacing w:val="-11"/>
                <w:sz w:val="32"/>
                <w:szCs w:val="32"/>
                <w:highlight w:val="none"/>
                <w:lang w:val="en-US" w:eastAsia="zh-CN"/>
              </w:rPr>
              <w:t>ZC0007号</w:t>
            </w:r>
          </w:p>
        </w:tc>
      </w:tr>
      <w:tr w14:paraId="5FDA5F4D">
        <w:tblPrEx>
          <w:tblCellMar>
            <w:top w:w="0" w:type="dxa"/>
            <w:left w:w="108" w:type="dxa"/>
            <w:bottom w:w="0" w:type="dxa"/>
            <w:right w:w="108" w:type="dxa"/>
          </w:tblCellMar>
        </w:tblPrEx>
        <w:trPr>
          <w:trHeight w:val="1134" w:hRule="atLeast"/>
        </w:trPr>
        <w:tc>
          <w:tcPr>
            <w:tcW w:w="3364" w:type="dxa"/>
            <w:vAlign w:val="center"/>
          </w:tcPr>
          <w:p w14:paraId="79094739">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lang w:val="en-US" w:eastAsia="zh-CN"/>
              </w:rPr>
            </w:pPr>
            <w:r>
              <w:rPr>
                <w:rFonts w:hint="eastAsia" w:ascii="楷体" w:hAnsi="楷体" w:eastAsia="楷体"/>
                <w:b/>
                <w:bCs/>
                <w:spacing w:val="7"/>
                <w:kern w:val="0"/>
                <w:sz w:val="32"/>
                <w:szCs w:val="32"/>
                <w:highlight w:val="none"/>
                <w:fitText w:val="3200" w:id="553343314"/>
              </w:rPr>
              <w:t>电 子 备 案 编 号</w:t>
            </w:r>
            <w:r>
              <w:rPr>
                <w:rFonts w:hint="eastAsia" w:ascii="楷体" w:hAnsi="楷体" w:eastAsia="楷体"/>
                <w:b/>
                <w:bCs/>
                <w:spacing w:val="3"/>
                <w:kern w:val="0"/>
                <w:sz w:val="32"/>
                <w:szCs w:val="32"/>
                <w:highlight w:val="none"/>
                <w:fitText w:val="3200" w:id="553343314"/>
              </w:rPr>
              <w:t>：</w:t>
            </w:r>
          </w:p>
        </w:tc>
        <w:tc>
          <w:tcPr>
            <w:tcW w:w="6377" w:type="dxa"/>
            <w:vAlign w:val="center"/>
          </w:tcPr>
          <w:p w14:paraId="6090D46E">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cs="Times New Roman"/>
                <w:color w:val="auto"/>
                <w:spacing w:val="14"/>
                <w:kern w:val="2"/>
                <w:sz w:val="32"/>
                <w:szCs w:val="32"/>
                <w:highlight w:val="none"/>
                <w:lang w:val="en-US" w:eastAsia="zh-CN" w:bidi="ar-SA"/>
              </w:rPr>
            </w:pPr>
            <w:r>
              <w:rPr>
                <w:rFonts w:hint="eastAsia" w:ascii="楷体" w:hAnsi="楷体" w:eastAsia="楷体" w:cs="Times New Roman"/>
                <w:color w:val="auto"/>
                <w:spacing w:val="14"/>
                <w:kern w:val="2"/>
                <w:sz w:val="32"/>
                <w:szCs w:val="32"/>
                <w:highlight w:val="none"/>
                <w:lang w:val="en-US" w:eastAsia="zh-CN" w:bidi="ar-SA"/>
              </w:rPr>
              <w:t>详见备案页</w:t>
            </w:r>
          </w:p>
        </w:tc>
      </w:tr>
      <w:tr w14:paraId="3D671817">
        <w:tblPrEx>
          <w:tblCellMar>
            <w:top w:w="0" w:type="dxa"/>
            <w:left w:w="108" w:type="dxa"/>
            <w:bottom w:w="0" w:type="dxa"/>
            <w:right w:w="108" w:type="dxa"/>
          </w:tblCellMar>
        </w:tblPrEx>
        <w:trPr>
          <w:trHeight w:val="1134" w:hRule="atLeast"/>
        </w:trPr>
        <w:tc>
          <w:tcPr>
            <w:tcW w:w="3364" w:type="dxa"/>
            <w:vAlign w:val="center"/>
          </w:tcPr>
          <w:p w14:paraId="43AE1BD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hint="eastAsia" w:ascii="楷体" w:hAnsi="楷体" w:eastAsia="楷体"/>
                <w:b/>
                <w:bCs/>
                <w:spacing w:val="20"/>
                <w:kern w:val="0"/>
                <w:sz w:val="32"/>
                <w:szCs w:val="32"/>
                <w:highlight w:val="none"/>
                <w:fitText w:val="3200" w:id="1022711215"/>
              </w:rPr>
              <w:t>提交估价报告日期</w:t>
            </w:r>
            <w:r>
              <w:rPr>
                <w:rFonts w:hint="eastAsia" w:ascii="楷体" w:hAnsi="楷体" w:eastAsia="楷体"/>
                <w:b/>
                <w:bCs/>
                <w:spacing w:val="0"/>
                <w:kern w:val="0"/>
                <w:sz w:val="32"/>
                <w:szCs w:val="32"/>
                <w:highlight w:val="none"/>
                <w:fitText w:val="3200" w:id="1022711215"/>
              </w:rPr>
              <w:t>：</w:t>
            </w:r>
          </w:p>
        </w:tc>
        <w:tc>
          <w:tcPr>
            <w:tcW w:w="6377" w:type="dxa"/>
            <w:vAlign w:val="center"/>
          </w:tcPr>
          <w:p w14:paraId="3534AD05">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eastAsia" w:ascii="楷体" w:hAnsi="楷体" w:eastAsia="楷体" w:cs="楷体"/>
                <w:spacing w:val="-20"/>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五</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二十</w:t>
            </w:r>
            <w:r>
              <w:rPr>
                <w:rFonts w:hint="eastAsia" w:ascii="楷体" w:hAnsi="楷体" w:eastAsia="楷体" w:cs="楷体"/>
                <w:spacing w:val="-20"/>
                <w:sz w:val="32"/>
                <w:szCs w:val="32"/>
                <w:highlight w:val="none"/>
                <w:lang w:eastAsia="zh-CN"/>
              </w:rPr>
              <w:t>日</w:t>
            </w:r>
          </w:p>
        </w:tc>
      </w:tr>
    </w:tbl>
    <w:p w14:paraId="61B3D96C">
      <w:pPr>
        <w:rPr>
          <w:highlight w:val="none"/>
        </w:rPr>
      </w:pPr>
      <w:r>
        <w:rPr>
          <w:highlight w:val="none"/>
        </w:rPr>
        <w:br w:type="page"/>
      </w:r>
    </w:p>
    <w:p w14:paraId="7745CF90">
      <w:pPr>
        <w:pStyle w:val="16"/>
        <w:spacing w:line="360" w:lineRule="auto"/>
        <w:outlineLvl w:val="0"/>
        <w:rPr>
          <w:rFonts w:hint="eastAsia" w:asciiTheme="majorEastAsia" w:hAnsiTheme="majorEastAsia" w:eastAsiaTheme="majorEastAsia" w:cstheme="majorEastAsia"/>
          <w:color w:val="auto"/>
          <w:sz w:val="32"/>
          <w:szCs w:val="32"/>
          <w:highlight w:val="none"/>
        </w:rPr>
      </w:pPr>
      <w:r>
        <w:rPr>
          <w:rFonts w:hint="eastAsia" w:asciiTheme="majorEastAsia" w:hAnsiTheme="majorEastAsia" w:eastAsiaTheme="majorEastAsia" w:cstheme="majorEastAsia"/>
          <w:b/>
          <w:bCs/>
          <w:color w:val="auto"/>
          <w:sz w:val="32"/>
          <w:szCs w:val="32"/>
          <w:highlight w:val="none"/>
        </w:rPr>
        <w:t>土 地 估 价 报 告</w:t>
      </w:r>
    </w:p>
    <w:p w14:paraId="332B4298">
      <w:pPr>
        <w:pStyle w:val="17"/>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w:t>
      </w:r>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摘要</w:t>
      </w:r>
    </w:p>
    <w:p w14:paraId="7520881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0E56D6DF">
      <w:pPr>
        <w:pStyle w:val="11"/>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b w:val="0"/>
          <w:bCs/>
          <w:color w:val="auto"/>
          <w:kern w:val="2"/>
          <w:sz w:val="28"/>
          <w:szCs w:val="28"/>
          <w:highlight w:val="none"/>
          <w:lang w:val="en-GB" w:eastAsia="zh-CN" w:bidi="ar-SA"/>
        </w:rPr>
      </w:pPr>
      <w:r>
        <w:rPr>
          <w:rFonts w:hint="default" w:ascii="仿宋_GB2312" w:hAnsi="仿宋_GB2312" w:eastAsia="仿宋_GB2312" w:cs="仿宋_GB2312"/>
          <w:b w:val="0"/>
          <w:bCs/>
          <w:color w:val="auto"/>
          <w:kern w:val="2"/>
          <w:sz w:val="28"/>
          <w:szCs w:val="28"/>
          <w:highlight w:val="none"/>
          <w:lang w:val="en-US" w:eastAsia="zh-CN" w:bidi="ar-SA"/>
        </w:rPr>
        <w:t>道县自然资源局办理土地使用权出让手续涉及的位于道县月岩西路的一宗住宅用途国有建设用地使用权市场价格评估</w:t>
      </w:r>
    </w:p>
    <w:p w14:paraId="6CB2082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委托估价方</w:t>
      </w:r>
    </w:p>
    <w:p w14:paraId="0E53D9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GB"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w:t>
      </w:r>
    </w:p>
    <w:p w14:paraId="14029CA1">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估价目的</w:t>
      </w:r>
    </w:p>
    <w:p w14:paraId="1E81270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GB" w:eastAsia="zh-CN"/>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委托方提供的《评估委托书》，</w:t>
      </w:r>
      <w:r>
        <w:rPr>
          <w:rFonts w:hint="eastAsia" w:ascii="仿宋_GB2312" w:hAnsi="仿宋_GB2312" w:eastAsia="仿宋_GB2312" w:cs="仿宋_GB2312"/>
          <w:bCs/>
          <w:color w:val="auto"/>
          <w:sz w:val="28"/>
          <w:szCs w:val="28"/>
          <w:highlight w:val="none"/>
          <w:lang w:val="en-US" w:eastAsia="zh-CN"/>
        </w:rPr>
        <w:t>道县自然资源局</w:t>
      </w:r>
      <w:r>
        <w:rPr>
          <w:rFonts w:hint="default" w:ascii="仿宋_GB2312" w:hAnsi="仿宋_GB2312" w:eastAsia="仿宋_GB2312" w:cs="仿宋_GB2312"/>
          <w:bCs/>
          <w:color w:val="auto"/>
          <w:sz w:val="28"/>
          <w:szCs w:val="28"/>
          <w:highlight w:val="none"/>
          <w:lang w:val="en-GB" w:eastAsia="zh-CN"/>
        </w:rPr>
        <w:t>拟了解一宗位于</w:t>
      </w:r>
      <w:r>
        <w:rPr>
          <w:rFonts w:hint="default" w:ascii="仿宋_GB2312" w:hAnsi="仿宋_GB2312" w:eastAsia="仿宋_GB2312" w:cs="仿宋_GB2312"/>
          <w:b w:val="0"/>
          <w:bCs/>
          <w:color w:val="auto"/>
          <w:kern w:val="2"/>
          <w:sz w:val="28"/>
          <w:szCs w:val="28"/>
          <w:highlight w:val="none"/>
          <w:lang w:val="en-US" w:eastAsia="zh-CN" w:bidi="ar-SA"/>
        </w:rPr>
        <w:t>道县月岩西路</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eastAsia" w:ascii="仿宋_GB2312" w:eastAsia="仿宋_GB2312"/>
          <w:color w:val="000000" w:themeColor="text1"/>
          <w:sz w:val="28"/>
          <w:szCs w:val="30"/>
          <w:highlight w:val="none"/>
          <w:lang w:eastAsia="zh-CN"/>
          <w14:textFill>
            <w14:solidFill>
              <w14:schemeClr w14:val="tx1"/>
            </w14:solidFill>
          </w14:textFill>
        </w:rPr>
        <w:t>。</w:t>
      </w:r>
    </w:p>
    <w:p w14:paraId="5B9409D7">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估价期日为2026年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7043E5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2026年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18</w:t>
      </w:r>
      <w:r>
        <w:rPr>
          <w:rFonts w:hint="eastAsia" w:ascii="仿宋_GB2312" w:eastAsia="仿宋_GB2312"/>
          <w:color w:val="000000" w:themeColor="text1"/>
          <w:sz w:val="28"/>
          <w:szCs w:val="28"/>
          <w:highlight w:val="none"/>
          <w:lang w:eastAsia="zh-CN"/>
          <w14:textFill>
            <w14:solidFill>
              <w14:schemeClr w14:val="tx1"/>
            </w14:solidFill>
          </w14:textFill>
        </w:rPr>
        <w:t>日至202</w:t>
      </w:r>
      <w:r>
        <w:rPr>
          <w:rFonts w:hint="eastAsia" w:ascii="仿宋_GB2312" w:eastAsia="仿宋_GB2312"/>
          <w:color w:val="000000" w:themeColor="text1"/>
          <w:sz w:val="28"/>
          <w:szCs w:val="28"/>
          <w:highlight w:val="none"/>
          <w:lang w:val="en-US" w:eastAsia="zh-CN"/>
          <w14:textFill>
            <w14:solidFill>
              <w14:schemeClr w14:val="tx1"/>
            </w14:solidFill>
          </w14:textFill>
        </w:rPr>
        <w:t>6</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20</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0CE0776C">
      <w:pPr>
        <w:keepNext w:val="0"/>
        <w:keepLines w:val="0"/>
        <w:pageBreakBefore w:val="0"/>
        <w:widowControl w:val="0"/>
        <w:numPr>
          <w:ilvl w:val="0"/>
          <w:numId w:val="1"/>
        </w:numPr>
        <w:kinsoku/>
        <w:wordWrap/>
        <w:overflowPunct/>
        <w:topLinePunct w:val="0"/>
        <w:autoSpaceDE/>
        <w:autoSpaceDN/>
        <w:bidi w:val="0"/>
        <w:adjustRightInd w:val="0"/>
        <w:snapToGrid w:val="0"/>
        <w:spacing w:line="46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地价定义</w:t>
      </w:r>
    </w:p>
    <w:p w14:paraId="73AEC22F">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z w:val="28"/>
          <w:highlight w:val="none"/>
          <w:lang w:val="en-US" w:eastAsia="zh-CN"/>
        </w:rPr>
      </w:pPr>
      <w:r>
        <w:rPr>
          <w:rFonts w:hint="eastAsia" w:ascii="仿宋_GB2312" w:hAnsi="仿宋_GB2312" w:eastAsia="仿宋_GB2312" w:cs="仿宋_GB2312"/>
          <w:bCs/>
          <w:sz w:val="28"/>
          <w:szCs w:val="28"/>
          <w:highlight w:val="none"/>
          <w:lang w:eastAsia="zh-CN"/>
        </w:rPr>
        <w:t>根据</w:t>
      </w:r>
      <w:r>
        <w:rPr>
          <w:rFonts w:hint="eastAsia" w:ascii="仿宋_GB2312" w:hAnsi="仿宋_GB2312" w:eastAsia="仿宋_GB2312" w:cs="仿宋_GB2312"/>
          <w:bCs/>
          <w:sz w:val="28"/>
          <w:szCs w:val="28"/>
          <w:highlight w:val="none"/>
          <w:lang w:val="en-US" w:eastAsia="zh-CN"/>
        </w:rPr>
        <w:t>委托方</w:t>
      </w:r>
      <w:r>
        <w:rPr>
          <w:rFonts w:hint="eastAsia" w:ascii="仿宋_GB2312" w:hAnsi="仿宋_GB2312" w:eastAsia="仿宋_GB2312" w:cs="仿宋_GB2312"/>
          <w:bCs/>
          <w:sz w:val="28"/>
          <w:szCs w:val="28"/>
          <w:highlight w:val="none"/>
          <w:lang w:eastAsia="zh-CN"/>
        </w:rPr>
        <w:t>出具的</w:t>
      </w:r>
      <w:r>
        <w:rPr>
          <w:rFonts w:hint="eastAsia" w:ascii="仿宋_GB2312" w:hAnsi="仿宋_GB2312" w:eastAsia="仿宋_GB2312" w:cs="仿宋_GB2312"/>
          <w:bCs/>
          <w:sz w:val="28"/>
          <w:szCs w:val="28"/>
          <w:highlight w:val="none"/>
          <w:lang w:val="en-US" w:eastAsia="zh-CN"/>
        </w:rPr>
        <w:t>《评估委托书》</w:t>
      </w:r>
      <w:r>
        <w:rPr>
          <w:rFonts w:hint="eastAsia" w:ascii="仿宋_GB2312" w:hAnsi="仿宋_GB2312" w:eastAsia="仿宋_GB2312" w:cs="仿宋_GB2312"/>
          <w:bCs/>
          <w:sz w:val="28"/>
          <w:szCs w:val="28"/>
          <w:highlight w:val="none"/>
          <w:lang w:eastAsia="zh-CN"/>
        </w:rPr>
        <w:t>及现场勘查状况，估价对象</w:t>
      </w:r>
      <w:r>
        <w:rPr>
          <w:rFonts w:hint="eastAsia" w:ascii="仿宋_GB2312" w:hAnsi="仿宋_GB2312" w:eastAsia="仿宋_GB2312" w:cs="仿宋_GB2312"/>
          <w:bCs/>
          <w:sz w:val="28"/>
          <w:szCs w:val="28"/>
          <w:highlight w:val="none"/>
          <w:lang w:val="en-US" w:eastAsia="zh-CN"/>
        </w:rPr>
        <w:t>总土地面积为15.2平方米，</w:t>
      </w:r>
      <w:r>
        <w:rPr>
          <w:rFonts w:hint="eastAsia" w:ascii="仿宋_GB2312" w:hAnsi="仿宋_GB2312" w:eastAsia="仿宋_GB2312" w:cs="仿宋_GB2312"/>
          <w:bCs/>
          <w:sz w:val="28"/>
          <w:szCs w:val="28"/>
          <w:highlight w:val="none"/>
          <w:lang w:eastAsia="zh-CN"/>
        </w:rPr>
        <w:t>估价对象</w:t>
      </w:r>
      <w:r>
        <w:rPr>
          <w:rFonts w:hint="eastAsia" w:ascii="仿宋_GB2312" w:hAnsi="仿宋_GB2312" w:eastAsia="仿宋_GB2312" w:cs="仿宋_GB2312"/>
          <w:bCs/>
          <w:sz w:val="28"/>
          <w:szCs w:val="28"/>
          <w:highlight w:val="none"/>
          <w:lang w:val="en-US" w:eastAsia="zh-CN"/>
        </w:rPr>
        <w:t>设定</w:t>
      </w:r>
      <w:r>
        <w:rPr>
          <w:rFonts w:hint="eastAsia" w:ascii="仿宋_GB2312" w:hAnsi="仿宋_GB2312" w:eastAsia="仿宋_GB2312" w:cs="仿宋_GB2312"/>
          <w:bCs/>
          <w:sz w:val="28"/>
          <w:szCs w:val="28"/>
          <w:highlight w:val="none"/>
          <w:lang w:eastAsia="zh-CN"/>
        </w:rPr>
        <w:t>用途为</w:t>
      </w:r>
      <w:r>
        <w:rPr>
          <w:rFonts w:hint="eastAsia" w:ascii="仿宋_GB2312" w:hAnsi="仿宋_GB2312" w:eastAsia="仿宋_GB2312" w:cs="仿宋_GB2312"/>
          <w:bCs/>
          <w:sz w:val="28"/>
          <w:szCs w:val="28"/>
          <w:highlight w:val="none"/>
          <w:lang w:val="en-US" w:eastAsia="zh-CN"/>
        </w:rPr>
        <w:t>住宅用地</w:t>
      </w:r>
      <w:r>
        <w:rPr>
          <w:rFonts w:hint="eastAsia" w:ascii="仿宋_GB2312" w:hAnsi="仿宋_GB2312" w:eastAsia="仿宋_GB2312" w:cs="仿宋_GB2312"/>
          <w:bCs/>
          <w:sz w:val="28"/>
          <w:szCs w:val="28"/>
          <w:highlight w:val="none"/>
          <w:lang w:eastAsia="zh-CN"/>
        </w:rPr>
        <w:t>，至估价期日，估价对象现状为</w:t>
      </w:r>
      <w:r>
        <w:rPr>
          <w:rFonts w:hint="eastAsia" w:ascii="仿宋_GB2312" w:hAnsi="仿宋_GB2312" w:eastAsia="仿宋_GB2312" w:cs="仿宋_GB2312"/>
          <w:bCs/>
          <w:sz w:val="28"/>
          <w:szCs w:val="28"/>
          <w:highlight w:val="none"/>
          <w:lang w:val="en-US" w:eastAsia="zh-CN"/>
        </w:rPr>
        <w:t>已开发</w:t>
      </w:r>
      <w:r>
        <w:rPr>
          <w:rFonts w:hint="eastAsia" w:ascii="仿宋_GB2312" w:hAnsi="仿宋_GB2312" w:eastAsia="仿宋_GB2312" w:cs="仿宋_GB2312"/>
          <w:bCs/>
          <w:sz w:val="28"/>
          <w:szCs w:val="28"/>
          <w:highlight w:val="none"/>
          <w:lang w:eastAsia="zh-CN"/>
        </w:rPr>
        <w:t>建设用地，土地开发程度为宗地红线外“五通”（即通路、通电、供水、排水、通讯），宗地红线内场地平整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3F4604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1.估价期日的设定</w:t>
      </w:r>
    </w:p>
    <w:p w14:paraId="0348CE3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本次土地估价师现场勘查日期为2026年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bCs/>
          <w:sz w:val="28"/>
          <w:szCs w:val="28"/>
          <w:highlight w:val="none"/>
          <w:lang w:val="en-US" w:eastAsia="zh-CN"/>
        </w:rPr>
        <w:t>18</w:t>
      </w:r>
      <w:r>
        <w:rPr>
          <w:rFonts w:hint="eastAsia" w:ascii="仿宋_GB2312" w:hAnsi="仿宋_GB2312" w:eastAsia="仿宋_GB2312" w:cs="仿宋_GB2312"/>
          <w:bCs/>
          <w:sz w:val="28"/>
          <w:szCs w:val="28"/>
          <w:highlight w:val="none"/>
          <w:lang w:eastAsia="zh-CN"/>
        </w:rPr>
        <w:t>日，</w:t>
      </w:r>
      <w:r>
        <w:rPr>
          <w:rFonts w:hint="eastAsia" w:ascii="仿宋_GB2312" w:hAnsi="仿宋_GB2312" w:eastAsia="仿宋_GB2312" w:cs="仿宋_GB2312"/>
          <w:bCs/>
          <w:sz w:val="28"/>
          <w:szCs w:val="28"/>
          <w:highlight w:val="none"/>
          <w:lang w:val="en-US" w:eastAsia="zh-CN"/>
        </w:rPr>
        <w:t>根据《评估委托书》本次估价设定</w:t>
      </w:r>
      <w:r>
        <w:rPr>
          <w:rFonts w:hint="eastAsia" w:ascii="仿宋_GB2312" w:hAnsi="仿宋_GB2312" w:eastAsia="仿宋_GB2312" w:cs="仿宋_GB2312"/>
          <w:bCs/>
          <w:sz w:val="28"/>
          <w:szCs w:val="28"/>
          <w:highlight w:val="none"/>
          <w:lang w:eastAsia="zh-CN"/>
        </w:rPr>
        <w:t>估价期日为2026年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w:t>
      </w:r>
    </w:p>
    <w:p w14:paraId="5804656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2.土地用途的设定</w:t>
      </w:r>
    </w:p>
    <w:p w14:paraId="33E3160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土地用途为</w:t>
      </w:r>
      <w:r>
        <w:rPr>
          <w:rFonts w:hint="eastAsia" w:ascii="仿宋_GB2312" w:hAnsi="仿宋_GB2312" w:eastAsia="仿宋_GB2312" w:cs="仿宋_GB2312"/>
          <w:bCs/>
          <w:color w:val="auto"/>
          <w:sz w:val="28"/>
          <w:szCs w:val="28"/>
          <w:highlight w:val="none"/>
          <w:lang w:val="en-US" w:eastAsia="zh-CN"/>
        </w:rPr>
        <w:t>住宅用地</w:t>
      </w:r>
      <w:r>
        <w:rPr>
          <w:rFonts w:hint="default" w:ascii="仿宋_GB2312" w:hAnsi="仿宋_GB2312" w:eastAsia="仿宋_GB2312" w:cs="仿宋_GB2312"/>
          <w:bCs/>
          <w:color w:val="auto"/>
          <w:sz w:val="28"/>
          <w:szCs w:val="28"/>
          <w:highlight w:val="none"/>
          <w:lang w:val="en-GB" w:eastAsia="zh-CN"/>
        </w:rPr>
        <w:t>。估价对象现状用途为住宅</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所处宗地有一栋混合结构住宅，</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21010-2017），此次评估设定估价对象土地用途为住宅用地</w:t>
      </w:r>
      <w:r>
        <w:rPr>
          <w:rFonts w:hint="eastAsia" w:ascii="仿宋_GB2312" w:hAnsi="仿宋_GB2312" w:eastAsia="仿宋_GB2312" w:cs="仿宋_GB2312"/>
          <w:bCs/>
          <w:sz w:val="28"/>
          <w:szCs w:val="28"/>
          <w:highlight w:val="none"/>
          <w:lang w:eastAsia="zh-CN"/>
        </w:rPr>
        <w:t>。</w:t>
      </w:r>
    </w:p>
    <w:p w14:paraId="7829BA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3.土地使用权类型</w:t>
      </w:r>
      <w:r>
        <w:rPr>
          <w:rFonts w:hint="eastAsia" w:ascii="仿宋_GB2312" w:hAnsi="仿宋_GB2312" w:eastAsia="仿宋_GB2312" w:cs="仿宋_GB2312"/>
          <w:bCs/>
          <w:sz w:val="28"/>
          <w:szCs w:val="28"/>
          <w:highlight w:val="none"/>
          <w:lang w:val="en-US" w:eastAsia="zh-CN"/>
        </w:rPr>
        <w:t>的</w:t>
      </w:r>
      <w:r>
        <w:rPr>
          <w:rFonts w:hint="eastAsia" w:ascii="仿宋_GB2312" w:hAnsi="仿宋_GB2312" w:eastAsia="仿宋_GB2312" w:cs="仿宋_GB2312"/>
          <w:bCs/>
          <w:sz w:val="28"/>
          <w:szCs w:val="28"/>
          <w:highlight w:val="none"/>
          <w:lang w:eastAsia="zh-CN"/>
        </w:rPr>
        <w:t>设定</w:t>
      </w:r>
    </w:p>
    <w:p w14:paraId="1A331A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和道县集中化解房地产办证信访突出问题工作领导小组办公室出具的《土地权属及性质证明》（2026年5月19日）</w:t>
      </w:r>
      <w:r>
        <w:rPr>
          <w:rFonts w:hint="default" w:ascii="仿宋_GB2312" w:hAnsi="仿宋_GB2312" w:eastAsia="仿宋_GB2312" w:cs="仿宋_GB2312"/>
          <w:bCs/>
          <w:color w:val="auto"/>
          <w:sz w:val="28"/>
          <w:szCs w:val="28"/>
          <w:highlight w:val="none"/>
          <w:lang w:val="en-US" w:eastAsia="zh-CN"/>
        </w:rPr>
        <w:t>，估价对象土地使用权类型为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9E136C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4.土地使用年期的设定</w:t>
      </w:r>
    </w:p>
    <w:p w14:paraId="0949C9E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本次评估根据《评估委托书》约定和估价目的，设定土地使用权年限为住宅用地70年。</w:t>
      </w:r>
    </w:p>
    <w:p w14:paraId="4AD950F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5.土地开发程度的设定</w:t>
      </w:r>
    </w:p>
    <w:p w14:paraId="1A4664D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根据土地估价师实地勘查，估价对象于估价期日2026年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实际开发程度为宗地红线外“五通”（即通路、通电、供水、排水、通讯），宗地红线内场地平整。结合估价目的及实际情况，本次评估设定土地开发程度为宗地红线外“五通”（即通路、通电、供水、排水、通讯），宗地红线内场地平整。</w:t>
      </w:r>
    </w:p>
    <w:p w14:paraId="7EED22E6">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val="en-US" w:eastAsia="zh-CN"/>
        </w:rPr>
        <w:t>6.土地</w:t>
      </w:r>
      <w:r>
        <w:rPr>
          <w:rFonts w:hint="eastAsia" w:ascii="仿宋_GB2312" w:hAnsi="仿宋_GB2312" w:eastAsia="仿宋_GB2312" w:cs="仿宋_GB2312"/>
          <w:bCs/>
          <w:sz w:val="28"/>
          <w:szCs w:val="28"/>
          <w:highlight w:val="none"/>
          <w:lang w:eastAsia="zh-CN"/>
        </w:rPr>
        <w:t>利用条件的设定</w:t>
      </w:r>
    </w:p>
    <w:p w14:paraId="14F791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highlight w:val="none"/>
          <w:lang w:eastAsia="zh-CN"/>
        </w:rPr>
      </w:pP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5层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《土地分摊表》，</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73.415平方米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15.2平方米</w:t>
      </w:r>
      <w:r>
        <w:rPr>
          <w:rFonts w:hint="default" w:ascii="仿宋_GB2312" w:hAnsi="仿宋_GB2312" w:eastAsia="仿宋_GB2312" w:cs="仿宋_GB2312"/>
          <w:bCs/>
          <w:color w:val="auto"/>
          <w:sz w:val="28"/>
          <w:szCs w:val="28"/>
          <w:highlight w:val="none"/>
          <w:lang w:val="en-GB" w:eastAsia="zh-CN"/>
        </w:rPr>
        <w:t>，则估价对象现状容积率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default" w:ascii="仿宋_GB2312" w:hAnsi="仿宋_GB2312" w:eastAsia="仿宋_GB2312" w:cs="仿宋_GB2312"/>
          <w:bCs/>
          <w:color w:val="auto"/>
          <w:sz w:val="28"/>
          <w:szCs w:val="28"/>
          <w:highlight w:val="none"/>
          <w:lang w:val="en-GB" w:eastAsia="zh-CN"/>
        </w:rPr>
        <w:t>。本次评估设定土地容积率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45A06A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7.价格类型的设定</w:t>
      </w:r>
    </w:p>
    <w:p w14:paraId="495CD9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委托方提供的资料及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356927C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Cs/>
          <w:sz w:val="28"/>
          <w:szCs w:val="28"/>
          <w:highlight w:val="none"/>
          <w:lang w:eastAsia="zh-CN"/>
        </w:rPr>
        <w:t>综上所述，</w:t>
      </w:r>
      <w:r>
        <w:rPr>
          <w:rFonts w:hint="eastAsia" w:ascii="仿宋_GB2312" w:hAnsi="仿宋_GB2312" w:eastAsia="仿宋_GB2312" w:cs="仿宋_GB2312"/>
          <w:color w:val="auto"/>
          <w:sz w:val="28"/>
          <w:highlight w:val="none"/>
          <w:lang w:val="en-US" w:eastAsia="zh-CN"/>
        </w:rPr>
        <w:t>本次估价的地价内涵是指：估价对象在公开市场条件下，于估价期日2026年5月18日，土地面积</w:t>
      </w:r>
      <w:r>
        <w:rPr>
          <w:rFonts w:hint="eastAsia" w:ascii="仿宋_GB2312" w:hAnsi="仿宋_GB2312" w:eastAsia="仿宋_GB2312" w:cs="仿宋_GB2312"/>
          <w:bCs/>
          <w:sz w:val="28"/>
          <w:szCs w:val="28"/>
          <w:highlight w:val="none"/>
          <w:lang w:val="en-US" w:eastAsia="zh-CN"/>
        </w:rPr>
        <w:t>15.2平方米，</w:t>
      </w:r>
      <w:r>
        <w:rPr>
          <w:rFonts w:hint="eastAsia" w:ascii="仿宋_GB2312" w:hAnsi="仿宋_GB2312" w:eastAsia="仿宋_GB2312" w:cs="仿宋_GB2312"/>
          <w:color w:val="auto"/>
          <w:sz w:val="28"/>
          <w:highlight w:val="none"/>
          <w:lang w:val="en-US" w:eastAsia="zh-CN"/>
        </w:rPr>
        <w:t>土地用途设定为住宅用地，出让使用年期为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color w:val="auto"/>
          <w:sz w:val="28"/>
          <w:highlight w:val="none"/>
          <w:lang w:val="en-US" w:eastAsia="zh-CN"/>
        </w:rPr>
        <w:t>，容积率为4.83，土地开发程度设定为</w:t>
      </w:r>
      <w:r>
        <w:rPr>
          <w:rFonts w:hint="eastAsia" w:ascii="仿宋_GB2312" w:hAnsi="仿宋_GB2312" w:eastAsia="仿宋_GB2312" w:cs="仿宋_GB2312"/>
          <w:bCs/>
          <w:sz w:val="28"/>
          <w:szCs w:val="28"/>
          <w:highlight w:val="none"/>
          <w:lang w:eastAsia="zh-CN"/>
        </w:rPr>
        <w:t>宗地红线外“五通”（即通路、通电、供水、排水、通讯），宗地红线内场地平整</w:t>
      </w:r>
      <w:r>
        <w:rPr>
          <w:rFonts w:hint="eastAsia" w:ascii="仿宋_GB2312" w:hAnsi="仿宋_GB2312" w:eastAsia="仿宋_GB2312" w:cs="仿宋_GB2312"/>
          <w:color w:val="auto"/>
          <w:sz w:val="28"/>
          <w:highlight w:val="none"/>
          <w:lang w:val="en-US" w:eastAsia="zh-CN"/>
        </w:rPr>
        <w:t>下的土地使用权市场价格。</w:t>
      </w:r>
    </w:p>
    <w:p w14:paraId="3AE09B9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outlineLvl w:val="9"/>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5EF160B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35F9A0E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34045D9F">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3E4E6D29">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659ED78B">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3474F6AC">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道县未公布协议出让最低价标准，道县城镇基准地价估价期日为{{ base_price_base_date }}，本次估价期日为2026年5月18日，距估价期日超过六年，其基准地价已不具有现势性。根据道县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55F52877">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w:t>
      </w:r>
    </w:p>
    <w:p w14:paraId="60E9A691">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30"/>
          <w:highlight w:val="none"/>
          <w:lang w:eastAsia="zh-CN"/>
        </w:rPr>
      </w:pPr>
      <w:r>
        <w:rPr>
          <w:rFonts w:hint="eastAsia" w:ascii="仿宋_GB2312" w:hAnsi="仿宋_GB2312" w:eastAsia="仿宋_GB2312" w:cs="仿宋_GB2312"/>
          <w:color w:val="auto"/>
          <w:sz w:val="28"/>
          <w:szCs w:val="30"/>
          <w:highlight w:val="none"/>
          <w:lang w:val="en-US" w:eastAsia="zh-CN"/>
        </w:rPr>
        <w:t>1.</w:t>
      </w:r>
      <w:r>
        <w:rPr>
          <w:rFonts w:hint="eastAsia" w:ascii="仿宋_GB2312" w:hAnsi="仿宋_GB2312" w:eastAsia="仿宋_GB2312" w:cs="仿宋_GB2312"/>
          <w:color w:val="auto"/>
          <w:sz w:val="28"/>
          <w:szCs w:val="30"/>
          <w:highlight w:val="none"/>
          <w:lang w:eastAsia="zh-CN"/>
        </w:rPr>
        <w:t>评估操作过程技术合理，本次评估技术操作方面严格参照《城镇土地估价规程》(GB／T18508-2014)及《关于印发&lt;国有建设用地使用权出让地价评估技术规范&gt;的通知》（国土资厅发〔2018〕4号，2018年3月9日）要求，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可信度高，因此</w:t>
      </w:r>
      <w:r>
        <w:rPr>
          <w:rFonts w:hint="eastAsia" w:ascii="仿宋_GB2312" w:hAnsi="仿宋_GB2312" w:eastAsia="仿宋_GB2312" w:cs="仿宋_GB2312"/>
          <w:color w:val="auto"/>
          <w:sz w:val="28"/>
          <w:szCs w:val="30"/>
          <w:highlight w:val="none"/>
          <w:lang w:val="en-US" w:eastAsia="zh-CN"/>
        </w:rPr>
        <w:t>取收益还原法</w:t>
      </w:r>
      <w:r>
        <w:rPr>
          <w:rFonts w:hint="eastAsia" w:ascii="仿宋_GB2312" w:hAnsi="仿宋_GB2312" w:eastAsia="仿宋_GB2312" w:cs="仿宋_GB2312"/>
          <w:color w:val="auto"/>
          <w:sz w:val="28"/>
          <w:szCs w:val="30"/>
          <w:highlight w:val="none"/>
          <w:lang w:eastAsia="zh-CN"/>
        </w:rPr>
        <w:t>估价结果为最终结果。</w:t>
      </w:r>
    </w:p>
    <w:p w14:paraId="38E2EB94">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23FD04FA">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p>
    <w:p w14:paraId="55467371">
      <w:pPr>
        <w:rPr>
          <w:rFonts w:hint="eastAsia" w:cs="仿宋_GB2312"/>
          <w:b/>
          <w:bCs w:val="0"/>
          <w:color w:val="auto"/>
          <w:kern w:val="2"/>
          <w:sz w:val="28"/>
          <w:szCs w:val="28"/>
          <w:highlight w:val="none"/>
          <w:lang w:val="en-US" w:eastAsia="zh-CN" w:bidi="ar-SA"/>
        </w:rPr>
      </w:pPr>
      <w:r>
        <w:rPr>
          <w:rFonts w:hint="eastAsia" w:cs="仿宋_GB2312"/>
          <w:b/>
          <w:bCs w:val="0"/>
          <w:color w:val="auto"/>
          <w:kern w:val="2"/>
          <w:sz w:val="28"/>
          <w:szCs w:val="28"/>
          <w:highlight w:val="none"/>
          <w:lang w:val="en-US" w:eastAsia="zh-CN" w:bidi="ar-SA"/>
        </w:rPr>
        <w:br w:type="page"/>
      </w:r>
    </w:p>
    <w:p w14:paraId="51D26560">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cs="仿宋_GB2312"/>
          <w:b/>
          <w:bCs w:val="0"/>
          <w:color w:val="auto"/>
          <w:kern w:val="2"/>
          <w:sz w:val="28"/>
          <w:szCs w:val="28"/>
          <w:highlight w:val="none"/>
          <w:lang w:val="en-US" w:eastAsia="zh-CN" w:bidi="ar-SA"/>
        </w:rPr>
        <w:t>八</w:t>
      </w:r>
      <w:r>
        <w:rPr>
          <w:rFonts w:hint="default" w:ascii="仿宋_GB2312" w:hAnsi="仿宋_GB2312" w:eastAsia="仿宋_GB2312" w:cs="仿宋_GB2312"/>
          <w:b/>
          <w:bCs w:val="0"/>
          <w:color w:val="auto"/>
          <w:kern w:val="2"/>
          <w:sz w:val="28"/>
          <w:szCs w:val="28"/>
          <w:highlight w:val="none"/>
          <w:lang w:val="en-GB" w:eastAsia="zh-CN" w:bidi="ar-SA"/>
        </w:rPr>
        <w:t>、土地估价师签字</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671F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29BA3D6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0053050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5BDF0C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5A1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0D7C2204">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57976F1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0C186C9">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BF1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24DAFAA8">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5EEEC8D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48B969D1">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10B609FD">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bCs w:val="0"/>
          <w:color w:val="auto"/>
          <w:kern w:val="2"/>
          <w:sz w:val="28"/>
          <w:szCs w:val="28"/>
          <w:highlight w:val="none"/>
          <w:lang w:val="en-US" w:eastAsia="zh-CN" w:bidi="ar-SA"/>
        </w:rPr>
      </w:pPr>
    </w:p>
    <w:p w14:paraId="71CD56EB">
      <w:pPr>
        <w:keepLines w:val="0"/>
        <w:pageBreakBefore w:val="0"/>
        <w:widowControl w:val="0"/>
        <w:numPr>
          <w:ilvl w:val="0"/>
          <w:numId w:val="0"/>
        </w:numPr>
        <w:kinsoku/>
        <w:wordWrap/>
        <w:overflowPunct/>
        <w:topLinePunct w:val="0"/>
        <w:autoSpaceDE/>
        <w:autoSpaceDN/>
        <w:bidi w:val="0"/>
        <w:spacing w:line="480" w:lineRule="exact"/>
        <w:ind w:left="420" w:leftChars="0" w:right="0" w:rightChars="0" w:firstLine="0" w:firstLineChars="0"/>
        <w:textAlignment w:val="auto"/>
        <w:outlineLvl w:val="1"/>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
          <w:bCs w:val="0"/>
          <w:color w:val="auto"/>
          <w:kern w:val="2"/>
          <w:sz w:val="28"/>
          <w:szCs w:val="28"/>
          <w:highlight w:val="none"/>
          <w:lang w:val="en-GB" w:eastAsia="zh-CN" w:bidi="ar-SA"/>
        </w:rPr>
        <w:t>九、</w:t>
      </w:r>
      <w:r>
        <w:rPr>
          <w:rFonts w:hint="default" w:ascii="仿宋_GB2312" w:hAnsi="仿宋_GB2312" w:eastAsia="仿宋_GB2312" w:cs="仿宋_GB2312"/>
          <w:b/>
          <w:bCs w:val="0"/>
          <w:color w:val="auto"/>
          <w:kern w:val="2"/>
          <w:sz w:val="28"/>
          <w:szCs w:val="28"/>
          <w:highlight w:val="none"/>
          <w:lang w:val="en-GB" w:eastAsia="zh-CN" w:bidi="ar-SA"/>
        </w:rPr>
        <w:t xml:space="preserve">土地估价机构 </w:t>
      </w:r>
      <w:r>
        <w:rPr>
          <w:rFonts w:hint="default" w:ascii="仿宋_GB2312" w:hAnsi="仿宋_GB2312" w:eastAsia="仿宋_GB2312" w:cs="仿宋_GB2312"/>
          <w:bCs/>
          <w:color w:val="auto"/>
          <w:kern w:val="2"/>
          <w:sz w:val="28"/>
          <w:szCs w:val="28"/>
          <w:highlight w:val="none"/>
          <w:lang w:val="en-GB" w:eastAsia="zh-CN" w:bidi="ar-SA"/>
        </w:rPr>
        <w:t xml:space="preserve">               </w:t>
      </w:r>
    </w:p>
    <w:p w14:paraId="6A92D85F">
      <w:pPr>
        <w:keepLines w:val="0"/>
        <w:pageBreakBefore w:val="0"/>
        <w:widowControl w:val="0"/>
        <w:numPr>
          <w:ilvl w:val="0"/>
          <w:numId w:val="0"/>
        </w:numPr>
        <w:kinsoku/>
        <w:wordWrap/>
        <w:overflowPunct/>
        <w:topLinePunct w:val="0"/>
        <w:autoSpaceDE/>
        <w:autoSpaceDN/>
        <w:bidi w:val="0"/>
        <w:spacing w:line="480" w:lineRule="exact"/>
        <w:ind w:right="0" w:rightChars="0"/>
        <w:textAlignment w:val="auto"/>
        <w:rPr>
          <w:rFonts w:ascii="仿宋_GB2312" w:eastAsia="仿宋_GB2312"/>
          <w:sz w:val="28"/>
          <w:highlight w:val="none"/>
        </w:rPr>
      </w:pPr>
      <w:r>
        <w:rPr>
          <w:rFonts w:hint="eastAsia" w:ascii="仿宋_GB2312" w:eastAsia="仿宋_GB2312"/>
          <w:sz w:val="28"/>
          <w:highlight w:val="none"/>
        </w:rPr>
        <w:t>估价机构法定代表人签字：</w:t>
      </w:r>
    </w:p>
    <w:p w14:paraId="7FFF3DE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250D1A7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4C2F53E9">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1AB0E3CD">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outlineLvl w:val="9"/>
        <w:rPr>
          <w:rFonts w:hint="eastAsia" w:ascii="仿宋_GB2312" w:eastAsia="仿宋_GB2312"/>
          <w:sz w:val="28"/>
          <w:highlight w:val="none"/>
          <w:lang w:eastAsia="zh-CN"/>
        </w:rPr>
      </w:pPr>
      <w:r>
        <w:rPr>
          <w:rFonts w:hint="eastAsia" w:ascii="仿宋_GB2312" w:eastAsia="仿宋_GB2312"/>
          <w:sz w:val="28"/>
          <w:highlight w:val="none"/>
          <w:lang w:eastAsia="zh-CN"/>
        </w:rPr>
        <w:t>湖南兆财不动产规划评估有限公司</w:t>
      </w:r>
    </w:p>
    <w:p w14:paraId="1415DA4E">
      <w:pPr>
        <w:pStyle w:val="11"/>
        <w:jc w:val="right"/>
        <w:rPr>
          <w:highlight w:val="none"/>
        </w:rPr>
      </w:pPr>
      <w:r>
        <w:rPr>
          <w:rFonts w:hint="eastAsia"/>
          <w:highlight w:val="none"/>
        </w:rPr>
        <w:t xml:space="preserve">                              </w:t>
      </w:r>
      <w:r>
        <w:rPr>
          <w:rFonts w:hint="eastAsia"/>
          <w:highlight w:val="none"/>
          <w:lang w:val="en-US" w:eastAsia="zh-CN"/>
        </w:rPr>
        <w:t xml:space="preserve"> </w:t>
      </w:r>
      <w:r>
        <w:rPr>
          <w:rFonts w:hint="eastAsia" w:ascii="仿宋_GB2312" w:hAnsi="仿宋_GB2312" w:eastAsia="仿宋_GB2312" w:cs="仿宋_GB2312"/>
          <w:bCs/>
          <w:color w:val="auto"/>
          <w:kern w:val="2"/>
          <w:sz w:val="28"/>
          <w:szCs w:val="28"/>
          <w:highlight w:val="none"/>
          <w:lang w:val="en-US" w:eastAsia="zh-CN" w:bidi="ar-SA"/>
        </w:rPr>
        <w:t>二〇二</w:t>
      </w:r>
      <w:r>
        <w:rPr>
          <w:rFonts w:hint="eastAsia" w:ascii="仿宋_GB2312" w:hAnsi="仿宋_GB2312" w:cs="仿宋_GB2312"/>
          <w:bCs/>
          <w:color w:val="auto"/>
          <w:kern w:val="2"/>
          <w:sz w:val="28"/>
          <w:szCs w:val="28"/>
          <w:highlight w:val="none"/>
          <w:lang w:val="en-US" w:eastAsia="zh-CN" w:bidi="ar-SA"/>
        </w:rPr>
        <w:t>六</w:t>
      </w:r>
      <w:r>
        <w:rPr>
          <w:rFonts w:hint="eastAsia" w:ascii="仿宋_GB2312" w:hAnsi="仿宋_GB2312" w:eastAsia="仿宋_GB2312" w:cs="仿宋_GB2312"/>
          <w:bCs/>
          <w:color w:val="auto"/>
          <w:kern w:val="2"/>
          <w:sz w:val="28"/>
          <w:szCs w:val="28"/>
          <w:highlight w:val="none"/>
          <w:lang w:val="en-US" w:eastAsia="zh-CN" w:bidi="ar-SA"/>
        </w:rPr>
        <w:t>年</w:t>
      </w:r>
      <w:r>
        <w:rPr>
          <w:rFonts w:hint="eastAsia" w:ascii="仿宋_GB2312" w:hAnsi="仿宋_GB2312" w:cs="仿宋_GB2312"/>
          <w:bCs/>
          <w:color w:val="auto"/>
          <w:kern w:val="2"/>
          <w:sz w:val="28"/>
          <w:szCs w:val="28"/>
          <w:highlight w:val="none"/>
          <w:lang w:val="en-US" w:eastAsia="zh-CN" w:bidi="ar-SA"/>
        </w:rPr>
        <w:t>五</w:t>
      </w:r>
      <w:r>
        <w:rPr>
          <w:rFonts w:hint="eastAsia" w:ascii="仿宋_GB2312" w:hAnsi="仿宋_GB2312" w:eastAsia="仿宋_GB2312" w:cs="仿宋_GB2312"/>
          <w:bCs/>
          <w:color w:val="auto"/>
          <w:kern w:val="2"/>
          <w:sz w:val="28"/>
          <w:szCs w:val="28"/>
          <w:highlight w:val="none"/>
          <w:lang w:val="en-US" w:eastAsia="zh-CN" w:bidi="ar-SA"/>
        </w:rPr>
        <w:t>月</w:t>
      </w:r>
      <w:r>
        <w:rPr>
          <w:rFonts w:hint="eastAsia" w:ascii="仿宋_GB2312" w:hAnsi="仿宋_GB2312" w:cs="仿宋_GB2312"/>
          <w:bCs/>
          <w:color w:val="auto"/>
          <w:kern w:val="2"/>
          <w:sz w:val="28"/>
          <w:szCs w:val="28"/>
          <w:highlight w:val="none"/>
          <w:lang w:val="en-US" w:eastAsia="zh-CN" w:bidi="ar-SA"/>
        </w:rPr>
        <w:t>二十</w:t>
      </w:r>
      <w:r>
        <w:rPr>
          <w:rFonts w:hint="eastAsia" w:ascii="仿宋_GB2312" w:hAnsi="仿宋_GB2312" w:eastAsia="仿宋_GB2312" w:cs="仿宋_GB2312"/>
          <w:bCs/>
          <w:color w:val="auto"/>
          <w:kern w:val="2"/>
          <w:sz w:val="28"/>
          <w:szCs w:val="28"/>
          <w:highlight w:val="none"/>
          <w:lang w:val="en-US" w:eastAsia="zh-CN" w:bidi="ar-SA"/>
        </w:rPr>
        <w:t>日</w:t>
      </w:r>
    </w:p>
    <w:p w14:paraId="1C5C89C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p>
    <w:p w14:paraId="50F0D111">
      <w:pPr>
        <w:pStyle w:val="18"/>
        <w:rPr>
          <w:rFonts w:hint="eastAsia" w:ascii="仿宋_GB2312" w:hAnsi="仿宋_GB2312" w:eastAsia="仿宋_GB2312" w:cs="仿宋_GB2312"/>
          <w:b/>
          <w:bCs w:val="0"/>
          <w:color w:val="auto"/>
          <w:sz w:val="28"/>
          <w:szCs w:val="28"/>
          <w:highlight w:val="none"/>
          <w:lang w:val="en-GB" w:eastAsia="zh-CN"/>
        </w:rPr>
      </w:pPr>
    </w:p>
    <w:p w14:paraId="20B646EF">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1A1A35EF">
      <w:pPr>
        <w:rPr>
          <w:rFonts w:hint="eastAsia" w:ascii="仿宋_GB2312" w:hAnsi="仿宋_GB2312" w:eastAsia="仿宋_GB2312" w:cs="仿宋_GB2312"/>
          <w:bCs/>
          <w:color w:val="auto"/>
          <w:sz w:val="21"/>
          <w:szCs w:val="21"/>
          <w:highlight w:val="none"/>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pgNumType w:fmt="decimal"/>
          <w:cols w:space="0" w:num="1"/>
          <w:titlePg/>
          <w:rtlGutter w:val="0"/>
          <w:docGrid w:type="lines" w:linePitch="312" w:charSpace="0"/>
        </w:sectPr>
      </w:pPr>
    </w:p>
    <w:p w14:paraId="0CF0DCC1">
      <w:pPr>
        <w:keepNext w:val="0"/>
        <w:keepLines w:val="0"/>
        <w:pageBreakBefore w:val="0"/>
        <w:widowControl w:val="0"/>
        <w:kinsoku/>
        <w:wordWrap/>
        <w:overflowPunct/>
        <w:topLinePunct w:val="0"/>
        <w:autoSpaceDE/>
        <w:autoSpaceDN/>
        <w:bidi w:val="0"/>
        <w:adjustRightInd w:val="0"/>
        <w:snapToGrid w:val="0"/>
        <w:spacing w:line="360" w:lineRule="auto"/>
        <w:ind w:left="0" w:hanging="537" w:hangingChars="192"/>
        <w:jc w:val="center"/>
        <w:textAlignment w:val="auto"/>
        <w:outlineLvl w:val="2"/>
        <w:rPr>
          <w:rFonts w:hint="default" w:ascii="仿宋_GB2312" w:eastAsia="仿宋_GB2312"/>
          <w:b/>
          <w:bCs/>
          <w:sz w:val="28"/>
          <w:highlight w:val="none"/>
          <w:lang w:val="en-US" w:eastAsia="zh-CN"/>
        </w:rPr>
      </w:pPr>
      <w:r>
        <w:rPr>
          <w:rFonts w:hint="eastAsia" w:ascii="仿宋_GB2312" w:eastAsia="仿宋_GB2312"/>
          <w:sz w:val="28"/>
          <w:highlight w:val="none"/>
        </w:rPr>
        <w:t xml:space="preserve"> </w:t>
      </w:r>
      <w:r>
        <w:rPr>
          <w:rFonts w:hint="eastAsia" w:ascii="仿宋_GB2312" w:eastAsia="仿宋_GB2312"/>
          <w:b/>
          <w:bCs/>
          <w:sz w:val="28"/>
          <w:highlight w:val="none"/>
        </w:rPr>
        <w:t xml:space="preserve">  土地估价结果一览表</w:t>
      </w:r>
      <w:r>
        <w:rPr>
          <w:rFonts w:hint="eastAsia" w:ascii="仿宋_GB2312" w:eastAsia="仿宋_GB2312"/>
          <w:b/>
          <w:bCs/>
          <w:sz w:val="28"/>
          <w:highlight w:val="none"/>
          <w:lang w:val="en-US" w:eastAsia="zh-CN"/>
        </w:rPr>
        <w:t xml:space="preserve">  </w:t>
      </w:r>
    </w:p>
    <w:p w14:paraId="170F58C6">
      <w:pPr>
        <w:spacing w:line="240" w:lineRule="exact"/>
        <w:ind w:left="-2478" w:leftChars="-1180" w:right="-227" w:firstLine="2625" w:firstLineChars="1250"/>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估价机构：湖南兆财不动产规划评估有限公司                                                          估价期日：</w:t>
      </w:r>
      <w:r>
        <w:rPr>
          <w:rFonts w:hint="eastAsia" w:ascii="仿宋_GB2312" w:hAnsi="仿宋_GB2312" w:eastAsia="仿宋_GB2312" w:cs="仿宋_GB2312"/>
          <w:szCs w:val="21"/>
          <w:highlight w:val="none"/>
          <w:lang w:eastAsia="zh-CN"/>
        </w:rPr>
        <w:t>2026年5月18日</w:t>
      </w:r>
    </w:p>
    <w:p w14:paraId="44C42AC6">
      <w:pPr>
        <w:spacing w:line="240" w:lineRule="exact"/>
        <w:ind w:right="-227" w:firstLine="105" w:firstLineChars="50"/>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估价报告编号：</w:t>
      </w:r>
      <w:r>
        <w:rPr>
          <w:rFonts w:hint="eastAsia" w:ascii="仿宋_GB2312" w:eastAsia="仿宋_GB2312"/>
          <w:spacing w:val="-6"/>
          <w:highlight w:val="none"/>
          <w:lang w:eastAsia="zh-CN"/>
        </w:rPr>
        <w:t>（湖南）湘兆财土地[202</w:t>
      </w:r>
      <w:r>
        <w:rPr>
          <w:rFonts w:hint="eastAsia" w:ascii="仿宋_GB2312" w:eastAsia="仿宋_GB2312"/>
          <w:spacing w:val="-6"/>
          <w:highlight w:val="none"/>
          <w:lang w:val="en-US" w:eastAsia="zh-CN"/>
        </w:rPr>
        <w:t>6</w:t>
      </w:r>
      <w:r>
        <w:rPr>
          <w:rFonts w:hint="eastAsia" w:ascii="仿宋_GB2312" w:eastAsia="仿宋_GB2312"/>
          <w:spacing w:val="-6"/>
          <w:highlight w:val="none"/>
          <w:lang w:eastAsia="zh-CN"/>
        </w:rPr>
        <w:t>]（</w:t>
      </w:r>
      <w:r>
        <w:rPr>
          <w:rFonts w:hint="eastAsia" w:ascii="仿宋_GB2312" w:eastAsia="仿宋_GB2312"/>
          <w:spacing w:val="-6"/>
          <w:highlight w:val="none"/>
          <w:lang w:val="en-US" w:eastAsia="zh-CN"/>
        </w:rPr>
        <w:t>估</w:t>
      </w:r>
      <w:r>
        <w:rPr>
          <w:rFonts w:hint="eastAsia" w:ascii="仿宋_GB2312" w:eastAsia="仿宋_GB2312"/>
          <w:spacing w:val="-6"/>
          <w:highlight w:val="none"/>
          <w:lang w:eastAsia="zh-CN"/>
        </w:rPr>
        <w:t>）字第ZC0007号</w:t>
      </w:r>
      <w:r>
        <w:rPr>
          <w:rFonts w:hint="eastAsia" w:ascii="仿宋_GB2312" w:eastAsia="仿宋_GB2312"/>
          <w:szCs w:val="21"/>
          <w:highlight w:val="none"/>
        </w:rPr>
        <w:t xml:space="preserve"> </w:t>
      </w:r>
      <w:r>
        <w:rPr>
          <w:rFonts w:hint="eastAsia" w:ascii="仿宋_GB2312" w:hAnsi="仿宋_GB2312" w:eastAsia="仿宋_GB2312" w:cs="仿宋_GB2312"/>
          <w:szCs w:val="21"/>
          <w:highlight w:val="none"/>
        </w:rPr>
        <w:t xml:space="preserve">          估价目的：</w:t>
      </w:r>
      <w:r>
        <w:rPr>
          <w:rFonts w:hint="eastAsia" w:ascii="仿宋_GB2312" w:hAnsi="仿宋_GB2312" w:eastAsia="仿宋_GB2312" w:cs="仿宋_GB2312"/>
          <w:szCs w:val="21"/>
          <w:highlight w:val="none"/>
          <w:lang w:val="en-US" w:eastAsia="zh-CN"/>
        </w:rPr>
        <w:t>出让</w:t>
      </w:r>
      <w:r>
        <w:rPr>
          <w:rFonts w:hint="eastAsia" w:ascii="仿宋_GB2312" w:hAnsi="仿宋_GB2312" w:eastAsia="仿宋_GB2312" w:cs="仿宋_GB2312"/>
          <w:szCs w:val="21"/>
          <w:highlight w:val="none"/>
        </w:rPr>
        <w:t xml:space="preserve">                  估价期日的土地使用权性质：</w:t>
      </w:r>
      <w:r>
        <w:rPr>
          <w:rFonts w:hint="eastAsia" w:ascii="仿宋_GB2312" w:hAnsi="仿宋_GB2312" w:eastAsia="仿宋_GB2312" w:cs="仿宋_GB2312"/>
          <w:szCs w:val="21"/>
          <w:highlight w:val="none"/>
          <w:lang w:val="en-US" w:eastAsia="zh-CN"/>
        </w:rPr>
        <w:t>划拨</w:t>
      </w:r>
    </w:p>
    <w:tbl>
      <w:tblPr>
        <w:tblStyle w:val="12"/>
        <w:tblW w:w="50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642"/>
        <w:gridCol w:w="868"/>
        <w:gridCol w:w="676"/>
        <w:gridCol w:w="794"/>
        <w:gridCol w:w="648"/>
        <w:gridCol w:w="588"/>
        <w:gridCol w:w="426"/>
        <w:gridCol w:w="559"/>
        <w:gridCol w:w="574"/>
        <w:gridCol w:w="1250"/>
        <w:gridCol w:w="1264"/>
        <w:gridCol w:w="899"/>
        <w:gridCol w:w="838"/>
        <w:gridCol w:w="946"/>
        <w:gridCol w:w="892"/>
        <w:gridCol w:w="811"/>
        <w:gridCol w:w="1120"/>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23"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估价期日土地使用者</w:t>
            </w:r>
          </w:p>
        </w:tc>
        <w:tc>
          <w:tcPr>
            <w:tcW w:w="222"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编号</w:t>
            </w:r>
          </w:p>
        </w:tc>
        <w:tc>
          <w:tcPr>
            <w:tcW w:w="300" w:type="pct"/>
            <w:vMerge w:val="restart"/>
            <w:vAlign w:val="center"/>
          </w:tcPr>
          <w:p w14:paraId="6E40A4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名称</w:t>
            </w:r>
          </w:p>
        </w:tc>
        <w:tc>
          <w:tcPr>
            <w:tcW w:w="234"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土地使用证编号</w:t>
            </w:r>
          </w:p>
        </w:tc>
        <w:tc>
          <w:tcPr>
            <w:tcW w:w="702"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估价期日的用途</w:t>
            </w:r>
          </w:p>
        </w:tc>
        <w:tc>
          <w:tcPr>
            <w:tcW w:w="539"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容积率</w:t>
            </w:r>
          </w:p>
        </w:tc>
        <w:tc>
          <w:tcPr>
            <w:tcW w:w="432"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估价期日实际土地开发程度</w:t>
            </w:r>
          </w:p>
        </w:tc>
        <w:tc>
          <w:tcPr>
            <w:tcW w:w="437"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估价设定土地开发程度</w:t>
            </w:r>
          </w:p>
        </w:tc>
        <w:tc>
          <w:tcPr>
            <w:tcW w:w="311"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剩余土地使用权年期（年）</w:t>
            </w:r>
          </w:p>
        </w:tc>
        <w:tc>
          <w:tcPr>
            <w:tcW w:w="290"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面积(㎡)</w:t>
            </w:r>
          </w:p>
        </w:tc>
        <w:tc>
          <w:tcPr>
            <w:tcW w:w="327"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地面地价(元/㎡)</w:t>
            </w:r>
          </w:p>
        </w:tc>
        <w:tc>
          <w:tcPr>
            <w:tcW w:w="308"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楼面地价(元/㎡)</w:t>
            </w:r>
          </w:p>
        </w:tc>
        <w:tc>
          <w:tcPr>
            <w:tcW w:w="280"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(万元)</w:t>
            </w:r>
          </w:p>
        </w:tc>
        <w:tc>
          <w:tcPr>
            <w:tcW w:w="387"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23"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22"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0"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34"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74"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证载（或批准）</w:t>
            </w:r>
          </w:p>
        </w:tc>
        <w:tc>
          <w:tcPr>
            <w:tcW w:w="224"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203"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147"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规划</w:t>
            </w:r>
          </w:p>
        </w:tc>
        <w:tc>
          <w:tcPr>
            <w:tcW w:w="19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198"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432"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437"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11"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90"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27"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8"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80"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87"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223" w:type="pct"/>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王汝冲</w:t>
            </w:r>
          </w:p>
        </w:tc>
        <w:tc>
          <w:tcPr>
            <w:tcW w:w="222"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300"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w:t>
            </w:r>
          </w:p>
        </w:tc>
        <w:tc>
          <w:tcPr>
            <w:tcW w:w="234"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74" w:type="pct"/>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24" w:type="pct"/>
            <w:vAlign w:val="center"/>
          </w:tcPr>
          <w:p w14:paraId="0B3E8E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203" w:type="pct"/>
            <w:vAlign w:val="cente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147"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19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198"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432" w:type="pct"/>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437" w:type="pct"/>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311" w:type="pct"/>
            <w:vAlign w:val="cente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70</w:t>
            </w:r>
          </w:p>
        </w:tc>
        <w:tc>
          <w:tcPr>
            <w:tcW w:w="290" w:type="pct"/>
            <w:vAlign w:val="center"/>
          </w:tcPr>
          <w:p w14:paraId="0A0EBD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15.2</w:t>
            </w:r>
          </w:p>
        </w:tc>
        <w:tc>
          <w:tcPr>
            <w:tcW w:w="327"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2511</w:t>
            </w:r>
          </w:p>
        </w:tc>
        <w:tc>
          <w:tcPr>
            <w:tcW w:w="308"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519.88</w:t>
            </w:r>
          </w:p>
        </w:tc>
        <w:tc>
          <w:tcPr>
            <w:tcW w:w="280"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3.82</w:t>
            </w:r>
          </w:p>
        </w:tc>
        <w:tc>
          <w:tcPr>
            <w:tcW w:w="387"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pacing w:val="-20"/>
                <w:szCs w:val="21"/>
                <w:highlight w:val="none"/>
                <w:lang w:val="en-US" w:eastAsia="zh-CN"/>
              </w:rPr>
              <w:t>折合</w:t>
            </w:r>
            <w:r>
              <w:rPr>
                <w:rFonts w:hint="eastAsia" w:ascii="仿宋_GB2312" w:hAnsi="仿宋_GB2312" w:eastAsia="仿宋_GB2312" w:cs="仿宋_GB2312"/>
                <w:spacing w:val="-20"/>
                <w:szCs w:val="21"/>
                <w:highlight w:val="none"/>
                <w:lang w:val="en-US" w:eastAsia="zh-CN"/>
              </w:rPr>
              <w:t>167.4</w:t>
            </w:r>
            <w:r>
              <w:rPr>
                <w:rFonts w:hint="default" w:ascii="仿宋_GB2312" w:hAnsi="仿宋_GB2312" w:eastAsia="仿宋_GB2312" w:cs="仿宋_GB2312"/>
                <w:spacing w:val="-20"/>
                <w:szCs w:val="21"/>
                <w:highlight w:val="none"/>
                <w:lang w:val="en-US" w:eastAsia="zh-CN"/>
              </w:rPr>
              <w:t>万元/亩</w:t>
            </w:r>
          </w:p>
        </w:tc>
      </w:tr>
    </w:tbl>
    <w:p w14:paraId="7891DF7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注：上表中“</w:t>
      </w:r>
      <w:r>
        <w:rPr>
          <w:rFonts w:hint="eastAsia" w:ascii="仿宋_GB2312" w:hAnsi="仿宋_GB2312" w:eastAsia="仿宋_GB2312" w:cs="仿宋_GB2312"/>
          <w:szCs w:val="21"/>
          <w:highlight w:val="none"/>
          <w:lang w:val="en-US" w:eastAsia="zh-CN"/>
        </w:rPr>
        <w:t>五</w:t>
      </w:r>
      <w:r>
        <w:rPr>
          <w:rFonts w:hint="eastAsia" w:ascii="仿宋_GB2312" w:hAnsi="仿宋_GB2312" w:eastAsia="仿宋_GB2312" w:cs="仿宋_GB2312"/>
          <w:szCs w:val="21"/>
          <w:highlight w:val="none"/>
        </w:rPr>
        <w:t>通”指宗地红外围通路、通电</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通讯、供水、排水。</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一、上述土地估价结果的限定条</w:t>
      </w:r>
      <w:r>
        <w:rPr>
          <w:rFonts w:hint="eastAsia" w:ascii="仿宋_GB2312" w:hAnsi="仿宋_GB2312" w:eastAsia="仿宋_GB2312" w:cs="仿宋_GB2312"/>
          <w:color w:val="auto"/>
          <w:szCs w:val="21"/>
          <w:highlight w:val="none"/>
        </w:rPr>
        <w:t>件</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1.根据《</w:t>
      </w:r>
      <w:r>
        <w:rPr>
          <w:rFonts w:hint="eastAsia" w:ascii="仿宋_GB2312" w:hAnsi="仿宋_GB2312" w:eastAsia="仿宋_GB2312" w:cs="仿宋_GB2312"/>
          <w:color w:val="auto"/>
          <w:szCs w:val="21"/>
          <w:highlight w:val="none"/>
          <w:lang w:val="en-US" w:eastAsia="zh-CN"/>
        </w:rPr>
        <w:t>评估委托书</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和</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道县集中化解房地产办证信访突出问题工作领导小组办公室出具的《土地权属及性质证明》（2026年5月19日），估价对象位于</w:t>
      </w: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估价对象土地所有权为国有，土地使用权性质为</w:t>
      </w:r>
      <w:r>
        <w:rPr>
          <w:rFonts w:hint="eastAsia" w:ascii="仿宋_GB2312" w:hAnsi="仿宋_GB2312" w:eastAsia="仿宋_GB2312" w:cs="仿宋_GB2312"/>
          <w:color w:val="auto"/>
          <w:szCs w:val="21"/>
          <w:highlight w:val="none"/>
          <w:lang w:val="en-US" w:eastAsia="zh-CN"/>
        </w:rPr>
        <w:t>划拨</w:t>
      </w:r>
      <w:r>
        <w:rPr>
          <w:rFonts w:hint="eastAsia" w:ascii="仿宋_GB2312" w:hAnsi="仿宋_GB2312" w:eastAsia="仿宋_GB2312" w:cs="仿宋_GB2312"/>
          <w:color w:val="auto"/>
          <w:szCs w:val="21"/>
          <w:highlight w:val="none"/>
        </w:rPr>
        <w:t>，土地使用者</w:t>
      </w:r>
      <w:r>
        <w:rPr>
          <w:rFonts w:hint="eastAsia" w:ascii="仿宋_GB2312" w:hAnsi="仿宋_GB2312" w:eastAsia="仿宋_GB2312" w:cs="仿宋_GB2312"/>
          <w:color w:val="auto"/>
          <w:szCs w:val="21"/>
          <w:highlight w:val="none"/>
          <w:lang w:val="en-US" w:eastAsia="zh-CN"/>
        </w:rPr>
        <w:t>为王汝冲</w:t>
      </w:r>
      <w:r>
        <w:rPr>
          <w:rFonts w:hint="eastAsia" w:ascii="仿宋_GB2312" w:hAnsi="仿宋_GB2312" w:eastAsia="仿宋_GB2312" w:cs="仿宋_GB2312"/>
          <w:color w:val="auto"/>
          <w:szCs w:val="21"/>
          <w:highlight w:val="none"/>
        </w:rPr>
        <w:t>。根据委托方提供相关资料和估价人员调查结果</w:t>
      </w:r>
      <w:r>
        <w:rPr>
          <w:rFonts w:hint="eastAsia" w:ascii="仿宋_GB2312" w:hAnsi="仿宋_GB2312" w:eastAsia="仿宋_GB2312" w:cs="仿宋_GB2312"/>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Cs w:val="21"/>
          <w:highlight w:val="none"/>
          <w:lang w:val="en-US" w:eastAsia="zh-CN"/>
        </w:rPr>
        <w:t>五通</w:t>
      </w:r>
      <w:r>
        <w:rPr>
          <w:rFonts w:hint="eastAsia" w:ascii="仿宋_GB2312" w:hAnsi="仿宋_GB2312" w:eastAsia="仿宋_GB2312" w:cs="仿宋_GB2312"/>
          <w:szCs w:val="21"/>
          <w:highlight w:val="none"/>
        </w:rPr>
        <w:t>”（即通路、通讯</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供水、排水</w:t>
      </w:r>
      <w:r>
        <w:rPr>
          <w:rFonts w:hint="eastAsia" w:ascii="仿宋_GB2312" w:hAnsi="仿宋_GB2312" w:eastAsia="仿宋_GB2312" w:cs="仿宋_GB2312"/>
          <w:szCs w:val="21"/>
          <w:highlight w:val="none"/>
        </w:rPr>
        <w:t>、通讯），</w:t>
      </w:r>
      <w:r>
        <w:rPr>
          <w:rFonts w:hint="eastAsia" w:ascii="仿宋_GB2312" w:hAnsi="仿宋_GB2312" w:eastAsia="仿宋_GB2312" w:cs="仿宋_GB2312"/>
          <w:szCs w:val="21"/>
          <w:highlight w:val="none"/>
          <w:lang w:eastAsia="zh-CN"/>
        </w:rPr>
        <w:t>红线内场地平整</w:t>
      </w:r>
      <w:r>
        <w:rPr>
          <w:rFonts w:hint="eastAsia" w:ascii="仿宋_GB2312" w:hAnsi="仿宋_GB2312" w:eastAsia="仿宋_GB2312" w:cs="仿宋_GB2312"/>
          <w:szCs w:val="21"/>
          <w:highlight w:val="none"/>
          <w:lang w:val="en-US" w:eastAsia="zh-CN"/>
        </w:rPr>
        <w:t>无</w:t>
      </w:r>
      <w:r>
        <w:rPr>
          <w:rFonts w:hint="eastAsia" w:ascii="仿宋_GB2312" w:hAnsi="仿宋_GB2312" w:eastAsia="仿宋_GB2312" w:cs="仿宋_GB2312"/>
          <w:szCs w:val="21"/>
          <w:highlight w:val="none"/>
          <w:lang w:eastAsia="zh-CN"/>
        </w:rPr>
        <w:t>建筑物</w:t>
      </w:r>
      <w:r>
        <w:rPr>
          <w:rFonts w:hint="eastAsia" w:ascii="仿宋_GB2312" w:hAnsi="仿宋_GB2312" w:eastAsia="仿宋_GB2312" w:cs="仿宋_GB2312"/>
          <w:szCs w:val="21"/>
          <w:highlight w:val="none"/>
        </w:rPr>
        <w:t>，详见下表。</w:t>
      </w:r>
    </w:p>
    <w:tbl>
      <w:tblPr>
        <w:tblStyle w:val="1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7B088A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0B55923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临文化西路、鹭鸶塘路，沥青路面，通行较顺畅</w:t>
            </w:r>
          </w:p>
        </w:tc>
        <w:tc>
          <w:tcPr>
            <w:tcW w:w="857" w:type="pct"/>
            <w:noWrap w:val="0"/>
            <w:vAlign w:val="center"/>
          </w:tcPr>
          <w:p w14:paraId="10727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7E44F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1808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1F929E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3.规划限制条件：根据</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评估委托书</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rPr>
        <w:t>，估价对象位于</w:t>
      </w:r>
      <w:r>
        <w:rPr>
          <w:rFonts w:hint="eastAsia" w:ascii="仿宋_GB2312" w:hAnsi="仿宋_GB2312" w:eastAsia="仿宋_GB2312" w:cs="仿宋_GB2312"/>
          <w:szCs w:val="21"/>
          <w:highlight w:val="none"/>
          <w:lang w:val="en-US" w:eastAsia="zh-CN"/>
        </w:rPr>
        <w:t>道县月岩西路</w:t>
      </w:r>
      <w:r>
        <w:rPr>
          <w:rFonts w:hint="eastAsia" w:ascii="仿宋_GB2312" w:hAnsi="仿宋_GB2312" w:eastAsia="仿宋_GB2312" w:cs="仿宋_GB2312"/>
          <w:szCs w:val="21"/>
          <w:highlight w:val="none"/>
        </w:rPr>
        <w:t>，用地面积</w:t>
      </w:r>
      <w:r>
        <w:rPr>
          <w:rFonts w:hint="eastAsia" w:ascii="仿宋_GB2312" w:hAnsi="仿宋_GB2312" w:eastAsia="仿宋_GB2312" w:cs="仿宋_GB2312"/>
          <w:szCs w:val="21"/>
          <w:highlight w:val="none"/>
          <w:lang w:val="en-US" w:eastAsia="zh-CN"/>
        </w:rPr>
        <w:t>15.2平方米</w:t>
      </w:r>
      <w:r>
        <w:rPr>
          <w:rFonts w:hint="eastAsia" w:ascii="仿宋_GB2312" w:hAnsi="仿宋_GB2312" w:eastAsia="仿宋_GB2312" w:cs="仿宋_GB2312"/>
          <w:szCs w:val="21"/>
          <w:highlight w:val="none"/>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 xml:space="preserve">二、其他需要说明的事项 </w:t>
      </w:r>
    </w:p>
    <w:p w14:paraId="2BD05FC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w:t>
      </w:r>
      <w:bookmarkStart w:id="0" w:name="_Hlk53237488"/>
      <w:r>
        <w:rPr>
          <w:rFonts w:hint="eastAsia" w:ascii="仿宋_GB2312" w:hAnsi="仿宋_GB2312" w:eastAsia="仿宋_GB2312" w:cs="仿宋_GB2312"/>
          <w:bCs/>
          <w:color w:val="auto"/>
          <w:kern w:val="2"/>
          <w:sz w:val="21"/>
          <w:szCs w:val="21"/>
          <w:highlight w:val="none"/>
          <w:lang w:val="en-GB" w:eastAsia="zh-CN" w:bidi="ar-SA"/>
        </w:rPr>
        <w:t>评估价格</w:t>
      </w:r>
      <w:bookmarkStart w:id="1" w:name="_Hlk53238728"/>
      <w:r>
        <w:rPr>
          <w:rFonts w:hint="eastAsia" w:ascii="仿宋_GB2312" w:hAnsi="仿宋_GB2312" w:eastAsia="仿宋_GB2312" w:cs="仿宋_GB2312"/>
          <w:bCs/>
          <w:color w:val="auto"/>
          <w:kern w:val="2"/>
          <w:sz w:val="21"/>
          <w:szCs w:val="21"/>
          <w:highlight w:val="none"/>
          <w:lang w:val="en-GB" w:eastAsia="zh-CN" w:bidi="ar-SA"/>
        </w:rPr>
        <w:t>仅为委托方了解土地使用权价值提供客观、公正、合理的价格参考依据</w:t>
      </w:r>
      <w:bookmarkEnd w:id="1"/>
      <w:r>
        <w:rPr>
          <w:rFonts w:hint="eastAsia" w:ascii="仿宋_GB2312" w:hAnsi="仿宋_GB2312" w:eastAsia="仿宋_GB2312" w:cs="仿宋_GB2312"/>
          <w:bCs/>
          <w:color w:val="auto"/>
          <w:kern w:val="2"/>
          <w:sz w:val="21"/>
          <w:szCs w:val="21"/>
          <w:highlight w:val="none"/>
          <w:lang w:val="en-GB" w:eastAsia="zh-CN" w:bidi="ar-SA"/>
        </w:rPr>
        <w:t>。</w:t>
      </w:r>
      <w:bookmarkEnd w:id="0"/>
    </w:p>
    <w:p w14:paraId="1E8FF51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3F5DBB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6D192CD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w:t>
      </w:r>
      <w:r>
        <w:rPr>
          <w:rFonts w:hint="eastAsia" w:ascii="仿宋_GB2312" w:hAnsi="仿宋_GB2312" w:eastAsia="仿宋_GB2312" w:cs="仿宋_GB2312"/>
          <w:bCs/>
          <w:color w:val="auto"/>
          <w:kern w:val="2"/>
          <w:sz w:val="21"/>
          <w:szCs w:val="21"/>
          <w:highlight w:val="none"/>
          <w:lang w:val="en-GB" w:eastAsia="zh-CN" w:bidi="ar-SA"/>
        </w:rPr>
        <w:t>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《户室面积对照表》为依据，</w:t>
      </w:r>
      <w:r>
        <w:rPr>
          <w:rFonts w:hint="eastAsia" w:ascii="仿宋_GB2312" w:hAnsi="仿宋_GB2312" w:eastAsia="仿宋_GB2312" w:cs="仿宋_GB2312"/>
          <w:bCs/>
          <w:color w:val="auto"/>
          <w:kern w:val="2"/>
          <w:sz w:val="21"/>
          <w:szCs w:val="21"/>
          <w:highlight w:val="none"/>
          <w:lang w:val="en-US" w:eastAsia="zh-CN" w:bidi="ar-SA"/>
        </w:rPr>
        <w:t>土地使用权面积以</w:t>
      </w:r>
      <w:r>
        <w:rPr>
          <w:rFonts w:hint="eastAsia" w:ascii="仿宋_GB2312" w:hAnsi="仿宋_GB2312" w:eastAsia="仿宋_GB2312" w:cs="仿宋_GB2312"/>
          <w:sz w:val="21"/>
          <w:szCs w:val="21"/>
          <w:highlight w:val="none"/>
          <w:lang w:val="en-US" w:eastAsia="zh-CN"/>
        </w:rPr>
        <w:t>《土地分摊表》和《评估委托书》</w:t>
      </w:r>
      <w:r>
        <w:rPr>
          <w:rFonts w:hint="eastAsia" w:ascii="仿宋_GB2312" w:hAnsi="仿宋_GB2312" w:eastAsia="仿宋_GB2312" w:cs="仿宋_GB2312"/>
          <w:bCs/>
          <w:color w:val="auto"/>
          <w:kern w:val="2"/>
          <w:sz w:val="21"/>
          <w:szCs w:val="21"/>
          <w:highlight w:val="none"/>
          <w:lang w:val="en-GB" w:eastAsia="zh-CN" w:bidi="ar-SA"/>
        </w:rPr>
        <w:t>为依据，确定本次评估面积为</w:t>
      </w:r>
      <w:r>
        <w:rPr>
          <w:rFonts w:hint="eastAsia" w:ascii="仿宋_GB2312" w:hAnsi="仿宋_GB2312" w:eastAsia="仿宋_GB2312" w:cs="仿宋_GB2312"/>
          <w:bCs/>
          <w:color w:val="auto"/>
          <w:kern w:val="2"/>
          <w:sz w:val="21"/>
          <w:szCs w:val="21"/>
          <w:highlight w:val="none"/>
          <w:lang w:val="en-US" w:eastAsia="zh-CN" w:bidi="ar-SA"/>
        </w:rPr>
        <w:t>15.2平方米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项</w:t>
      </w:r>
      <w:r>
        <w:rPr>
          <w:rFonts w:hint="eastAsia" w:ascii="仿宋_GB2312" w:eastAsia="仿宋_GB2312"/>
          <w:szCs w:val="21"/>
          <w:highlight w:val="none"/>
        </w:rPr>
        <w:t>。</w:t>
      </w:r>
      <w:r>
        <w:rPr>
          <w:rFonts w:hint="eastAsia" w:ascii="仿宋_GB2312" w:hAnsi="仿宋_GB2312" w:eastAsia="仿宋_GB2312" w:cs="仿宋_GB2312"/>
          <w:szCs w:val="21"/>
          <w:highlight w:val="none"/>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eastAsia="zh-CN"/>
        </w:rPr>
        <w:t>湖南兆财不动产规划评估有限公司</w:t>
      </w:r>
      <w:r>
        <w:rPr>
          <w:rFonts w:hint="eastAsia" w:ascii="仿宋_GB2312" w:hAnsi="仿宋_GB2312" w:eastAsia="仿宋_GB2312" w:cs="仿宋_GB2312"/>
          <w:szCs w:val="21"/>
          <w:highlight w:val="none"/>
          <w:lang w:val="en-US" w:eastAsia="zh-CN"/>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highlight w:val="none"/>
          <w:lang w:eastAsia="zh-CN"/>
        </w:r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202</w:t>
      </w:r>
      <w:r>
        <w:rPr>
          <w:rFonts w:hint="eastAsia" w:ascii="仿宋_GB2312" w:hAnsi="仿宋_GB2312" w:eastAsia="仿宋_GB2312" w:cs="仿宋_GB2312"/>
          <w:szCs w:val="21"/>
          <w:highlight w:val="none"/>
          <w:lang w:val="en-US" w:eastAsia="zh-CN"/>
        </w:rPr>
        <w:t>6</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5</w:t>
      </w:r>
      <w:r>
        <w:rPr>
          <w:rFonts w:hint="eastAsia" w:ascii="仿宋_GB2312" w:hAnsi="仿宋_GB2312" w:eastAsia="仿宋_GB2312" w:cs="仿宋_GB2312"/>
          <w:szCs w:val="21"/>
          <w:highlight w:val="none"/>
          <w:lang w:eastAsia="zh-CN"/>
        </w:rPr>
        <w:t>月</w:t>
      </w:r>
      <w:r>
        <w:rPr>
          <w:rFonts w:hint="eastAsia" w:ascii="仿宋_GB2312" w:hAnsi="仿宋_GB2312" w:eastAsia="仿宋_GB2312" w:cs="仿宋_GB2312"/>
          <w:szCs w:val="21"/>
          <w:highlight w:val="none"/>
          <w:lang w:val="en-US" w:eastAsia="zh-CN"/>
        </w:rPr>
        <w:t>20</w:t>
      </w:r>
      <w:r>
        <w:rPr>
          <w:rFonts w:hint="eastAsia" w:ascii="仿宋_GB2312" w:hAnsi="仿宋_GB2312" w:eastAsia="仿宋_GB2312" w:cs="仿宋_GB2312"/>
          <w:szCs w:val="21"/>
          <w:highlight w:val="none"/>
          <w:lang w:eastAsia="zh-CN"/>
        </w:rPr>
        <w:t>日</w:t>
      </w:r>
    </w:p>
    <w:p w14:paraId="1890A5BA">
      <w:pPr>
        <w:pStyle w:val="18"/>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ascii="仿宋_GB2312" w:hAnsi="仿宋_GB2312" w:eastAsia="仿宋_GB2312" w:cs="仿宋_GB2312"/>
          <w:highlight w:val="none"/>
        </w:rPr>
        <w:sectPr>
          <w:endnotePr>
            <w:numFmt w:val="decimal"/>
          </w:endnotePr>
          <w:pgSz w:w="16838" w:h="11906" w:orient="landscape"/>
          <w:pgMar w:top="1191" w:right="1440" w:bottom="1191" w:left="1440" w:header="624" w:footer="624" w:gutter="0"/>
          <w:pgNumType w:fmt="decimal"/>
          <w:cols w:space="720" w:num="1"/>
          <w:docGrid w:linePitch="312" w:charSpace="0"/>
        </w:sectPr>
      </w:pPr>
    </w:p>
    <w:p w14:paraId="097071E2">
      <w:pPr>
        <w:jc w:val="center"/>
        <w:outlineLvl w:val="0"/>
        <w:rPr>
          <w:rFonts w:hint="eastAsia" w:ascii="宋体" w:hAnsi="宋体" w:eastAsia="宋体" w:cs="宋体"/>
          <w:b/>
          <w:color w:val="auto"/>
          <w:sz w:val="32"/>
          <w:szCs w:val="32"/>
          <w:highlight w:val="none"/>
          <w:lang w:eastAsia="zh-CN"/>
        </w:rPr>
      </w:pPr>
      <w:bookmarkStart w:id="2" w:name="_Toc717"/>
      <w:bookmarkStart w:id="3" w:name="_Toc27954"/>
      <w:r>
        <w:rPr>
          <w:rFonts w:hint="eastAsia" w:ascii="宋体" w:hAnsi="宋体" w:eastAsia="宋体" w:cs="宋体"/>
          <w:b/>
          <w:color w:val="auto"/>
          <w:sz w:val="32"/>
          <w:szCs w:val="32"/>
          <w:highlight w:val="none"/>
        </w:rPr>
        <w:t>第二部分</w:t>
      </w:r>
      <w:r>
        <w:rPr>
          <w:rFonts w:hint="eastAsia" w:ascii="宋体" w:hAnsi="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估价对象</w:t>
      </w:r>
      <w:bookmarkEnd w:id="2"/>
      <w:bookmarkEnd w:id="3"/>
      <w:r>
        <w:rPr>
          <w:rFonts w:hint="eastAsia" w:ascii="宋体" w:hAnsi="宋体" w:eastAsia="宋体" w:cs="宋体"/>
          <w:b/>
          <w:color w:val="auto"/>
          <w:sz w:val="32"/>
          <w:szCs w:val="32"/>
          <w:highlight w:val="none"/>
          <w:lang w:val="en-US" w:eastAsia="zh-CN"/>
        </w:rPr>
        <w:t>界定</w:t>
      </w:r>
    </w:p>
    <w:p w14:paraId="4A6078FA">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bookmarkStart w:id="4" w:name="_Toc7689"/>
      <w:bookmarkStart w:id="5" w:name="_Toc18157"/>
      <w:r>
        <w:rPr>
          <w:rFonts w:hint="eastAsia" w:ascii="仿宋_GB2312" w:hAnsi="仿宋_GB2312" w:eastAsia="仿宋_GB2312" w:cs="仿宋_GB2312"/>
          <w:b/>
          <w:bCs w:val="0"/>
          <w:color w:val="auto"/>
          <w:kern w:val="2"/>
          <w:sz w:val="28"/>
          <w:szCs w:val="28"/>
          <w:highlight w:val="none"/>
          <w:lang w:val="en-US" w:eastAsia="zh-CN" w:bidi="ar-SA"/>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637DEC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委托方为道县自然资源局，土地使用者为王汝冲</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91FAE1">
      <w:pPr>
        <w:pStyle w:val="3"/>
        <w:keepLines w:val="0"/>
        <w:pageBreakBefore w:val="0"/>
        <w:widowControl w:val="0"/>
        <w:numPr>
          <w:ilvl w:val="0"/>
          <w:numId w:val="2"/>
        </w:numPr>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位于道县月岩西路的一宗住宅用地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国有建设用地使用权，根据《评估委托书》、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w:t>
      </w:r>
      <w:r>
        <w:rPr>
          <w:rFonts w:hint="eastAsia" w:ascii="仿宋_GB2312" w:hAnsi="仿宋_GB2312" w:eastAsia="仿宋_GB2312" w:cs="仿宋_GB2312"/>
          <w:bCs/>
          <w:color w:val="auto"/>
          <w:sz w:val="28"/>
          <w:szCs w:val="28"/>
          <w:highlight w:val="none"/>
          <w:lang w:val="en-GB" w:eastAsia="zh-CN"/>
        </w:rPr>
        <w:t>《土地分摊表》</w:t>
      </w:r>
      <w:r>
        <w:rPr>
          <w:rFonts w:hint="eastAsia" w:ascii="仿宋_GB2312" w:hAnsi="仿宋_GB2312" w:eastAsia="仿宋_GB2312" w:cs="仿宋_GB2312"/>
          <w:bCs/>
          <w:color w:val="auto"/>
          <w:sz w:val="28"/>
          <w:szCs w:val="28"/>
          <w:highlight w:val="none"/>
          <w:lang w:val="en-US" w:eastAsia="zh-CN"/>
        </w:rPr>
        <w:t>等资料</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土地面积为15.2平方米，设定容积率为4.83，土地用途为住宅用地</w:t>
      </w:r>
      <w:r>
        <w:rPr>
          <w:rFonts w:hint="eastAsia" w:ascii="仿宋_GB2312" w:hAnsi="仿宋_GB2312" w:eastAsia="仿宋_GB2312" w:cs="仿宋_GB2312"/>
          <w:bCs/>
          <w:sz w:val="28"/>
          <w:szCs w:val="28"/>
          <w:highlight w:val="none"/>
          <w:lang w:val="en-US" w:eastAsia="zh-CN"/>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土地开发程度为宗地红线外“五通”（即通路、通电、供水、排水、通讯），宗地红线内场地平整。</w:t>
      </w:r>
    </w:p>
    <w:p w14:paraId="5D8EE0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505F3B7F">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三、估价对象</w:t>
      </w:r>
      <w:bookmarkEnd w:id="4"/>
      <w:bookmarkEnd w:id="5"/>
      <w:r>
        <w:rPr>
          <w:rFonts w:hint="eastAsia" w:ascii="仿宋_GB2312" w:hAnsi="仿宋_GB2312" w:eastAsia="仿宋_GB2312" w:cs="仿宋_GB2312"/>
          <w:b/>
          <w:bCs w:val="0"/>
          <w:color w:val="auto"/>
          <w:kern w:val="2"/>
          <w:sz w:val="28"/>
          <w:szCs w:val="28"/>
          <w:highlight w:val="none"/>
          <w:lang w:val="en-US" w:eastAsia="zh-CN" w:bidi="ar-SA"/>
        </w:rPr>
        <w:t>概况</w:t>
      </w:r>
    </w:p>
    <w:p w14:paraId="73B5A2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47AEBE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06219E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17A129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2A64C0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706A07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4DC6A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35076EF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887CF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t>8.土地级别：道县城镇基准地价的颁布实施时间为{{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6F0B950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EFFC03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AA02B8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CB3392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A21A9E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92D361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122FFB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767DC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C5AF2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3402D5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29EE6A8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700B3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3B82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371303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11D6D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59097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2FD9B4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BF6BA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5AB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C20735F">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7" name="图片 7"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15693E7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8" name="图片 8"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3559D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7B6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26AD1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0380685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7B328CC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123EFE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309536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77C83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3604DB1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bookmarkStart w:id="6" w:name="_Toc7099"/>
      <w:bookmarkStart w:id="7" w:name="_Toc3816"/>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bookmarkEnd w:id="6"/>
      <w:bookmarkEnd w:id="7"/>
    </w:p>
    <w:p w14:paraId="2DB139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bookmarkStart w:id="8" w:name="_Toc25578"/>
      <w:bookmarkStart w:id="9" w:name="_Toc102987873"/>
      <w:r>
        <w:rPr>
          <w:rFonts w:hint="default" w:ascii="仿宋_GB2312" w:hAnsi="仿宋_GB2312" w:eastAsia="仿宋_GB2312" w:cs="仿宋_GB2312"/>
          <w:bCs/>
          <w:color w:val="auto"/>
          <w:sz w:val="28"/>
          <w:szCs w:val="28"/>
          <w:highlight w:val="none"/>
          <w:lang w:val="en-US" w:eastAsia="zh-CN"/>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482094.830亩(32139.50公顷),占比74.832%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亩(13.97公顷),占比0.06%;其他园地170854.835亩(11390.17公顷),占比50.62%。总体来看，园地主要分布在祥霖铺镇、审章塘瑶族乡、白芒铺镇、柑子园镇、蚣坝镇、白马渡镇、东门街道和上关街道等。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2"/>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11"/>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8255" b="1460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1460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6350" b="2349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14.83%计入应纳税所得额，按20%的税率缴纳企业所得税（税负4.83％）；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用水平显著提高；重点环境问题得到有效整治，城乡污水处理、生活垃圾分类无害化处理实现全覆盖，生态环境持续改善，生态安全屏障更加牢固，城乡人居环境明显改善；“江湾映城、山水相融”的城市空间格局基本形成，民生设施建设取得显著成效，乡村地区基本实现集约发展，传统历史文化得到保护、传承和弘扬；现代化产业体系初具规模，科技创新能力显著增强，对外开放与区域协同水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2个百分点。2024年非公有制经济增加值189.73亿元，比上年增长7.3%，占地区生产总值的比重为64.58%，比上年提高1.18个百分点。</w:t>
      </w:r>
    </w:p>
    <w:p w14:paraId="330A78C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B10098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bookmarkEnd w:id="8"/>
    <w:bookmarkEnd w:id="9"/>
    <w:p w14:paraId="42C8EF4F">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kern w:val="2"/>
          <w:sz w:val="28"/>
          <w:szCs w:val="28"/>
          <w:highlight w:val="none"/>
          <w:lang w:val="en-US" w:eastAsia="zh-CN" w:bidi="ar-SA"/>
        </w:rPr>
        <w:t>（二）</w:t>
      </w:r>
      <w:r>
        <w:rPr>
          <w:rFonts w:hint="eastAsia" w:ascii="仿宋_GB2312" w:hAnsi="仿宋_GB2312" w:eastAsia="仿宋_GB2312" w:cs="仿宋_GB2312"/>
          <w:bCs/>
          <w:color w:val="auto"/>
          <w:sz w:val="28"/>
          <w:szCs w:val="28"/>
          <w:highlight w:val="none"/>
          <w:lang w:val="en-US" w:eastAsia="zh-CN"/>
        </w:rPr>
        <w:t>区域因素</w:t>
      </w:r>
    </w:p>
    <w:p w14:paraId="15AE9EE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hAnsi="仿宋_GB2312" w:eastAsia="仿宋_GB2312" w:cs="仿宋_GB2312"/>
          <w:sz w:val="28"/>
          <w:highlight w:val="none"/>
          <w:lang w:val="en-US" w:eastAsia="zh-CN"/>
        </w:rPr>
        <w:t>影响</w:t>
      </w:r>
      <w:r>
        <w:rPr>
          <w:rFonts w:hint="eastAsia" w:ascii="仿宋_GB2312" w:eastAsia="仿宋_GB2312"/>
          <w:sz w:val="28"/>
          <w:szCs w:val="30"/>
          <w:highlight w:val="none"/>
          <w:lang w:val="en-US" w:eastAsia="zh-CN"/>
        </w:rPr>
        <w:t>估价对象的区域因素主要有：区域概况、交通条件、基础设施条件、环境条件、商服繁华情况、规划限制等。</w:t>
      </w:r>
    </w:p>
    <w:p w14:paraId="47B358D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1.区域概况</w:t>
      </w:r>
    </w:p>
    <w:p w14:paraId="4BAA926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 xml:space="preserve">（1）区域位置  </w:t>
      </w:r>
    </w:p>
    <w:p w14:paraId="3B7D81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eastAsia="仿宋_GB2312"/>
          <w:sz w:val="28"/>
          <w:szCs w:val="30"/>
          <w:highlight w:val="none"/>
        </w:rPr>
        <w:t>①区域位置、级别及人口：估价对象位于</w:t>
      </w:r>
      <w:r>
        <w:rPr>
          <w:rFonts w:hint="eastAsia" w:ascii="仿宋_GB2312" w:eastAsia="仿宋_GB2312"/>
          <w:sz w:val="28"/>
          <w:szCs w:val="30"/>
          <w:highlight w:val="none"/>
          <w:lang w:val="en-US" w:eastAsia="zh-CN"/>
        </w:rPr>
        <w:t>道县状元路以北、潇水北路以西</w:t>
      </w:r>
      <w:r>
        <w:rPr>
          <w:rFonts w:hint="eastAsia" w:ascii="仿宋_GB2312" w:eastAsia="仿宋_GB2312"/>
          <w:sz w:val="28"/>
          <w:szCs w:val="30"/>
          <w:highlight w:val="none"/>
        </w:rPr>
        <w:t>，道县辖7个街道、12个镇、3个乡。县政府驻濂溪街道寇公街66号。截至2023年末，道县常住人口57.40万人。</w:t>
      </w:r>
    </w:p>
    <w:p w14:paraId="55EC9A3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rPr>
      </w:pPr>
      <w:r>
        <w:t>②土地级别：道县城镇基准地价的颁布实施时间为{{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5E9567F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Times New Roman" w:eastAsia="仿宋_GB2312" w:cs="Times New Roman"/>
          <w:sz w:val="28"/>
          <w:szCs w:val="30"/>
          <w:highlight w:val="none"/>
          <w:lang w:val="en-US" w:eastAsia="zh-CN"/>
        </w:rPr>
        <w:t>③</w:t>
      </w:r>
      <w:r>
        <w:rPr>
          <w:rFonts w:hint="eastAsia" w:ascii="仿宋_GB2312" w:hAnsi="Times New Roman" w:eastAsia="仿宋_GB2312" w:cs="Times New Roman"/>
          <w:sz w:val="28"/>
          <w:szCs w:val="30"/>
          <w:highlight w:val="none"/>
        </w:rPr>
        <w:t>经济发展：</w:t>
      </w:r>
      <w:r>
        <w:rPr>
          <w:rFonts w:hint="eastAsia" w:ascii="仿宋_GB2312" w:eastAsia="仿宋_GB2312" w:cs="Times New Roman"/>
          <w:sz w:val="28"/>
          <w:szCs w:val="30"/>
          <w:highlight w:val="none"/>
          <w:lang w:val="en-US" w:eastAsia="zh-CN"/>
        </w:rPr>
        <w:t>2024年道县</w:t>
      </w:r>
      <w:r>
        <w:rPr>
          <w:rFonts w:hint="eastAsia" w:ascii="仿宋_GB2312" w:hAnsi="Times New Roman" w:eastAsia="仿宋_GB2312" w:cs="Times New Roman"/>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sz w:val="28"/>
          <w:szCs w:val="30"/>
          <w:highlight w:val="none"/>
        </w:rPr>
        <w:t>。</w:t>
      </w:r>
    </w:p>
    <w:p w14:paraId="0D2AC43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eastAsia="zh-CN"/>
        </w:rPr>
      </w:pPr>
      <w:r>
        <w:rPr>
          <w:rFonts w:hint="eastAsia" w:ascii="仿宋_GB2312" w:eastAsia="仿宋_GB2312"/>
          <w:sz w:val="28"/>
          <w:szCs w:val="30"/>
          <w:highlight w:val="none"/>
          <w:lang w:val="en-US" w:eastAsia="zh-CN"/>
        </w:rPr>
        <w:t>④</w:t>
      </w:r>
      <w:r>
        <w:rPr>
          <w:rFonts w:hint="eastAsia" w:ascii="仿宋_GB2312" w:eastAsia="仿宋_GB2312"/>
          <w:sz w:val="28"/>
          <w:szCs w:val="30"/>
          <w:highlight w:val="none"/>
        </w:rPr>
        <w:t>区位优势</w:t>
      </w:r>
      <w:r>
        <w:rPr>
          <w:rFonts w:hint="eastAsia" w:ascii="仿宋_GB2312" w:hAnsi="Times New Roman" w:eastAsia="仿宋_GB2312" w:cs="Times New Roman"/>
          <w:sz w:val="28"/>
          <w:szCs w:val="30"/>
          <w:highlight w:val="none"/>
        </w:rPr>
        <w:t>：道县处于湘粤桂三省交汇区</w:t>
      </w:r>
      <w:r>
        <w:rPr>
          <w:rFonts w:hint="eastAsia" w:ascii="仿宋_GB2312" w:hAnsi="Times New Roman" w:eastAsia="仿宋_GB2312" w:cs="Times New Roman"/>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659010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val="en-US" w:eastAsia="zh-CN"/>
        </w:rPr>
      </w:pPr>
      <w:r>
        <w:rPr>
          <w:rFonts w:hint="eastAsia" w:ascii="仿宋_GB2312" w:hAnsi="Times New Roman" w:eastAsia="仿宋_GB2312" w:cs="Times New Roman"/>
          <w:sz w:val="28"/>
          <w:szCs w:val="30"/>
          <w:highlight w:val="none"/>
          <w:lang w:val="en-US" w:eastAsia="zh-CN"/>
        </w:rPr>
        <w:t>2.交通条件</w:t>
      </w:r>
    </w:p>
    <w:p w14:paraId="1C429E4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（1）区域内公共交通状况</w:t>
      </w:r>
    </w:p>
    <w:p w14:paraId="4A85BD6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估价对象区域内有</w:t>
      </w:r>
      <w:r>
        <w:rPr>
          <w:rFonts w:hint="eastAsia" w:ascii="仿宋_GB2312" w:hAnsi="仿宋_GB2312" w:eastAsia="仿宋_GB2312" w:cs="仿宋_GB2312"/>
          <w:snapToGrid w:val="0"/>
          <w:color w:val="auto"/>
          <w:sz w:val="28"/>
          <w:szCs w:val="28"/>
          <w:highlight w:val="none"/>
          <w:lang w:val="en-US" w:eastAsia="zh-CN"/>
        </w:rPr>
        <w:t>月岩西路、道州中路、文化路</w:t>
      </w:r>
      <w:r>
        <w:rPr>
          <w:rFonts w:hint="eastAsia" w:ascii="仿宋_GB2312" w:hAnsi="仿宋_GB2312" w:eastAsia="仿宋_GB2312" w:cs="仿宋_GB2312"/>
          <w:snapToGrid w:val="0"/>
          <w:color w:val="auto"/>
          <w:sz w:val="28"/>
          <w:szCs w:val="28"/>
          <w:highlight w:val="none"/>
        </w:rPr>
        <w:t>等城市主、次干道，距离</w:t>
      </w:r>
      <w:r>
        <w:rPr>
          <w:rFonts w:hint="eastAsia" w:ascii="仿宋_GB2312" w:hAnsi="仿宋_GB2312" w:eastAsia="仿宋_GB2312" w:cs="仿宋_GB2312"/>
          <w:snapToGrid w:val="0"/>
          <w:color w:val="auto"/>
          <w:sz w:val="28"/>
          <w:szCs w:val="28"/>
          <w:highlight w:val="none"/>
          <w:lang w:val="en-US" w:eastAsia="zh-CN"/>
        </w:rPr>
        <w:t>道州新车站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680</w:t>
      </w:r>
      <w:r>
        <w:rPr>
          <w:rFonts w:hint="eastAsia" w:ascii="仿宋_GB2312" w:hAnsi="仿宋_GB2312" w:eastAsia="仿宋_GB2312" w:cs="仿宋_GB2312"/>
          <w:snapToGrid w:val="0"/>
          <w:color w:val="auto"/>
          <w:sz w:val="28"/>
          <w:szCs w:val="28"/>
          <w:highlight w:val="none"/>
        </w:rPr>
        <w:t>米，距离</w:t>
      </w:r>
      <w:r>
        <w:rPr>
          <w:rFonts w:hint="eastAsia" w:ascii="仿宋_GB2312" w:hAnsi="仿宋_GB2312" w:eastAsia="仿宋_GB2312" w:cs="仿宋_GB2312"/>
          <w:snapToGrid w:val="0"/>
          <w:color w:val="auto"/>
          <w:sz w:val="28"/>
          <w:szCs w:val="28"/>
          <w:highlight w:val="none"/>
          <w:lang w:val="en-US" w:eastAsia="zh-CN"/>
        </w:rPr>
        <w:t>零道高速出入口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4900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较高</w:t>
      </w:r>
      <w:r>
        <w:rPr>
          <w:rFonts w:hint="eastAsia" w:ascii="仿宋_GB2312" w:eastAsia="仿宋_GB2312"/>
          <w:sz w:val="28"/>
          <w:szCs w:val="30"/>
          <w:highlight w:val="none"/>
        </w:rPr>
        <w:t>。</w:t>
      </w:r>
    </w:p>
    <w:p w14:paraId="5560A26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523D1C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G207、G357</w:t>
      </w:r>
      <w:r>
        <w:rPr>
          <w:rFonts w:hint="eastAsia" w:ascii="仿宋_GB2312" w:eastAsia="仿宋_GB2312"/>
          <w:sz w:val="28"/>
          <w:szCs w:val="30"/>
          <w:highlight w:val="none"/>
        </w:rPr>
        <w:t>等干线交会，为区域内对外开放奠定了良好的基础，区位优势明显，交通十分便利。</w:t>
      </w:r>
    </w:p>
    <w:p w14:paraId="0D88CD5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②铁路：道州火车站主要线路为益湛铁路，估价对象所在区域中心距离该火车站约1500m。</w:t>
      </w:r>
    </w:p>
    <w:p w14:paraId="456AF74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③高铁：估价对象区域距永州高铁站约104.5km。</w:t>
      </w:r>
    </w:p>
    <w:p w14:paraId="680F118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④航空：估价对象区域距离最近的机场为永州零陵机场约91.6km。</w:t>
      </w:r>
    </w:p>
    <w:p w14:paraId="645CC7E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⑤水运：道县区域境内主要河流为潇水，水位较浅，未形成水运条件，水运主要依托长沙湘江流域。</w:t>
      </w:r>
    </w:p>
    <w:p w14:paraId="19D8FB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18B9EC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0A3D1B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21E2D5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5BAFA0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6D8ED74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2633001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60103B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37572D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58862B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3B8D5C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34C4DD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0CB44E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AE928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宗地所在区域距离</w:t>
      </w:r>
      <w:r>
        <w:rPr>
          <w:rFonts w:hint="eastAsia" w:ascii="仿宋_GB2312" w:hAnsi="仿宋_GB2312" w:eastAsia="仿宋_GB2312" w:cs="仿宋_GB2312"/>
          <w:color w:val="auto"/>
          <w:sz w:val="28"/>
          <w:szCs w:val="28"/>
          <w:highlight w:val="none"/>
          <w:lang w:val="en-US" w:eastAsia="zh-CN"/>
        </w:rPr>
        <w:t>商服中心道州商业广场</w:t>
      </w:r>
      <w:r>
        <w:rPr>
          <w:rFonts w:hint="eastAsia" w:ascii="仿宋_GB2312" w:hAnsi="仿宋_GB2312" w:eastAsia="仿宋_GB2312" w:cs="仿宋_GB2312"/>
          <w:color w:val="auto"/>
          <w:sz w:val="28"/>
          <w:szCs w:val="28"/>
          <w:highlight w:val="none"/>
        </w:rPr>
        <w:t>约</w:t>
      </w:r>
      <w:r>
        <w:rPr>
          <w:rFonts w:hint="eastAsia" w:ascii="仿宋_GB2312" w:hAnsi="仿宋_GB2312" w:eastAsia="仿宋_GB2312" w:cs="仿宋_GB2312"/>
          <w:color w:val="auto"/>
          <w:sz w:val="28"/>
          <w:szCs w:val="28"/>
          <w:highlight w:val="none"/>
          <w:lang w:val="en-US" w:eastAsia="zh-CN"/>
        </w:rPr>
        <w:t>890米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091037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171602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607E51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52FD33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估价对象位于道县月岩西路，估价对象交通由道州中路、文化路、月岩西路构成路网，汇入各条主干道，区域交通条件一般。距最近汽车站（</w:t>
      </w:r>
      <w:r>
        <w:rPr>
          <w:rFonts w:hint="eastAsia" w:ascii="仿宋_GB2312" w:eastAsia="仿宋_GB2312"/>
          <w:sz w:val="28"/>
          <w:szCs w:val="30"/>
          <w:highlight w:val="none"/>
          <w:lang w:val="en-US" w:eastAsia="zh-CN"/>
        </w:rPr>
        <w:t>道州新车站）约680m</w:t>
      </w:r>
      <w:r>
        <w:rPr>
          <w:rFonts w:hint="eastAsia" w:ascii="仿宋_GB2312" w:hAnsi="仿宋_GB2312" w:eastAsia="仿宋_GB2312" w:cs="仿宋_GB2312"/>
          <w:bCs/>
          <w:sz w:val="28"/>
          <w:szCs w:val="28"/>
          <w:highlight w:val="none"/>
          <w:lang w:val="en-US" w:eastAsia="zh-CN"/>
        </w:rPr>
        <w:t>，距离最近火车站（道州火车站）约1500米，距火车站距离较劣；区域基础设施状况好，水电综合保障率达95%以上。</w:t>
      </w:r>
    </w:p>
    <w:p w14:paraId="55D59C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综合考虑以上影响地价区域因素，评估分析：估价对象所在区域交通条件较优，基础设施齐全，商业繁华影响度较优，地质条件好，区域无特殊规划限制。</w:t>
      </w:r>
    </w:p>
    <w:p w14:paraId="364019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月岩西路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5C13040">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根据委托估价方提供的《土地分摊表》，估价对象土地面积为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BF01DA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，西临建筑，东临建筑。</w:t>
      </w:r>
    </w:p>
    <w:p w14:paraId="77D8C53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》，土地用途为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23EACAC">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评估对象所在宗地整体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土地利用有一定影响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FCC2F77">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4934F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）土地利用现状</w:t>
      </w:r>
    </w:p>
    <w:p w14:paraId="37A38D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76410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34E9B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8CE6E3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9" name="图片 9"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503D2CFA">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0" name="图片 10"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77BCC4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7959C3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）规划利用条件</w:t>
      </w:r>
    </w:p>
    <w:p w14:paraId="27E917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规划利用状况</w:t>
      </w:r>
    </w:p>
    <w:p w14:paraId="755537C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43730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最佳利用</w:t>
      </w:r>
    </w:p>
    <w:p w14:paraId="022E1B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0EE625A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EBA7B6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A7E29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05C96FA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估价对象所在宗地整体临鹭鸶塘路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16EFC0F">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D7AC5FB">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（4）给水：区域内供水主要来自区内的市政供水。</w:t>
      </w:r>
    </w:p>
    <w:p w14:paraId="68010F06">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9EF1C13">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7" w:type="first"/>
          <w:footerReference r:id="rId8"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，宗地</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，地质地势条件优，主要进出道路为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支路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，道路通达度</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，距</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长途汽车站距离一般，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最近货运火车站距离劣。估价对象作为设定用途符合有效利用原则，其他个别条件均对宗地产生较有利</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影响。</w:t>
      </w:r>
    </w:p>
    <w:p w14:paraId="53E53173">
      <w:pPr>
        <w:pStyle w:val="17"/>
        <w:spacing w:before="120" w:beforeLines="50" w:after="240" w:afterLines="100" w:line="440" w:lineRule="exact"/>
        <w:ind w:firstLine="0" w:firstLineChars="0"/>
        <w:jc w:val="center"/>
        <w:outlineLvl w:val="0"/>
        <w:rPr>
          <w:rFonts w:hint="default" w:ascii="宋体" w:hAnsi="宋体" w:eastAsia="宋体" w:cs="宋体"/>
          <w:b/>
          <w:color w:val="auto"/>
          <w:sz w:val="32"/>
          <w:szCs w:val="32"/>
          <w:highlight w:val="none"/>
        </w:rPr>
      </w:pPr>
      <w:bookmarkStart w:id="10" w:name="_Toc30245"/>
      <w:bookmarkStart w:id="11" w:name="_Toc8419"/>
      <w:r>
        <w:rPr>
          <w:rFonts w:hint="eastAsia" w:ascii="宋体" w:hAnsi="宋体" w:eastAsia="宋体" w:cs="宋体"/>
          <w:b/>
          <w:color w:val="auto"/>
          <w:sz w:val="32"/>
          <w:szCs w:val="32"/>
          <w:highlight w:val="none"/>
        </w:rPr>
        <w:t>第三部分</w:t>
      </w:r>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土地估价</w:t>
      </w:r>
      <w:bookmarkEnd w:id="10"/>
      <w:bookmarkEnd w:id="11"/>
    </w:p>
    <w:p w14:paraId="792465F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eastAsia="仿宋_GB2312"/>
          <w:b/>
          <w:sz w:val="28"/>
          <w:szCs w:val="28"/>
          <w:highlight w:val="none"/>
          <w:lang w:val="en-US" w:eastAsia="zh-CN"/>
        </w:rPr>
      </w:pPr>
      <w:bookmarkStart w:id="12" w:name="_Toc12507"/>
      <w:bookmarkStart w:id="13" w:name="_Toc26449"/>
      <w:r>
        <w:rPr>
          <w:rFonts w:hint="eastAsia" w:ascii="仿宋_GB2312" w:eastAsia="仿宋_GB2312"/>
          <w:b/>
          <w:sz w:val="28"/>
          <w:szCs w:val="28"/>
          <w:highlight w:val="none"/>
          <w:lang w:val="en-US" w:eastAsia="zh-CN"/>
        </w:rPr>
        <w:t>一、估价依据</w:t>
      </w:r>
    </w:p>
    <w:p w14:paraId="084A7B1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bookmarkStart w:id="14" w:name="_Hlk513795172"/>
    </w:p>
    <w:bookmarkEnd w:id="14"/>
    <w:p w14:paraId="3FBCFFD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7F99CC0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2F38C04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C9C15D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1147DF7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2039CE7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7A56265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04CB905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5591F500">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D8DB3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6CA6F72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39590D6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3E0A192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7897EA8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0C0237E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589803F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52EAA4F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5F10D7D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20A643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7CC1C6F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396BD14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1C35C94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63EB606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6BCB3046">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4C0E30F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7CFC40B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3F63091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26137091">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520E73AB">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1D00B222">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02FB96B5">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73B7ABA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4F698E1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4FADCE8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6A93E74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34B3580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96B35D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458E9CC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236289F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1B549E9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1894EAD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61DCB76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36C92DB2">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4FB6E02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3B33B5B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07A6A5C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4F26DAC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09350EF7">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2A4EE5BE">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7B6E6885">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7122073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734FA8D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550E1A3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619EBD0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0DC6CA6D">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bookmarkStart w:id="15" w:name="_Hlk513795195"/>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4405DAFA">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47FB412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32C2EF4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bookmarkEnd w:id="15"/>
      <w:r>
        <w:rPr>
          <w:rFonts w:hint="eastAsia" w:ascii="仿宋_GB2312" w:hAnsi="仿宋_GB2312" w:eastAsia="仿宋_GB2312" w:cs="仿宋_GB2312"/>
          <w:bCs/>
          <w:iCs/>
          <w:sz w:val="28"/>
          <w:szCs w:val="28"/>
          <w:highlight w:val="none"/>
        </w:rPr>
        <w:t>；</w:t>
      </w:r>
    </w:p>
    <w:p w14:paraId="2C85FBE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36ED5E0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17D97CF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4EF972D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1ADBC63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27F0D9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0A1D48C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3F32CC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4.收益还原法比较实例所处位置、照片等资料；</w:t>
      </w:r>
    </w:p>
    <w:p w14:paraId="55F1782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2879F08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eastAsia="仿宋_GB2312"/>
          <w:b/>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614632D5">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二、</w:t>
      </w:r>
      <w:bookmarkEnd w:id="12"/>
      <w:bookmarkEnd w:id="13"/>
      <w:r>
        <w:rPr>
          <w:rFonts w:hint="eastAsia" w:ascii="仿宋_GB2312" w:hAnsi="仿宋_GB2312" w:eastAsia="仿宋_GB2312" w:cs="仿宋_GB2312"/>
          <w:b/>
          <w:bCs w:val="0"/>
          <w:color w:val="auto"/>
          <w:sz w:val="28"/>
          <w:szCs w:val="28"/>
          <w:highlight w:val="none"/>
          <w:lang w:val="en-US" w:eastAsia="zh-CN"/>
        </w:rPr>
        <w:t>土地估价</w:t>
      </w:r>
    </w:p>
    <w:p w14:paraId="45A1490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一</w:t>
      </w: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估价原则</w:t>
      </w:r>
    </w:p>
    <w:p w14:paraId="0F53C4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794A478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1、合法性原则</w:t>
      </w:r>
    </w:p>
    <w:p w14:paraId="08F190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57947CF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2、替代原则</w:t>
      </w:r>
    </w:p>
    <w:p w14:paraId="14FA9B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06FFA6A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GB" w:eastAsia="zh-CN"/>
        </w:rPr>
        <w:t>本次</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GB" w:eastAsia="zh-CN"/>
        </w:rPr>
        <w:t>中选取的3个案例均处于估价对象所处区域范围，相互之间存在替代性</w:t>
      </w:r>
      <w:r>
        <w:rPr>
          <w:rFonts w:hint="eastAsia" w:ascii="仿宋_GB2312" w:hAnsi="仿宋_GB2312" w:eastAsia="仿宋_GB2312" w:cs="仿宋_GB2312"/>
          <w:b w:val="0"/>
          <w:bCs/>
          <w:color w:val="auto"/>
          <w:sz w:val="28"/>
          <w:szCs w:val="28"/>
          <w:highlight w:val="none"/>
          <w:lang w:val="en-US" w:eastAsia="zh-CN"/>
        </w:rPr>
        <w:t>体现了该原则。</w:t>
      </w:r>
    </w:p>
    <w:p w14:paraId="3E8B3B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3、需求与供给原则</w:t>
      </w:r>
    </w:p>
    <w:p w14:paraId="04DFCE6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B040A7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4、预期收益原则</w:t>
      </w:r>
    </w:p>
    <w:p w14:paraId="273A103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4B2947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5、合理有效利用原则</w:t>
      </w:r>
    </w:p>
    <w:p w14:paraId="3B1A13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2AA3FC6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6、价值主导原则</w:t>
      </w:r>
    </w:p>
    <w:p w14:paraId="68A106E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土地综合质量优劣是对土地价格产生影响的主要因素。</w:t>
      </w:r>
    </w:p>
    <w:p w14:paraId="7A90742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本次评估综合考虑了影响估价对象土地价格的自然、社会、经济状况，符合价值主导原则。</w:t>
      </w:r>
    </w:p>
    <w:p w14:paraId="2947EAA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7、审慎原则</w:t>
      </w:r>
    </w:p>
    <w:p w14:paraId="197C447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在评估中确定相关参数和结果时，应分析并充分考虑市场运行状况、有关行业发展状况，以及存在的风险。</w:t>
      </w:r>
    </w:p>
    <w:p w14:paraId="4DDF155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8、贡献原则</w:t>
      </w:r>
    </w:p>
    <w:p w14:paraId="486ADC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土地总收益是土地及其他生产要素共同作用的结果，土地的价格由土地对总收益的贡献大小来决定。</w:t>
      </w:r>
    </w:p>
    <w:p w14:paraId="56DC61B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sz w:val="28"/>
          <w:szCs w:val="28"/>
        </w:rPr>
        <w:t>本次在采用收益还原法时，通过扣除相关成本及其他税费来测算土地价格，体现了贡献原则</w:t>
      </w:r>
      <w:r>
        <w:rPr>
          <w:rFonts w:hint="default" w:ascii="仿宋_GB2312" w:hAnsi="仿宋_GB2312" w:eastAsia="仿宋_GB2312" w:cs="仿宋_GB2312"/>
          <w:b w:val="0"/>
          <w:bCs/>
          <w:color w:val="auto"/>
          <w:sz w:val="28"/>
          <w:szCs w:val="28"/>
          <w:highlight w:val="none"/>
          <w:lang w:val="en-US" w:eastAsia="zh-CN"/>
        </w:rPr>
        <w:t>。</w:t>
      </w:r>
    </w:p>
    <w:p w14:paraId="3A46149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9、公开市场原则</w:t>
      </w:r>
    </w:p>
    <w:p w14:paraId="5FF52E4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评估结果在公平、公正、公开的土地市场上可实现。</w:t>
      </w:r>
    </w:p>
    <w:p w14:paraId="15BE2B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56AEA6C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Times New Roman" w:hAnsi="Times New Roman" w:eastAsia="仿宋" w:cs="Times New Roman"/>
          <w:sz w:val="28"/>
          <w:szCs w:val="28"/>
          <w:highlight w:val="none"/>
        </w:rPr>
      </w:pPr>
      <w:r>
        <w:rPr>
          <w:rFonts w:hint="default" w:ascii="仿宋_GB2312" w:hAnsi="仿宋_GB2312" w:eastAsia="仿宋_GB2312" w:cs="仿宋_GB2312"/>
          <w:b w:val="0"/>
          <w:bCs/>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default" w:ascii="Times New Roman" w:hAnsi="Times New Roman" w:eastAsia="仿宋" w:cs="Times New Roman"/>
          <w:sz w:val="28"/>
          <w:szCs w:val="28"/>
          <w:highlight w:val="none"/>
        </w:rPr>
        <w:t>。</w:t>
      </w:r>
    </w:p>
    <w:p w14:paraId="57314AD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（二）估价方法</w:t>
      </w:r>
    </w:p>
    <w:p>
      <w:r>
        <w:t>{{ valuation_method_reasons }}</w:t>
      </w:r>
    </w:p>
    <w:p>
      <w:r>
        <w:t>{{ valuation_method_applicability }}</w:t>
      </w:r>
    </w:p>
    <w:p w14:paraId="337B312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根据《城镇土地估价规程》</w:t>
      </w:r>
      <w:r>
        <w:rPr>
          <w:rFonts w:hint="eastAsia" w:ascii="仿宋_GB2312" w:hAnsi="仿宋_GB2312" w:eastAsia="仿宋_GB2312" w:cs="仿宋_GB2312"/>
          <w:snapToGrid w:val="0"/>
          <w:kern w:val="0"/>
          <w:sz w:val="28"/>
          <w:szCs w:val="28"/>
          <w:highlight w:val="none"/>
        </w:rPr>
        <w:t>（GB/T18508-2014,2014年12月01日实施）</w:t>
      </w:r>
      <w:r>
        <w:rPr>
          <w:rFonts w:hint="default" w:ascii="仿宋_GB2312" w:hAnsi="仿宋_GB2312" w:eastAsia="仿宋_GB2312" w:cs="仿宋_GB2312"/>
          <w:b w:val="0"/>
          <w:bCs/>
          <w:color w:val="auto"/>
          <w:sz w:val="28"/>
          <w:szCs w:val="28"/>
          <w:highlight w:val="none"/>
          <w:lang w:val="en-US" w:eastAsia="zh-CN"/>
        </w:rPr>
        <w:t>，通常的估价方法有市场比较法、收益还原法、剩余法、成本逼近法、基准地价系数修正法等。估价方法的选择应按照地价评估的技术《规程》，根据当地地产市场发育情况并结合估价对象的具体特点及估价目的等，选择适当的估价方法。估价人员根据现场勘查情况，按照《城镇土地估价规程》及国土资源部办公厅关于发布《国有建设用地使用权出让地价评估技术规范》的通知（国土资厅发〔2018〕4号）的要求，结合估价对象的区位、用地性质、利用条件及当地土地市场状况，确定本次评估采用的方法。</w:t>
      </w:r>
    </w:p>
    <w:p w14:paraId="110432F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1.估价方法介绍</w:t>
      </w:r>
    </w:p>
    <w:p w14:paraId="06CFA6CD">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6AD99EED">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626F064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5CD2EA0">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168E2655">
      <w:pPr>
        <w:pStyle w:val="11"/>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12C450E7">
      <w:pPr>
        <w:pStyle w:val="11"/>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default"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7968F4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0E20028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成本逼近法</w:t>
      </w:r>
    </w:p>
    <w:p w14:paraId="68E529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估价对象所在区域有土地征收案例，政府公布了征地有关文件，可测算土地取得成本，故选择成本逼近法作为土地评估方法之一。</w:t>
      </w:r>
    </w:p>
    <w:p w14:paraId="4315F3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收益还原法</w:t>
      </w:r>
    </w:p>
    <w:p w14:paraId="06CF791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333CAA3A">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r>
        <w:rPr>
          <w:rFonts w:hint="eastAsia" w:ascii="仿宋_GB2312" w:hAnsi="仿宋_GB2312" w:eastAsia="仿宋_GB2312" w:cs="仿宋_GB2312"/>
          <w:color w:val="auto"/>
          <w:szCs w:val="28"/>
          <w:highlight w:val="none"/>
          <w:lang w:val="en-US" w:eastAsia="zh-CN"/>
        </w:rPr>
        <w:t>。</w:t>
      </w:r>
    </w:p>
    <w:p w14:paraId="6DAE6A4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3915AF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3218B887">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snapToGrid w:val="0"/>
          <w:kern w:val="0"/>
          <w:sz w:val="28"/>
          <w:szCs w:val="28"/>
          <w:highlight w:val="none"/>
        </w:rPr>
        <w:t>根据土地估价师调查了解，估价对象所处区域地产市场近3年同一供需圈内与宗地用途、利用条件等类似的同级别商服出让成交实例少于3个，因此不适宜选择市场比较法进行评估</w:t>
      </w:r>
      <w:r>
        <w:rPr>
          <w:rFonts w:hint="eastAsia" w:hAnsi="仿宋_GB2312" w:cs="仿宋_GB2312"/>
          <w:snapToGrid w:val="0"/>
          <w:kern w:val="0"/>
          <w:sz w:val="28"/>
          <w:szCs w:val="28"/>
          <w:highlight w:val="none"/>
          <w:lang w:eastAsia="zh-CN"/>
        </w:rPr>
        <w:t>。</w:t>
      </w:r>
    </w:p>
    <w:p w14:paraId="41403C4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2E484F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788FF7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③不选择</w:t>
      </w:r>
      <w:r>
        <w:rPr>
          <w:rFonts w:hint="eastAsia" w:ascii="仿宋_GB2312" w:hAnsi="仿宋_GB2312" w:eastAsia="仿宋_GB2312" w:cs="仿宋_GB2312"/>
          <w:b w:val="0"/>
          <w:bCs/>
          <w:color w:val="auto"/>
          <w:sz w:val="28"/>
          <w:szCs w:val="28"/>
          <w:highlight w:val="none"/>
          <w:lang w:val="en-US" w:eastAsia="zh-CN"/>
        </w:rPr>
        <w:t>公示地价修正法</w:t>
      </w:r>
    </w:p>
    <w:p w14:paraId="294DEE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道县城镇基准地价的颁布实施时间为{{ base_price_publish_date }}，城区基准地价估价期日为{{ base_price_base_date }}，批准文号为{{ base_price_doc_no }},文件名称为{{ base_price_doc_name }}（{{ base_price_doc_no }}，{{ base_price_publish_date }}），批准机关为{{ base_price_doc_authority }}，本次估价期日为2026年5月18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2481422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综上所述，</w:t>
      </w:r>
      <w:r>
        <w:rPr>
          <w:rFonts w:hint="eastAsia" w:ascii="仿宋_GB2312" w:hAnsi="仿宋_GB2312" w:eastAsia="仿宋_GB2312" w:cs="仿宋_GB2312"/>
          <w:b w:val="0"/>
          <w:bCs/>
          <w:color w:val="auto"/>
          <w:sz w:val="28"/>
          <w:szCs w:val="28"/>
          <w:highlight w:val="none"/>
          <w:lang w:val="en-US" w:eastAsia="zh-CN"/>
        </w:rPr>
        <w:t>本次评估</w:t>
      </w:r>
      <w:r>
        <w:rPr>
          <w:rFonts w:hint="default" w:ascii="仿宋_GB2312" w:hAnsi="仿宋_GB2312" w:eastAsia="仿宋_GB2312" w:cs="仿宋_GB2312"/>
          <w:b w:val="0"/>
          <w:bCs/>
          <w:color w:val="auto"/>
          <w:sz w:val="28"/>
          <w:szCs w:val="28"/>
          <w:highlight w:val="none"/>
          <w:lang w:val="en-US" w:eastAsia="zh-CN"/>
        </w:rPr>
        <w:t>采用</w:t>
      </w:r>
      <w:r>
        <w:rPr>
          <w:rFonts w:hint="eastAsia" w:ascii="仿宋_GB2312" w:hAnsi="仿宋_GB2312" w:eastAsia="仿宋_GB2312" w:cs="仿宋_GB2312"/>
          <w:b w:val="0"/>
          <w:bCs/>
          <w:color w:val="auto"/>
          <w:sz w:val="28"/>
          <w:szCs w:val="28"/>
          <w:highlight w:val="none"/>
          <w:lang w:val="en-US" w:eastAsia="zh-CN"/>
        </w:rPr>
        <w:t>成本逼近法</w:t>
      </w:r>
      <w:r>
        <w:rPr>
          <w:rFonts w:hint="default" w:ascii="仿宋_GB2312" w:hAnsi="仿宋_GB2312" w:eastAsia="仿宋_GB2312" w:cs="仿宋_GB2312"/>
          <w:b w:val="0"/>
          <w:bCs/>
          <w:color w:val="auto"/>
          <w:sz w:val="28"/>
          <w:szCs w:val="28"/>
          <w:highlight w:val="none"/>
          <w:lang w:val="en-US" w:eastAsia="zh-CN"/>
        </w:rPr>
        <w:t>和</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US" w:eastAsia="zh-CN"/>
        </w:rPr>
        <w:t>进行评估确定。</w:t>
      </w:r>
    </w:p>
    <w:p w14:paraId="7C5472C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（三）估价结果</w:t>
      </w:r>
    </w:p>
    <w:p w14:paraId="7271514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2B4367C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445BACF0">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r>
        <w:rPr>
          <w:rFonts w:hint="eastAsia" w:ascii="仿宋_GB2312" w:hAnsi="仿宋_GB2312" w:eastAsia="仿宋_GB2312" w:cs="仿宋_GB2312"/>
          <w:snapToGrid w:val="0"/>
          <w:color w:val="000000"/>
          <w:kern w:val="0"/>
          <w:sz w:val="28"/>
          <w:szCs w:val="28"/>
          <w:highlight w:val="none"/>
        </w:rPr>
        <w:t>。</w:t>
      </w:r>
    </w:p>
    <w:p w14:paraId="723DCF6A">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snapToGrid w:val="0"/>
          <w:color w:val="000000"/>
          <w:kern w:val="0"/>
          <w:sz w:val="28"/>
          <w:szCs w:val="28"/>
          <w:highlight w:val="none"/>
          <w:lang w:val="en-US" w:eastAsia="zh-CN"/>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通过对当地土地市场和土地价格的分析和两种方法的可靠性综合分析，根据项目特点，综合考虑宗地所在区域的地价水平，确定以剩余法的评估结果作为本次评估的最终结果。</w:t>
      </w:r>
    </w:p>
    <w:p w14:paraId="15A41E6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2"/>
        <w:tblW w:w="54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663"/>
        <w:gridCol w:w="900"/>
        <w:gridCol w:w="525"/>
        <w:gridCol w:w="1050"/>
        <w:gridCol w:w="660"/>
        <w:gridCol w:w="1120"/>
        <w:gridCol w:w="984"/>
        <w:gridCol w:w="1035"/>
        <w:gridCol w:w="967"/>
      </w:tblGrid>
      <w:tr w14:paraId="7AC5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restart"/>
            <w:noWrap w:val="0"/>
            <w:vAlign w:val="center"/>
          </w:tcPr>
          <w:p w14:paraId="56AD628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评估项目</w:t>
            </w:r>
          </w:p>
        </w:tc>
        <w:tc>
          <w:tcPr>
            <w:tcW w:w="356" w:type="pct"/>
            <w:vMerge w:val="restart"/>
            <w:noWrap w:val="0"/>
            <w:vAlign w:val="center"/>
          </w:tcPr>
          <w:p w14:paraId="7872B72F">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用途</w:t>
            </w:r>
          </w:p>
        </w:tc>
        <w:tc>
          <w:tcPr>
            <w:tcW w:w="766" w:type="pct"/>
            <w:gridSpan w:val="2"/>
            <w:noWrap w:val="0"/>
            <w:vAlign w:val="center"/>
          </w:tcPr>
          <w:p w14:paraId="69AF7F2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成本逼近法</w:t>
            </w:r>
          </w:p>
        </w:tc>
        <w:tc>
          <w:tcPr>
            <w:tcW w:w="919" w:type="pct"/>
            <w:gridSpan w:val="2"/>
            <w:noWrap w:val="0"/>
            <w:vAlign w:val="center"/>
          </w:tcPr>
          <w:p w14:paraId="44B2366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剩余法</w:t>
            </w:r>
          </w:p>
        </w:tc>
        <w:tc>
          <w:tcPr>
            <w:tcW w:w="602" w:type="pct"/>
            <w:vMerge w:val="restart"/>
            <w:noWrap w:val="0"/>
            <w:vAlign w:val="center"/>
          </w:tcPr>
          <w:p w14:paraId="0FA3377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确定土地单价（元/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29" w:type="pct"/>
            <w:vMerge w:val="restart"/>
            <w:noWrap w:val="0"/>
            <w:vAlign w:val="center"/>
          </w:tcPr>
          <w:p w14:paraId="4FDC2ED6">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土地面积（m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56" w:type="pct"/>
            <w:vMerge w:val="restart"/>
            <w:noWrap w:val="0"/>
            <w:vAlign w:val="center"/>
          </w:tcPr>
          <w:p w14:paraId="0A91523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土地总价（万元）</w:t>
            </w:r>
          </w:p>
        </w:tc>
        <w:tc>
          <w:tcPr>
            <w:tcW w:w="520" w:type="pct"/>
            <w:vMerge w:val="restart"/>
            <w:noWrap w:val="0"/>
            <w:vAlign w:val="center"/>
          </w:tcPr>
          <w:p w14:paraId="5E38AF59">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lang w:val="en-US" w:eastAsia="zh-CN"/>
              </w:rPr>
              <w:t>楼面</w:t>
            </w:r>
            <w:r>
              <w:rPr>
                <w:rFonts w:hint="eastAsia" w:ascii="仿宋_GB2312" w:hAnsi="仿宋_GB2312" w:eastAsia="仿宋_GB2312" w:cs="仿宋_GB2312"/>
                <w:snapToGrid w:val="0"/>
                <w:sz w:val="21"/>
                <w:szCs w:val="21"/>
                <w:highlight w:val="none"/>
              </w:rPr>
              <w:t>地价（元/m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r>
      <w:tr w14:paraId="723A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continue"/>
            <w:noWrap w:val="0"/>
            <w:vAlign w:val="center"/>
          </w:tcPr>
          <w:p w14:paraId="58190F79">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356" w:type="pct"/>
            <w:vMerge w:val="continue"/>
            <w:noWrap w:val="0"/>
            <w:vAlign w:val="center"/>
          </w:tcPr>
          <w:p w14:paraId="66E8A9E9">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484" w:type="pct"/>
            <w:noWrap w:val="0"/>
            <w:vAlign w:val="center"/>
          </w:tcPr>
          <w:p w14:paraId="5BB8278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282" w:type="pct"/>
            <w:noWrap w:val="0"/>
            <w:vAlign w:val="center"/>
          </w:tcPr>
          <w:p w14:paraId="6C02EF7F">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564" w:type="pct"/>
            <w:noWrap w:val="0"/>
            <w:vAlign w:val="center"/>
          </w:tcPr>
          <w:p w14:paraId="32FB638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355" w:type="pct"/>
            <w:noWrap w:val="0"/>
            <w:vAlign w:val="center"/>
          </w:tcPr>
          <w:p w14:paraId="48AD815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602" w:type="pct"/>
            <w:vMerge w:val="continue"/>
            <w:noWrap w:val="0"/>
            <w:vAlign w:val="center"/>
          </w:tcPr>
          <w:p w14:paraId="345A393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9" w:type="pct"/>
            <w:vMerge w:val="continue"/>
            <w:noWrap w:val="0"/>
            <w:vAlign w:val="center"/>
          </w:tcPr>
          <w:p w14:paraId="1954F53A">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56" w:type="pct"/>
            <w:vMerge w:val="continue"/>
            <w:noWrap w:val="0"/>
            <w:vAlign w:val="center"/>
          </w:tcPr>
          <w:p w14:paraId="7699B3A6">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0" w:type="pct"/>
            <w:vMerge w:val="continue"/>
            <w:noWrap w:val="0"/>
            <w:vAlign w:val="center"/>
          </w:tcPr>
          <w:p w14:paraId="6917E6E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r>
      <w:tr w14:paraId="32BE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47" w:type="pct"/>
            <w:noWrap w:val="0"/>
            <w:vAlign w:val="center"/>
          </w:tcPr>
          <w:p w14:paraId="58D423A9">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道县月岩西路宗地</w:t>
            </w:r>
          </w:p>
        </w:tc>
        <w:tc>
          <w:tcPr>
            <w:tcW w:w="356" w:type="pct"/>
            <w:noWrap w:val="0"/>
            <w:vAlign w:val="center"/>
          </w:tcPr>
          <w:p w14:paraId="5AB46496">
            <w:pPr>
              <w:adjustRightInd w:val="0"/>
              <w:snapToGrid w:val="0"/>
              <w:spacing w:line="240" w:lineRule="exact"/>
              <w:jc w:val="both"/>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住宅用地</w:t>
            </w:r>
          </w:p>
        </w:tc>
        <w:tc>
          <w:tcPr>
            <w:tcW w:w="484" w:type="pct"/>
            <w:noWrap w:val="0"/>
            <w:vAlign w:val="center"/>
          </w:tcPr>
          <w:p w14:paraId="1376C030">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856.8</w:t>
            </w:r>
          </w:p>
        </w:tc>
        <w:tc>
          <w:tcPr>
            <w:tcW w:w="282" w:type="pct"/>
            <w:noWrap w:val="0"/>
            <w:vAlign w:val="center"/>
          </w:tcPr>
          <w:p w14:paraId="0B4B548A">
            <w:pPr>
              <w:adjustRightInd w:val="0"/>
              <w:snapToGrid w:val="0"/>
              <w:spacing w:line="240" w:lineRule="exact"/>
              <w:jc w:val="center"/>
              <w:rPr>
                <w:rFonts w:hint="eastAsia"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0</w:t>
            </w:r>
          </w:p>
        </w:tc>
        <w:tc>
          <w:tcPr>
            <w:tcW w:w="564" w:type="pct"/>
            <w:noWrap w:val="0"/>
            <w:vAlign w:val="center"/>
          </w:tcPr>
          <w:p w14:paraId="19056331">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2510.5</w:t>
            </w:r>
          </w:p>
        </w:tc>
        <w:tc>
          <w:tcPr>
            <w:tcW w:w="355" w:type="pct"/>
            <w:noWrap w:val="0"/>
            <w:vAlign w:val="center"/>
          </w:tcPr>
          <w:p w14:paraId="3A730D8C">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w:t>
            </w:r>
          </w:p>
        </w:tc>
        <w:tc>
          <w:tcPr>
            <w:tcW w:w="602" w:type="pct"/>
            <w:noWrap w:val="0"/>
            <w:vAlign w:val="center"/>
          </w:tcPr>
          <w:p w14:paraId="1ADA8A0B">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2511</w:t>
            </w:r>
          </w:p>
        </w:tc>
        <w:tc>
          <w:tcPr>
            <w:tcW w:w="529" w:type="pct"/>
            <w:noWrap w:val="0"/>
            <w:vAlign w:val="center"/>
          </w:tcPr>
          <w:p w14:paraId="5A58FA6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15.2</w:t>
            </w:r>
          </w:p>
        </w:tc>
        <w:tc>
          <w:tcPr>
            <w:tcW w:w="556" w:type="pct"/>
            <w:noWrap w:val="0"/>
            <w:vAlign w:val="center"/>
          </w:tcPr>
          <w:p w14:paraId="6BD070FD">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3.82</w:t>
            </w:r>
          </w:p>
        </w:tc>
        <w:tc>
          <w:tcPr>
            <w:tcW w:w="520" w:type="pct"/>
            <w:noWrap w:val="0"/>
            <w:vAlign w:val="center"/>
          </w:tcPr>
          <w:p w14:paraId="697D7D4A">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519.88</w:t>
            </w:r>
          </w:p>
        </w:tc>
      </w:tr>
    </w:tbl>
    <w:p w14:paraId="29C26C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141E17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0702A4D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02B0697A">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2AA1C562">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350894D6">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018344D0">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3179C43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2D010CE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0FA63216">
      <w:pPr>
        <w:keepNext w:val="0"/>
        <w:keepLines w:val="0"/>
        <w:pageBreakBefore w:val="0"/>
        <w:widowControl w:val="0"/>
        <w:kinsoku/>
        <w:wordWrap/>
        <w:overflowPunct/>
        <w:topLinePunct w:val="0"/>
        <w:autoSpaceDE/>
        <w:autoSpaceDN/>
        <w:bidi w:val="0"/>
        <w:adjustRightInd/>
        <w:spacing w:line="480" w:lineRule="exact"/>
        <w:ind w:firstLine="562" w:firstLineChars="200"/>
        <w:textAlignment w:val="auto"/>
        <w:outlineLvl w:val="1"/>
        <w:rPr>
          <w:rFonts w:hint="eastAsia" w:ascii="仿宋_GB2312" w:eastAsia="仿宋_GB2312"/>
          <w:sz w:val="28"/>
          <w:szCs w:val="30"/>
          <w:highlight w:val="none"/>
        </w:rPr>
      </w:pPr>
      <w:r>
        <w:rPr>
          <w:rFonts w:hint="eastAsia" w:ascii="仿宋_GB2312" w:eastAsia="仿宋_GB2312"/>
          <w:b/>
          <w:bCs/>
          <w:sz w:val="28"/>
          <w:szCs w:val="30"/>
          <w:highlight w:val="none"/>
        </w:rPr>
        <w:t>三、估价结果和估价报告的使用</w:t>
      </w:r>
    </w:p>
    <w:p w14:paraId="61549B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32CCD995">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0E8AE9E0">
      <w:pPr>
        <w:pStyle w:val="11"/>
        <w:keepNext w:val="0"/>
        <w:keepLines w:val="0"/>
        <w:pageBreakBefore w:val="0"/>
        <w:widowControl w:val="0"/>
        <w:kinsoku/>
        <w:wordWrap/>
        <w:overflowPunct/>
        <w:topLinePunct w:val="0"/>
        <w:autoSpaceDE/>
        <w:autoSpaceDN/>
        <w:bidi w:val="0"/>
        <w:spacing w:line="460" w:lineRule="exact"/>
        <w:ind w:firstLine="56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24AB252B">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14EB4F35">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368DA22F">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0CDF8A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1DB98B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68BBEA5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w:t>
      </w:r>
      <w:r>
        <w:rPr>
          <w:rFonts w:hint="eastAsia" w:ascii="仿宋_GB2312" w:hAnsi="仿宋_GB2312" w:eastAsia="仿宋_GB2312" w:cs="仿宋_GB2312"/>
          <w:bCs/>
          <w:color w:val="auto"/>
          <w:kern w:val="2"/>
          <w:sz w:val="28"/>
          <w:szCs w:val="28"/>
          <w:highlight w:val="none"/>
          <w:lang w:val="en-GB" w:eastAsia="zh-CN" w:bidi="ar-SA"/>
        </w:rPr>
        <w:t>日</w:t>
      </w:r>
      <w:r>
        <w:rPr>
          <w:rFonts w:hint="default" w:ascii="仿宋_GB2312" w:hAnsi="仿宋_GB2312" w:eastAsia="仿宋_GB2312" w:cs="仿宋_GB2312"/>
          <w:bCs/>
          <w:color w:val="auto"/>
          <w:kern w:val="2"/>
          <w:sz w:val="28"/>
          <w:szCs w:val="28"/>
          <w:highlight w:val="none"/>
          <w:lang w:val="en-GB" w:eastAsia="zh-CN" w:bidi="ar-SA"/>
        </w:rPr>
        <w:t>。</w:t>
      </w:r>
    </w:p>
    <w:p w14:paraId="1E118B2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4A72CBE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w:t>
      </w:r>
    </w:p>
    <w:p w14:paraId="485BAAD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77055B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5A39D72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1B95E42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630C3A6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61AC8A9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5E7C633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4F99C90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48F2FE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FB330A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144EA23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3150A5F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3ADA6A95">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661F4DEA">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0371CEF6">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5EE01F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2745A893">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4135028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67C52D1">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8BDD101">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5E9D92B1">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7D74323">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5B91946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08C940F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262BACE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772EA8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5130D203">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59D102A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669E35E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《土地分摊表》</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15.2平方米，估价对象地上建筑物面积以</w:t>
      </w:r>
      <w:r>
        <w:rPr>
          <w:rFonts w:hint="eastAsia" w:ascii="仿宋_GB2312" w:hAnsi="仿宋_GB2312" w:eastAsia="仿宋_GB2312" w:cs="仿宋_GB2312"/>
          <w:bCs/>
          <w:color w:val="auto"/>
          <w:kern w:val="2"/>
          <w:sz w:val="28"/>
          <w:szCs w:val="28"/>
          <w:highlight w:val="none"/>
          <w:lang w:val="en-GB" w:eastAsia="zh-CN" w:bidi="ar-SA"/>
        </w:rPr>
        <w:t>《户室面积对照表》</w:t>
      </w:r>
      <w:r>
        <w:rPr>
          <w:rFonts w:hint="eastAsia" w:ascii="仿宋_GB2312" w:hAnsi="仿宋_GB2312" w:eastAsia="仿宋_GB2312" w:cs="仿宋_GB2312"/>
          <w:bCs/>
          <w:color w:val="auto"/>
          <w:kern w:val="2"/>
          <w:sz w:val="28"/>
          <w:szCs w:val="28"/>
          <w:highlight w:val="none"/>
          <w:lang w:val="en-US" w:eastAsia="zh-CN" w:bidi="ar-SA"/>
        </w:rPr>
        <w:t>为依据，建筑面积为73.415平方米，则估价对象现状容积率为4.83。</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3278D4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77AB9F8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614B7BD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7B87C86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22445A5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1E0B3F6B">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22FAE36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7F9FEB7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（1）估价对象的特殊性</w:t>
      </w:r>
    </w:p>
    <w:p w14:paraId="3405DEF1">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①</w:t>
      </w:r>
      <w:r>
        <w:rPr>
          <w:rFonts w:hint="eastAsia" w:ascii="仿宋_GB2312" w:hAnsi="仿宋_GB2312" w:eastAsia="仿宋_GB2312" w:cs="仿宋_GB2312"/>
          <w:bCs/>
          <w:color w:val="auto"/>
          <w:kern w:val="2"/>
          <w:sz w:val="28"/>
          <w:szCs w:val="28"/>
          <w:highlight w:val="none"/>
          <w:lang w:val="en-GB" w:eastAsia="zh-CN" w:bidi="ar-SA"/>
        </w:rPr>
        <w:t>根据道县集中化解房地产办证信访突出问题工作领导小组办公室</w:t>
      </w:r>
      <w:r>
        <w:rPr>
          <w:rFonts w:hint="eastAsia" w:ascii="仿宋_GB2312" w:hAnsi="仿宋_GB2312" w:cs="仿宋_GB2312"/>
          <w:bCs/>
          <w:color w:val="auto"/>
          <w:kern w:val="2"/>
          <w:sz w:val="28"/>
          <w:szCs w:val="28"/>
          <w:highlight w:val="none"/>
          <w:lang w:val="en-US" w:eastAsia="zh-CN" w:bidi="ar-SA"/>
        </w:rPr>
        <w:t>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本次评估结合《评估委托书》和《土地权属及性质证明》（2026年5月19日），设定估价对象</w:t>
      </w:r>
      <w:r>
        <w:rPr>
          <w:rFonts w:hint="default" w:ascii="仿宋_GB2312" w:hAnsi="仿宋_GB2312" w:eastAsia="仿宋_GB2312" w:cs="仿宋_GB2312"/>
          <w:bCs/>
          <w:color w:val="auto"/>
          <w:kern w:val="2"/>
          <w:sz w:val="28"/>
          <w:szCs w:val="28"/>
          <w:highlight w:val="none"/>
          <w:lang w:val="en-GB" w:eastAsia="zh-CN" w:bidi="ar-SA"/>
        </w:rPr>
        <w:t>至估价期日</w:t>
      </w:r>
      <w:r>
        <w:rPr>
          <w:rFonts w:hint="eastAsia" w:ascii="仿宋_GB2312" w:hAnsi="仿宋_GB2312" w:cs="仿宋_GB2312"/>
          <w:bCs/>
          <w:color w:val="auto"/>
          <w:kern w:val="2"/>
          <w:sz w:val="28"/>
          <w:szCs w:val="28"/>
          <w:highlight w:val="none"/>
          <w:lang w:val="en-US" w:eastAsia="zh-CN" w:bidi="ar-SA"/>
        </w:rPr>
        <w:t>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eastAsia" w:ascii="仿宋_GB2312" w:hAnsi="仿宋_GB2312" w:cs="仿宋_GB2312"/>
          <w:bCs/>
          <w:color w:val="auto"/>
          <w:kern w:val="2"/>
          <w:sz w:val="28"/>
          <w:szCs w:val="28"/>
          <w:highlight w:val="none"/>
          <w:lang w:val="en-US" w:eastAsia="zh-CN" w:bidi="ar-SA"/>
        </w:rPr>
        <w:t>土</w:t>
      </w:r>
      <w:r>
        <w:rPr>
          <w:rFonts w:hint="default" w:ascii="仿宋_GB2312" w:hAnsi="仿宋_GB2312" w:eastAsia="仿宋_GB2312" w:cs="仿宋_GB2312"/>
          <w:bCs/>
          <w:color w:val="auto"/>
          <w:kern w:val="2"/>
          <w:sz w:val="28"/>
          <w:szCs w:val="28"/>
          <w:highlight w:val="none"/>
          <w:lang w:val="en-GB" w:eastAsia="zh-CN" w:bidi="ar-SA"/>
        </w:rPr>
        <w:t>地</w:t>
      </w:r>
      <w:r>
        <w:rPr>
          <w:rFonts w:hint="eastAsia" w:ascii="仿宋_GB2312" w:hAnsi="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US" w:eastAsia="zh-CN" w:bidi="ar-SA"/>
        </w:rPr>
        <w:t>土地使用权人为王汝冲。</w:t>
      </w:r>
    </w:p>
    <w:p w14:paraId="1A38D819">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cs="仿宋_GB2312"/>
          <w:bCs/>
          <w:color w:val="auto"/>
          <w:kern w:val="2"/>
          <w:sz w:val="28"/>
          <w:szCs w:val="28"/>
          <w:highlight w:val="none"/>
          <w:lang w:val="en-US" w:eastAsia="zh-CN" w:bidi="ar-SA"/>
        </w:rPr>
        <w:t>②</w:t>
      </w:r>
      <w:r>
        <w:rPr>
          <w:rFonts w:hint="eastAsia" w:ascii="仿宋_GB2312" w:hAnsi="仿宋_GB2312" w:eastAsia="仿宋_GB2312" w:cs="仿宋_GB2312"/>
          <w:bCs/>
          <w:color w:val="auto"/>
          <w:kern w:val="2"/>
          <w:sz w:val="28"/>
          <w:szCs w:val="28"/>
          <w:highlight w:val="none"/>
          <w:lang w:val="en-GB" w:eastAsia="zh-CN" w:bidi="ar-SA"/>
        </w:rPr>
        <w:t>根据委托方提供的估价对象《房屋所有权证》（道房权证字第713000590号），</w:t>
      </w:r>
      <w:r>
        <w:rPr>
          <w:rFonts w:hint="eastAsia" w:ascii="仿宋_GB2312" w:hAnsi="仿宋_GB2312" w:cs="仿宋_GB2312"/>
          <w:bCs/>
          <w:color w:val="auto"/>
          <w:kern w:val="2"/>
          <w:sz w:val="28"/>
          <w:szCs w:val="28"/>
          <w:highlight w:val="none"/>
          <w:lang w:val="en-US" w:eastAsia="zh-CN" w:bidi="ar-SA"/>
        </w:rPr>
        <w:t>估价对象登记建筑面积为74.55平方米</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cs="仿宋_GB2312"/>
          <w:bCs/>
          <w:color w:val="auto"/>
          <w:kern w:val="2"/>
          <w:sz w:val="28"/>
          <w:szCs w:val="28"/>
          <w:highlight w:val="none"/>
          <w:lang w:val="en-US" w:eastAsia="zh-CN" w:bidi="ar-SA"/>
        </w:rPr>
        <w:t>《不动产测绘报告书》中的《户室面积对照表》，估价对象实测建筑面积73.415平方米，与证载面积不一致，根据《评估委托书》，建筑面积为73.415平方米，估价对象分摊土地面积以《土地分摊表》为依据15.2平方米</w:t>
      </w:r>
      <w:r>
        <w:rPr>
          <w:rFonts w:hint="eastAsia" w:ascii="仿宋_GB2312" w:hAnsi="仿宋_GB2312" w:eastAsia="仿宋_GB2312" w:cs="仿宋_GB2312"/>
          <w:bCs/>
          <w:color w:val="auto"/>
          <w:kern w:val="2"/>
          <w:sz w:val="28"/>
          <w:szCs w:val="28"/>
          <w:highlight w:val="none"/>
          <w:lang w:val="en-GB" w:eastAsia="zh-CN" w:bidi="ar-SA"/>
        </w:rPr>
        <w:t>。</w:t>
      </w:r>
    </w:p>
    <w:p w14:paraId="7E0AB6B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（2）估价中未考虑的因素</w:t>
      </w:r>
    </w:p>
    <w:p w14:paraId="408E3F12">
      <w:pPr>
        <w:keepNext w:val="0"/>
        <w:keepLines w:val="0"/>
        <w:pageBreakBefore w:val="0"/>
        <w:widowControl w:val="0"/>
        <w:kinsoku/>
        <w:wordWrap/>
        <w:overflowPunct/>
        <w:topLinePunct w:val="0"/>
        <w:autoSpaceDE/>
        <w:autoSpaceDN/>
        <w:bidi w:val="0"/>
        <w:adjustRightInd w:val="0"/>
        <w:snapToGrid w:val="0"/>
        <w:spacing w:line="480" w:lineRule="atLeas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7F92499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道县</w:t>
      </w:r>
      <w:r>
        <w:rPr>
          <w:rFonts w:hint="default" w:ascii="仿宋_GB2312" w:hAnsi="仿宋_GB2312" w:eastAsia="仿宋_GB2312" w:cs="仿宋_GB2312"/>
          <w:bCs/>
          <w:color w:val="auto"/>
          <w:kern w:val="2"/>
          <w:sz w:val="28"/>
          <w:szCs w:val="28"/>
          <w:highlight w:val="none"/>
          <w:lang w:val="en-GB" w:eastAsia="zh-CN" w:bidi="ar-SA"/>
        </w:rPr>
        <w:t>自然资源局办理土地使用权出让手续提供参考，故本报告未对估价对象的划拨土地使用权价格进行评估。</w:t>
      </w:r>
    </w:p>
    <w:p w14:paraId="1D52D1EE">
      <w:pPr>
        <w:keepNext w:val="0"/>
        <w:keepLines w:val="0"/>
        <w:pageBreakBefore w:val="0"/>
        <w:widowControl w:val="0"/>
        <w:kinsoku/>
        <w:wordWrap/>
        <w:overflowPunct/>
        <w:topLinePunct w:val="0"/>
        <w:bidi w:val="0"/>
        <w:adjustRightInd w:val="0"/>
        <w:snapToGrid w:val="0"/>
        <w:spacing w:line="480" w:lineRule="exact"/>
        <w:ind w:firstLine="562" w:firstLineChars="200"/>
        <w:rPr>
          <w:rFonts w:hint="eastAsia" w:ascii="仿宋" w:hAnsi="仿宋" w:eastAsia="仿宋" w:cs="仿宋"/>
          <w:sz w:val="28"/>
          <w:szCs w:val="28"/>
          <w:highlight w:val="none"/>
        </w:rPr>
      </w:pPr>
      <w:r>
        <w:rPr>
          <w:rFonts w:hint="eastAsia" w:ascii="仿宋_GB2312" w:hAnsi="仿宋_GB2312" w:eastAsia="仿宋_GB2312" w:cs="仿宋_GB2312"/>
          <w:b/>
          <w:bCs/>
          <w:color w:val="000000"/>
          <w:kern w:val="2"/>
          <w:sz w:val="28"/>
          <w:szCs w:val="28"/>
          <w:highlight w:val="none"/>
          <w:lang w:val="en-US" w:eastAsia="zh-CN" w:bidi="ar-SA"/>
        </w:rPr>
        <w:br w:type="page"/>
      </w:r>
    </w:p>
    <w:p w14:paraId="102BAB6C">
      <w:pPr>
        <w:pStyle w:val="17"/>
        <w:keepNext w:val="0"/>
        <w:keepLines w:val="0"/>
        <w:pageBreakBefore w:val="0"/>
        <w:widowControl w:val="0"/>
        <w:kinsoku/>
        <w:wordWrap/>
        <w:overflowPunct/>
        <w:topLinePunct w:val="0"/>
        <w:autoSpaceDE/>
        <w:autoSpaceDN/>
        <w:bidi w:val="0"/>
        <w:spacing w:before="120" w:beforeLines="50" w:after="240" w:afterLines="100" w:line="360" w:lineRule="auto"/>
        <w:ind w:firstLine="0" w:firstLineChars="0"/>
        <w:jc w:val="center"/>
        <w:textAlignment w:val="auto"/>
        <w:outlineLvl w:val="0"/>
        <w:rPr>
          <w:rFonts w:hint="eastAsia" w:ascii="宋体" w:hAnsi="宋体" w:eastAsia="宋体" w:cs="宋体"/>
          <w:b/>
          <w:color w:val="auto"/>
          <w:sz w:val="32"/>
          <w:szCs w:val="32"/>
          <w:highlight w:val="none"/>
        </w:rPr>
      </w:pPr>
      <w:bookmarkStart w:id="16" w:name="_Toc32260"/>
      <w:r>
        <w:rPr>
          <w:rFonts w:hint="eastAsia" w:ascii="宋体" w:hAnsi="宋体" w:eastAsia="宋体" w:cs="宋体"/>
          <w:b/>
          <w:color w:val="auto"/>
          <w:sz w:val="32"/>
          <w:szCs w:val="32"/>
          <w:highlight w:val="none"/>
          <w:lang w:val="en-US" w:eastAsia="zh-CN"/>
        </w:rPr>
        <w:t>第四部分</w:t>
      </w:r>
      <w:bookmarkStart w:id="17" w:name="_Toc7871"/>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附件</w:t>
      </w:r>
      <w:bookmarkEnd w:id="16"/>
      <w:bookmarkEnd w:id="17"/>
    </w:p>
    <w:p w14:paraId="053AAEA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51392C7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62CCAD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263914A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13A919E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38B0590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0EF3FC2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0AFEE75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529FDBD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10.现场勘查照片；</w:t>
      </w:r>
    </w:p>
    <w:p w14:paraId="2136C5E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11.现场勘查记录表；</w:t>
      </w:r>
    </w:p>
    <w:p w14:paraId="792C92F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12.收益还原法案例位置和现场照片；</w:t>
      </w:r>
    </w:p>
    <w:p w14:paraId="4BB9C2F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15.土地估价师资质证书。</w:t>
      </w:r>
    </w:p>
    <w:p w14:paraId="280D2782">
      <w:pPr>
        <w:keepNext w:val="0"/>
        <w:keepLines w:val="0"/>
        <w:pageBreakBefore w:val="0"/>
        <w:widowControl w:val="0"/>
        <w:kinsoku/>
        <w:wordWrap/>
        <w:overflowPunct/>
        <w:topLinePunct w:val="0"/>
        <w:autoSpaceDE/>
        <w:autoSpaceDN/>
        <w:bidi w:val="0"/>
        <w:spacing w:line="360" w:lineRule="auto"/>
        <w:jc w:val="right"/>
        <w:textAlignment w:val="auto"/>
        <w:rPr>
          <w:rFonts w:hint="eastAsia" w:ascii="仿宋_GB2312" w:eastAsia="仿宋_GB2312"/>
          <w:sz w:val="28"/>
          <w:szCs w:val="28"/>
          <w:highlight w:val="none"/>
        </w:rPr>
      </w:pPr>
    </w:p>
    <w:p w14:paraId="55FF512F">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r>
        <w:rPr>
          <w:rFonts w:hint="eastAsia" w:ascii="仿宋_GB2312" w:eastAsia="仿宋_GB2312"/>
          <w:sz w:val="28"/>
          <w:szCs w:val="28"/>
          <w:highlight w:val="none"/>
        </w:rPr>
        <w:t>（以上资料均为复印件）</w:t>
      </w:r>
    </w:p>
    <w:p w14:paraId="45B5610D">
      <w:pPr>
        <w:spacing w:line="520" w:lineRule="exact"/>
        <w:jc w:val="center"/>
        <w:rPr>
          <w:rFonts w:hint="eastAsia" w:asciiTheme="majorEastAsia" w:hAnsiTheme="majorEastAsia" w:eastAsiaTheme="majorEastAsia" w:cstheme="majorEastAsia"/>
          <w:b/>
          <w:bCs/>
          <w:sz w:val="44"/>
          <w:szCs w:val="44"/>
          <w:highlight w:val="none"/>
        </w:rPr>
        <w:sectPr>
          <w:headerReference r:id="rId9" w:type="first"/>
          <w:footerReference r:id="rId11" w:type="first"/>
          <w:footerReference r:id="rId10" w:type="default"/>
          <w:pgSz w:w="11906" w:h="16838"/>
          <w:pgMar w:top="1440" w:right="1800" w:bottom="1440" w:left="1800" w:header="851" w:footer="992" w:gutter="0"/>
          <w:pgNumType w:fmt="decimal"/>
          <w:cols w:space="0" w:num="1"/>
          <w:rtlGutter w:val="0"/>
          <w:docGrid w:type="lines" w:linePitch="312" w:charSpace="0"/>
        </w:sectPr>
      </w:pPr>
    </w:p>
    <w:p w14:paraId="35CD6E50">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 xml:space="preserve">土 地 估 价 </w:t>
      </w:r>
      <w:r>
        <w:rPr>
          <w:rFonts w:hint="eastAsia" w:asciiTheme="majorEastAsia" w:hAnsiTheme="majorEastAsia" w:eastAsiaTheme="majorEastAsia" w:cstheme="majorEastAsia"/>
          <w:b/>
          <w:bCs/>
          <w:sz w:val="44"/>
          <w:szCs w:val="44"/>
          <w:highlight w:val="none"/>
          <w:lang w:val="en-US" w:eastAsia="zh-CN"/>
        </w:rPr>
        <w:t xml:space="preserve">技 术 </w:t>
      </w:r>
      <w:r>
        <w:rPr>
          <w:rFonts w:hint="eastAsia" w:asciiTheme="majorEastAsia" w:hAnsiTheme="majorEastAsia" w:eastAsiaTheme="majorEastAsia" w:cstheme="majorEastAsia"/>
          <w:b/>
          <w:bCs/>
          <w:sz w:val="44"/>
          <w:szCs w:val="44"/>
          <w:highlight w:val="none"/>
        </w:rPr>
        <w:t>报 告</w:t>
      </w:r>
    </w:p>
    <w:p w14:paraId="5684C264">
      <w:pPr>
        <w:pStyle w:val="11"/>
        <w:ind w:left="0" w:leftChars="0" w:firstLine="0" w:firstLineChars="0"/>
        <w:jc w:val="center"/>
        <w:rPr>
          <w:rFonts w:hint="eastAsia" w:asciiTheme="majorEastAsia" w:hAnsiTheme="majorEastAsia" w:eastAsiaTheme="majorEastAsia" w:cstheme="majorEastAsia"/>
          <w:b/>
          <w:bCs/>
          <w:sz w:val="44"/>
          <w:szCs w:val="44"/>
          <w:highlight w:val="none"/>
          <w:lang w:eastAsia="zh-CN"/>
        </w:rPr>
      </w:pPr>
      <w:r>
        <w:rPr>
          <w:rFonts w:hint="eastAsia" w:asciiTheme="majorEastAsia" w:hAnsiTheme="majorEastAsia" w:eastAsiaTheme="majorEastAsia" w:cstheme="majorEastAsia"/>
          <w:b/>
          <w:bCs/>
          <w:sz w:val="44"/>
          <w:szCs w:val="44"/>
          <w:highlight w:val="none"/>
          <w:lang w:eastAsia="zh-CN"/>
        </w:rPr>
        <w:t>（</w:t>
      </w:r>
      <w:r>
        <w:rPr>
          <w:rFonts w:hint="eastAsia" w:asciiTheme="majorEastAsia" w:hAnsiTheme="majorEastAsia" w:eastAsiaTheme="majorEastAsia" w:cstheme="majorEastAsia"/>
          <w:b/>
          <w:bCs/>
          <w:sz w:val="44"/>
          <w:szCs w:val="44"/>
          <w:highlight w:val="none"/>
          <w:lang w:val="en-US" w:eastAsia="zh-CN"/>
        </w:rPr>
        <w:t>评估工作底稿</w:t>
      </w:r>
      <w:r>
        <w:rPr>
          <w:rFonts w:hint="eastAsia" w:asciiTheme="majorEastAsia" w:hAnsiTheme="majorEastAsia" w:eastAsiaTheme="majorEastAsia" w:cstheme="majorEastAsia"/>
          <w:b/>
          <w:bCs/>
          <w:sz w:val="44"/>
          <w:szCs w:val="44"/>
          <w:highlight w:val="none"/>
          <w:lang w:eastAsia="zh-CN"/>
        </w:rPr>
        <w:t>）</w:t>
      </w:r>
    </w:p>
    <w:p w14:paraId="343A8AA2">
      <w:pPr>
        <w:spacing w:line="520" w:lineRule="exact"/>
        <w:jc w:val="center"/>
        <w:rPr>
          <w:rFonts w:hint="eastAsia" w:asciiTheme="majorEastAsia" w:hAnsiTheme="majorEastAsia" w:eastAsiaTheme="majorEastAsia" w:cstheme="majorEastAsia"/>
          <w:sz w:val="44"/>
          <w:szCs w:val="44"/>
          <w:highlight w:val="none"/>
        </w:rPr>
      </w:pPr>
    </w:p>
    <w:tbl>
      <w:tblPr>
        <w:tblStyle w:val="12"/>
        <w:tblW w:w="0" w:type="auto"/>
        <w:jc w:val="center"/>
        <w:tblLayout w:type="fixed"/>
        <w:tblCellMar>
          <w:top w:w="0" w:type="dxa"/>
          <w:left w:w="108" w:type="dxa"/>
          <w:bottom w:w="0" w:type="dxa"/>
          <w:right w:w="108" w:type="dxa"/>
        </w:tblCellMar>
      </w:tblPr>
      <w:tblGrid>
        <w:gridCol w:w="3686"/>
        <w:gridCol w:w="5729"/>
      </w:tblGrid>
      <w:tr w14:paraId="6BCEE533">
        <w:tblPrEx>
          <w:tblCellMar>
            <w:top w:w="0" w:type="dxa"/>
            <w:left w:w="108" w:type="dxa"/>
            <w:bottom w:w="0" w:type="dxa"/>
            <w:right w:w="108" w:type="dxa"/>
          </w:tblCellMar>
        </w:tblPrEx>
        <w:trPr>
          <w:trHeight w:val="1134" w:hRule="atLeast"/>
          <w:jc w:val="center"/>
        </w:trPr>
        <w:tc>
          <w:tcPr>
            <w:tcW w:w="3686" w:type="dxa"/>
            <w:vAlign w:val="center"/>
          </w:tcPr>
          <w:p w14:paraId="15D6F224">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项</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目</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名</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称：</w:t>
            </w:r>
          </w:p>
        </w:tc>
        <w:tc>
          <w:tcPr>
            <w:tcW w:w="5729" w:type="dxa"/>
            <w:vAlign w:val="center"/>
          </w:tcPr>
          <w:p w14:paraId="48020A46">
            <w:pPr>
              <w:pStyle w:val="8"/>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spacing w:val="14"/>
                <w:sz w:val="32"/>
                <w:szCs w:val="32"/>
                <w:highlight w:val="none"/>
              </w:rPr>
            </w:pPr>
            <w:r>
              <w:rPr>
                <w:rFonts w:hint="default" w:ascii="楷体" w:hAnsi="楷体" w:eastAsia="楷体"/>
                <w:spacing w:val="14"/>
                <w:sz w:val="32"/>
                <w:szCs w:val="32"/>
                <w:highlight w:val="none"/>
                <w:lang w:val="en-US" w:eastAsia="zh-CN"/>
              </w:rPr>
              <w:t>道县自然资源局办理土地使用权出让手续涉及的位于道县月岩西路的一宗住宅用途国有建设用地使用权市场价格评估</w:t>
            </w:r>
            <w:r>
              <w:rPr>
                <w:rFonts w:hint="eastAsia" w:ascii="楷体" w:hAnsi="楷体" w:eastAsia="楷体"/>
                <w:spacing w:val="14"/>
                <w:sz w:val="32"/>
                <w:szCs w:val="32"/>
                <w:highlight w:val="none"/>
                <w:lang w:val="en-US" w:eastAsia="zh-CN"/>
              </w:rPr>
              <w:t>（永州市道县）</w:t>
            </w:r>
          </w:p>
        </w:tc>
      </w:tr>
      <w:tr w14:paraId="7BF9FEFB">
        <w:tblPrEx>
          <w:tblCellMar>
            <w:top w:w="0" w:type="dxa"/>
            <w:left w:w="108" w:type="dxa"/>
            <w:bottom w:w="0" w:type="dxa"/>
            <w:right w:w="108" w:type="dxa"/>
          </w:tblCellMar>
        </w:tblPrEx>
        <w:trPr>
          <w:trHeight w:val="1134" w:hRule="atLeast"/>
          <w:jc w:val="center"/>
        </w:trPr>
        <w:tc>
          <w:tcPr>
            <w:tcW w:w="3686" w:type="dxa"/>
            <w:vAlign w:val="center"/>
          </w:tcPr>
          <w:p w14:paraId="12A7F1CE">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受托估价单位：</w:t>
            </w:r>
          </w:p>
        </w:tc>
        <w:tc>
          <w:tcPr>
            <w:tcW w:w="5729" w:type="dxa"/>
            <w:vAlign w:val="center"/>
          </w:tcPr>
          <w:p w14:paraId="08CFF2D6">
            <w:pPr>
              <w:pStyle w:val="8"/>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0AE192C1">
        <w:tblPrEx>
          <w:tblCellMar>
            <w:top w:w="0" w:type="dxa"/>
            <w:left w:w="108" w:type="dxa"/>
            <w:bottom w:w="0" w:type="dxa"/>
            <w:right w:w="108" w:type="dxa"/>
          </w:tblCellMar>
        </w:tblPrEx>
        <w:trPr>
          <w:trHeight w:val="1134" w:hRule="atLeast"/>
          <w:jc w:val="center"/>
        </w:trPr>
        <w:tc>
          <w:tcPr>
            <w:tcW w:w="3686" w:type="dxa"/>
            <w:vAlign w:val="center"/>
          </w:tcPr>
          <w:p w14:paraId="48ACFB3B">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auto"/>
                <w:spacing w:val="14"/>
                <w:sz w:val="32"/>
                <w:szCs w:val="32"/>
                <w:highlight w:val="none"/>
              </w:rPr>
            </w:pPr>
            <w:r>
              <w:rPr>
                <w:rFonts w:ascii="楷体" w:hAnsi="楷体" w:eastAsia="楷体"/>
                <w:b/>
                <w:bCs/>
                <w:color w:val="auto"/>
                <w:spacing w:val="14"/>
                <w:sz w:val="32"/>
                <w:szCs w:val="32"/>
                <w:highlight w:val="none"/>
              </w:rPr>
              <w:t>土地估价报告编号：</w:t>
            </w:r>
          </w:p>
        </w:tc>
        <w:tc>
          <w:tcPr>
            <w:tcW w:w="5729" w:type="dxa"/>
            <w:vAlign w:val="center"/>
          </w:tcPr>
          <w:p w14:paraId="08B7AF49">
            <w:pPr>
              <w:pStyle w:val="8"/>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auto"/>
                <w:spacing w:val="14"/>
                <w:sz w:val="32"/>
                <w:szCs w:val="32"/>
                <w:highlight w:val="none"/>
                <w:lang w:eastAsia="zh-CN"/>
              </w:rPr>
            </w:pPr>
            <w:r>
              <w:rPr>
                <w:rFonts w:hint="eastAsia" w:ascii="楷体" w:hAnsi="楷体" w:eastAsia="楷体"/>
                <w:spacing w:val="14"/>
                <w:sz w:val="32"/>
                <w:szCs w:val="32"/>
                <w:highlight w:val="none"/>
                <w:lang w:eastAsia="zh-CN"/>
              </w:rPr>
              <w:t>（湖南）湘兆财土地[202</w:t>
            </w:r>
            <w:r>
              <w:rPr>
                <w:rFonts w:hint="eastAsia" w:ascii="楷体" w:hAnsi="楷体" w:eastAsia="楷体"/>
                <w:spacing w:val="14"/>
                <w:sz w:val="32"/>
                <w:szCs w:val="32"/>
                <w:highlight w:val="none"/>
                <w:lang w:val="en-US" w:eastAsia="zh-CN"/>
              </w:rPr>
              <w:t>6</w:t>
            </w:r>
            <w:r>
              <w:rPr>
                <w:rFonts w:hint="eastAsia" w:ascii="楷体" w:hAnsi="楷体" w:eastAsia="楷体"/>
                <w:spacing w:val="14"/>
                <w:sz w:val="32"/>
                <w:szCs w:val="32"/>
                <w:highlight w:val="none"/>
                <w:lang w:eastAsia="zh-CN"/>
              </w:rPr>
              <w:t>]（估）字第ZC0007号</w:t>
            </w:r>
          </w:p>
        </w:tc>
      </w:tr>
      <w:tr w14:paraId="4D6FBB91">
        <w:tblPrEx>
          <w:tblCellMar>
            <w:top w:w="0" w:type="dxa"/>
            <w:left w:w="108" w:type="dxa"/>
            <w:bottom w:w="0" w:type="dxa"/>
            <w:right w:w="108" w:type="dxa"/>
          </w:tblCellMar>
        </w:tblPrEx>
        <w:trPr>
          <w:trHeight w:val="1303" w:hRule="atLeast"/>
          <w:jc w:val="center"/>
        </w:trPr>
        <w:tc>
          <w:tcPr>
            <w:tcW w:w="3686" w:type="dxa"/>
            <w:vAlign w:val="center"/>
          </w:tcPr>
          <w:p w14:paraId="5CD1E8BA">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14"/>
                <w:sz w:val="32"/>
                <w:szCs w:val="32"/>
                <w:highlight w:val="none"/>
              </w:rPr>
              <w:t>土地</w:t>
            </w:r>
            <w:r>
              <w:rPr>
                <w:rFonts w:ascii="楷体" w:hAnsi="楷体" w:eastAsia="楷体"/>
                <w:b/>
                <w:bCs/>
                <w:color w:val="auto"/>
                <w:spacing w:val="14"/>
                <w:sz w:val="32"/>
                <w:szCs w:val="32"/>
                <w:highlight w:val="none"/>
              </w:rPr>
              <w:t>估价技术报告</w:t>
            </w:r>
          </w:p>
          <w:p w14:paraId="55F1E317">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14"/>
                <w:sz w:val="32"/>
                <w:szCs w:val="32"/>
                <w:highlight w:val="none"/>
              </w:rPr>
              <w:t>（评估工作</w:t>
            </w:r>
            <w:r>
              <w:rPr>
                <w:rFonts w:ascii="楷体" w:hAnsi="楷体" w:eastAsia="楷体"/>
                <w:b/>
                <w:bCs/>
                <w:color w:val="auto"/>
                <w:spacing w:val="14"/>
                <w:sz w:val="32"/>
                <w:szCs w:val="32"/>
                <w:highlight w:val="none"/>
              </w:rPr>
              <w:t>底稿）编号：</w:t>
            </w:r>
          </w:p>
        </w:tc>
        <w:tc>
          <w:tcPr>
            <w:tcW w:w="5729" w:type="dxa"/>
            <w:vAlign w:val="center"/>
          </w:tcPr>
          <w:p w14:paraId="35607A56">
            <w:pPr>
              <w:pStyle w:val="8"/>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auto"/>
                <w:spacing w:val="14"/>
                <w:sz w:val="32"/>
                <w:szCs w:val="32"/>
                <w:highlight w:val="none"/>
                <w:lang w:eastAsia="zh-CN"/>
              </w:rPr>
            </w:pPr>
            <w:r>
              <w:rPr>
                <w:rFonts w:hint="eastAsia" w:ascii="楷体" w:hAnsi="楷体" w:eastAsia="楷体"/>
                <w:spacing w:val="14"/>
                <w:sz w:val="32"/>
                <w:szCs w:val="32"/>
                <w:highlight w:val="none"/>
                <w:lang w:eastAsia="zh-CN"/>
              </w:rPr>
              <w:t>（湖南）湘兆财土地[202</w:t>
            </w:r>
            <w:r>
              <w:rPr>
                <w:rFonts w:hint="eastAsia" w:ascii="楷体" w:hAnsi="楷体" w:eastAsia="楷体"/>
                <w:spacing w:val="14"/>
                <w:sz w:val="32"/>
                <w:szCs w:val="32"/>
                <w:highlight w:val="none"/>
                <w:lang w:val="en-US" w:eastAsia="zh-CN"/>
              </w:rPr>
              <w:t>6</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技</w:t>
            </w:r>
            <w:r>
              <w:rPr>
                <w:rFonts w:hint="eastAsia" w:ascii="楷体" w:hAnsi="楷体" w:eastAsia="楷体"/>
                <w:spacing w:val="14"/>
                <w:sz w:val="32"/>
                <w:szCs w:val="32"/>
                <w:highlight w:val="none"/>
                <w:lang w:eastAsia="zh-CN"/>
              </w:rPr>
              <w:t>）字第ZC0007号</w:t>
            </w:r>
          </w:p>
        </w:tc>
      </w:tr>
      <w:tr w14:paraId="7DF7201A">
        <w:tblPrEx>
          <w:tblCellMar>
            <w:top w:w="0" w:type="dxa"/>
            <w:left w:w="108" w:type="dxa"/>
            <w:bottom w:w="0" w:type="dxa"/>
            <w:right w:w="108" w:type="dxa"/>
          </w:tblCellMar>
        </w:tblPrEx>
        <w:trPr>
          <w:trHeight w:val="1303" w:hRule="atLeast"/>
          <w:jc w:val="center"/>
        </w:trPr>
        <w:tc>
          <w:tcPr>
            <w:tcW w:w="3686" w:type="dxa"/>
            <w:vAlign w:val="center"/>
          </w:tcPr>
          <w:p w14:paraId="1A2AB01B">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FF"/>
                <w:spacing w:val="14"/>
                <w:sz w:val="32"/>
                <w:szCs w:val="32"/>
                <w:highlight w:val="none"/>
              </w:rPr>
            </w:pPr>
            <w:r>
              <w:rPr>
                <w:rFonts w:hint="eastAsia" w:ascii="楷体" w:hAnsi="楷体" w:eastAsia="楷体"/>
                <w:b/>
                <w:bCs/>
                <w:color w:val="auto"/>
                <w:spacing w:val="14"/>
                <w:sz w:val="32"/>
                <w:szCs w:val="32"/>
                <w:highlight w:val="none"/>
              </w:rPr>
              <w:t>电 子 备 案 编 号：</w:t>
            </w:r>
          </w:p>
        </w:tc>
        <w:tc>
          <w:tcPr>
            <w:tcW w:w="5729" w:type="dxa"/>
            <w:vAlign w:val="center"/>
          </w:tcPr>
          <w:p w14:paraId="670E1AE0">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FF"/>
                <w:spacing w:val="-11"/>
                <w:sz w:val="32"/>
                <w:szCs w:val="32"/>
                <w:highlight w:val="none"/>
              </w:rPr>
            </w:pPr>
            <w:r>
              <w:rPr>
                <w:rFonts w:hint="eastAsia" w:ascii="楷体" w:hAnsi="楷体" w:eastAsia="楷体" w:cs="Times New Roman"/>
                <w:color w:val="auto"/>
                <w:spacing w:val="-11"/>
                <w:sz w:val="32"/>
                <w:szCs w:val="32"/>
                <w:highlight w:val="none"/>
                <w:lang w:eastAsia="zh-CN"/>
              </w:rPr>
              <w:t>详见备案页</w:t>
            </w:r>
          </w:p>
        </w:tc>
      </w:tr>
      <w:tr w14:paraId="65E1A38F">
        <w:tblPrEx>
          <w:tblCellMar>
            <w:top w:w="0" w:type="dxa"/>
            <w:left w:w="108" w:type="dxa"/>
            <w:bottom w:w="0" w:type="dxa"/>
            <w:right w:w="108" w:type="dxa"/>
          </w:tblCellMar>
        </w:tblPrEx>
        <w:trPr>
          <w:trHeight w:val="1134" w:hRule="atLeast"/>
          <w:jc w:val="center"/>
        </w:trPr>
        <w:tc>
          <w:tcPr>
            <w:tcW w:w="3686" w:type="dxa"/>
            <w:vAlign w:val="center"/>
          </w:tcPr>
          <w:p w14:paraId="6AF41026">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提交估价报告日期：</w:t>
            </w:r>
          </w:p>
        </w:tc>
        <w:tc>
          <w:tcPr>
            <w:tcW w:w="5729" w:type="dxa"/>
            <w:vAlign w:val="center"/>
          </w:tcPr>
          <w:p w14:paraId="0B8323D2">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五</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二十</w:t>
            </w:r>
            <w:r>
              <w:rPr>
                <w:rFonts w:hint="eastAsia" w:ascii="楷体" w:hAnsi="楷体" w:eastAsia="楷体" w:cs="楷体"/>
                <w:spacing w:val="-20"/>
                <w:sz w:val="32"/>
                <w:szCs w:val="32"/>
                <w:highlight w:val="none"/>
                <w:lang w:eastAsia="zh-CN"/>
              </w:rPr>
              <w:t>日</w:t>
            </w:r>
          </w:p>
        </w:tc>
      </w:tr>
    </w:tbl>
    <w:p w14:paraId="4C5E4F37">
      <w:pPr>
        <w:spacing w:line="520" w:lineRule="exact"/>
        <w:rPr>
          <w:sz w:val="32"/>
          <w:highlight w:val="none"/>
        </w:rPr>
      </w:pPr>
    </w:p>
    <w:tbl>
      <w:tblPr>
        <w:tblStyle w:val="13"/>
        <w:tblpPr w:leftFromText="180" w:rightFromText="180" w:vertAnchor="text" w:horzAnchor="page" w:tblpX="1312" w:tblpY="729"/>
        <w:tblOverlap w:val="never"/>
        <w:tblW w:w="9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8063"/>
      </w:tblGrid>
      <w:tr w14:paraId="21E8B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4F1B2582">
            <w:pPr>
              <w:keepNext w:val="0"/>
              <w:keepLines w:val="0"/>
              <w:suppressLineNumbers w:val="0"/>
              <w:spacing w:before="0" w:beforeAutospacing="0" w:after="0" w:afterAutospacing="0" w:line="360" w:lineRule="auto"/>
              <w:ind w:left="0" w:right="0"/>
              <w:jc w:val="distribute"/>
              <w:rPr>
                <w:rFonts w:ascii="楷体" w:hAnsi="楷体" w:eastAsia="楷体"/>
                <w:b/>
                <w:spacing w:val="14"/>
                <w:sz w:val="32"/>
                <w:szCs w:val="32"/>
                <w:highlight w:val="none"/>
              </w:rPr>
            </w:pPr>
            <w:r>
              <w:rPr>
                <w:rFonts w:hint="eastAsia" w:ascii="楷体" w:hAnsi="楷体" w:eastAsia="楷体"/>
                <w:spacing w:val="14"/>
                <w:sz w:val="32"/>
                <w:szCs w:val="32"/>
                <w:highlight w:val="none"/>
              </w:rPr>
              <w:t>关键词：</w:t>
            </w:r>
          </w:p>
        </w:tc>
        <w:tc>
          <w:tcPr>
            <w:tcW w:w="8063" w:type="dxa"/>
            <w:vAlign w:val="center"/>
          </w:tcPr>
          <w:p w14:paraId="18D7704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spacing w:val="14"/>
                <w:sz w:val="32"/>
                <w:szCs w:val="32"/>
                <w:highlight w:val="none"/>
                <w:lang w:val="en-US" w:eastAsia="zh-CN"/>
              </w:rPr>
              <w:t>永州市道县</w:t>
            </w:r>
          </w:p>
        </w:tc>
      </w:tr>
      <w:tr w14:paraId="3EB9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97" w:type="dxa"/>
            <w:vAlign w:val="center"/>
          </w:tcPr>
          <w:p w14:paraId="5C448620">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4D1A409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b w:val="0"/>
                <w:bCs/>
                <w:spacing w:val="14"/>
                <w:sz w:val="32"/>
                <w:szCs w:val="32"/>
                <w:highlight w:val="none"/>
                <w:lang w:val="en-US" w:eastAsia="zh-CN"/>
              </w:rPr>
              <w:t>出让</w:t>
            </w:r>
          </w:p>
        </w:tc>
      </w:tr>
      <w:tr w14:paraId="3CE4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20F0D39E">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2A0AE912">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70487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697" w:type="dxa"/>
            <w:vAlign w:val="center"/>
          </w:tcPr>
          <w:p w14:paraId="6407B171">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35060695">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p>
        </w:tc>
      </w:tr>
    </w:tbl>
    <w:p w14:paraId="2AEC821A">
      <w:pPr>
        <w:pStyle w:val="17"/>
        <w:spacing w:before="120" w:beforeLines="50" w:after="240" w:afterLines="100" w:line="440" w:lineRule="exact"/>
        <w:ind w:firstLine="643"/>
        <w:jc w:val="center"/>
        <w:outlineLvl w:val="0"/>
        <w:rPr>
          <w:rFonts w:hint="eastAsia" w:ascii="宋体" w:hAnsi="宋体" w:eastAsia="宋体" w:cs="仿宋_GB2312"/>
          <w:b/>
          <w:sz w:val="32"/>
          <w:szCs w:val="32"/>
          <w:highlight w:val="none"/>
        </w:rPr>
        <w:sectPr>
          <w:headerReference r:id="rId12" w:type="default"/>
          <w:footerReference r:id="rId13" w:type="default"/>
          <w:pgSz w:w="11906" w:h="16838"/>
          <w:pgMar w:top="1440" w:right="1800" w:bottom="1440" w:left="1800" w:header="851" w:footer="992" w:gutter="0"/>
          <w:pgNumType w:fmt="decimal"/>
          <w:cols w:space="0" w:num="1"/>
          <w:rtlGutter w:val="0"/>
          <w:docGrid w:type="lines" w:linePitch="312" w:charSpace="0"/>
        </w:sectPr>
      </w:pPr>
    </w:p>
    <w:p w14:paraId="6DD7AAB7">
      <w:pPr>
        <w:pStyle w:val="17"/>
        <w:spacing w:before="120" w:beforeLines="50" w:after="240" w:afterLines="100" w:line="440" w:lineRule="exact"/>
        <w:ind w:firstLine="643"/>
        <w:jc w:val="center"/>
        <w:outlineLvl w:val="0"/>
        <w:rPr>
          <w:rFonts w:ascii="宋体" w:hAnsi="宋体" w:eastAsia="宋体" w:cs="仿宋_GB2312"/>
          <w:b/>
          <w:sz w:val="32"/>
          <w:szCs w:val="32"/>
          <w:highlight w:val="none"/>
        </w:rPr>
      </w:pPr>
      <w:r>
        <w:rPr>
          <w:rFonts w:hint="eastAsia" w:ascii="宋体" w:hAnsi="宋体" w:eastAsia="宋体" w:cs="仿宋_GB2312"/>
          <w:b/>
          <w:sz w:val="32"/>
          <w:szCs w:val="32"/>
          <w:highlight w:val="none"/>
        </w:rPr>
        <w:t>土地估价技术报告（评估工作底稿）</w:t>
      </w:r>
    </w:p>
    <w:p w14:paraId="73CF586B">
      <w:pPr>
        <w:pStyle w:val="17"/>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  摘要</w:t>
      </w:r>
    </w:p>
    <w:p w14:paraId="36FB867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2B955637">
      <w:pPr>
        <w:pStyle w:val="11"/>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 w:val="0"/>
          <w:bCs/>
          <w:color w:val="auto"/>
          <w:kern w:val="2"/>
          <w:sz w:val="28"/>
          <w:szCs w:val="28"/>
          <w:highlight w:val="none"/>
          <w:lang w:val="en-US" w:eastAsia="zh-CN" w:bidi="ar-SA"/>
        </w:rPr>
        <w:t>道县自然资源局办理土地使用权出让手续涉及的位于道县月岩西路的一宗住宅用途国有建设用地使用权市场价格评估</w:t>
      </w:r>
      <w:r>
        <w:rPr>
          <w:rFonts w:hint="eastAsia" w:ascii="仿宋_GB2312" w:hAnsi="仿宋_GB2312" w:cs="仿宋_GB2312"/>
          <w:b w:val="0"/>
          <w:bCs/>
          <w:color w:val="auto"/>
          <w:kern w:val="2"/>
          <w:sz w:val="28"/>
          <w:szCs w:val="28"/>
          <w:highlight w:val="none"/>
          <w:lang w:val="en-US" w:eastAsia="zh-CN" w:bidi="ar-SA"/>
        </w:rPr>
        <w:t>（永州市道县）</w:t>
      </w:r>
    </w:p>
    <w:p w14:paraId="03D5CD0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二、</w:t>
      </w:r>
      <w:r>
        <w:rPr>
          <w:rFonts w:hint="eastAsia" w:ascii="仿宋_GB2312" w:hAnsi="仿宋_GB2312" w:eastAsia="仿宋_GB2312" w:cs="仿宋_GB2312"/>
          <w:b/>
          <w:bCs w:val="0"/>
          <w:color w:val="auto"/>
          <w:sz w:val="28"/>
          <w:szCs w:val="28"/>
          <w:highlight w:val="none"/>
          <w:lang w:val="en-GB" w:eastAsia="zh-CN"/>
        </w:rPr>
        <w:t>委托估价方</w:t>
      </w:r>
    </w:p>
    <w:p w14:paraId="669BFFA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1301D9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6D22E1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68EF76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3E1B058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67777A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1411AF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22B0146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14F7699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委托方为道县自然资源局，土地使用者为王汝冲</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8B898B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三、受委托估价方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法定代表人：</w:t>
      </w:r>
      <w:r>
        <w:rPr>
          <w:rFonts w:hint="eastAsia" w:ascii="仿宋_GB2312" w:hAnsi="仿宋_GB2312" w:eastAsia="仿宋_GB2312" w:cs="仿宋_GB2312"/>
          <w:bCs/>
          <w:color w:val="auto"/>
          <w:sz w:val="28"/>
          <w:szCs w:val="28"/>
          <w:highlight w:val="none"/>
          <w:lang w:val="en-US" w:eastAsia="zh-CN"/>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成立日期：20</w:t>
      </w:r>
      <w:r>
        <w:rPr>
          <w:rFonts w:hint="eastAsia" w:ascii="仿宋_GB2312" w:hAnsi="仿宋_GB2312" w:eastAsia="仿宋_GB2312" w:cs="仿宋_GB2312"/>
          <w:bCs/>
          <w:color w:val="auto"/>
          <w:sz w:val="28"/>
          <w:szCs w:val="28"/>
          <w:highlight w:val="none"/>
          <w:lang w:val="en-US" w:eastAsia="zh-CN"/>
        </w:rPr>
        <w:t>21</w:t>
      </w:r>
      <w:r>
        <w:rPr>
          <w:rFonts w:hint="eastAsia" w:ascii="仿宋_GB2312" w:hAnsi="仿宋_GB2312" w:eastAsia="仿宋_GB2312" w:cs="仿宋_GB2312"/>
          <w:bCs/>
          <w:color w:val="auto"/>
          <w:sz w:val="28"/>
          <w:szCs w:val="28"/>
          <w:highlight w:val="none"/>
          <w:lang w:val="en-GB" w:eastAsia="zh-CN"/>
        </w:rPr>
        <w:t>年</w:t>
      </w:r>
      <w:r>
        <w:rPr>
          <w:rFonts w:hint="eastAsia" w:ascii="仿宋_GB2312" w:hAnsi="仿宋_GB2312" w:eastAsia="仿宋_GB2312" w:cs="仿宋_GB2312"/>
          <w:bCs/>
          <w:color w:val="auto"/>
          <w:sz w:val="28"/>
          <w:szCs w:val="28"/>
          <w:highlight w:val="none"/>
          <w:lang w:val="en-US" w:eastAsia="zh-CN"/>
        </w:rPr>
        <w:t>11</w:t>
      </w:r>
      <w:r>
        <w:rPr>
          <w:rFonts w:hint="eastAsia" w:ascii="仿宋_GB2312" w:hAnsi="仿宋_GB2312" w:eastAsia="仿宋_GB2312" w:cs="仿宋_GB2312"/>
          <w:bCs/>
          <w:color w:val="auto"/>
          <w:sz w:val="28"/>
          <w:szCs w:val="28"/>
          <w:highlight w:val="none"/>
          <w:lang w:val="en-GB" w:eastAsia="zh-CN"/>
        </w:rPr>
        <w:t>月</w:t>
      </w:r>
      <w:r>
        <w:rPr>
          <w:rFonts w:hint="eastAsia" w:ascii="仿宋_GB2312" w:hAnsi="仿宋_GB2312" w:eastAsia="仿宋_GB2312" w:cs="仿宋_GB2312"/>
          <w:bCs/>
          <w:color w:val="auto"/>
          <w:sz w:val="28"/>
          <w:szCs w:val="28"/>
          <w:highlight w:val="none"/>
          <w:lang w:val="en-US" w:eastAsia="zh-CN"/>
        </w:rPr>
        <w:t>22</w:t>
      </w:r>
      <w:r>
        <w:rPr>
          <w:rFonts w:hint="eastAsia" w:ascii="仿宋_GB2312" w:hAnsi="仿宋_GB2312" w:eastAsia="仿宋_GB2312" w:cs="仿宋_GB2312"/>
          <w:bCs/>
          <w:color w:val="auto"/>
          <w:sz w:val="28"/>
          <w:szCs w:val="28"/>
          <w:highlight w:val="none"/>
          <w:lang w:val="en-GB" w:eastAsia="zh-CN"/>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机构</w:t>
      </w:r>
      <w:r>
        <w:rPr>
          <w:rFonts w:hint="eastAsia" w:ascii="仿宋_GB2312" w:hAnsi="仿宋_GB2312" w:eastAsia="仿宋_GB2312" w:cs="仿宋_GB2312"/>
          <w:bCs/>
          <w:color w:val="auto"/>
          <w:sz w:val="28"/>
          <w:szCs w:val="28"/>
          <w:highlight w:val="none"/>
          <w:lang w:val="en-US" w:eastAsia="zh-CN"/>
        </w:rPr>
        <w:t>备案编号</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联 系 人：</w:t>
      </w:r>
      <w:r>
        <w:rPr>
          <w:rFonts w:hint="eastAsia" w:ascii="仿宋_GB2312" w:hAnsi="仿宋_GB2312" w:eastAsia="仿宋_GB2312" w:cs="仿宋_GB2312"/>
          <w:bCs/>
          <w:color w:val="auto"/>
          <w:sz w:val="28"/>
          <w:szCs w:val="28"/>
          <w:highlight w:val="none"/>
          <w:lang w:val="en-US" w:eastAsia="zh-CN"/>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联系电话：</w:t>
      </w:r>
      <w:r>
        <w:rPr>
          <w:rFonts w:hint="eastAsia" w:ascii="仿宋_GB2312" w:hAnsi="仿宋_GB2312" w:eastAsia="仿宋_GB2312" w:cs="仿宋_GB2312"/>
          <w:bCs/>
          <w:color w:val="auto"/>
          <w:sz w:val="28"/>
          <w:szCs w:val="28"/>
          <w:highlight w:val="none"/>
          <w:lang w:val="en-US" w:eastAsia="zh-CN"/>
        </w:rPr>
        <w:t>15388005188</w:t>
      </w:r>
    </w:p>
    <w:p w14:paraId="3980F95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邮    编：4100</w:t>
      </w:r>
      <w:r>
        <w:rPr>
          <w:rFonts w:hint="eastAsia" w:ascii="仿宋_GB2312" w:hAnsi="仿宋_GB2312" w:eastAsia="仿宋_GB2312" w:cs="仿宋_GB2312"/>
          <w:bCs/>
          <w:color w:val="auto"/>
          <w:sz w:val="28"/>
          <w:szCs w:val="28"/>
          <w:highlight w:val="none"/>
          <w:lang w:val="en-US" w:eastAsia="zh-CN"/>
        </w:rPr>
        <w:t>00</w:t>
      </w:r>
    </w:p>
    <w:p w14:paraId="5C7F693B">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red"/>
          <w:lang w:val="en-GB" w:eastAsia="zh-CN"/>
        </w:rPr>
      </w:pPr>
      <w:r>
        <w:rPr>
          <w:rFonts w:hint="eastAsia" w:ascii="仿宋_GB2312" w:hAnsi="仿宋_GB2312" w:eastAsia="仿宋_GB2312" w:cs="仿宋_GB2312"/>
          <w:b/>
          <w:bCs w:val="0"/>
          <w:color w:val="auto"/>
          <w:sz w:val="28"/>
          <w:szCs w:val="28"/>
          <w:highlight w:val="none"/>
          <w:lang w:val="en-US" w:eastAsia="zh-CN"/>
        </w:rPr>
        <w:t>四、</w:t>
      </w:r>
      <w:r>
        <w:rPr>
          <w:rFonts w:hint="eastAsia" w:ascii="仿宋_GB2312" w:hAnsi="仿宋_GB2312" w:eastAsia="仿宋_GB2312" w:cs="仿宋_GB2312"/>
          <w:b/>
          <w:bCs w:val="0"/>
          <w:color w:val="auto"/>
          <w:sz w:val="28"/>
          <w:szCs w:val="28"/>
          <w:highlight w:val="none"/>
          <w:lang w:val="en-GB" w:eastAsia="zh-CN"/>
        </w:rPr>
        <w:t>估价目的</w:t>
      </w:r>
    </w:p>
    <w:p w14:paraId="7F51D7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委托方提供的《评估委托书》，</w:t>
      </w:r>
      <w:r>
        <w:rPr>
          <w:rFonts w:hint="eastAsia" w:ascii="仿宋_GB2312" w:hAnsi="仿宋_GB2312" w:eastAsia="仿宋_GB2312" w:cs="仿宋_GB2312"/>
          <w:bCs/>
          <w:color w:val="auto"/>
          <w:sz w:val="28"/>
          <w:szCs w:val="28"/>
          <w:highlight w:val="none"/>
          <w:lang w:val="en-US" w:eastAsia="zh-CN"/>
        </w:rPr>
        <w:t>道县自然资源局</w:t>
      </w:r>
      <w:r>
        <w:rPr>
          <w:rFonts w:hint="default" w:ascii="仿宋_GB2312" w:hAnsi="仿宋_GB2312" w:eastAsia="仿宋_GB2312" w:cs="仿宋_GB2312"/>
          <w:bCs/>
          <w:color w:val="auto"/>
          <w:sz w:val="28"/>
          <w:szCs w:val="28"/>
          <w:highlight w:val="none"/>
          <w:lang w:val="en-GB" w:eastAsia="zh-CN"/>
        </w:rPr>
        <w:t>拟了解一宗位于</w:t>
      </w:r>
      <w:r>
        <w:rPr>
          <w:rFonts w:hint="default" w:ascii="仿宋_GB2312" w:hAnsi="仿宋_GB2312" w:eastAsia="仿宋_GB2312" w:cs="仿宋_GB2312"/>
          <w:b w:val="0"/>
          <w:bCs/>
          <w:color w:val="auto"/>
          <w:kern w:val="2"/>
          <w:sz w:val="28"/>
          <w:szCs w:val="28"/>
          <w:highlight w:val="none"/>
          <w:lang w:val="en-US" w:eastAsia="zh-CN" w:bidi="ar-SA"/>
        </w:rPr>
        <w:t>道县月岩西路</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eastAsia" w:ascii="仿宋_GB2312" w:eastAsia="仿宋_GB2312"/>
          <w:color w:val="000000" w:themeColor="text1"/>
          <w:sz w:val="28"/>
          <w:szCs w:val="30"/>
          <w:highlight w:val="none"/>
          <w:lang w:eastAsia="zh-CN"/>
          <w14:textFill>
            <w14:solidFill>
              <w14:schemeClr w14:val="tx1"/>
            </w14:solidFill>
          </w14:textFill>
        </w:rPr>
        <w:t>。</w:t>
      </w:r>
    </w:p>
    <w:p w14:paraId="46B01681">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五、估价依据</w:t>
      </w:r>
    </w:p>
    <w:p w14:paraId="1BD9E5B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p>
    <w:p w14:paraId="6040110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16E3D26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74B16D8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0FB3CA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174F2B7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4D958F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6552E3B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2EA3AAA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734C622D">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6004C9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096E2DC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0B13030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7AD1767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243BBBF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6C53E6A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2D5112F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4FD08B1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0C0B13C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C4F605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7D6BD82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06E5657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5ADD7D1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1D36572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4CA9424F">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399A6095">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58EC570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1EE0D84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6E6EB96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2A19104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0D5540BE">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7BC0063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238222E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2A93F6C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651B6E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0D120F3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22209DF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2C842C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1CF12CA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5DCDA4A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4BAF9E1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2042D56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7D8326B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024DABF7">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0DB81A4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1DCF73D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25A3A31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3D2E3E6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3F2D111F">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14E4F62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10A034CB">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30BF33D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3C3F4FCD">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633A417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18C3F5F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076D15AA">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34CDBE04">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19299E3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400156B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p>
    <w:p w14:paraId="411F2EA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627FB31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11AD924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3504D8E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7506EE6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789FBE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05DDD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332DB63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0C16A4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79C1497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1CCCD6F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0035DE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5BE5EE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621F9A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223550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9.委托估价方提供的其它与土地估价相关的资料。</w:t>
      </w:r>
    </w:p>
    <w:p w14:paraId="771C4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091CF90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78493F3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5A3720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E967F6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4.收益还原法比较实例所处位置、照片等资料；</w:t>
      </w:r>
    </w:p>
    <w:p w14:paraId="6F4AF7F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67ED714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30534C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ECEF3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eastAsia="仿宋_GB2312"/>
          <w:b/>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4432A83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六、估价期日</w:t>
      </w:r>
    </w:p>
    <w:p w14:paraId="572DE54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本次土地估价师现场勘查日期为2026年5月18日，结合本次估价目的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估价期日为2026年5月18日。</w:t>
      </w:r>
    </w:p>
    <w:p w14:paraId="5592EB0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七、估价日期</w:t>
      </w:r>
    </w:p>
    <w:p w14:paraId="7D3424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2026年5月18日至202</w:t>
      </w:r>
      <w:r>
        <w:rPr>
          <w:rFonts w:hint="eastAsia" w:ascii="仿宋_GB2312" w:eastAsia="仿宋_GB2312"/>
          <w:color w:val="000000" w:themeColor="text1"/>
          <w:sz w:val="28"/>
          <w:szCs w:val="28"/>
          <w:highlight w:val="none"/>
          <w:lang w:val="en-US" w:eastAsia="zh-CN"/>
          <w14:textFill>
            <w14:solidFill>
              <w14:schemeClr w14:val="tx1"/>
            </w14:solidFill>
          </w14:textFill>
        </w:rPr>
        <w:t>6</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20</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0BD2BBE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八、地价定义</w:t>
      </w:r>
    </w:p>
    <w:p w14:paraId="3779BB29">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z w:val="28"/>
          <w:highlight w:val="none"/>
          <w:lang w:val="en-US" w:eastAsia="zh-CN"/>
        </w:rPr>
      </w:pPr>
      <w:r>
        <w:rPr>
          <w:rFonts w:hint="eastAsia" w:ascii="仿宋_GB2312" w:hAnsi="仿宋_GB2312" w:eastAsia="仿宋_GB2312" w:cs="仿宋_GB2312"/>
          <w:bCs/>
          <w:sz w:val="28"/>
          <w:szCs w:val="28"/>
          <w:highlight w:val="none"/>
          <w:lang w:eastAsia="zh-CN"/>
        </w:rPr>
        <w:t>根据</w:t>
      </w:r>
      <w:r>
        <w:rPr>
          <w:rFonts w:hint="eastAsia" w:ascii="仿宋_GB2312" w:hAnsi="仿宋_GB2312" w:eastAsia="仿宋_GB2312" w:cs="仿宋_GB2312"/>
          <w:bCs/>
          <w:sz w:val="28"/>
          <w:szCs w:val="28"/>
          <w:highlight w:val="none"/>
          <w:lang w:val="en-US" w:eastAsia="zh-CN"/>
        </w:rPr>
        <w:t>委托方</w:t>
      </w:r>
      <w:r>
        <w:rPr>
          <w:rFonts w:hint="eastAsia" w:ascii="仿宋_GB2312" w:hAnsi="仿宋_GB2312" w:eastAsia="仿宋_GB2312" w:cs="仿宋_GB2312"/>
          <w:bCs/>
          <w:sz w:val="28"/>
          <w:szCs w:val="28"/>
          <w:highlight w:val="none"/>
          <w:lang w:eastAsia="zh-CN"/>
        </w:rPr>
        <w:t>出具的</w:t>
      </w:r>
      <w:r>
        <w:rPr>
          <w:rFonts w:hint="eastAsia" w:ascii="仿宋_GB2312" w:hAnsi="仿宋_GB2312" w:eastAsia="仿宋_GB2312" w:cs="仿宋_GB2312"/>
          <w:bCs/>
          <w:sz w:val="28"/>
          <w:szCs w:val="28"/>
          <w:highlight w:val="none"/>
          <w:lang w:val="en-US" w:eastAsia="zh-CN"/>
        </w:rPr>
        <w:t>《评估委托书》</w:t>
      </w:r>
      <w:r>
        <w:rPr>
          <w:rFonts w:hint="eastAsia" w:ascii="仿宋_GB2312" w:hAnsi="仿宋_GB2312" w:eastAsia="仿宋_GB2312" w:cs="仿宋_GB2312"/>
          <w:bCs/>
          <w:sz w:val="28"/>
          <w:szCs w:val="28"/>
          <w:highlight w:val="none"/>
          <w:lang w:eastAsia="zh-CN"/>
        </w:rPr>
        <w:t>及现场勘查状况，估价对象</w:t>
      </w:r>
      <w:r>
        <w:rPr>
          <w:rFonts w:hint="eastAsia" w:ascii="仿宋_GB2312" w:hAnsi="仿宋_GB2312" w:eastAsia="仿宋_GB2312" w:cs="仿宋_GB2312"/>
          <w:bCs/>
          <w:sz w:val="28"/>
          <w:szCs w:val="28"/>
          <w:highlight w:val="none"/>
          <w:lang w:val="en-US" w:eastAsia="zh-CN"/>
        </w:rPr>
        <w:t>总土地面积为15.2平方米，</w:t>
      </w:r>
      <w:r>
        <w:rPr>
          <w:rFonts w:hint="eastAsia" w:ascii="仿宋_GB2312" w:hAnsi="仿宋_GB2312" w:eastAsia="仿宋_GB2312" w:cs="仿宋_GB2312"/>
          <w:bCs/>
          <w:sz w:val="28"/>
          <w:szCs w:val="28"/>
          <w:highlight w:val="none"/>
          <w:lang w:eastAsia="zh-CN"/>
        </w:rPr>
        <w:t>估价对象</w:t>
      </w:r>
      <w:r>
        <w:rPr>
          <w:rFonts w:hint="eastAsia" w:ascii="仿宋_GB2312" w:hAnsi="仿宋_GB2312" w:eastAsia="仿宋_GB2312" w:cs="仿宋_GB2312"/>
          <w:bCs/>
          <w:sz w:val="28"/>
          <w:szCs w:val="28"/>
          <w:highlight w:val="none"/>
          <w:lang w:val="en-US" w:eastAsia="zh-CN"/>
        </w:rPr>
        <w:t>设定</w:t>
      </w:r>
      <w:r>
        <w:rPr>
          <w:rFonts w:hint="eastAsia" w:ascii="仿宋_GB2312" w:hAnsi="仿宋_GB2312" w:eastAsia="仿宋_GB2312" w:cs="仿宋_GB2312"/>
          <w:bCs/>
          <w:sz w:val="28"/>
          <w:szCs w:val="28"/>
          <w:highlight w:val="none"/>
          <w:lang w:eastAsia="zh-CN"/>
        </w:rPr>
        <w:t>用途为</w:t>
      </w:r>
      <w:r>
        <w:rPr>
          <w:rFonts w:hint="eastAsia" w:ascii="仿宋_GB2312" w:hAnsi="仿宋_GB2312" w:eastAsia="仿宋_GB2312" w:cs="仿宋_GB2312"/>
          <w:bCs/>
          <w:sz w:val="28"/>
          <w:szCs w:val="28"/>
          <w:highlight w:val="none"/>
          <w:lang w:val="en-US" w:eastAsia="zh-CN"/>
        </w:rPr>
        <w:t>住宅用地</w:t>
      </w:r>
      <w:r>
        <w:rPr>
          <w:rFonts w:hint="eastAsia" w:ascii="仿宋_GB2312" w:hAnsi="仿宋_GB2312" w:eastAsia="仿宋_GB2312" w:cs="仿宋_GB2312"/>
          <w:bCs/>
          <w:sz w:val="28"/>
          <w:szCs w:val="28"/>
          <w:highlight w:val="none"/>
          <w:lang w:eastAsia="zh-CN"/>
        </w:rPr>
        <w:t>，至估价期日，估价对象现状为</w:t>
      </w:r>
      <w:r>
        <w:rPr>
          <w:rFonts w:hint="eastAsia" w:ascii="仿宋_GB2312" w:hAnsi="仿宋_GB2312" w:eastAsia="仿宋_GB2312" w:cs="仿宋_GB2312"/>
          <w:bCs/>
          <w:sz w:val="28"/>
          <w:szCs w:val="28"/>
          <w:highlight w:val="none"/>
          <w:lang w:val="en-US" w:eastAsia="zh-CN"/>
        </w:rPr>
        <w:t>已开发</w:t>
      </w:r>
      <w:r>
        <w:rPr>
          <w:rFonts w:hint="eastAsia" w:ascii="仿宋_GB2312" w:hAnsi="仿宋_GB2312" w:eastAsia="仿宋_GB2312" w:cs="仿宋_GB2312"/>
          <w:bCs/>
          <w:sz w:val="28"/>
          <w:szCs w:val="28"/>
          <w:highlight w:val="none"/>
          <w:lang w:eastAsia="zh-CN"/>
        </w:rPr>
        <w:t>建设用地，土地开发程度为宗地红线外“五通”（即通路、通电、供水、排水、通讯），宗地红线内场地平整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11E76F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1.估价期日的设定</w:t>
      </w:r>
    </w:p>
    <w:p w14:paraId="65DB88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本次土地估价师现场勘查日期为2026年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bCs/>
          <w:sz w:val="28"/>
          <w:szCs w:val="28"/>
          <w:highlight w:val="none"/>
          <w:lang w:val="en-US" w:eastAsia="zh-CN"/>
        </w:rPr>
        <w:t>18</w:t>
      </w:r>
      <w:r>
        <w:rPr>
          <w:rFonts w:hint="eastAsia" w:ascii="仿宋_GB2312" w:hAnsi="仿宋_GB2312" w:eastAsia="仿宋_GB2312" w:cs="仿宋_GB2312"/>
          <w:bCs/>
          <w:sz w:val="28"/>
          <w:szCs w:val="28"/>
          <w:highlight w:val="none"/>
          <w:lang w:eastAsia="zh-CN"/>
        </w:rPr>
        <w:t>日，</w:t>
      </w:r>
      <w:r>
        <w:rPr>
          <w:rFonts w:hint="eastAsia" w:ascii="仿宋_GB2312" w:hAnsi="仿宋_GB2312" w:eastAsia="仿宋_GB2312" w:cs="仿宋_GB2312"/>
          <w:bCs/>
          <w:sz w:val="28"/>
          <w:szCs w:val="28"/>
          <w:highlight w:val="none"/>
          <w:lang w:val="en-US" w:eastAsia="zh-CN"/>
        </w:rPr>
        <w:t>根据《评估委托书》本次估价设定</w:t>
      </w:r>
      <w:r>
        <w:rPr>
          <w:rFonts w:hint="eastAsia" w:ascii="仿宋_GB2312" w:hAnsi="仿宋_GB2312" w:eastAsia="仿宋_GB2312" w:cs="仿宋_GB2312"/>
          <w:bCs/>
          <w:sz w:val="28"/>
          <w:szCs w:val="28"/>
          <w:highlight w:val="none"/>
          <w:lang w:eastAsia="zh-CN"/>
        </w:rPr>
        <w:t>估价期日为2026年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w:t>
      </w:r>
    </w:p>
    <w:p w14:paraId="5320AF2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2.土地用途的设定</w:t>
      </w:r>
    </w:p>
    <w:p w14:paraId="7EB82A1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土地用途为</w:t>
      </w:r>
      <w:r>
        <w:rPr>
          <w:rFonts w:hint="eastAsia" w:ascii="仿宋_GB2312" w:hAnsi="仿宋_GB2312" w:eastAsia="仿宋_GB2312" w:cs="仿宋_GB2312"/>
          <w:bCs/>
          <w:color w:val="auto"/>
          <w:sz w:val="28"/>
          <w:szCs w:val="28"/>
          <w:highlight w:val="none"/>
          <w:lang w:val="en-US" w:eastAsia="zh-CN"/>
        </w:rPr>
        <w:t>住宅用地</w:t>
      </w:r>
      <w:r>
        <w:rPr>
          <w:rFonts w:hint="default" w:ascii="仿宋_GB2312" w:hAnsi="仿宋_GB2312" w:eastAsia="仿宋_GB2312" w:cs="仿宋_GB2312"/>
          <w:bCs/>
          <w:color w:val="auto"/>
          <w:sz w:val="28"/>
          <w:szCs w:val="28"/>
          <w:highlight w:val="none"/>
          <w:lang w:val="en-GB" w:eastAsia="zh-CN"/>
        </w:rPr>
        <w:t>。估价对象现状用途为住宅</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所处宗地有一栋混合结构住宅，</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21010-2017），此次评估设定估价对象土地用途为住宅用地</w:t>
      </w:r>
      <w:r>
        <w:rPr>
          <w:rFonts w:hint="eastAsia" w:ascii="仿宋_GB2312" w:hAnsi="仿宋_GB2312" w:eastAsia="仿宋_GB2312" w:cs="仿宋_GB2312"/>
          <w:bCs/>
          <w:sz w:val="28"/>
          <w:szCs w:val="28"/>
          <w:highlight w:val="none"/>
          <w:lang w:eastAsia="zh-CN"/>
        </w:rPr>
        <w:t>。</w:t>
      </w:r>
    </w:p>
    <w:p w14:paraId="0124C0F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3.土地使用权类型</w:t>
      </w:r>
      <w:r>
        <w:rPr>
          <w:rFonts w:hint="eastAsia" w:ascii="仿宋_GB2312" w:hAnsi="仿宋_GB2312" w:eastAsia="仿宋_GB2312" w:cs="仿宋_GB2312"/>
          <w:bCs/>
          <w:sz w:val="28"/>
          <w:szCs w:val="28"/>
          <w:highlight w:val="none"/>
          <w:lang w:val="en-US" w:eastAsia="zh-CN"/>
        </w:rPr>
        <w:t>的</w:t>
      </w:r>
      <w:r>
        <w:rPr>
          <w:rFonts w:hint="eastAsia" w:ascii="仿宋_GB2312" w:hAnsi="仿宋_GB2312" w:eastAsia="仿宋_GB2312" w:cs="仿宋_GB2312"/>
          <w:bCs/>
          <w:sz w:val="28"/>
          <w:szCs w:val="28"/>
          <w:highlight w:val="none"/>
          <w:lang w:eastAsia="zh-CN"/>
        </w:rPr>
        <w:t>设定</w:t>
      </w:r>
    </w:p>
    <w:p w14:paraId="1343CDE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和道县集中化解房地产办证信访突出问题工作领导小组办公室出具的《土地权属及性质证明》（2026年5月19日）</w:t>
      </w:r>
      <w:r>
        <w:rPr>
          <w:rFonts w:hint="default" w:ascii="仿宋_GB2312" w:hAnsi="仿宋_GB2312" w:eastAsia="仿宋_GB2312" w:cs="仿宋_GB2312"/>
          <w:bCs/>
          <w:color w:val="auto"/>
          <w:sz w:val="28"/>
          <w:szCs w:val="28"/>
          <w:highlight w:val="none"/>
          <w:lang w:val="en-US" w:eastAsia="zh-CN"/>
        </w:rPr>
        <w:t>，估价对象土地使用权类型为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10D25B6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4.土地使用年期的设定</w:t>
      </w:r>
    </w:p>
    <w:p w14:paraId="4BB5623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本次评估根据《评估委托书》约定和估价目的，设定土地使用权年限为住宅用地70年。</w:t>
      </w:r>
    </w:p>
    <w:p w14:paraId="575C54D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5.土地开发程度的设定</w:t>
      </w:r>
    </w:p>
    <w:p w14:paraId="483E531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根据土地估价师实地勘查，估价对象于估价期日2026年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实际开发程度为宗地红线外“五通”（即通路、通电、供水、排水、通讯），宗地红线内场地平整。结合估价目的及实际情况，本次评估设定土地开发程度为宗地红线外“五通”（即通路、通电、供水、排水、通讯），宗地红线内场地平整。</w:t>
      </w:r>
    </w:p>
    <w:p w14:paraId="1083300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val="en-US" w:eastAsia="zh-CN"/>
        </w:rPr>
        <w:t>6.土地</w:t>
      </w:r>
      <w:r>
        <w:rPr>
          <w:rFonts w:hint="eastAsia" w:ascii="仿宋_GB2312" w:hAnsi="仿宋_GB2312" w:eastAsia="仿宋_GB2312" w:cs="仿宋_GB2312"/>
          <w:bCs/>
          <w:sz w:val="28"/>
          <w:szCs w:val="28"/>
          <w:highlight w:val="none"/>
          <w:lang w:eastAsia="zh-CN"/>
        </w:rPr>
        <w:t>利用条件的设定</w:t>
      </w:r>
    </w:p>
    <w:p w14:paraId="580649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highlight w:val="none"/>
          <w:lang w:eastAsia="zh-CN"/>
        </w:rPr>
      </w:pP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5层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《土地分摊表》，</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73.415平方米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15.2平方米</w:t>
      </w:r>
      <w:r>
        <w:rPr>
          <w:rFonts w:hint="default" w:ascii="仿宋_GB2312" w:hAnsi="仿宋_GB2312" w:eastAsia="仿宋_GB2312" w:cs="仿宋_GB2312"/>
          <w:bCs/>
          <w:color w:val="auto"/>
          <w:sz w:val="28"/>
          <w:szCs w:val="28"/>
          <w:highlight w:val="none"/>
          <w:lang w:val="en-GB" w:eastAsia="zh-CN"/>
        </w:rPr>
        <w:t>，则估价对象现状容积率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default" w:ascii="仿宋_GB2312" w:hAnsi="仿宋_GB2312" w:eastAsia="仿宋_GB2312" w:cs="仿宋_GB2312"/>
          <w:bCs/>
          <w:color w:val="auto"/>
          <w:sz w:val="28"/>
          <w:szCs w:val="28"/>
          <w:highlight w:val="none"/>
          <w:lang w:val="en-GB" w:eastAsia="zh-CN"/>
        </w:rPr>
        <w:t>。本次评估设定土地容积率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E639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7.价格类型的设定</w:t>
      </w:r>
    </w:p>
    <w:p w14:paraId="5212CA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委托方提供的资料及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4E1466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 w:val="28"/>
          <w:highlight w:val="none"/>
          <w:lang w:val="en-US" w:eastAsia="zh-CN"/>
        </w:rPr>
      </w:pPr>
      <w:r>
        <w:rPr>
          <w:rFonts w:hint="eastAsia" w:ascii="仿宋_GB2312" w:hAnsi="仿宋_GB2312" w:eastAsia="仿宋_GB2312" w:cs="仿宋_GB2312"/>
          <w:bCs/>
          <w:sz w:val="28"/>
          <w:szCs w:val="28"/>
          <w:highlight w:val="none"/>
          <w:lang w:eastAsia="zh-CN"/>
        </w:rPr>
        <w:t>综上所述，</w:t>
      </w:r>
      <w:r>
        <w:rPr>
          <w:rFonts w:hint="eastAsia" w:ascii="仿宋_GB2312" w:hAnsi="仿宋_GB2312" w:eastAsia="仿宋_GB2312" w:cs="仿宋_GB2312"/>
          <w:color w:val="auto"/>
          <w:sz w:val="28"/>
          <w:highlight w:val="none"/>
          <w:lang w:val="en-US" w:eastAsia="zh-CN"/>
        </w:rPr>
        <w:t>本次估价的地价内涵是指：估价对象在公开市场条件下，于估价期日2026年5月18日，土地面积</w:t>
      </w:r>
      <w:r>
        <w:rPr>
          <w:rFonts w:hint="eastAsia" w:ascii="仿宋_GB2312" w:hAnsi="仿宋_GB2312" w:eastAsia="仿宋_GB2312" w:cs="仿宋_GB2312"/>
          <w:bCs/>
          <w:sz w:val="28"/>
          <w:szCs w:val="28"/>
          <w:highlight w:val="none"/>
          <w:lang w:val="en-US" w:eastAsia="zh-CN"/>
        </w:rPr>
        <w:t>15.2平方米，</w:t>
      </w:r>
      <w:r>
        <w:rPr>
          <w:rFonts w:hint="eastAsia" w:ascii="仿宋_GB2312" w:hAnsi="仿宋_GB2312" w:eastAsia="仿宋_GB2312" w:cs="仿宋_GB2312"/>
          <w:color w:val="auto"/>
          <w:sz w:val="28"/>
          <w:highlight w:val="none"/>
          <w:lang w:val="en-US" w:eastAsia="zh-CN"/>
        </w:rPr>
        <w:t>土地用途设定为住宅用地，出让使用年期为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color w:val="auto"/>
          <w:sz w:val="28"/>
          <w:highlight w:val="none"/>
          <w:lang w:val="en-US" w:eastAsia="zh-CN"/>
        </w:rPr>
        <w:t>，容积率为4.83，土地开发程度设定为</w:t>
      </w:r>
      <w:r>
        <w:rPr>
          <w:rFonts w:hint="eastAsia" w:ascii="仿宋_GB2312" w:hAnsi="仿宋_GB2312" w:eastAsia="仿宋_GB2312" w:cs="仿宋_GB2312"/>
          <w:bCs/>
          <w:sz w:val="28"/>
          <w:szCs w:val="28"/>
          <w:highlight w:val="none"/>
          <w:lang w:eastAsia="zh-CN"/>
        </w:rPr>
        <w:t>宗地红线外“五通”（即通路、通电、供水、排水、通讯），宗地红线内场地平整</w:t>
      </w:r>
      <w:r>
        <w:rPr>
          <w:rFonts w:hint="eastAsia" w:ascii="仿宋_GB2312" w:hAnsi="仿宋_GB2312" w:eastAsia="仿宋_GB2312" w:cs="仿宋_GB2312"/>
          <w:color w:val="auto"/>
          <w:sz w:val="28"/>
          <w:highlight w:val="none"/>
          <w:lang w:val="en-US" w:eastAsia="zh-CN"/>
        </w:rPr>
        <w:t>下的土地使用权市场价格</w:t>
      </w:r>
    </w:p>
    <w:p w14:paraId="46A5A624">
      <w:pPr>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638B382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九、估价结果</w:t>
      </w:r>
    </w:p>
    <w:p w14:paraId="1374172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（一）估价结论</w:t>
      </w:r>
    </w:p>
    <w:p w14:paraId="65B2B82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1ADE2AC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4051F0FF">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2FCBAF2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7DA2BF7D">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11561689">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71D97317">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35FF023C">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0CC7C2E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6A9AB6F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道县未公布协议出让最低价标准，道县城镇基准地价估价期日为{{ base_price_base_date }}，本次估价期日为2026年5月18日，距估价期日超过六年，其基准地价已不具有现势性。根据道县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49AA72E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w:t>
      </w:r>
    </w:p>
    <w:p w14:paraId="65046853">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30"/>
          <w:highlight w:val="none"/>
          <w:lang w:eastAsia="zh-CN"/>
        </w:rPr>
      </w:pPr>
      <w:r>
        <w:rPr>
          <w:rFonts w:hint="eastAsia" w:ascii="仿宋_GB2312" w:hAnsi="仿宋_GB2312" w:eastAsia="仿宋_GB2312" w:cs="仿宋_GB2312"/>
          <w:color w:val="auto"/>
          <w:sz w:val="28"/>
          <w:szCs w:val="30"/>
          <w:highlight w:val="none"/>
          <w:lang w:val="en-US" w:eastAsia="zh-CN"/>
        </w:rPr>
        <w:t>1.</w:t>
      </w:r>
      <w:r>
        <w:rPr>
          <w:rFonts w:hint="eastAsia" w:ascii="仿宋_GB2312" w:hAnsi="仿宋_GB2312" w:eastAsia="仿宋_GB2312" w:cs="仿宋_GB2312"/>
          <w:color w:val="auto"/>
          <w:sz w:val="28"/>
          <w:szCs w:val="30"/>
          <w:highlight w:val="none"/>
          <w:lang w:eastAsia="zh-CN"/>
        </w:rPr>
        <w:t>评估操作过程技术合理，本次评估技术操作方面严格参照《城镇土地估价规程》(GB／T18508-2014)及《关于印发&lt;国有建设用地使用权出让地价评估技术规范&gt;的通知》（国土资厅发〔2018〕4号，2018年3月9日）要求，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可信度高，因此</w:t>
      </w:r>
      <w:r>
        <w:rPr>
          <w:rFonts w:hint="eastAsia" w:ascii="仿宋_GB2312" w:hAnsi="仿宋_GB2312" w:eastAsia="仿宋_GB2312" w:cs="仿宋_GB2312"/>
          <w:color w:val="auto"/>
          <w:sz w:val="28"/>
          <w:szCs w:val="30"/>
          <w:highlight w:val="none"/>
          <w:lang w:val="en-US" w:eastAsia="zh-CN"/>
        </w:rPr>
        <w:t>取收益还原法</w:t>
      </w:r>
      <w:r>
        <w:rPr>
          <w:rFonts w:hint="eastAsia" w:ascii="仿宋_GB2312" w:hAnsi="仿宋_GB2312" w:eastAsia="仿宋_GB2312" w:cs="仿宋_GB2312"/>
          <w:color w:val="auto"/>
          <w:sz w:val="28"/>
          <w:szCs w:val="30"/>
          <w:highlight w:val="none"/>
          <w:lang w:eastAsia="zh-CN"/>
        </w:rPr>
        <w:t>估价结果为最终结果。</w:t>
      </w:r>
    </w:p>
    <w:p w14:paraId="198A791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46CCDD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w:t>
      </w:r>
    </w:p>
    <w:p w14:paraId="599F8CCD">
      <w:pPr>
        <w:pStyle w:val="18"/>
        <w:rPr>
          <w:rFonts w:hint="eastAsia" w:ascii="仿宋_GB2312" w:hAnsi="仿宋_GB2312" w:eastAsia="仿宋_GB2312" w:cs="仿宋_GB2312"/>
          <w:b/>
          <w:bCs w:val="0"/>
          <w:color w:val="auto"/>
          <w:sz w:val="28"/>
          <w:szCs w:val="28"/>
          <w:highlight w:val="none"/>
          <w:lang w:val="en-GB" w:eastAsia="zh-CN"/>
        </w:rPr>
      </w:pPr>
    </w:p>
    <w:p w14:paraId="479C495C">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44C4A2EF">
      <w:pPr>
        <w:rPr>
          <w:rFonts w:hint="eastAsia" w:ascii="仿宋_GB2312" w:hAnsi="仿宋_GB2312" w:eastAsia="仿宋_GB2312" w:cs="仿宋_GB2312"/>
          <w:bCs/>
          <w:color w:val="auto"/>
          <w:sz w:val="21"/>
          <w:szCs w:val="21"/>
          <w:highlight w:val="none"/>
          <w:lang w:val="en-US" w:eastAsia="zh-CN"/>
        </w:rPr>
        <w:sectPr>
          <w:headerReference r:id="rId14" w:type="default"/>
          <w:footerReference r:id="rId15" w:type="default"/>
          <w:pgSz w:w="11906" w:h="16838"/>
          <w:pgMar w:top="1440" w:right="1800" w:bottom="1440" w:left="1800" w:header="851" w:footer="992" w:gutter="0"/>
          <w:pgNumType w:fmt="decimal"/>
          <w:cols w:space="0" w:num="1"/>
          <w:rtlGutter w:val="0"/>
          <w:docGrid w:type="lines" w:linePitch="312" w:charSpace="0"/>
        </w:sectPr>
      </w:pPr>
    </w:p>
    <w:p w14:paraId="48347854">
      <w:pPr>
        <w:keepNext w:val="0"/>
        <w:keepLines w:val="0"/>
        <w:pageBreakBefore w:val="0"/>
        <w:widowControl w:val="0"/>
        <w:kinsoku/>
        <w:wordWrap/>
        <w:overflowPunct/>
        <w:topLinePunct w:val="0"/>
        <w:autoSpaceDE w:val="0"/>
        <w:autoSpaceDN w:val="0"/>
        <w:bidi w:val="0"/>
        <w:adjustRightInd w:val="0"/>
        <w:snapToGrid w:val="0"/>
        <w:spacing w:line="360" w:lineRule="auto"/>
        <w:ind w:left="0" w:hanging="537" w:hangingChars="192"/>
        <w:jc w:val="center"/>
        <w:textAlignment w:val="auto"/>
        <w:outlineLvl w:val="2"/>
        <w:rPr>
          <w:rFonts w:ascii="仿宋_GB2312" w:eastAsia="仿宋_GB2312"/>
          <w:b/>
          <w:bCs/>
          <w:sz w:val="28"/>
          <w:highlight w:val="none"/>
        </w:rPr>
      </w:pPr>
      <w:r>
        <w:rPr>
          <w:rFonts w:hint="eastAsia" w:ascii="仿宋_GB2312" w:eastAsia="仿宋_GB2312"/>
          <w:sz w:val="28"/>
          <w:highlight w:val="none"/>
        </w:rPr>
        <w:t xml:space="preserve"> </w:t>
      </w:r>
      <w:r>
        <w:rPr>
          <w:rFonts w:hint="eastAsia" w:ascii="仿宋_GB2312" w:eastAsia="仿宋_GB2312"/>
          <w:b/>
          <w:bCs/>
          <w:sz w:val="28"/>
          <w:highlight w:val="none"/>
        </w:rPr>
        <w:t xml:space="preserve">  土地估价结果一览表</w:t>
      </w:r>
    </w:p>
    <w:p w14:paraId="65A6565D">
      <w:pPr>
        <w:spacing w:line="240" w:lineRule="exact"/>
        <w:ind w:left="-2478" w:leftChars="-1180" w:right="-227" w:firstLine="2625" w:firstLineChars="1250"/>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估价机构：湖南兆财不动产规划评估有限公司                                                          估价期日：</w:t>
      </w:r>
      <w:r>
        <w:rPr>
          <w:rFonts w:hint="eastAsia" w:ascii="仿宋_GB2312" w:hAnsi="仿宋_GB2312" w:eastAsia="仿宋_GB2312" w:cs="仿宋_GB2312"/>
          <w:szCs w:val="21"/>
          <w:highlight w:val="none"/>
          <w:lang w:eastAsia="zh-CN"/>
        </w:rPr>
        <w:t>2026年5月18日</w:t>
      </w:r>
    </w:p>
    <w:p w14:paraId="678175D9">
      <w:pPr>
        <w:spacing w:line="240" w:lineRule="exact"/>
        <w:ind w:right="-227" w:firstLine="105" w:firstLineChars="50"/>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估价报告编号：</w:t>
      </w:r>
      <w:r>
        <w:rPr>
          <w:rFonts w:hint="eastAsia" w:ascii="仿宋_GB2312" w:eastAsia="仿宋_GB2312"/>
          <w:spacing w:val="-6"/>
          <w:highlight w:val="none"/>
          <w:lang w:eastAsia="zh-CN"/>
        </w:rPr>
        <w:t>（湖南）湘兆财土地[202</w:t>
      </w:r>
      <w:r>
        <w:rPr>
          <w:rFonts w:hint="eastAsia" w:ascii="仿宋_GB2312" w:eastAsia="仿宋_GB2312"/>
          <w:spacing w:val="-6"/>
          <w:highlight w:val="none"/>
          <w:lang w:val="en-US" w:eastAsia="zh-CN"/>
        </w:rPr>
        <w:t>6</w:t>
      </w:r>
      <w:r>
        <w:rPr>
          <w:rFonts w:hint="eastAsia" w:ascii="仿宋_GB2312" w:eastAsia="仿宋_GB2312"/>
          <w:spacing w:val="-6"/>
          <w:highlight w:val="none"/>
          <w:lang w:eastAsia="zh-CN"/>
        </w:rPr>
        <w:t>]（</w:t>
      </w:r>
      <w:r>
        <w:rPr>
          <w:rFonts w:hint="eastAsia" w:ascii="仿宋_GB2312" w:eastAsia="仿宋_GB2312"/>
          <w:spacing w:val="-6"/>
          <w:highlight w:val="none"/>
          <w:lang w:val="en-US" w:eastAsia="zh-CN"/>
        </w:rPr>
        <w:t>技</w:t>
      </w:r>
      <w:r>
        <w:rPr>
          <w:rFonts w:hint="eastAsia" w:ascii="仿宋_GB2312" w:eastAsia="仿宋_GB2312"/>
          <w:spacing w:val="-6"/>
          <w:highlight w:val="none"/>
          <w:lang w:eastAsia="zh-CN"/>
        </w:rPr>
        <w:t>）字第ZC0007号</w:t>
      </w:r>
      <w:r>
        <w:rPr>
          <w:rFonts w:hint="eastAsia" w:ascii="仿宋_GB2312" w:eastAsia="仿宋_GB2312"/>
          <w:szCs w:val="21"/>
          <w:highlight w:val="none"/>
        </w:rPr>
        <w:t xml:space="preserve"> </w:t>
      </w:r>
      <w:r>
        <w:rPr>
          <w:rFonts w:hint="eastAsia" w:ascii="仿宋_GB2312" w:hAnsi="仿宋_GB2312" w:eastAsia="仿宋_GB2312" w:cs="仿宋_GB2312"/>
          <w:szCs w:val="21"/>
          <w:highlight w:val="none"/>
        </w:rPr>
        <w:t xml:space="preserve">          估价目的：</w:t>
      </w:r>
      <w:r>
        <w:rPr>
          <w:rFonts w:hint="eastAsia" w:ascii="仿宋_GB2312" w:hAnsi="仿宋_GB2312" w:eastAsia="仿宋_GB2312" w:cs="仿宋_GB2312"/>
          <w:szCs w:val="21"/>
          <w:highlight w:val="none"/>
          <w:lang w:val="en-US" w:eastAsia="zh-CN"/>
        </w:rPr>
        <w:t>出让</w:t>
      </w:r>
      <w:r>
        <w:rPr>
          <w:rFonts w:hint="eastAsia" w:ascii="仿宋_GB2312" w:hAnsi="仿宋_GB2312" w:eastAsia="仿宋_GB2312" w:cs="仿宋_GB2312"/>
          <w:szCs w:val="21"/>
          <w:highlight w:val="none"/>
        </w:rPr>
        <w:t xml:space="preserve">                  估价期日的土地使用权性质：</w:t>
      </w:r>
      <w:r>
        <w:rPr>
          <w:rFonts w:hint="eastAsia" w:ascii="仿宋_GB2312" w:hAnsi="仿宋_GB2312" w:eastAsia="仿宋_GB2312" w:cs="仿宋_GB2312"/>
          <w:szCs w:val="21"/>
          <w:highlight w:val="none"/>
          <w:lang w:val="en-US" w:eastAsia="zh-CN"/>
        </w:rPr>
        <w:t>划拨</w:t>
      </w:r>
    </w:p>
    <w:tbl>
      <w:tblPr>
        <w:tblStyle w:val="12"/>
        <w:tblW w:w="50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642"/>
        <w:gridCol w:w="868"/>
        <w:gridCol w:w="676"/>
        <w:gridCol w:w="794"/>
        <w:gridCol w:w="648"/>
        <w:gridCol w:w="588"/>
        <w:gridCol w:w="426"/>
        <w:gridCol w:w="559"/>
        <w:gridCol w:w="574"/>
        <w:gridCol w:w="1250"/>
        <w:gridCol w:w="1264"/>
        <w:gridCol w:w="899"/>
        <w:gridCol w:w="838"/>
        <w:gridCol w:w="946"/>
        <w:gridCol w:w="892"/>
        <w:gridCol w:w="811"/>
        <w:gridCol w:w="1120"/>
      </w:tblGrid>
      <w:tr w14:paraId="317A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23" w:type="pct"/>
            <w:vMerge w:val="restart"/>
            <w:vAlign w:val="center"/>
          </w:tcPr>
          <w:p w14:paraId="2A4D74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估价期日土地使用者</w:t>
            </w:r>
          </w:p>
        </w:tc>
        <w:tc>
          <w:tcPr>
            <w:tcW w:w="222" w:type="pct"/>
            <w:vMerge w:val="restart"/>
            <w:vAlign w:val="center"/>
          </w:tcPr>
          <w:p w14:paraId="2A6BDF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0AB2C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编号</w:t>
            </w:r>
          </w:p>
        </w:tc>
        <w:tc>
          <w:tcPr>
            <w:tcW w:w="300" w:type="pct"/>
            <w:vMerge w:val="restart"/>
            <w:vAlign w:val="center"/>
          </w:tcPr>
          <w:p w14:paraId="7C1B8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5435D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名称</w:t>
            </w:r>
          </w:p>
        </w:tc>
        <w:tc>
          <w:tcPr>
            <w:tcW w:w="234" w:type="pct"/>
            <w:vMerge w:val="restart"/>
            <w:vAlign w:val="center"/>
          </w:tcPr>
          <w:p w14:paraId="619B29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土地使用证编号</w:t>
            </w:r>
          </w:p>
        </w:tc>
        <w:tc>
          <w:tcPr>
            <w:tcW w:w="702" w:type="pct"/>
            <w:gridSpan w:val="3"/>
            <w:vAlign w:val="center"/>
          </w:tcPr>
          <w:p w14:paraId="75C504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估价期日的用途</w:t>
            </w:r>
          </w:p>
        </w:tc>
        <w:tc>
          <w:tcPr>
            <w:tcW w:w="539" w:type="pct"/>
            <w:gridSpan w:val="3"/>
            <w:vAlign w:val="center"/>
          </w:tcPr>
          <w:p w14:paraId="42768A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容积率</w:t>
            </w:r>
          </w:p>
        </w:tc>
        <w:tc>
          <w:tcPr>
            <w:tcW w:w="432" w:type="pct"/>
            <w:vMerge w:val="restart"/>
            <w:vAlign w:val="center"/>
          </w:tcPr>
          <w:p w14:paraId="0F048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估价期日实际土地开发程度</w:t>
            </w:r>
          </w:p>
        </w:tc>
        <w:tc>
          <w:tcPr>
            <w:tcW w:w="437" w:type="pct"/>
            <w:vMerge w:val="restart"/>
            <w:vAlign w:val="center"/>
          </w:tcPr>
          <w:p w14:paraId="66A0B6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估价设定土地开发程度</w:t>
            </w:r>
          </w:p>
        </w:tc>
        <w:tc>
          <w:tcPr>
            <w:tcW w:w="311" w:type="pct"/>
            <w:vMerge w:val="restart"/>
            <w:vAlign w:val="center"/>
          </w:tcPr>
          <w:p w14:paraId="4472F4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剩余土地使用权年期（年）</w:t>
            </w:r>
          </w:p>
        </w:tc>
        <w:tc>
          <w:tcPr>
            <w:tcW w:w="290" w:type="pct"/>
            <w:vMerge w:val="restart"/>
            <w:vAlign w:val="center"/>
          </w:tcPr>
          <w:p w14:paraId="64773D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面积(㎡)</w:t>
            </w:r>
          </w:p>
        </w:tc>
        <w:tc>
          <w:tcPr>
            <w:tcW w:w="327" w:type="pct"/>
            <w:vMerge w:val="restart"/>
            <w:vAlign w:val="center"/>
          </w:tcPr>
          <w:p w14:paraId="28AA18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地面地价(元/㎡)</w:t>
            </w:r>
          </w:p>
        </w:tc>
        <w:tc>
          <w:tcPr>
            <w:tcW w:w="308" w:type="pct"/>
            <w:vMerge w:val="restart"/>
            <w:vAlign w:val="center"/>
          </w:tcPr>
          <w:p w14:paraId="6292B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楼面地价(元/㎡)</w:t>
            </w:r>
          </w:p>
        </w:tc>
        <w:tc>
          <w:tcPr>
            <w:tcW w:w="280" w:type="pct"/>
            <w:vMerge w:val="restart"/>
            <w:vAlign w:val="center"/>
          </w:tcPr>
          <w:p w14:paraId="26D503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总价</w:t>
            </w:r>
          </w:p>
          <w:p w14:paraId="41147F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(万元)</w:t>
            </w:r>
          </w:p>
        </w:tc>
        <w:tc>
          <w:tcPr>
            <w:tcW w:w="387" w:type="pct"/>
            <w:vMerge w:val="restart"/>
            <w:vAlign w:val="center"/>
          </w:tcPr>
          <w:p w14:paraId="75406F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备注</w:t>
            </w:r>
          </w:p>
        </w:tc>
      </w:tr>
      <w:tr w14:paraId="6339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23" w:type="pct"/>
            <w:vMerge w:val="continue"/>
            <w:vAlign w:val="center"/>
          </w:tcPr>
          <w:p w14:paraId="4CEE40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22" w:type="pct"/>
            <w:vMerge w:val="continue"/>
            <w:vAlign w:val="center"/>
          </w:tcPr>
          <w:p w14:paraId="5195F4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0" w:type="pct"/>
            <w:vMerge w:val="continue"/>
            <w:vAlign w:val="center"/>
          </w:tcPr>
          <w:p w14:paraId="6CA4CA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34" w:type="pct"/>
            <w:vMerge w:val="continue"/>
            <w:vAlign w:val="center"/>
          </w:tcPr>
          <w:p w14:paraId="14F0DA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74" w:type="pct"/>
            <w:vAlign w:val="center"/>
          </w:tcPr>
          <w:p w14:paraId="31FACF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证载（或批准）</w:t>
            </w:r>
          </w:p>
        </w:tc>
        <w:tc>
          <w:tcPr>
            <w:tcW w:w="224" w:type="pct"/>
            <w:vAlign w:val="center"/>
          </w:tcPr>
          <w:p w14:paraId="0EAEED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203" w:type="pct"/>
            <w:vAlign w:val="center"/>
          </w:tcPr>
          <w:p w14:paraId="137368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147" w:type="pct"/>
            <w:vAlign w:val="center"/>
          </w:tcPr>
          <w:p w14:paraId="34FE5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规划</w:t>
            </w:r>
          </w:p>
        </w:tc>
        <w:tc>
          <w:tcPr>
            <w:tcW w:w="193" w:type="pct"/>
            <w:vAlign w:val="center"/>
          </w:tcPr>
          <w:p w14:paraId="6956E3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198" w:type="pct"/>
            <w:vAlign w:val="center"/>
          </w:tcPr>
          <w:p w14:paraId="67218D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432" w:type="pct"/>
            <w:vMerge w:val="continue"/>
            <w:vAlign w:val="center"/>
          </w:tcPr>
          <w:p w14:paraId="03FB57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437" w:type="pct"/>
            <w:vMerge w:val="continue"/>
            <w:vAlign w:val="center"/>
          </w:tcPr>
          <w:p w14:paraId="20B4E8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11" w:type="pct"/>
            <w:vMerge w:val="continue"/>
            <w:vAlign w:val="center"/>
          </w:tcPr>
          <w:p w14:paraId="3A359E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90" w:type="pct"/>
            <w:vMerge w:val="continue"/>
            <w:vAlign w:val="center"/>
          </w:tcPr>
          <w:p w14:paraId="6C224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27" w:type="pct"/>
            <w:vMerge w:val="continue"/>
            <w:vAlign w:val="center"/>
          </w:tcPr>
          <w:p w14:paraId="3BA19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8" w:type="pct"/>
            <w:vMerge w:val="continue"/>
            <w:vAlign w:val="center"/>
          </w:tcPr>
          <w:p w14:paraId="25C6E6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80" w:type="pct"/>
            <w:vMerge w:val="continue"/>
            <w:vAlign w:val="center"/>
          </w:tcPr>
          <w:p w14:paraId="4D5D53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87" w:type="pct"/>
            <w:vMerge w:val="continue"/>
            <w:vAlign w:val="center"/>
          </w:tcPr>
          <w:p w14:paraId="2680ED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r>
      <w:tr w14:paraId="0C90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223" w:type="pct"/>
            <w:vAlign w:val="center"/>
          </w:tcPr>
          <w:p w14:paraId="00C83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王汝冲</w:t>
            </w:r>
          </w:p>
        </w:tc>
        <w:tc>
          <w:tcPr>
            <w:tcW w:w="222" w:type="pct"/>
            <w:vAlign w:val="center"/>
          </w:tcPr>
          <w:p w14:paraId="3A09ED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300" w:type="pct"/>
            <w:vAlign w:val="center"/>
          </w:tcPr>
          <w:p w14:paraId="4B3F54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w:t>
            </w:r>
          </w:p>
        </w:tc>
        <w:tc>
          <w:tcPr>
            <w:tcW w:w="234" w:type="pct"/>
            <w:vAlign w:val="center"/>
          </w:tcPr>
          <w:p w14:paraId="53A081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74" w:type="pct"/>
            <w:vAlign w:val="center"/>
          </w:tcPr>
          <w:p w14:paraId="1D91D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24" w:type="pct"/>
            <w:vAlign w:val="center"/>
          </w:tcPr>
          <w:p w14:paraId="245276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203" w:type="pct"/>
            <w:vAlign w:val="center"/>
          </w:tcPr>
          <w:p w14:paraId="4B71C2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147" w:type="pct"/>
            <w:vAlign w:val="center"/>
          </w:tcPr>
          <w:p w14:paraId="23FB4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193" w:type="pct"/>
            <w:vAlign w:val="center"/>
          </w:tcPr>
          <w:p w14:paraId="58A660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198" w:type="pct"/>
            <w:vAlign w:val="center"/>
          </w:tcPr>
          <w:p w14:paraId="2B1B38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432" w:type="pct"/>
            <w:vAlign w:val="center"/>
          </w:tcPr>
          <w:p w14:paraId="1048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437" w:type="pct"/>
            <w:vAlign w:val="center"/>
          </w:tcPr>
          <w:p w14:paraId="3AE3C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311" w:type="pct"/>
            <w:vAlign w:val="center"/>
          </w:tcPr>
          <w:p w14:paraId="6DB88E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70</w:t>
            </w:r>
          </w:p>
        </w:tc>
        <w:tc>
          <w:tcPr>
            <w:tcW w:w="290" w:type="pct"/>
            <w:vAlign w:val="center"/>
          </w:tcPr>
          <w:p w14:paraId="745602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15.2</w:t>
            </w:r>
          </w:p>
        </w:tc>
        <w:tc>
          <w:tcPr>
            <w:tcW w:w="327" w:type="pct"/>
            <w:vAlign w:val="center"/>
          </w:tcPr>
          <w:p w14:paraId="28D4FC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2511</w:t>
            </w:r>
          </w:p>
        </w:tc>
        <w:tc>
          <w:tcPr>
            <w:tcW w:w="308" w:type="pct"/>
            <w:vAlign w:val="center"/>
          </w:tcPr>
          <w:p w14:paraId="248731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519.88</w:t>
            </w:r>
          </w:p>
        </w:tc>
        <w:tc>
          <w:tcPr>
            <w:tcW w:w="280" w:type="pct"/>
            <w:shd w:val="clear" w:color="auto" w:fill="auto"/>
            <w:vAlign w:val="center"/>
          </w:tcPr>
          <w:p w14:paraId="1A8D4C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3.82</w:t>
            </w:r>
          </w:p>
        </w:tc>
        <w:tc>
          <w:tcPr>
            <w:tcW w:w="387" w:type="pct"/>
            <w:vAlign w:val="center"/>
          </w:tcPr>
          <w:p w14:paraId="6B3DCD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pacing w:val="-20"/>
                <w:szCs w:val="21"/>
                <w:highlight w:val="none"/>
                <w:lang w:val="en-US" w:eastAsia="zh-CN"/>
              </w:rPr>
              <w:t>折合</w:t>
            </w:r>
            <w:r>
              <w:rPr>
                <w:rFonts w:hint="eastAsia" w:ascii="仿宋_GB2312" w:hAnsi="仿宋_GB2312" w:eastAsia="仿宋_GB2312" w:cs="仿宋_GB2312"/>
                <w:spacing w:val="-20"/>
                <w:szCs w:val="21"/>
                <w:highlight w:val="none"/>
                <w:lang w:val="en-US" w:eastAsia="zh-CN"/>
              </w:rPr>
              <w:t>167.4</w:t>
            </w:r>
            <w:r>
              <w:rPr>
                <w:rFonts w:hint="default" w:ascii="仿宋_GB2312" w:hAnsi="仿宋_GB2312" w:eastAsia="仿宋_GB2312" w:cs="仿宋_GB2312"/>
                <w:spacing w:val="-20"/>
                <w:szCs w:val="21"/>
                <w:highlight w:val="none"/>
                <w:lang w:val="en-US" w:eastAsia="zh-CN"/>
              </w:rPr>
              <w:t>万元/亩</w:t>
            </w:r>
          </w:p>
        </w:tc>
      </w:tr>
    </w:tbl>
    <w:p w14:paraId="4181B9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注：上表中“</w:t>
      </w:r>
      <w:r>
        <w:rPr>
          <w:rFonts w:hint="eastAsia" w:ascii="仿宋_GB2312" w:hAnsi="仿宋_GB2312" w:eastAsia="仿宋_GB2312" w:cs="仿宋_GB2312"/>
          <w:szCs w:val="21"/>
          <w:highlight w:val="none"/>
          <w:lang w:val="en-US" w:eastAsia="zh-CN"/>
        </w:rPr>
        <w:t>五</w:t>
      </w:r>
      <w:r>
        <w:rPr>
          <w:rFonts w:hint="eastAsia" w:ascii="仿宋_GB2312" w:hAnsi="仿宋_GB2312" w:eastAsia="仿宋_GB2312" w:cs="仿宋_GB2312"/>
          <w:szCs w:val="21"/>
          <w:highlight w:val="none"/>
        </w:rPr>
        <w:t>通”指宗地红外围通路、通电</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通讯、供水、排水。</w:t>
      </w:r>
    </w:p>
    <w:p w14:paraId="18C268C4">
      <w:pPr>
        <w:keepNext w:val="0"/>
        <w:keepLines w:val="0"/>
        <w:pageBreakBefore w:val="0"/>
        <w:widowControl w:val="0"/>
        <w:tabs>
          <w:tab w:val="left" w:pos="560"/>
        </w:tabs>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一、上述土地估价结果的限定条</w:t>
      </w:r>
      <w:r>
        <w:rPr>
          <w:rFonts w:hint="eastAsia" w:ascii="仿宋_GB2312" w:hAnsi="仿宋_GB2312" w:eastAsia="仿宋_GB2312" w:cs="仿宋_GB2312"/>
          <w:color w:val="auto"/>
          <w:szCs w:val="21"/>
          <w:highlight w:val="none"/>
        </w:rPr>
        <w:t>件</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1.根据《</w:t>
      </w:r>
      <w:r>
        <w:rPr>
          <w:rFonts w:hint="eastAsia" w:ascii="仿宋_GB2312" w:hAnsi="仿宋_GB2312" w:eastAsia="仿宋_GB2312" w:cs="仿宋_GB2312"/>
          <w:color w:val="auto"/>
          <w:szCs w:val="21"/>
          <w:highlight w:val="none"/>
          <w:lang w:val="en-US" w:eastAsia="zh-CN"/>
        </w:rPr>
        <w:t>评估委托书</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和</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道县集中化解房地产办证信访突出问题工作领导小组办公室出具的《土地权属及性质证明》（2026年5月19日），估价对象位于</w:t>
      </w: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估价对象土地所有权为国有，土地使用权性质为</w:t>
      </w:r>
      <w:r>
        <w:rPr>
          <w:rFonts w:hint="eastAsia" w:ascii="仿宋_GB2312" w:hAnsi="仿宋_GB2312" w:eastAsia="仿宋_GB2312" w:cs="仿宋_GB2312"/>
          <w:color w:val="auto"/>
          <w:szCs w:val="21"/>
          <w:highlight w:val="none"/>
          <w:lang w:val="en-US" w:eastAsia="zh-CN"/>
        </w:rPr>
        <w:t>划拨</w:t>
      </w:r>
      <w:r>
        <w:rPr>
          <w:rFonts w:hint="eastAsia" w:ascii="仿宋_GB2312" w:hAnsi="仿宋_GB2312" w:eastAsia="仿宋_GB2312" w:cs="仿宋_GB2312"/>
          <w:color w:val="auto"/>
          <w:szCs w:val="21"/>
          <w:highlight w:val="none"/>
        </w:rPr>
        <w:t>，土地使用者</w:t>
      </w:r>
      <w:r>
        <w:rPr>
          <w:rFonts w:hint="eastAsia" w:ascii="仿宋_GB2312" w:hAnsi="仿宋_GB2312" w:eastAsia="仿宋_GB2312" w:cs="仿宋_GB2312"/>
          <w:color w:val="auto"/>
          <w:szCs w:val="21"/>
          <w:highlight w:val="none"/>
          <w:lang w:val="en-US" w:eastAsia="zh-CN"/>
        </w:rPr>
        <w:t>为王汝冲</w:t>
      </w:r>
      <w:r>
        <w:rPr>
          <w:rFonts w:hint="eastAsia" w:ascii="仿宋_GB2312" w:hAnsi="仿宋_GB2312" w:eastAsia="仿宋_GB2312" w:cs="仿宋_GB2312"/>
          <w:color w:val="auto"/>
          <w:szCs w:val="21"/>
          <w:highlight w:val="none"/>
        </w:rPr>
        <w:t>。根据委托方提供相关资料和估价人员调查结果</w:t>
      </w:r>
      <w:r>
        <w:rPr>
          <w:rFonts w:hint="eastAsia" w:ascii="仿宋_GB2312" w:hAnsi="仿宋_GB2312" w:eastAsia="仿宋_GB2312" w:cs="仿宋_GB2312"/>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Cs w:val="21"/>
          <w:highlight w:val="none"/>
          <w:lang w:val="en-US" w:eastAsia="zh-CN"/>
        </w:rPr>
        <w:t>五通</w:t>
      </w:r>
      <w:r>
        <w:rPr>
          <w:rFonts w:hint="eastAsia" w:ascii="仿宋_GB2312" w:hAnsi="仿宋_GB2312" w:eastAsia="仿宋_GB2312" w:cs="仿宋_GB2312"/>
          <w:szCs w:val="21"/>
          <w:highlight w:val="none"/>
        </w:rPr>
        <w:t>”（即通路、通讯</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供水、排水</w:t>
      </w:r>
      <w:r>
        <w:rPr>
          <w:rFonts w:hint="eastAsia" w:ascii="仿宋_GB2312" w:hAnsi="仿宋_GB2312" w:eastAsia="仿宋_GB2312" w:cs="仿宋_GB2312"/>
          <w:szCs w:val="21"/>
          <w:highlight w:val="none"/>
        </w:rPr>
        <w:t>、通讯），</w:t>
      </w:r>
      <w:r>
        <w:rPr>
          <w:rFonts w:hint="eastAsia" w:ascii="仿宋_GB2312" w:hAnsi="仿宋_GB2312" w:eastAsia="仿宋_GB2312" w:cs="仿宋_GB2312"/>
          <w:szCs w:val="21"/>
          <w:highlight w:val="none"/>
          <w:lang w:eastAsia="zh-CN"/>
        </w:rPr>
        <w:t>红线内场地平整</w:t>
      </w:r>
      <w:r>
        <w:rPr>
          <w:rFonts w:hint="eastAsia" w:ascii="仿宋_GB2312" w:hAnsi="仿宋_GB2312" w:eastAsia="仿宋_GB2312" w:cs="仿宋_GB2312"/>
          <w:szCs w:val="21"/>
          <w:highlight w:val="none"/>
          <w:lang w:val="en-US" w:eastAsia="zh-CN"/>
        </w:rPr>
        <w:t>无</w:t>
      </w:r>
      <w:r>
        <w:rPr>
          <w:rFonts w:hint="eastAsia" w:ascii="仿宋_GB2312" w:hAnsi="仿宋_GB2312" w:eastAsia="仿宋_GB2312" w:cs="仿宋_GB2312"/>
          <w:szCs w:val="21"/>
          <w:highlight w:val="none"/>
          <w:lang w:eastAsia="zh-CN"/>
        </w:rPr>
        <w:t>建筑物</w:t>
      </w:r>
      <w:r>
        <w:rPr>
          <w:rFonts w:hint="eastAsia" w:ascii="仿宋_GB2312" w:hAnsi="仿宋_GB2312" w:eastAsia="仿宋_GB2312" w:cs="仿宋_GB2312"/>
          <w:szCs w:val="21"/>
          <w:highlight w:val="none"/>
        </w:rPr>
        <w:t>，详见下表。</w:t>
      </w:r>
    </w:p>
    <w:tbl>
      <w:tblPr>
        <w:tblStyle w:val="1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6DEB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5FCDCD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1433140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2D81424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775D1B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313096D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4C48ADD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5603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2D7B06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46628B5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临文化西路、鹭鸶塘路，沥青路面，通行较顺畅</w:t>
            </w:r>
          </w:p>
        </w:tc>
        <w:tc>
          <w:tcPr>
            <w:tcW w:w="857" w:type="pct"/>
            <w:noWrap w:val="0"/>
            <w:vAlign w:val="center"/>
          </w:tcPr>
          <w:p w14:paraId="6AD27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420A5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D6115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603FB5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3AE5E28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3.规划限制条件：根据</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评估委托书</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rPr>
        <w:t>，估价对象位于</w:t>
      </w:r>
      <w:r>
        <w:rPr>
          <w:rFonts w:hint="eastAsia" w:ascii="仿宋_GB2312" w:hAnsi="仿宋_GB2312" w:eastAsia="仿宋_GB2312" w:cs="仿宋_GB2312"/>
          <w:szCs w:val="21"/>
          <w:highlight w:val="none"/>
          <w:lang w:val="en-US" w:eastAsia="zh-CN"/>
        </w:rPr>
        <w:t>道县月岩西路</w:t>
      </w:r>
      <w:r>
        <w:rPr>
          <w:rFonts w:hint="eastAsia" w:ascii="仿宋_GB2312" w:hAnsi="仿宋_GB2312" w:eastAsia="仿宋_GB2312" w:cs="仿宋_GB2312"/>
          <w:szCs w:val="21"/>
          <w:highlight w:val="none"/>
        </w:rPr>
        <w:t>，用地面积</w:t>
      </w:r>
      <w:r>
        <w:rPr>
          <w:rFonts w:hint="eastAsia" w:ascii="仿宋_GB2312" w:hAnsi="仿宋_GB2312" w:eastAsia="仿宋_GB2312" w:cs="仿宋_GB2312"/>
          <w:szCs w:val="21"/>
          <w:highlight w:val="none"/>
          <w:lang w:val="en-US" w:eastAsia="zh-CN"/>
        </w:rPr>
        <w:t>15.2平方米</w:t>
      </w:r>
      <w:r>
        <w:rPr>
          <w:rFonts w:hint="eastAsia" w:ascii="仿宋_GB2312" w:hAnsi="仿宋_GB2312" w:eastAsia="仿宋_GB2312" w:cs="仿宋_GB2312"/>
          <w:szCs w:val="21"/>
          <w:highlight w:val="none"/>
        </w:rPr>
        <w:t>。4.影响土地价值的其他限定条件：无。</w:t>
      </w:r>
    </w:p>
    <w:p w14:paraId="34AE824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 xml:space="preserve">二、其他需要说明的事项 </w:t>
      </w:r>
    </w:p>
    <w:p w14:paraId="358E896A">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1、评估价格仅为委托方了解土地使用权价值提供客观、公正、合理的价格参考依据。</w:t>
      </w:r>
    </w:p>
    <w:p w14:paraId="328A1E1E">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2537357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5A0A419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w:t>
      </w:r>
      <w:r>
        <w:rPr>
          <w:rFonts w:hint="eastAsia" w:ascii="仿宋_GB2312" w:hAnsi="仿宋_GB2312" w:eastAsia="仿宋_GB2312" w:cs="仿宋_GB2312"/>
          <w:bCs/>
          <w:color w:val="auto"/>
          <w:kern w:val="2"/>
          <w:sz w:val="21"/>
          <w:szCs w:val="21"/>
          <w:highlight w:val="none"/>
          <w:lang w:val="en-GB" w:eastAsia="zh-CN" w:bidi="ar-SA"/>
        </w:rPr>
        <w:t>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《户室面积对照表》为依据，</w:t>
      </w:r>
      <w:r>
        <w:rPr>
          <w:rFonts w:hint="eastAsia" w:ascii="仿宋_GB2312" w:hAnsi="仿宋_GB2312" w:eastAsia="仿宋_GB2312" w:cs="仿宋_GB2312"/>
          <w:bCs/>
          <w:color w:val="auto"/>
          <w:kern w:val="2"/>
          <w:sz w:val="21"/>
          <w:szCs w:val="21"/>
          <w:highlight w:val="none"/>
          <w:lang w:val="en-US" w:eastAsia="zh-CN" w:bidi="ar-SA"/>
        </w:rPr>
        <w:t>土地使用权面积以</w:t>
      </w:r>
      <w:r>
        <w:rPr>
          <w:rFonts w:hint="eastAsia" w:ascii="仿宋_GB2312" w:hAnsi="仿宋_GB2312" w:eastAsia="仿宋_GB2312" w:cs="仿宋_GB2312"/>
          <w:sz w:val="21"/>
          <w:szCs w:val="21"/>
          <w:highlight w:val="none"/>
          <w:lang w:val="en-US" w:eastAsia="zh-CN"/>
        </w:rPr>
        <w:t>《土地分摊表》和《评估委托书》</w:t>
      </w:r>
      <w:r>
        <w:rPr>
          <w:rFonts w:hint="eastAsia" w:ascii="仿宋_GB2312" w:hAnsi="仿宋_GB2312" w:eastAsia="仿宋_GB2312" w:cs="仿宋_GB2312"/>
          <w:bCs/>
          <w:color w:val="auto"/>
          <w:kern w:val="2"/>
          <w:sz w:val="21"/>
          <w:szCs w:val="21"/>
          <w:highlight w:val="none"/>
          <w:lang w:val="en-GB" w:eastAsia="zh-CN" w:bidi="ar-SA"/>
        </w:rPr>
        <w:t>为依据，确定本次评估面积为</w:t>
      </w:r>
      <w:r>
        <w:rPr>
          <w:rFonts w:hint="eastAsia" w:ascii="仿宋_GB2312" w:hAnsi="仿宋_GB2312" w:eastAsia="仿宋_GB2312" w:cs="仿宋_GB2312"/>
          <w:bCs/>
          <w:color w:val="auto"/>
          <w:kern w:val="2"/>
          <w:sz w:val="21"/>
          <w:szCs w:val="21"/>
          <w:highlight w:val="none"/>
          <w:lang w:val="en-US" w:eastAsia="zh-CN" w:bidi="ar-SA"/>
        </w:rPr>
        <w:t>15.2平方米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24A972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一</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十</w:t>
      </w:r>
      <w:r>
        <w:rPr>
          <w:rFonts w:hint="eastAsia" w:ascii="仿宋_GB2312" w:hAnsi="仿宋_GB2312" w:eastAsia="仿宋_GB2312" w:cs="仿宋_GB2312"/>
          <w:bCs/>
          <w:color w:val="auto"/>
          <w:kern w:val="2"/>
          <w:sz w:val="21"/>
          <w:szCs w:val="21"/>
          <w:highlight w:val="none"/>
          <w:lang w:val="en-GB" w:eastAsia="zh-CN" w:bidi="ar-SA"/>
        </w:rPr>
        <w:t>项</w:t>
      </w:r>
      <w:r>
        <w:rPr>
          <w:rFonts w:hint="eastAsia" w:ascii="仿宋_GB2312" w:eastAsia="仿宋_GB2312"/>
          <w:szCs w:val="21"/>
          <w:highlight w:val="none"/>
        </w:rPr>
        <w:t>。</w:t>
      </w:r>
      <w:r>
        <w:rPr>
          <w:rFonts w:hint="eastAsia" w:ascii="仿宋_GB2312" w:hAnsi="仿宋_GB2312" w:eastAsia="仿宋_GB2312" w:cs="仿宋_GB2312"/>
          <w:szCs w:val="21"/>
          <w:highlight w:val="none"/>
        </w:rPr>
        <w:t xml:space="preserve"> </w:t>
      </w:r>
    </w:p>
    <w:p w14:paraId="3BC2BE87">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eastAsia="zh-CN"/>
        </w:rPr>
        <w:t>湖南兆财不动产规划评估有限公司</w:t>
      </w:r>
      <w:r>
        <w:rPr>
          <w:rFonts w:hint="eastAsia" w:ascii="仿宋_GB2312" w:hAnsi="仿宋_GB2312" w:eastAsia="仿宋_GB2312" w:cs="仿宋_GB2312"/>
          <w:szCs w:val="21"/>
          <w:highlight w:val="none"/>
          <w:lang w:val="en-US" w:eastAsia="zh-CN"/>
        </w:rPr>
        <w:t xml:space="preserve">                                                                                                                                                                                                                    </w:t>
      </w:r>
    </w:p>
    <w:p w14:paraId="0A221A1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highlight w:val="none"/>
        </w:rPr>
        <w:sectPr>
          <w:endnotePr>
            <w:numFmt w:val="decimal"/>
          </w:endnotePr>
          <w:pgSz w:w="16838" w:h="11906" w:orient="landscape"/>
          <w:pgMar w:top="1191" w:right="1440" w:bottom="1191" w:left="1440" w:header="624" w:footer="624" w:gutter="0"/>
          <w:pgNumType w:fmt="decimal"/>
          <w:cols w:space="720" w:num="1"/>
          <w:docGrid w:linePitch="312" w:charSpace="0"/>
        </w:sect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202</w:t>
      </w:r>
      <w:r>
        <w:rPr>
          <w:rFonts w:hint="eastAsia" w:ascii="仿宋_GB2312" w:hAnsi="仿宋_GB2312" w:eastAsia="仿宋_GB2312" w:cs="仿宋_GB2312"/>
          <w:szCs w:val="21"/>
          <w:highlight w:val="none"/>
          <w:lang w:val="en-US" w:eastAsia="zh-CN"/>
        </w:rPr>
        <w:t>6</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5</w:t>
      </w:r>
      <w:r>
        <w:rPr>
          <w:rFonts w:hint="eastAsia" w:ascii="仿宋_GB2312" w:hAnsi="仿宋_GB2312" w:eastAsia="仿宋_GB2312" w:cs="仿宋_GB2312"/>
          <w:szCs w:val="21"/>
          <w:highlight w:val="none"/>
          <w:lang w:eastAsia="zh-CN"/>
        </w:rPr>
        <w:t>月</w:t>
      </w:r>
      <w:r>
        <w:rPr>
          <w:rFonts w:hint="eastAsia" w:ascii="仿宋_GB2312" w:hAnsi="仿宋_GB2312" w:eastAsia="仿宋_GB2312" w:cs="仿宋_GB2312"/>
          <w:szCs w:val="21"/>
          <w:highlight w:val="none"/>
          <w:lang w:val="en-US" w:eastAsia="zh-CN"/>
        </w:rPr>
        <w:t>20</w:t>
      </w:r>
      <w:r>
        <w:rPr>
          <w:rFonts w:hint="eastAsia" w:ascii="仿宋_GB2312" w:hAnsi="仿宋_GB2312" w:eastAsia="仿宋_GB2312" w:cs="仿宋_GB2312"/>
          <w:szCs w:val="21"/>
          <w:highlight w:val="none"/>
          <w:lang w:eastAsia="zh-CN"/>
        </w:rPr>
        <w:t>日</w:t>
      </w:r>
    </w:p>
    <w:p w14:paraId="0B024E4F">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
          <w:bCs w:val="0"/>
          <w:color w:val="auto"/>
          <w:kern w:val="2"/>
          <w:sz w:val="28"/>
          <w:szCs w:val="28"/>
          <w:highlight w:val="none"/>
          <w:lang w:val="en-GB" w:eastAsia="zh-CN" w:bidi="ar-SA"/>
        </w:rPr>
      </w:pPr>
      <w:bookmarkStart w:id="18" w:name="_Toc4839"/>
      <w:bookmarkStart w:id="19" w:name="_Toc20425"/>
      <w:r>
        <w:rPr>
          <w:rFonts w:hint="eastAsia" w:ascii="仿宋_GB2312" w:hAnsi="仿宋_GB2312" w:eastAsia="仿宋_GB2312" w:cs="仿宋_GB2312"/>
          <w:b/>
          <w:bCs w:val="0"/>
          <w:color w:val="auto"/>
          <w:kern w:val="2"/>
          <w:sz w:val="28"/>
          <w:szCs w:val="28"/>
          <w:highlight w:val="none"/>
          <w:lang w:val="en-US" w:eastAsia="zh-CN" w:bidi="ar-SA"/>
        </w:rPr>
        <w:t>十</w:t>
      </w:r>
      <w:r>
        <w:rPr>
          <w:rFonts w:hint="default" w:ascii="仿宋_GB2312" w:hAnsi="仿宋_GB2312" w:eastAsia="仿宋_GB2312" w:cs="仿宋_GB2312"/>
          <w:b/>
          <w:bCs w:val="0"/>
          <w:color w:val="auto"/>
          <w:kern w:val="2"/>
          <w:sz w:val="28"/>
          <w:szCs w:val="28"/>
          <w:highlight w:val="none"/>
          <w:lang w:val="en-GB" w:eastAsia="zh-CN" w:bidi="ar-SA"/>
        </w:rPr>
        <w:t>、需要特殊说明的事项</w:t>
      </w:r>
      <w:bookmarkEnd w:id="18"/>
      <w:bookmarkEnd w:id="19"/>
    </w:p>
    <w:p w14:paraId="724E202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bookmarkStart w:id="20" w:name="_Toc19403"/>
      <w:bookmarkStart w:id="21" w:name="_Toc23550"/>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7B4681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320A57AD">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1DB4A63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0E7EF10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17EB4D8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5A7A674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482677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418F2F9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w:t>
      </w:r>
      <w:r>
        <w:rPr>
          <w:rFonts w:hint="eastAsia" w:ascii="仿宋_GB2312" w:hAnsi="仿宋_GB2312" w:eastAsia="仿宋_GB2312" w:cs="仿宋_GB2312"/>
          <w:bCs/>
          <w:color w:val="auto"/>
          <w:kern w:val="2"/>
          <w:sz w:val="28"/>
          <w:szCs w:val="28"/>
          <w:highlight w:val="none"/>
          <w:lang w:val="en-GB" w:eastAsia="zh-CN" w:bidi="ar-SA"/>
        </w:rPr>
        <w:t>日</w:t>
      </w:r>
      <w:r>
        <w:rPr>
          <w:rFonts w:hint="default" w:ascii="仿宋_GB2312" w:hAnsi="仿宋_GB2312" w:eastAsia="仿宋_GB2312" w:cs="仿宋_GB2312"/>
          <w:bCs/>
          <w:color w:val="auto"/>
          <w:kern w:val="2"/>
          <w:sz w:val="28"/>
          <w:szCs w:val="28"/>
          <w:highlight w:val="none"/>
          <w:lang w:val="en-GB" w:eastAsia="zh-CN" w:bidi="ar-SA"/>
        </w:rPr>
        <w:t>。</w:t>
      </w:r>
    </w:p>
    <w:p w14:paraId="31B6369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567B05F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w:t>
      </w:r>
    </w:p>
    <w:p w14:paraId="09505F6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7FBC6CC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7AFFAB3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4BC5342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0E73868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73D9F95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64ADAFB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5011B67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553D95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2E08D6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43E4915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25F40DC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57DD314B">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13C056E5">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5B7BC4F4">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7CF1103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164A7E69">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3350846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0D5E80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43FB7B8">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3D99DE54">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1C51814">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4A1A3CD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5821C12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1640B0F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2184F06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2983FF67">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61325C7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151BAD5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《土地分摊表》</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15.2平方米，估价对象地上建筑物面积以</w:t>
      </w:r>
      <w:r>
        <w:rPr>
          <w:rFonts w:hint="eastAsia" w:ascii="仿宋_GB2312" w:hAnsi="仿宋_GB2312" w:eastAsia="仿宋_GB2312" w:cs="仿宋_GB2312"/>
          <w:bCs/>
          <w:color w:val="auto"/>
          <w:kern w:val="2"/>
          <w:sz w:val="28"/>
          <w:szCs w:val="28"/>
          <w:highlight w:val="none"/>
          <w:lang w:val="en-GB" w:eastAsia="zh-CN" w:bidi="ar-SA"/>
        </w:rPr>
        <w:t>《户室面积对照表》</w:t>
      </w:r>
      <w:r>
        <w:rPr>
          <w:rFonts w:hint="eastAsia" w:ascii="仿宋_GB2312" w:hAnsi="仿宋_GB2312" w:eastAsia="仿宋_GB2312" w:cs="仿宋_GB2312"/>
          <w:bCs/>
          <w:color w:val="auto"/>
          <w:kern w:val="2"/>
          <w:sz w:val="28"/>
          <w:szCs w:val="28"/>
          <w:highlight w:val="none"/>
          <w:lang w:val="en-US" w:eastAsia="zh-CN" w:bidi="ar-SA"/>
        </w:rPr>
        <w:t>为依据，建筑面积为73.415平方米，则估价对象现状容积率为4.83。</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19DF72B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5F3BFC0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1EC647C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1A9BA53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47BF18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0379DCD5">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919A25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10E1925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（1）估价对象的特殊性</w:t>
      </w:r>
    </w:p>
    <w:p w14:paraId="7DFC318B">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①</w:t>
      </w:r>
      <w:r>
        <w:rPr>
          <w:rFonts w:hint="eastAsia" w:ascii="仿宋_GB2312" w:hAnsi="仿宋_GB2312" w:eastAsia="仿宋_GB2312" w:cs="仿宋_GB2312"/>
          <w:bCs/>
          <w:color w:val="auto"/>
          <w:kern w:val="2"/>
          <w:sz w:val="28"/>
          <w:szCs w:val="28"/>
          <w:highlight w:val="none"/>
          <w:lang w:val="en-GB" w:eastAsia="zh-CN" w:bidi="ar-SA"/>
        </w:rPr>
        <w:t>根据道县集中化解房地产办证信访突出问题工作领导小组办公室</w:t>
      </w:r>
      <w:r>
        <w:rPr>
          <w:rFonts w:hint="eastAsia" w:ascii="仿宋_GB2312" w:hAnsi="仿宋_GB2312" w:cs="仿宋_GB2312"/>
          <w:bCs/>
          <w:color w:val="auto"/>
          <w:kern w:val="2"/>
          <w:sz w:val="28"/>
          <w:szCs w:val="28"/>
          <w:highlight w:val="none"/>
          <w:lang w:val="en-US" w:eastAsia="zh-CN" w:bidi="ar-SA"/>
        </w:rPr>
        <w:t>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本次评估结合《评估委托书》和《土地权属及性质证明》（2026年5月19日），设定估价对象</w:t>
      </w:r>
      <w:r>
        <w:rPr>
          <w:rFonts w:hint="default" w:ascii="仿宋_GB2312" w:hAnsi="仿宋_GB2312" w:eastAsia="仿宋_GB2312" w:cs="仿宋_GB2312"/>
          <w:bCs/>
          <w:color w:val="auto"/>
          <w:kern w:val="2"/>
          <w:sz w:val="28"/>
          <w:szCs w:val="28"/>
          <w:highlight w:val="none"/>
          <w:lang w:val="en-GB" w:eastAsia="zh-CN" w:bidi="ar-SA"/>
        </w:rPr>
        <w:t>至估价期日</w:t>
      </w:r>
      <w:r>
        <w:rPr>
          <w:rFonts w:hint="eastAsia" w:ascii="仿宋_GB2312" w:hAnsi="仿宋_GB2312" w:cs="仿宋_GB2312"/>
          <w:bCs/>
          <w:color w:val="auto"/>
          <w:kern w:val="2"/>
          <w:sz w:val="28"/>
          <w:szCs w:val="28"/>
          <w:highlight w:val="none"/>
          <w:lang w:val="en-US" w:eastAsia="zh-CN" w:bidi="ar-SA"/>
        </w:rPr>
        <w:t>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eastAsia" w:ascii="仿宋_GB2312" w:hAnsi="仿宋_GB2312" w:cs="仿宋_GB2312"/>
          <w:bCs/>
          <w:color w:val="auto"/>
          <w:kern w:val="2"/>
          <w:sz w:val="28"/>
          <w:szCs w:val="28"/>
          <w:highlight w:val="none"/>
          <w:lang w:val="en-US" w:eastAsia="zh-CN" w:bidi="ar-SA"/>
        </w:rPr>
        <w:t>土</w:t>
      </w:r>
      <w:r>
        <w:rPr>
          <w:rFonts w:hint="default" w:ascii="仿宋_GB2312" w:hAnsi="仿宋_GB2312" w:eastAsia="仿宋_GB2312" w:cs="仿宋_GB2312"/>
          <w:bCs/>
          <w:color w:val="auto"/>
          <w:kern w:val="2"/>
          <w:sz w:val="28"/>
          <w:szCs w:val="28"/>
          <w:highlight w:val="none"/>
          <w:lang w:val="en-GB" w:eastAsia="zh-CN" w:bidi="ar-SA"/>
        </w:rPr>
        <w:t>地</w:t>
      </w:r>
      <w:r>
        <w:rPr>
          <w:rFonts w:hint="eastAsia" w:ascii="仿宋_GB2312" w:hAnsi="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US" w:eastAsia="zh-CN" w:bidi="ar-SA"/>
        </w:rPr>
        <w:t>土地使用权人为王汝冲。</w:t>
      </w:r>
    </w:p>
    <w:p w14:paraId="04DA0843">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cs="仿宋_GB2312"/>
          <w:bCs/>
          <w:color w:val="auto"/>
          <w:kern w:val="2"/>
          <w:sz w:val="28"/>
          <w:szCs w:val="28"/>
          <w:highlight w:val="none"/>
          <w:lang w:val="en-US" w:eastAsia="zh-CN" w:bidi="ar-SA"/>
        </w:rPr>
        <w:t>②</w:t>
      </w:r>
      <w:r>
        <w:rPr>
          <w:rFonts w:hint="eastAsia" w:ascii="仿宋_GB2312" w:hAnsi="仿宋_GB2312" w:eastAsia="仿宋_GB2312" w:cs="仿宋_GB2312"/>
          <w:bCs/>
          <w:color w:val="auto"/>
          <w:kern w:val="2"/>
          <w:sz w:val="28"/>
          <w:szCs w:val="28"/>
          <w:highlight w:val="none"/>
          <w:lang w:val="en-GB" w:eastAsia="zh-CN" w:bidi="ar-SA"/>
        </w:rPr>
        <w:t>根据委托方提供的估价对象《房屋所有权证》（道房权证字第713000590号），</w:t>
      </w:r>
      <w:r>
        <w:rPr>
          <w:rFonts w:hint="eastAsia" w:ascii="仿宋_GB2312" w:hAnsi="仿宋_GB2312" w:cs="仿宋_GB2312"/>
          <w:bCs/>
          <w:color w:val="auto"/>
          <w:kern w:val="2"/>
          <w:sz w:val="28"/>
          <w:szCs w:val="28"/>
          <w:highlight w:val="none"/>
          <w:lang w:val="en-US" w:eastAsia="zh-CN" w:bidi="ar-SA"/>
        </w:rPr>
        <w:t>估价对象登记建筑面积为74.55平方米</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cs="仿宋_GB2312"/>
          <w:bCs/>
          <w:color w:val="auto"/>
          <w:kern w:val="2"/>
          <w:sz w:val="28"/>
          <w:szCs w:val="28"/>
          <w:highlight w:val="none"/>
          <w:lang w:val="en-US" w:eastAsia="zh-CN" w:bidi="ar-SA"/>
        </w:rPr>
        <w:t>《不动产测绘报告书》中的《户室面积对照表》，估价对象实测建筑面积73.415平方米，与证载面积不一致，根据《评估委托书》，建筑面积为73.415平方米，估价对象分摊土地面积以《土地分摊表》为依据15.2平方米</w:t>
      </w:r>
      <w:r>
        <w:rPr>
          <w:rFonts w:hint="eastAsia" w:ascii="仿宋_GB2312" w:hAnsi="仿宋_GB2312" w:eastAsia="仿宋_GB2312" w:cs="仿宋_GB2312"/>
          <w:bCs/>
          <w:color w:val="auto"/>
          <w:kern w:val="2"/>
          <w:sz w:val="28"/>
          <w:szCs w:val="28"/>
          <w:highlight w:val="none"/>
          <w:lang w:val="en-GB" w:eastAsia="zh-CN" w:bidi="ar-SA"/>
        </w:rPr>
        <w:t>。</w:t>
      </w:r>
    </w:p>
    <w:p w14:paraId="3DC6A4A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（2）估价中未考虑的因素</w:t>
      </w:r>
    </w:p>
    <w:p w14:paraId="45BAE90D">
      <w:pPr>
        <w:keepNext w:val="0"/>
        <w:keepLines w:val="0"/>
        <w:pageBreakBefore w:val="0"/>
        <w:widowControl w:val="0"/>
        <w:kinsoku/>
        <w:wordWrap/>
        <w:overflowPunct/>
        <w:topLinePunct w:val="0"/>
        <w:autoSpaceDE/>
        <w:autoSpaceDN/>
        <w:bidi w:val="0"/>
        <w:adjustRightInd w:val="0"/>
        <w:snapToGrid w:val="0"/>
        <w:spacing w:line="480" w:lineRule="atLeas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3161E12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33C08FCB">
      <w:pPr>
        <w:keepNext w:val="0"/>
        <w:keepLines w:val="0"/>
        <w:pageBreakBefore w:val="0"/>
        <w:widowControl w:val="0"/>
        <w:kinsoku/>
        <w:wordWrap/>
        <w:overflowPunct/>
        <w:topLinePunct w:val="0"/>
        <w:autoSpaceDE/>
        <w:autoSpaceDN/>
        <w:bidi w:val="0"/>
        <w:adjustRightInd w:val="0"/>
        <w:snapToGrid w:val="0"/>
        <w:spacing w:line="42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道县</w:t>
      </w:r>
      <w:r>
        <w:rPr>
          <w:rFonts w:hint="default" w:ascii="仿宋_GB2312" w:hAnsi="仿宋_GB2312" w:eastAsia="仿宋_GB2312" w:cs="仿宋_GB2312"/>
          <w:bCs/>
          <w:color w:val="auto"/>
          <w:kern w:val="2"/>
          <w:sz w:val="28"/>
          <w:szCs w:val="28"/>
          <w:highlight w:val="none"/>
          <w:lang w:val="en-GB" w:eastAsia="zh-CN" w:bidi="ar-SA"/>
        </w:rPr>
        <w:t>自然资源局办理土地使用权出让手续提供参考，故本报告未对估价对象的划拨土地使用权价格进行评估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9748AF0">
      <w:pPr>
        <w:rPr>
          <w:rFonts w:hint="default" w:ascii="仿宋_GB2312" w:hAnsi="仿宋_GB2312" w:eastAsia="仿宋_GB2312" w:cs="仿宋_GB2312"/>
          <w:b/>
          <w:bCs w:val="0"/>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br w:type="page"/>
      </w:r>
    </w:p>
    <w:p w14:paraId="62EC9FBA">
      <w:pPr>
        <w:ind w:firstLine="562" w:firstLineChars="200"/>
        <w:outlineLvl w:val="1"/>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t>十一、土地估价师签字</w:t>
      </w:r>
      <w:bookmarkEnd w:id="20"/>
      <w:bookmarkEnd w:id="21"/>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996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71109A3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152C403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65A3CED">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D362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2B36C455">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3A782436">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F8335E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815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6B4F9B5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7557088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1D92584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0FB7E2C3">
      <w:pPr>
        <w:keepLines w:val="0"/>
        <w:pageBreakBefore w:val="0"/>
        <w:widowControl w:val="0"/>
        <w:kinsoku/>
        <w:wordWrap/>
        <w:overflowPunct/>
        <w:topLinePunct w:val="0"/>
        <w:autoSpaceDE/>
        <w:autoSpaceDN/>
        <w:bidi w:val="0"/>
        <w:spacing w:line="480" w:lineRule="exact"/>
        <w:ind w:right="0" w:firstLine="562" w:firstLineChars="200"/>
        <w:textAlignment w:val="auto"/>
        <w:outlineLvl w:val="1"/>
        <w:rPr>
          <w:rFonts w:hint="default" w:ascii="仿宋_GB2312" w:hAnsi="仿宋_GB2312" w:eastAsia="仿宋_GB2312" w:cs="仿宋_GB2312"/>
          <w:bCs/>
          <w:color w:val="auto"/>
          <w:kern w:val="2"/>
          <w:sz w:val="28"/>
          <w:szCs w:val="28"/>
          <w:highlight w:val="none"/>
          <w:lang w:val="en-GB" w:eastAsia="zh-CN" w:bidi="ar-SA"/>
        </w:rPr>
      </w:pPr>
      <w:bookmarkStart w:id="22" w:name="_Toc5315"/>
      <w:bookmarkStart w:id="23" w:name="_Toc9299"/>
      <w:r>
        <w:rPr>
          <w:rFonts w:hint="default" w:ascii="仿宋_GB2312" w:hAnsi="仿宋_GB2312" w:eastAsia="仿宋_GB2312" w:cs="仿宋_GB2312"/>
          <w:b/>
          <w:bCs w:val="0"/>
          <w:color w:val="auto"/>
          <w:kern w:val="2"/>
          <w:sz w:val="28"/>
          <w:szCs w:val="28"/>
          <w:highlight w:val="none"/>
          <w:lang w:val="en-GB" w:eastAsia="zh-CN" w:bidi="ar-SA"/>
        </w:rPr>
        <w:t>十二、土地估价机构</w:t>
      </w:r>
      <w:bookmarkEnd w:id="22"/>
      <w:bookmarkEnd w:id="23"/>
      <w:r>
        <w:rPr>
          <w:rFonts w:hint="default" w:ascii="仿宋_GB2312" w:hAnsi="仿宋_GB2312" w:eastAsia="仿宋_GB2312" w:cs="仿宋_GB2312"/>
          <w:bCs/>
          <w:color w:val="auto"/>
          <w:kern w:val="2"/>
          <w:sz w:val="28"/>
          <w:szCs w:val="28"/>
          <w:highlight w:val="none"/>
          <w:lang w:val="en-GB" w:eastAsia="zh-CN" w:bidi="ar-SA"/>
        </w:rPr>
        <w:t xml:space="preserve">                </w:t>
      </w:r>
    </w:p>
    <w:p w14:paraId="086F5309">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 xml:space="preserve"> 估价机构法定代表人签字：</w:t>
      </w:r>
    </w:p>
    <w:p w14:paraId="56F9AF5E">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p>
    <w:p w14:paraId="56FE67B4">
      <w:pPr>
        <w:pStyle w:val="11"/>
        <w:rPr>
          <w:rFonts w:hint="default"/>
          <w:highlight w:val="none"/>
          <w:lang w:val="en-GB" w:eastAsia="zh-CN"/>
        </w:rPr>
      </w:pPr>
    </w:p>
    <w:p w14:paraId="305A06C9">
      <w:pPr>
        <w:keepNext w:val="0"/>
        <w:keepLines w:val="0"/>
        <w:pageBreakBefore w:val="0"/>
        <w:widowControl w:val="0"/>
        <w:kinsoku/>
        <w:wordWrap/>
        <w:overflowPunct/>
        <w:topLinePunct w:val="0"/>
        <w:autoSpaceDE/>
        <w:autoSpaceDN/>
        <w:bidi w:val="0"/>
        <w:adjustRightInd/>
        <w:snapToGrid/>
        <w:spacing w:line="480" w:lineRule="exact"/>
        <w:ind w:right="0"/>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w:t>
      </w:r>
    </w:p>
    <w:p w14:paraId="6C36FAFD">
      <w:pPr>
        <w:keepNext w:val="0"/>
        <w:keepLines w:val="0"/>
        <w:pageBreakBefore w:val="0"/>
        <w:widowControl w:val="0"/>
        <w:kinsoku/>
        <w:wordWrap/>
        <w:overflowPunct/>
        <w:topLinePunct w:val="0"/>
        <w:autoSpaceDE/>
        <w:autoSpaceDN/>
        <w:bidi w:val="0"/>
        <w:adjustRightInd/>
        <w:snapToGrid/>
        <w:spacing w:line="480" w:lineRule="exact"/>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US" w:eastAsia="zh-CN" w:bidi="ar-SA"/>
        </w:rPr>
        <w:t>二〇二六年五月二十日</w:t>
      </w:r>
    </w:p>
    <w:p w14:paraId="44068CE2">
      <w:pPr>
        <w:pStyle w:val="2"/>
        <w:ind w:firstLine="0"/>
        <w:jc w:val="center"/>
        <w:rPr>
          <w:rFonts w:hint="default" w:ascii="Times New Roman" w:hAnsi="Times New Roman" w:eastAsia="仿宋" w:cs="Times New Roman"/>
          <w:sz w:val="28"/>
          <w:szCs w:val="28"/>
          <w:highlight w:val="none"/>
        </w:rPr>
      </w:pPr>
      <w:r>
        <w:rPr>
          <w:rFonts w:hint="default" w:ascii="Times New Roman" w:hAnsi="Times New Roman" w:eastAsia="仿宋_GB2312" w:cs="Times New Roman"/>
          <w:color w:val="FF0000"/>
          <w:szCs w:val="28"/>
          <w:highlight w:val="none"/>
        </w:rPr>
        <w:br w:type="page"/>
      </w:r>
      <w:r>
        <w:rPr>
          <w:rFonts w:hint="eastAsia" w:asciiTheme="majorEastAsia" w:hAnsiTheme="majorEastAsia" w:eastAsiaTheme="majorEastAsia" w:cstheme="majorEastAsia"/>
          <w:b/>
          <w:bCs/>
          <w:sz w:val="32"/>
          <w:highlight w:val="none"/>
        </w:rPr>
        <w:t>第二部分  估价对象描述及地价影响因素分析</w:t>
      </w:r>
    </w:p>
    <w:p w14:paraId="5DC51525">
      <w:pPr>
        <w:pStyle w:val="3"/>
        <w:keepLines w:val="0"/>
        <w:pageBreakBefore w:val="0"/>
        <w:widowControl w:val="0"/>
        <w:kinsoku/>
        <w:wordWrap/>
        <w:overflowPunct/>
        <w:topLinePunct w:val="0"/>
        <w:autoSpaceDE/>
        <w:autoSpaceDN/>
        <w:bidi w:val="0"/>
        <w:adjustRightInd w:val="0"/>
        <w:snapToGrid w:val="0"/>
        <w:spacing w:line="480" w:lineRule="exact"/>
        <w:ind w:left="0" w:firstLine="0"/>
        <w:jc w:val="left"/>
        <w:textAlignment w:val="auto"/>
        <w:rPr>
          <w:rFonts w:hint="eastAsia" w:ascii="仿宋" w:hAnsi="仿宋" w:eastAsia="仿宋" w:cs="仿宋"/>
          <w:b/>
          <w:bCs w:val="0"/>
          <w:sz w:val="28"/>
          <w:szCs w:val="28"/>
          <w:highlight w:val="none"/>
        </w:rPr>
      </w:pPr>
      <w:r>
        <w:rPr>
          <w:rFonts w:hint="eastAsia" w:ascii="仿宋" w:hAnsi="仿宋" w:eastAsia="仿宋" w:cs="仿宋"/>
          <w:b/>
          <w:bCs w:val="0"/>
          <w:sz w:val="28"/>
          <w:szCs w:val="28"/>
          <w:highlight w:val="none"/>
        </w:rPr>
        <w:t>一、估价对象描述</w:t>
      </w:r>
    </w:p>
    <w:p w14:paraId="7FFDBF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2EC8EE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488A440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051BAB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6D7015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486155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B54F8C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3576A9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2CB83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t>8.土地级别：道县城镇基准地价的颁布实施时间为{{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135C2E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7F5572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D81F0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742C5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0FAA48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1CF92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55DCD5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7F57D2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B5842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700678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2864F3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1CF0B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705F3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B18BF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566BC23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00B04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0ED1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9467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CE5F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75A945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6" name="图片 6"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7949D1E2">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1" name="图片 11"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7D0B05C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42220F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2CCAD71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A29E7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19615E2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06D34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4BD9D7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2C0388C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788703E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default" w:ascii="仿宋_GB2312" w:hAnsi="仿宋_GB2312" w:eastAsia="仿宋_GB2312" w:cs="仿宋_GB2312"/>
          <w:b/>
          <w:bCs w:val="0"/>
          <w:color w:val="auto"/>
          <w:sz w:val="28"/>
          <w:szCs w:val="28"/>
          <w:highlight w:val="none"/>
          <w:lang w:val="en-US" w:eastAsia="zh-CN"/>
        </w:rPr>
        <w:t>二、地价影响因素分析</w:t>
      </w:r>
    </w:p>
    <w:p w14:paraId="23E1258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21E1748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214C2AA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11878C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735C6A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351943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CBEE24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6251A48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833D8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t>8.土地级别：道县城镇基准地价的颁布实施时间为{{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5553CF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46E950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CEB289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0412B3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8A1F6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5FBB0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1490C3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142E738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DF2A6B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27ADE0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797CFF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46D4B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4B9A4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1DE068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616CAF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4D3BED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07DAFF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063C86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020BC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3041524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12" name="图片 12"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5A6BB49E">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3" name="图片 13"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1807ED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4F3EE4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C4C90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49F564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4B11E6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035041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12FEE7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C8972B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6EA5C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p>
    <w:p w14:paraId="0FAB045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sz w:val="28"/>
          <w:szCs w:val="28"/>
          <w:highlight w:val="none"/>
          <w:lang w:val="en-US" w:eastAsia="zh-CN"/>
        </w:rPr>
        <w:t>（一）一般因素</w:t>
      </w:r>
    </w:p>
    <w:p w14:paraId="21FCCC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7A097D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1438B74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16E4DDC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1EBC4F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8FC76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08AF2A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55DDDD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66E6D91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694F50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593E53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58A1E2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7F84F4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003706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078961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4AAC2D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736A44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482094.830亩(32139.50公顷),占比74.832%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8776B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亩(13.97公顷),占比0.06%;其他园地170854.835亩(11390.17公顷),占比50.62%。总体来看，园地主要分布在祥霖铺镇、审章塘瑶族乡、白芒铺镇、柑子园镇、蚣坝镇、白马渡镇、东门街道和上关街道等。</w:t>
      </w:r>
    </w:p>
    <w:p w14:paraId="5BBC74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4C44A2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53E8C5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5D9315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538103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E6B57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37CD6F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4FF5A2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2F0973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C442B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72240E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6806FC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616591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160AAB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48591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2593C0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57D3460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6288F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1E7A7E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009F74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2297251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6C2A5E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777D9F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F39CC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DCE95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17AE4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1EA7BC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5624A46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476D47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0F03E9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36DDB8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66DDB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47C8F7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4B28DB8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38FD60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1E3CEF9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7D535F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43037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73944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235500BC">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2"/>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59797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3A8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D78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BEB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4FC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2A2CE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F54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84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AB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C73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4F5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DE2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3EC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863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33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9DBC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EA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4C5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FC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BA1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548CB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B2D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8A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8F7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66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572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588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1BC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4AF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2D5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3ED1A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F83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0FB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349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01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76760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613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2E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8DD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15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32BA5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29F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050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CC6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DEF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187122C">
      <w:pPr>
        <w:pStyle w:val="11"/>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607F7C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8255" b="14605"/>
            <wp:docPr id="1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9D77C7B">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0524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5052A3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6C51614D">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28C572CF">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DF6B3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14605" b="381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2"/>
                    <a:stretch>
                      <a:fillRect/>
                    </a:stretch>
                  </pic:blipFill>
                  <pic:spPr>
                    <a:xfrm>
                      <a:off x="0" y="0"/>
                      <a:ext cx="5757545" cy="2015490"/>
                    </a:xfrm>
                    <a:prstGeom prst="rect">
                      <a:avLst/>
                    </a:prstGeom>
                    <a:noFill/>
                    <a:ln>
                      <a:noFill/>
                    </a:ln>
                  </pic:spPr>
                </pic:pic>
              </a:graphicData>
            </a:graphic>
          </wp:inline>
        </w:drawing>
      </w:r>
    </w:p>
    <w:p w14:paraId="6A641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0112E7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6350" b="23495"/>
            <wp:docPr id="18"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3114BD7">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340D3C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6CBC7B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0CCC61A7">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49DE1016">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6309F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221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935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54F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900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303BF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F48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F12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4AA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2B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7F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390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E9D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A87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8BD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EDC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F16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42B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DDD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2C0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328F0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D6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AAC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E7A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521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D3E9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4A2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C3E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952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914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60B6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1C3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51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6BD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B58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7D7FD0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0BEDB29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2128B3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20A22A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631E143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3834C2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4D1BD1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D1340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41E44B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458383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5FBF828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485ECD3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462416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622EC00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0A7B46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26C934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33822BF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4F253D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0C05CB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4F413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278850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6C2A35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8D63F2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666A03F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0D7AA0F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944751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3E35A8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FAC606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AA216A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2023年5月，{{ base_price_doc_authority }}关于印发《道县进一步促进房地产市场平稳健康发展的十条措施》的通知，结合道县实际，制定十条措施保障房地产市场健康发展：</w:t>
      </w:r>
    </w:p>
    <w:p w14:paraId="6A8A259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03E2D4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6DE645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1A1E4FB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08C04C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23908F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6540CCB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1EFFB4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06E4F8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7AAB65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A2436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37708E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000247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7ED46D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7078261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0AD87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640F5B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53830E4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767DAE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60AC37D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406018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46BD2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89FCB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480A5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74B2A3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20859E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4D0AF7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5C3799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948D2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60EF47B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6927D6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61BE60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51D006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3054DC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DF87D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0A7A321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2342EB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3AA45E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2D63592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321ED5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D1E66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719733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0EB535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4BB88F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4FDBD8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0AB5FD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79C57D1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253BCF2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7F8C48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02DCAF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F791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70565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纳税人：缴纳增值税、消费税的单位和个人，按2%计征；</w:t>
      </w:r>
    </w:p>
    <w:p w14:paraId="5313A9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41BC51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64F17C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2CE39F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52E2A6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86DBAE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21E4C7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20635A3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399F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0AB3F4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40328A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1691F6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7BD86C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2774BB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36E244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487E29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867AF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64BA33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4BB19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14.83%计入应纳税所得额，按20%的税率缴纳企业所得税（税负4.83％）；对年应纳税所得额超过100万元但不超过300万元的部分，减按50%计入应纳税所得额，按20%的税率缴纳企业所得税（税负10％）。</w:t>
      </w:r>
    </w:p>
    <w:p w14:paraId="075245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5F2356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18F755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3C0BEBE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35BFBC9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64B8CA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4CBB4F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6DA9DCA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36544F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74708D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1FDD729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175A9C0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22FE18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76CC4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8D3FE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045013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用水平显著提高；重点环境问题得到有效整治，城乡污水处理、生活垃圾分类无害化处理实现全覆盖，生态环境持续改善，生态安全屏障更加牢固，城乡人居环境明显改善；“江湾映城、山水相融”的城市空间格局基本形成，民生设施建设取得显著成效，乡村地区基本实现集约发展，传统历史文化得到保护、传承和弘扬；现代化产业体系初具规模，科技创新能力显著增强，对外开放与区域协同水平全面提升，成为湘粤桂交汇区经济发展的核心引擎。</w:t>
      </w:r>
    </w:p>
    <w:p w14:paraId="6BF7B0C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7CE62EC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0C9FD18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9207B4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69EAD42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35746D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058BD9B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 base_price_doc_authority }}网发布的消息，道县目前城市经济布局主要突出以下几个方面：</w:t>
      </w:r>
    </w:p>
    <w:p w14:paraId="533ECCB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21608E46">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动火车站片区、物流园片区组团滚动发展，打造南部现代物流新城。以潇水为发展纵轴，以营阳大道（G207 道县绕城公路）、树湘大道为环线，突出上关片区开发建设，加快路网成型，产业导入，打造东部文化生态新城。</w:t>
      </w:r>
    </w:p>
    <w:p w14:paraId="55579C6D">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62FF409">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2337220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668FF5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1F5D2E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2个百分点。2024年非公有制经济增加值189.73亿元，比上年增长7.3%，占地区生产总值的比重为64.58%，比上年提高1.18个百分点。</w:t>
      </w:r>
    </w:p>
    <w:p w14:paraId="36CCA48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01021B77">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0055A29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167E31B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40306E1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2627CDF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736F599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87FCE49">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48763A0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122BBF40">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kern w:val="2"/>
          <w:sz w:val="28"/>
          <w:szCs w:val="28"/>
          <w:highlight w:val="none"/>
          <w:lang w:val="en-US" w:eastAsia="zh-CN" w:bidi="ar-SA"/>
        </w:rPr>
        <w:t>（二）</w:t>
      </w:r>
      <w:r>
        <w:rPr>
          <w:rFonts w:hint="eastAsia" w:ascii="仿宋_GB2312" w:hAnsi="仿宋_GB2312" w:eastAsia="仿宋_GB2312" w:cs="仿宋_GB2312"/>
          <w:bCs/>
          <w:color w:val="auto"/>
          <w:sz w:val="28"/>
          <w:szCs w:val="28"/>
          <w:highlight w:val="none"/>
          <w:lang w:val="en-US" w:eastAsia="zh-CN"/>
        </w:rPr>
        <w:t>区域因素</w:t>
      </w:r>
    </w:p>
    <w:p w14:paraId="455CC94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hAnsi="仿宋_GB2312" w:eastAsia="仿宋_GB2312" w:cs="仿宋_GB2312"/>
          <w:sz w:val="28"/>
          <w:highlight w:val="none"/>
          <w:lang w:val="en-US" w:eastAsia="zh-CN"/>
        </w:rPr>
        <w:t>影响</w:t>
      </w:r>
      <w:r>
        <w:rPr>
          <w:rFonts w:hint="eastAsia" w:ascii="仿宋_GB2312" w:eastAsia="仿宋_GB2312"/>
          <w:sz w:val="28"/>
          <w:szCs w:val="30"/>
          <w:highlight w:val="none"/>
          <w:lang w:val="en-US" w:eastAsia="zh-CN"/>
        </w:rPr>
        <w:t>估价对象的区域因素主要有：区域概况、交通条件、基础设施条件、环境条件、商服繁华情况、规划限制等。</w:t>
      </w:r>
    </w:p>
    <w:p w14:paraId="0E27028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1.区域概况</w:t>
      </w:r>
    </w:p>
    <w:p w14:paraId="0C42778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 xml:space="preserve">（1）区域位置  </w:t>
      </w:r>
    </w:p>
    <w:p w14:paraId="01B5AC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eastAsia="仿宋_GB2312"/>
          <w:sz w:val="28"/>
          <w:szCs w:val="30"/>
          <w:highlight w:val="none"/>
        </w:rPr>
        <w:t>①区域位置、级别及人口：估价对象位于</w:t>
      </w:r>
      <w:r>
        <w:rPr>
          <w:rFonts w:hint="eastAsia" w:ascii="仿宋_GB2312" w:eastAsia="仿宋_GB2312"/>
          <w:sz w:val="28"/>
          <w:szCs w:val="30"/>
          <w:highlight w:val="none"/>
          <w:lang w:val="en-US" w:eastAsia="zh-CN"/>
        </w:rPr>
        <w:t>道县状元路以北、潇水北路以西</w:t>
      </w:r>
      <w:r>
        <w:rPr>
          <w:rFonts w:hint="eastAsia" w:ascii="仿宋_GB2312" w:eastAsia="仿宋_GB2312"/>
          <w:sz w:val="28"/>
          <w:szCs w:val="30"/>
          <w:highlight w:val="none"/>
        </w:rPr>
        <w:t>，道县辖7个街道、12个镇、3个乡。县政府驻濂溪街道寇公街66号。截至2023年末，道县常住人口57.40万人。</w:t>
      </w:r>
    </w:p>
    <w:p w14:paraId="6648025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rPr>
      </w:pPr>
      <w:r>
        <w:t>②土地级别：道县城镇基准地价的颁布实施时间为{{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13A42AE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Times New Roman" w:eastAsia="仿宋_GB2312" w:cs="Times New Roman"/>
          <w:sz w:val="28"/>
          <w:szCs w:val="30"/>
          <w:highlight w:val="none"/>
          <w:lang w:val="en-US" w:eastAsia="zh-CN"/>
        </w:rPr>
        <w:t>③</w:t>
      </w:r>
      <w:r>
        <w:rPr>
          <w:rFonts w:hint="eastAsia" w:ascii="仿宋_GB2312" w:hAnsi="Times New Roman" w:eastAsia="仿宋_GB2312" w:cs="Times New Roman"/>
          <w:sz w:val="28"/>
          <w:szCs w:val="30"/>
          <w:highlight w:val="none"/>
        </w:rPr>
        <w:t>经济发展：</w:t>
      </w:r>
      <w:r>
        <w:rPr>
          <w:rFonts w:hint="eastAsia" w:ascii="仿宋_GB2312" w:eastAsia="仿宋_GB2312" w:cs="Times New Roman"/>
          <w:sz w:val="28"/>
          <w:szCs w:val="30"/>
          <w:highlight w:val="none"/>
          <w:lang w:val="en-US" w:eastAsia="zh-CN"/>
        </w:rPr>
        <w:t>2024年道县</w:t>
      </w:r>
      <w:r>
        <w:rPr>
          <w:rFonts w:hint="eastAsia" w:ascii="仿宋_GB2312" w:hAnsi="Times New Roman" w:eastAsia="仿宋_GB2312" w:cs="Times New Roman"/>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sz w:val="28"/>
          <w:szCs w:val="30"/>
          <w:highlight w:val="none"/>
        </w:rPr>
        <w:t>。</w:t>
      </w:r>
    </w:p>
    <w:p w14:paraId="3CEB88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eastAsia="zh-CN"/>
        </w:rPr>
      </w:pPr>
      <w:r>
        <w:rPr>
          <w:rFonts w:hint="eastAsia" w:ascii="仿宋_GB2312" w:eastAsia="仿宋_GB2312"/>
          <w:sz w:val="28"/>
          <w:szCs w:val="30"/>
          <w:highlight w:val="none"/>
          <w:lang w:val="en-US" w:eastAsia="zh-CN"/>
        </w:rPr>
        <w:t>④</w:t>
      </w:r>
      <w:r>
        <w:rPr>
          <w:rFonts w:hint="eastAsia" w:ascii="仿宋_GB2312" w:eastAsia="仿宋_GB2312"/>
          <w:sz w:val="28"/>
          <w:szCs w:val="30"/>
          <w:highlight w:val="none"/>
        </w:rPr>
        <w:t>区位优势</w:t>
      </w:r>
      <w:r>
        <w:rPr>
          <w:rFonts w:hint="eastAsia" w:ascii="仿宋_GB2312" w:hAnsi="Times New Roman" w:eastAsia="仿宋_GB2312" w:cs="Times New Roman"/>
          <w:sz w:val="28"/>
          <w:szCs w:val="30"/>
          <w:highlight w:val="none"/>
        </w:rPr>
        <w:t>：道县处于湘粤桂三省交汇区</w:t>
      </w:r>
      <w:r>
        <w:rPr>
          <w:rFonts w:hint="eastAsia" w:ascii="仿宋_GB2312" w:hAnsi="Times New Roman" w:eastAsia="仿宋_GB2312" w:cs="Times New Roman"/>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147867F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val="en-US" w:eastAsia="zh-CN"/>
        </w:rPr>
      </w:pPr>
      <w:r>
        <w:rPr>
          <w:rFonts w:hint="eastAsia" w:ascii="仿宋_GB2312" w:hAnsi="Times New Roman" w:eastAsia="仿宋_GB2312" w:cs="Times New Roman"/>
          <w:sz w:val="28"/>
          <w:szCs w:val="30"/>
          <w:highlight w:val="none"/>
          <w:lang w:val="en-US" w:eastAsia="zh-CN"/>
        </w:rPr>
        <w:t>2.交通条件</w:t>
      </w:r>
    </w:p>
    <w:p w14:paraId="1A6C867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（1）区域内公共交通状况</w:t>
      </w:r>
    </w:p>
    <w:p w14:paraId="6E2AD22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估价对象区域内有</w:t>
      </w:r>
      <w:r>
        <w:rPr>
          <w:rFonts w:hint="eastAsia" w:ascii="仿宋_GB2312" w:hAnsi="仿宋_GB2312" w:eastAsia="仿宋_GB2312" w:cs="仿宋_GB2312"/>
          <w:snapToGrid w:val="0"/>
          <w:color w:val="auto"/>
          <w:sz w:val="28"/>
          <w:szCs w:val="28"/>
          <w:highlight w:val="none"/>
          <w:lang w:val="en-US" w:eastAsia="zh-CN"/>
        </w:rPr>
        <w:t>月岩西路、道州中路、文化路</w:t>
      </w:r>
      <w:r>
        <w:rPr>
          <w:rFonts w:hint="eastAsia" w:ascii="仿宋_GB2312" w:hAnsi="仿宋_GB2312" w:eastAsia="仿宋_GB2312" w:cs="仿宋_GB2312"/>
          <w:snapToGrid w:val="0"/>
          <w:color w:val="auto"/>
          <w:sz w:val="28"/>
          <w:szCs w:val="28"/>
          <w:highlight w:val="none"/>
        </w:rPr>
        <w:t>等城市主、次干道，距离</w:t>
      </w:r>
      <w:r>
        <w:rPr>
          <w:rFonts w:hint="eastAsia" w:ascii="仿宋_GB2312" w:hAnsi="仿宋_GB2312" w:eastAsia="仿宋_GB2312" w:cs="仿宋_GB2312"/>
          <w:snapToGrid w:val="0"/>
          <w:color w:val="auto"/>
          <w:sz w:val="28"/>
          <w:szCs w:val="28"/>
          <w:highlight w:val="none"/>
          <w:lang w:val="en-US" w:eastAsia="zh-CN"/>
        </w:rPr>
        <w:t>道州新车站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680</w:t>
      </w:r>
      <w:r>
        <w:rPr>
          <w:rFonts w:hint="eastAsia" w:ascii="仿宋_GB2312" w:hAnsi="仿宋_GB2312" w:eastAsia="仿宋_GB2312" w:cs="仿宋_GB2312"/>
          <w:snapToGrid w:val="0"/>
          <w:color w:val="auto"/>
          <w:sz w:val="28"/>
          <w:szCs w:val="28"/>
          <w:highlight w:val="none"/>
        </w:rPr>
        <w:t>米，距离</w:t>
      </w:r>
      <w:r>
        <w:rPr>
          <w:rFonts w:hint="eastAsia" w:ascii="仿宋_GB2312" w:hAnsi="仿宋_GB2312" w:eastAsia="仿宋_GB2312" w:cs="仿宋_GB2312"/>
          <w:snapToGrid w:val="0"/>
          <w:color w:val="auto"/>
          <w:sz w:val="28"/>
          <w:szCs w:val="28"/>
          <w:highlight w:val="none"/>
          <w:lang w:val="en-US" w:eastAsia="zh-CN"/>
        </w:rPr>
        <w:t>零道高速出入口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4900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较高</w:t>
      </w:r>
      <w:r>
        <w:rPr>
          <w:rFonts w:hint="eastAsia" w:ascii="仿宋_GB2312" w:eastAsia="仿宋_GB2312"/>
          <w:sz w:val="28"/>
          <w:szCs w:val="30"/>
          <w:highlight w:val="none"/>
        </w:rPr>
        <w:t>。</w:t>
      </w:r>
    </w:p>
    <w:p w14:paraId="55FF7A9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4B43D0D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G207、G357</w:t>
      </w:r>
      <w:r>
        <w:rPr>
          <w:rFonts w:hint="eastAsia" w:ascii="仿宋_GB2312" w:eastAsia="仿宋_GB2312"/>
          <w:sz w:val="28"/>
          <w:szCs w:val="30"/>
          <w:highlight w:val="none"/>
        </w:rPr>
        <w:t>等干线交会，为区域内对外开放奠定了良好的基础，区位优势明显，交通十分便利。</w:t>
      </w:r>
    </w:p>
    <w:p w14:paraId="77B84EB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②铁路：道州火车站主要线路为益湛铁路，估价对象所在区域中心距离该火车站约1500m。</w:t>
      </w:r>
    </w:p>
    <w:p w14:paraId="1599A82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③高铁：估价对象区域距永州高铁站约104.5km。</w:t>
      </w:r>
    </w:p>
    <w:p w14:paraId="716F5D5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④航空：估价对象区域距离最近的机场为永州零陵机场约91.6km。</w:t>
      </w:r>
    </w:p>
    <w:p w14:paraId="614A8A0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⑤水运：道县区域境内主要河流为潇水，水位较浅，未形成水运条件，水运主要依托长沙湘江流域。</w:t>
      </w:r>
    </w:p>
    <w:p w14:paraId="2223A9C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6413D6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0C37BD8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4F60E91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7667A5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31206B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5869B9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095609A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29A29B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3D5C1C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032BC13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7ADF27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53A083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4644A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宗地所在区域距离</w:t>
      </w:r>
      <w:r>
        <w:rPr>
          <w:rFonts w:hint="eastAsia" w:ascii="仿宋_GB2312" w:hAnsi="仿宋_GB2312" w:eastAsia="仿宋_GB2312" w:cs="仿宋_GB2312"/>
          <w:color w:val="auto"/>
          <w:sz w:val="28"/>
          <w:szCs w:val="28"/>
          <w:highlight w:val="none"/>
          <w:lang w:val="en-US" w:eastAsia="zh-CN"/>
        </w:rPr>
        <w:t>商服中心道州商业广场</w:t>
      </w:r>
      <w:r>
        <w:rPr>
          <w:rFonts w:hint="eastAsia" w:ascii="仿宋_GB2312" w:hAnsi="仿宋_GB2312" w:eastAsia="仿宋_GB2312" w:cs="仿宋_GB2312"/>
          <w:color w:val="auto"/>
          <w:sz w:val="28"/>
          <w:szCs w:val="28"/>
          <w:highlight w:val="none"/>
        </w:rPr>
        <w:t>约</w:t>
      </w:r>
      <w:r>
        <w:rPr>
          <w:rFonts w:hint="eastAsia" w:ascii="仿宋_GB2312" w:hAnsi="仿宋_GB2312" w:eastAsia="仿宋_GB2312" w:cs="仿宋_GB2312"/>
          <w:color w:val="auto"/>
          <w:sz w:val="28"/>
          <w:szCs w:val="28"/>
          <w:highlight w:val="none"/>
          <w:lang w:val="en-US" w:eastAsia="zh-CN"/>
        </w:rPr>
        <w:t>890米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2A56F4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04D271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1DEA8BF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1A539B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估价对象位于道县月岩西路，估价对象交通由道州中路、文化路、月岩西路构成路网，汇入各条主干道，区域交通条件一般。距最近汽车站（</w:t>
      </w:r>
      <w:r>
        <w:rPr>
          <w:rFonts w:hint="eastAsia" w:ascii="仿宋_GB2312" w:eastAsia="仿宋_GB2312"/>
          <w:sz w:val="28"/>
          <w:szCs w:val="30"/>
          <w:highlight w:val="none"/>
          <w:lang w:val="en-US" w:eastAsia="zh-CN"/>
        </w:rPr>
        <w:t>道州新车站）约680m</w:t>
      </w:r>
      <w:r>
        <w:rPr>
          <w:rFonts w:hint="eastAsia" w:ascii="仿宋_GB2312" w:hAnsi="仿宋_GB2312" w:eastAsia="仿宋_GB2312" w:cs="仿宋_GB2312"/>
          <w:bCs/>
          <w:sz w:val="28"/>
          <w:szCs w:val="28"/>
          <w:highlight w:val="none"/>
          <w:lang w:val="en-US" w:eastAsia="zh-CN"/>
        </w:rPr>
        <w:t>，距离最近火车站（道州火车站）约1500米，距火车站距离较劣；区域基础设施状况好，水电综合保障率达95%以上。</w:t>
      </w:r>
    </w:p>
    <w:p w14:paraId="3D1544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综合考虑以上影响地价区域因素，评估分析：估价对象所在区域交通条件较优，基础设施齐全，商业繁华影响度较优，地质条件好，区域无特殊规划限制。</w:t>
      </w:r>
    </w:p>
    <w:p w14:paraId="116907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3ECB62C4">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4DB05D12">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403BFC9D">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月岩西路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18B1F88">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6B3B29A5">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根据委托估价方提供的《土地分摊表》，估价对象土地面积为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371BD47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，西临建筑，东临建筑。</w:t>
      </w:r>
    </w:p>
    <w:p w14:paraId="7B82F800">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AE211CE">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》，土地用途为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5BD011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2DFD96CA">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评估对象所在宗地整体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土地利用有一定影响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7CA019C">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431E9706">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5E4453F">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4F7CFC92">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6BE6D77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745A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）土地利用现状</w:t>
      </w:r>
    </w:p>
    <w:p w14:paraId="22C374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0AAEE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4CF33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ADEA00E">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20" name="图片 20"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63CD7CD2">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21" name="图片 21"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0ACA28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39E01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）规划利用条件</w:t>
      </w:r>
    </w:p>
    <w:p w14:paraId="38E21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规划利用状况</w:t>
      </w:r>
    </w:p>
    <w:p w14:paraId="3B9A43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704D7A8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最佳利用</w:t>
      </w:r>
    </w:p>
    <w:p w14:paraId="6E275D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781EB9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31F22F77">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AE22B9">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6EB641B6">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51D33D2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估价对象所在宗地整体临鹭鸶塘路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6CC463F">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1E3DA588">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A4FA49B">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（4）给水：区域内供水主要来自区内的市政供水。</w:t>
      </w:r>
    </w:p>
    <w:p w14:paraId="61706580">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D125457">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6" w:type="first"/>
          <w:footerReference r:id="rId17"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，宗地</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，地质地势条件优，主要进出道路为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支路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，道路通达度</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，距</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长途汽车站距离一般，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最近货运火车站距离劣。估价对象作为设定用途符合有效利用原则，其他个别条件均对宗地产生较有利</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影响。</w:t>
      </w:r>
    </w:p>
    <w:p w14:paraId="08665943">
      <w:pPr>
        <w:numPr>
          <w:ilvl w:val="0"/>
          <w:numId w:val="0"/>
        </w:numPr>
        <w:adjustRightInd w:val="0"/>
        <w:snapToGrid w:val="0"/>
        <w:spacing w:line="480" w:lineRule="exact"/>
        <w:jc w:val="center"/>
        <w:outlineLvl w:val="0"/>
        <w:rPr>
          <w:rFonts w:hint="default" w:ascii="Times New Roman" w:hAnsi="Times New Roman" w:eastAsia="仿宋_GB2312" w:cs="Times New Roman"/>
          <w:sz w:val="28"/>
          <w:szCs w:val="28"/>
          <w:highlight w:val="none"/>
        </w:rPr>
      </w:pPr>
      <w:r>
        <w:rPr>
          <w:rFonts w:hint="eastAsia" w:asciiTheme="majorEastAsia" w:hAnsiTheme="majorEastAsia" w:eastAsiaTheme="majorEastAsia" w:cstheme="majorEastAsia"/>
          <w:b/>
          <w:bCs/>
          <w:sz w:val="32"/>
          <w:szCs w:val="32"/>
          <w:highlight w:val="none"/>
        </w:rPr>
        <w:t>第三部分  土地估价</w:t>
      </w:r>
    </w:p>
    <w:p w14:paraId="64FD685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GB" w:eastAsia="zh-CN"/>
        </w:rPr>
      </w:pPr>
      <w:r>
        <w:rPr>
          <w:rFonts w:hint="default" w:ascii="仿宋_GB2312" w:hAnsi="仿宋_GB2312" w:eastAsia="仿宋_GB2312" w:cs="仿宋_GB2312"/>
          <w:b/>
          <w:bCs w:val="0"/>
          <w:color w:val="auto"/>
          <w:sz w:val="28"/>
          <w:szCs w:val="28"/>
          <w:highlight w:val="none"/>
          <w:lang w:val="en-GB" w:eastAsia="zh-CN"/>
        </w:rPr>
        <w:t>一、估价原则</w:t>
      </w:r>
    </w:p>
    <w:p w14:paraId="1A69456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bookmarkStart w:id="24" w:name="_Toc25643"/>
      <w:bookmarkStart w:id="25" w:name="_Toc25024"/>
      <w:r>
        <w:rPr>
          <w:rFonts w:hint="default" w:ascii="仿宋_GB2312" w:hAnsi="仿宋_GB2312" w:eastAsia="仿宋_GB2312" w:cs="仿宋_GB2312"/>
          <w:b w:val="0"/>
          <w:bCs/>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4823C16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1、合法性原则</w:t>
      </w:r>
    </w:p>
    <w:p w14:paraId="6B31CB5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716438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2、替代原则</w:t>
      </w:r>
    </w:p>
    <w:p w14:paraId="13A6EBF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1DBF33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本次</w:t>
      </w:r>
      <w:r>
        <w:rPr>
          <w:rFonts w:hint="eastAsia" w:ascii="仿宋_GB2312" w:hAnsi="仿宋_GB2312" w:eastAsia="仿宋_GB2312" w:cs="仿宋_GB2312"/>
          <w:b w:val="0"/>
          <w:bCs/>
          <w:color w:val="auto"/>
          <w:sz w:val="28"/>
          <w:szCs w:val="28"/>
          <w:highlight w:val="none"/>
          <w:lang w:val="en-US" w:eastAsia="zh-CN"/>
        </w:rPr>
        <w:t>剩余</w:t>
      </w:r>
      <w:r>
        <w:rPr>
          <w:rFonts w:hint="default" w:ascii="仿宋_GB2312" w:hAnsi="仿宋_GB2312" w:eastAsia="仿宋_GB2312" w:cs="仿宋_GB2312"/>
          <w:b w:val="0"/>
          <w:bCs/>
          <w:color w:val="auto"/>
          <w:sz w:val="28"/>
          <w:szCs w:val="28"/>
          <w:highlight w:val="none"/>
          <w:lang w:val="en-GB" w:eastAsia="zh-CN"/>
        </w:rPr>
        <w:t>法中选取的3个案例均处于估价对象所处区域范围，相互之间存在替代性</w:t>
      </w:r>
      <w:r>
        <w:rPr>
          <w:rFonts w:hint="eastAsia" w:ascii="仿宋_GB2312" w:hAnsi="仿宋_GB2312" w:eastAsia="仿宋_GB2312" w:cs="仿宋_GB2312"/>
          <w:b w:val="0"/>
          <w:bCs/>
          <w:color w:val="auto"/>
          <w:sz w:val="28"/>
          <w:szCs w:val="28"/>
          <w:highlight w:val="none"/>
          <w:lang w:val="en-US" w:eastAsia="zh-CN"/>
        </w:rPr>
        <w:t>体现了该原则。</w:t>
      </w:r>
    </w:p>
    <w:p w14:paraId="0611CE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3、需求与供给原则</w:t>
      </w:r>
    </w:p>
    <w:p w14:paraId="62EDE1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550479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4、预期收益原则</w:t>
      </w:r>
    </w:p>
    <w:p w14:paraId="2C4EAE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05E8B7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5、合理有效利用原则</w:t>
      </w:r>
    </w:p>
    <w:p w14:paraId="13638F4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04517D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6、价值主导原则</w:t>
      </w:r>
    </w:p>
    <w:p w14:paraId="27F90B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土地综合质量优劣是对土地价格产生影响的主要因素。</w:t>
      </w:r>
    </w:p>
    <w:p w14:paraId="3FC103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本次评估综合考虑了影响估价对象土地价格的自然、社会、经济状况，符合价值主导原则。</w:t>
      </w:r>
    </w:p>
    <w:p w14:paraId="58078A8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7、审慎原则</w:t>
      </w:r>
    </w:p>
    <w:p w14:paraId="00320AA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在评估中确定相关参数和结果时，应分析并充分考虑市场运行状况、有关行业发展状况，以及存在的风险。</w:t>
      </w:r>
    </w:p>
    <w:p w14:paraId="4D863A6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8、贡献原则</w:t>
      </w:r>
    </w:p>
    <w:p w14:paraId="4F527A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土地总收益是土地及其他生产要素共同作用的结果，土地的价格由土地对总收益的贡献大小来决定。</w:t>
      </w:r>
    </w:p>
    <w:p w14:paraId="546EA3B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本次在采用</w:t>
      </w:r>
      <w:r>
        <w:rPr>
          <w:rFonts w:hint="eastAsia" w:ascii="仿宋_GB2312" w:hAnsi="仿宋_GB2312" w:eastAsia="仿宋_GB2312" w:cs="仿宋_GB2312"/>
          <w:b w:val="0"/>
          <w:bCs/>
          <w:color w:val="auto"/>
          <w:sz w:val="28"/>
          <w:szCs w:val="28"/>
          <w:highlight w:val="none"/>
          <w:lang w:val="en-US" w:eastAsia="zh-CN"/>
        </w:rPr>
        <w:t>剩余</w:t>
      </w:r>
      <w:r>
        <w:rPr>
          <w:rFonts w:hint="default" w:ascii="仿宋_GB2312" w:hAnsi="仿宋_GB2312" w:eastAsia="仿宋_GB2312" w:cs="仿宋_GB2312"/>
          <w:b w:val="0"/>
          <w:bCs/>
          <w:color w:val="auto"/>
          <w:sz w:val="28"/>
          <w:szCs w:val="28"/>
          <w:highlight w:val="none"/>
          <w:lang w:val="en-US" w:eastAsia="zh-CN"/>
        </w:rPr>
        <w:t>法时，通过扣除相关成本及其他税费来测算土地价格，体现了贡献原则。</w:t>
      </w:r>
    </w:p>
    <w:p w14:paraId="0047C04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9、公开市场原则</w:t>
      </w:r>
    </w:p>
    <w:p w14:paraId="481D48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评估结果在公平、公正、公开的土地市场上可实现。</w:t>
      </w:r>
    </w:p>
    <w:p w14:paraId="18A04E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1E6CBC2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Times New Roman" w:hAnsi="Times New Roman" w:eastAsia="仿宋" w:cs="Times New Roman"/>
          <w:sz w:val="28"/>
          <w:szCs w:val="28"/>
          <w:highlight w:val="none"/>
        </w:rPr>
      </w:pPr>
      <w:r>
        <w:rPr>
          <w:rFonts w:hint="default" w:ascii="仿宋_GB2312" w:hAnsi="仿宋_GB2312" w:eastAsia="仿宋_GB2312" w:cs="仿宋_GB2312"/>
          <w:b w:val="0"/>
          <w:bCs/>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default" w:ascii="Times New Roman" w:hAnsi="Times New Roman" w:eastAsia="仿宋" w:cs="Times New Roman"/>
          <w:sz w:val="28"/>
          <w:szCs w:val="28"/>
          <w:highlight w:val="none"/>
        </w:rPr>
        <w:t>。</w:t>
      </w:r>
    </w:p>
    <w:p w14:paraId="6C821045">
      <w:pPr>
        <w:pStyle w:val="3"/>
        <w:spacing w:line="480" w:lineRule="exact"/>
        <w:ind w:left="0" w:firstLine="0"/>
        <w:jc w:val="left"/>
        <w:rPr>
          <w:rFonts w:hint="default" w:ascii="仿宋_GB2312" w:hAnsi="仿宋_GB2312" w:eastAsia="仿宋_GB2312" w:cs="仿宋_GB2312"/>
          <w:b/>
          <w:bCs w:val="0"/>
          <w:color w:val="auto"/>
          <w:kern w:val="2"/>
          <w:sz w:val="28"/>
          <w:szCs w:val="28"/>
          <w:highlight w:val="none"/>
          <w:lang w:val="en-US" w:eastAsia="zh-CN" w:bidi="ar-SA"/>
        </w:rPr>
      </w:pPr>
      <w:r>
        <w:rPr>
          <w:rFonts w:hint="default" w:ascii="Times New Roman" w:hAnsi="Times New Roman" w:eastAsia="仿宋" w:cs="Times New Roman"/>
          <w:b/>
          <w:bCs w:val="0"/>
          <w:sz w:val="28"/>
          <w:szCs w:val="28"/>
          <w:highlight w:val="none"/>
        </w:rPr>
        <w:t>二、</w:t>
      </w:r>
      <w:r>
        <w:rPr>
          <w:rFonts w:hint="default" w:ascii="仿宋_GB2312" w:hAnsi="仿宋_GB2312" w:eastAsia="仿宋_GB2312" w:cs="仿宋_GB2312"/>
          <w:b/>
          <w:bCs w:val="0"/>
          <w:color w:val="auto"/>
          <w:kern w:val="2"/>
          <w:sz w:val="28"/>
          <w:szCs w:val="28"/>
          <w:highlight w:val="none"/>
          <w:lang w:val="en-US" w:eastAsia="zh-CN" w:bidi="ar-SA"/>
        </w:rPr>
        <w:t>估价方法与估价过程</w:t>
      </w:r>
      <w:bookmarkEnd w:id="24"/>
      <w:bookmarkEnd w:id="25"/>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A.根据《城镇土地估价规程》（GB/T18508-2014,2014年12月01日实施）中关于住宅用地估价方法选择的原则：</w:t>
      </w:r>
    </w:p>
    <w:p w14:paraId="786BE8C5">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a)评估住宅用地价格宜选市场比较法，并至少另辅一种适宜的估价方法；</w:t>
      </w:r>
    </w:p>
    <w:p w14:paraId="37434381">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b)对位于中心城区的住宅用地，不宜采用成本逼近法；</w:t>
      </w:r>
    </w:p>
    <w:p w14:paraId="471151DA">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c)对投资待建的住宅用地，可选择剩余法；</w:t>
      </w:r>
    </w:p>
    <w:p w14:paraId="2AE0C06D">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d)对位于城镇规划区外零星分布的住宅用地，可选择剩余法；</w:t>
      </w:r>
    </w:p>
    <w:p w14:paraId="54E24D52">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e)对新开发土地，可选用成本逼近法。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665F18F0">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4B57EC4E">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150C1045">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B58A41F">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5D63F972">
      <w:pPr>
        <w:pStyle w:val="11"/>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4A31240C">
      <w:pPr>
        <w:pStyle w:val="11"/>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37D2BB5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3A7288F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成本逼近法</w:t>
      </w:r>
    </w:p>
    <w:p w14:paraId="494C1EF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估价对象所在区域有土地征收案例，政府公布了征地有关文件，可测算土地取得成本，故选择成本逼近法作为土地评估方法之一。</w:t>
      </w:r>
    </w:p>
    <w:p w14:paraId="06822E2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收益还原法</w:t>
      </w:r>
    </w:p>
    <w:p w14:paraId="47E5EA4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084E9ED4">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r>
        <w:rPr>
          <w:rFonts w:hint="eastAsia" w:ascii="仿宋_GB2312" w:hAnsi="仿宋_GB2312" w:eastAsia="仿宋_GB2312" w:cs="仿宋_GB2312"/>
          <w:color w:val="auto"/>
          <w:szCs w:val="28"/>
          <w:highlight w:val="none"/>
          <w:lang w:val="en-US" w:eastAsia="zh-CN"/>
        </w:rPr>
        <w:t>。</w:t>
      </w:r>
    </w:p>
    <w:p w14:paraId="3BEDF33E">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91E615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5AFBEA1F">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snapToGrid w:val="0"/>
          <w:kern w:val="0"/>
          <w:sz w:val="28"/>
          <w:szCs w:val="28"/>
          <w:highlight w:val="none"/>
        </w:rPr>
        <w:t>根据土地估价师调查了解，估价对象所处区域地产市场近3年同一供需圈内与宗地用途、利用条件等类似的同级别商服出让成交实例少于3个，因此不适宜选择市场比较法进行评估</w:t>
      </w:r>
      <w:r>
        <w:rPr>
          <w:rFonts w:hint="eastAsia" w:hAnsi="仿宋_GB2312" w:cs="仿宋_GB2312"/>
          <w:snapToGrid w:val="0"/>
          <w:kern w:val="0"/>
          <w:sz w:val="28"/>
          <w:szCs w:val="28"/>
          <w:highlight w:val="none"/>
          <w:lang w:eastAsia="zh-CN"/>
        </w:rPr>
        <w:t>。</w:t>
      </w:r>
    </w:p>
    <w:p w14:paraId="51A3BDD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3D20483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3B03AFB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③不选择</w:t>
      </w:r>
      <w:r>
        <w:rPr>
          <w:rFonts w:hint="eastAsia" w:ascii="仿宋_GB2312" w:hAnsi="仿宋_GB2312" w:eastAsia="仿宋_GB2312" w:cs="仿宋_GB2312"/>
          <w:b w:val="0"/>
          <w:bCs/>
          <w:color w:val="auto"/>
          <w:sz w:val="28"/>
          <w:szCs w:val="28"/>
          <w:highlight w:val="none"/>
          <w:lang w:val="en-US" w:eastAsia="zh-CN"/>
        </w:rPr>
        <w:t>公示地价修正法</w:t>
      </w:r>
    </w:p>
    <w:p w14:paraId="2F6D4D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道县城镇基准地价的颁布实施时间为{{ base_price_publish_date }}，城区基准地价估价期日为{{ base_price_base_date }}，批准文号为{{ base_price_doc_no }},文件名称为{{ base_price_doc_name }}（{{ base_price_doc_no }}，{{ base_price_publish_date }}），批准机关为{{ base_price_doc_authority }}，本次估价期日为2026年5月18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7344A33C">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综上所述，</w:t>
      </w:r>
      <w:r>
        <w:rPr>
          <w:rFonts w:hint="eastAsia" w:ascii="仿宋_GB2312" w:hAnsi="仿宋_GB2312" w:eastAsia="仿宋_GB2312" w:cs="仿宋_GB2312"/>
          <w:b w:val="0"/>
          <w:bCs/>
          <w:color w:val="auto"/>
          <w:sz w:val="28"/>
          <w:szCs w:val="28"/>
          <w:highlight w:val="none"/>
          <w:lang w:val="en-US" w:eastAsia="zh-CN"/>
        </w:rPr>
        <w:t>本次评估</w:t>
      </w:r>
      <w:r>
        <w:rPr>
          <w:rFonts w:hint="default" w:ascii="仿宋_GB2312" w:hAnsi="仿宋_GB2312" w:eastAsia="仿宋_GB2312" w:cs="仿宋_GB2312"/>
          <w:b w:val="0"/>
          <w:bCs/>
          <w:color w:val="auto"/>
          <w:sz w:val="28"/>
          <w:szCs w:val="28"/>
          <w:highlight w:val="none"/>
          <w:lang w:val="en-US" w:eastAsia="zh-CN"/>
        </w:rPr>
        <w:t>采用</w:t>
      </w:r>
      <w:r>
        <w:rPr>
          <w:rFonts w:hint="eastAsia" w:ascii="仿宋_GB2312" w:hAnsi="仿宋_GB2312" w:eastAsia="仿宋_GB2312" w:cs="仿宋_GB2312"/>
          <w:b w:val="0"/>
          <w:bCs/>
          <w:color w:val="auto"/>
          <w:sz w:val="28"/>
          <w:szCs w:val="28"/>
          <w:highlight w:val="none"/>
          <w:lang w:val="en-US" w:eastAsia="zh-CN"/>
        </w:rPr>
        <w:t>成本逼近法</w:t>
      </w:r>
      <w:r>
        <w:rPr>
          <w:rFonts w:hint="default" w:ascii="仿宋_GB2312" w:hAnsi="仿宋_GB2312" w:eastAsia="仿宋_GB2312" w:cs="仿宋_GB2312"/>
          <w:b w:val="0"/>
          <w:bCs/>
          <w:color w:val="auto"/>
          <w:sz w:val="28"/>
          <w:szCs w:val="28"/>
          <w:highlight w:val="none"/>
          <w:lang w:val="en-US" w:eastAsia="zh-CN"/>
        </w:rPr>
        <w:t>和</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US" w:eastAsia="zh-CN"/>
        </w:rPr>
        <w:t>进行评估确定。</w:t>
      </w:r>
    </w:p>
    <w:p w14:paraId="16DD924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ROMAN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II</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、估价过程：</w:t>
      </w:r>
    </w:p>
    <w:p w14:paraId="6541DB9E">
      <w:pPr>
        <w:spacing w:line="460" w:lineRule="exact"/>
        <w:ind w:firstLine="562" w:firstLineChars="200"/>
        <w:outlineLvl w:val="2"/>
        <w:rPr>
          <w:rFonts w:hint="eastAsia" w:ascii="仿宋_GB2312" w:hAnsi="Times New Roman" w:eastAsia="仿宋_GB2312" w:cs="Times New Roman"/>
          <w:b/>
          <w:bCs/>
          <w:sz w:val="28"/>
          <w:szCs w:val="30"/>
          <w:highlight w:val="none"/>
          <w:lang w:val="en-GB"/>
        </w:rPr>
      </w:pPr>
      <w:r>
        <w:rPr>
          <w:rFonts w:hint="eastAsia" w:ascii="仿宋_GB2312" w:hAnsi="Times New Roman" w:eastAsia="仿宋_GB2312" w:cs="Times New Roman"/>
          <w:b/>
          <w:bCs/>
          <w:sz w:val="28"/>
          <w:szCs w:val="30"/>
          <w:highlight w:val="none"/>
          <w:lang w:val="en-GB"/>
        </w:rPr>
        <w:t>★</w:t>
      </w:r>
      <w:r>
        <w:rPr>
          <w:rFonts w:hint="eastAsia" w:ascii="仿宋_GB2312" w:eastAsia="仿宋_GB2312" w:cs="Times New Roman"/>
          <w:b/>
          <w:bCs/>
          <w:sz w:val="28"/>
          <w:szCs w:val="30"/>
          <w:highlight w:val="none"/>
          <w:lang w:val="en-US" w:eastAsia="zh-CN"/>
        </w:rPr>
        <w:t>成本逼近</w:t>
      </w:r>
      <w:r>
        <w:rPr>
          <w:rFonts w:hint="eastAsia" w:ascii="仿宋_GB2312" w:hAnsi="Times New Roman" w:eastAsia="仿宋_GB2312" w:cs="Times New Roman"/>
          <w:b/>
          <w:bCs/>
          <w:sz w:val="28"/>
          <w:szCs w:val="30"/>
          <w:highlight w:val="none"/>
          <w:lang w:val="en-GB"/>
        </w:rPr>
        <w:t>法</w:t>
      </w:r>
    </w:p>
    <w:p w14:paraId="2FD627A2">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27B175AC">
      <w:pPr>
        <w:spacing w:line="480" w:lineRule="exact"/>
        <w:jc w:val="center"/>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p>
    <w:p w14:paraId="41FE59C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式中：</w:t>
      </w:r>
    </w:p>
    <w:p w14:paraId="45EAF091">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V—估价价格</w:t>
      </w:r>
    </w:p>
    <w:p w14:paraId="48CAE5D6">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—土地取得费</w:t>
      </w:r>
    </w:p>
    <w:p w14:paraId="33EAC862">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—土地开发费</w:t>
      </w:r>
    </w:p>
    <w:p w14:paraId="456761E3">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T—税费</w:t>
      </w:r>
    </w:p>
    <w:p w14:paraId="70309514">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—利息</w:t>
      </w:r>
    </w:p>
    <w:p w14:paraId="3ADE03AD">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—利润</w:t>
      </w:r>
    </w:p>
    <w:p w14:paraId="1472D2D8">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—土地增值</w:t>
      </w:r>
    </w:p>
    <w:p w14:paraId="1A70A99C">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—土地成本价</w:t>
      </w:r>
    </w:p>
    <w:p w14:paraId="37FA9EFD">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2233F9B">
      <w:pPr>
        <w:spacing w:line="480" w:lineRule="exact"/>
        <w:ind w:firstLine="560" w:firstLineChars="200"/>
        <w:rPr>
          <w:rFonts w:eastAsia="仿宋_GB2312"/>
          <w:sz w:val="28"/>
          <w:szCs w:val="28"/>
          <w:highlight w:val="none"/>
        </w:rPr>
      </w:pPr>
      <w:r>
        <w:rPr>
          <w:rFonts w:eastAsia="仿宋_GB2312"/>
          <w:sz w:val="28"/>
          <w:szCs w:val="28"/>
          <w:highlight w:val="none"/>
        </w:rPr>
        <w:t>估价对象位于</w:t>
      </w:r>
      <w:r>
        <w:rPr>
          <w:rFonts w:hint="eastAsia" w:eastAsia="仿宋_GB2312"/>
          <w:sz w:val="28"/>
          <w:szCs w:val="28"/>
          <w:highlight w:val="none"/>
          <w:lang w:val="en-US" w:eastAsia="zh-CN"/>
        </w:rPr>
        <w:t>道县月岩西路</w:t>
      </w:r>
      <w:r>
        <w:rPr>
          <w:rFonts w:eastAsia="仿宋_GB2312"/>
          <w:sz w:val="28"/>
          <w:szCs w:val="28"/>
          <w:highlight w:val="none"/>
        </w:rPr>
        <w:t>，根据</w:t>
      </w:r>
      <w:r>
        <w:rPr>
          <w:rFonts w:hint="eastAsia" w:ascii="仿宋_GB2312" w:hAnsi="仿宋_GB2312" w:eastAsia="仿宋_GB2312" w:cs="仿宋_GB2312"/>
          <w:bCs/>
          <w:sz w:val="28"/>
          <w:szCs w:val="28"/>
          <w:highlight w:val="none"/>
          <w:lang w:val="en-US" w:eastAsia="zh-CN"/>
        </w:rPr>
        <w:t>对估价对象周边区域用地调查</w:t>
      </w:r>
      <w:r>
        <w:rPr>
          <w:rFonts w:eastAsia="仿宋_GB2312"/>
          <w:sz w:val="28"/>
          <w:szCs w:val="28"/>
          <w:highlight w:val="none"/>
        </w:rPr>
        <w:t>，评估宗地</w:t>
      </w:r>
      <w:r>
        <w:rPr>
          <w:rFonts w:hint="eastAsia" w:eastAsia="仿宋_GB2312"/>
          <w:sz w:val="28"/>
          <w:szCs w:val="28"/>
          <w:highlight w:val="none"/>
          <w:lang w:val="en-US" w:eastAsia="zh-CN"/>
        </w:rPr>
        <w:t>以耕地</w:t>
      </w:r>
      <w:r>
        <w:rPr>
          <w:rFonts w:eastAsia="仿宋_GB2312"/>
          <w:sz w:val="28"/>
          <w:szCs w:val="28"/>
          <w:highlight w:val="none"/>
        </w:rPr>
        <w:t>为主，此次采用成本逼近法评估待估宗地地价时，考虑估价期日被征用的土地为</w:t>
      </w:r>
      <w:r>
        <w:rPr>
          <w:rFonts w:hint="eastAsia" w:eastAsia="仿宋_GB2312"/>
          <w:sz w:val="28"/>
          <w:szCs w:val="28"/>
          <w:highlight w:val="none"/>
          <w:lang w:val="en-US" w:eastAsia="zh-CN"/>
        </w:rPr>
        <w:t>耕地</w:t>
      </w:r>
      <w:r>
        <w:rPr>
          <w:rFonts w:eastAsia="仿宋_GB2312"/>
          <w:sz w:val="28"/>
          <w:szCs w:val="28"/>
          <w:highlight w:val="none"/>
        </w:rPr>
        <w:t>。</w:t>
      </w:r>
    </w:p>
    <w:p w14:paraId="0AFD832F">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sz w:val="28"/>
          <w:szCs w:val="30"/>
          <w:highlight w:val="none"/>
          <w:lang w:val="en-US" w:eastAsia="zh-CN"/>
        </w:rPr>
      </w:pPr>
      <w:r>
        <w:rPr>
          <w:rFonts w:hint="eastAsia" w:ascii="仿宋_GB2312" w:hAnsi="仿宋_GB2312" w:eastAsia="仿宋_GB2312" w:cs="仿宋_GB2312"/>
          <w:color w:val="000000"/>
          <w:sz w:val="28"/>
          <w:szCs w:val="28"/>
          <w:highlight w:val="none"/>
        </w:rPr>
        <w:t>估价对象的估价期日为</w:t>
      </w:r>
      <w:r>
        <w:rPr>
          <w:rFonts w:hint="eastAsia" w:ascii="仿宋_GB2312" w:hAnsi="仿宋_GB2312" w:cs="仿宋_GB2312"/>
          <w:sz w:val="28"/>
          <w:szCs w:val="28"/>
          <w:highlight w:val="none"/>
          <w:lang w:val="en-US" w:eastAsia="zh-CN"/>
        </w:rPr>
        <w:t>2026年5月18日</w:t>
      </w:r>
      <w:r>
        <w:rPr>
          <w:rFonts w:hint="eastAsia" w:ascii="仿宋_GB2312" w:hAnsi="仿宋_GB2312" w:eastAsia="仿宋_GB2312" w:cs="仿宋_GB2312"/>
          <w:color w:val="000000"/>
          <w:sz w:val="28"/>
          <w:szCs w:val="28"/>
          <w:highlight w:val="none"/>
        </w:rPr>
        <w:t>，根据新土地管理法规定结合</w:t>
      </w:r>
      <w:r>
        <w:rPr>
          <w:rFonts w:hint="eastAsia" w:ascii="仿宋_GB2312" w:hAnsi="仿宋_GB2312" w:eastAsia="仿宋_GB2312" w:cs="仿宋_GB2312"/>
          <w:bCs/>
          <w:sz w:val="28"/>
          <w:szCs w:val="28"/>
          <w:highlight w:val="none"/>
          <w:lang w:val="en-US" w:eastAsia="zh-CN"/>
        </w:rPr>
        <w:t>《湖南省人民政府关于调整湖南省征地补偿标准的通知》（湘政发〔2024〕1号，2024年1月31日）</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eastAsia="zh-CN"/>
        </w:rPr>
        <w:t>《湖南省自然资源厅关于调整征收农用地补偿区片空间范围的通知》（湘自资发〔2024〕7号，</w:t>
      </w:r>
      <w:r>
        <w:rPr>
          <w:rFonts w:hint="eastAsia" w:ascii="仿宋_GB2312" w:hAnsi="仿宋_GB2312" w:eastAsia="仿宋_GB2312" w:cs="仿宋_GB2312"/>
          <w:color w:val="000000"/>
          <w:sz w:val="28"/>
          <w:szCs w:val="28"/>
          <w:highlight w:val="none"/>
          <w:lang w:val="en-US" w:eastAsia="zh-CN"/>
        </w:rPr>
        <w:t>2024年2月1日</w:t>
      </w:r>
      <w:r>
        <w:rPr>
          <w:rFonts w:hint="eastAsia" w:ascii="仿宋_GB2312" w:hAnsi="仿宋_GB2312" w:eastAsia="仿宋_GB2312" w:cs="仿宋_GB2312"/>
          <w:color w:val="000000"/>
          <w:sz w:val="28"/>
          <w:szCs w:val="28"/>
          <w:highlight w:val="none"/>
          <w:lang w:eastAsia="zh-CN"/>
        </w:rPr>
        <w:t>）、</w:t>
      </w:r>
      <w:r>
        <w:rPr>
          <w:rFonts w:hint="eastAsia" w:ascii="仿宋_GB2312" w:hAnsi="仿宋_GB2312" w:eastAsia="仿宋_GB2312" w:cs="仿宋_GB2312"/>
          <w:bCs/>
          <w:sz w:val="28"/>
          <w:szCs w:val="28"/>
          <w:highlight w:val="none"/>
          <w:lang w:val="en-US" w:eastAsia="zh-CN"/>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color w:val="000000" w:themeColor="text1"/>
          <w:sz w:val="28"/>
          <w:szCs w:val="28"/>
          <w:highlight w:val="none"/>
          <w14:textFill>
            <w14:solidFill>
              <w14:schemeClr w14:val="tx1"/>
            </w14:solidFill>
          </w14:textFill>
        </w:rPr>
        <w:t>颁布其他各项文件为依据。根据成本逼近法测算地价的步骤，其各项费用如下：</w:t>
      </w:r>
    </w:p>
    <w:p w14:paraId="09258BF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3EC40407">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0AA37DF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6E72B338">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为耕地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I</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耕地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06FFCAB7">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99.45</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7527774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5E466C10">
      <w:pPr>
        <w:snapToGrid w:val="0"/>
        <w:spacing w:line="480" w:lineRule="exact"/>
        <w:ind w:firstLine="560" w:firstLineChars="200"/>
        <w:rPr>
          <w:rFonts w:hint="eastAsia" w:ascii="仿宋_GB2312" w:hAnsi="仿宋_GB2312" w:eastAsia="仿宋_GB2312" w:cs="仿宋_GB2312"/>
          <w:sz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z w:val="28"/>
          <w:highlight w:val="none"/>
        </w:rPr>
        <w:t>永州市人民政府关于印发《永州市集体土地与房屋征收补偿安置办法》的通知（永政发〔2024〕4号，2024年5月11日）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道县</w:t>
      </w:r>
      <w:r>
        <w:rPr>
          <w:rFonts w:hint="eastAsia" w:ascii="仿宋_GB2312" w:hAnsi="仿宋_GB2312" w:eastAsia="仿宋_GB2312" w:cs="仿宋_GB2312"/>
          <w:sz w:val="28"/>
          <w:szCs w:val="28"/>
          <w:highlight w:val="none"/>
        </w:rPr>
        <w:t>的</w:t>
      </w:r>
      <w:r>
        <w:rPr>
          <w:rFonts w:hint="eastAsia" w:ascii="仿宋_GB2312" w:hAnsi="仿宋_GB2312" w:eastAsia="仿宋_GB2312" w:cs="仿宋_GB2312"/>
          <w:sz w:val="28"/>
          <w:szCs w:val="28"/>
          <w:highlight w:val="none"/>
          <w:lang w:val="en-US" w:eastAsia="zh-CN"/>
        </w:rPr>
        <w:t>水田</w:t>
      </w:r>
      <w:r>
        <w:rPr>
          <w:rFonts w:hint="eastAsia" w:ascii="仿宋_GB2312" w:hAnsi="仿宋_GB2312" w:eastAsia="仿宋_GB2312" w:cs="仿宋_GB2312"/>
          <w:sz w:val="28"/>
          <w:szCs w:val="28"/>
          <w:highlight w:val="none"/>
        </w:rPr>
        <w:t>青苗补偿标准为</w:t>
      </w:r>
      <w:r>
        <w:rPr>
          <w:rFonts w:hint="eastAsia" w:ascii="仿宋_GB2312" w:hAnsi="仿宋_GB2312" w:eastAsia="仿宋_GB2312" w:cs="仿宋_GB2312"/>
          <w:sz w:val="28"/>
          <w:szCs w:val="28"/>
          <w:highlight w:val="none"/>
          <w:lang w:val="en-US" w:eastAsia="zh-CN"/>
        </w:rPr>
        <w:t>2800</w:t>
      </w:r>
      <w:r>
        <w:rPr>
          <w:rFonts w:hint="eastAsia" w:ascii="仿宋_GB2312" w:hAnsi="仿宋_GB2312" w:eastAsia="仿宋_GB2312" w:cs="仿宋_GB2312"/>
          <w:sz w:val="28"/>
          <w:highlight w:val="none"/>
        </w:rPr>
        <w:t>元/亩，合</w:t>
      </w:r>
      <w:r>
        <w:rPr>
          <w:rFonts w:hint="eastAsia" w:ascii="仿宋_GB2312" w:hAnsi="仿宋_GB2312" w:eastAsia="仿宋_GB2312" w:cs="仿宋_GB2312"/>
          <w:sz w:val="28"/>
          <w:highlight w:val="none"/>
          <w:lang w:val="en-US" w:eastAsia="zh-CN"/>
        </w:rPr>
        <w:t>4.2</w:t>
      </w:r>
      <w:r>
        <w:rPr>
          <w:rFonts w:hint="eastAsia" w:ascii="仿宋_GB2312" w:hAnsi="仿宋_GB2312" w:eastAsia="仿宋_GB2312" w:cs="仿宋_GB2312"/>
          <w:sz w:val="28"/>
          <w:highlight w:val="none"/>
        </w:rPr>
        <w:t>元/㎡；</w:t>
      </w:r>
    </w:p>
    <w:p w14:paraId="7A8377A6">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z w:val="28"/>
          <w:highlight w:val="none"/>
        </w:rPr>
        <w:t>《永州市集体土地与房屋征收补偿安置办法》的通知（永政发〔2024〕4号，2024年5月11日）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highlight w:val="none"/>
        </w:rPr>
        <w:t>地上建筑物补偿标准计算</w:t>
      </w:r>
      <w:r>
        <w:rPr>
          <w:rFonts w:hint="eastAsia" w:ascii="仿宋_GB2312" w:hAnsi="仿宋_GB2312" w:eastAsia="仿宋_GB2312" w:cs="仿宋_GB2312"/>
          <w:sz w:val="28"/>
          <w:szCs w:val="28"/>
          <w:highlight w:val="none"/>
        </w:rPr>
        <w:t>如下：</w:t>
      </w:r>
    </w:p>
    <w:p w14:paraId="68075F42">
      <w:pPr>
        <w:spacing w:line="480" w:lineRule="exact"/>
        <w:ind w:firstLine="560" w:firstLineChars="200"/>
        <w:jc w:val="center"/>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表3</w:t>
      </w:r>
      <w:r>
        <w:rPr>
          <w:rFonts w:hint="eastAsia" w:ascii="仿宋_GB2312" w:hAnsi="仿宋_GB2312" w:eastAsia="仿宋_GB2312" w:cs="仿宋_GB2312"/>
          <w:sz w:val="28"/>
          <w:szCs w:val="28"/>
          <w:highlight w:val="none"/>
          <w:lang w:val="en-US" w:eastAsia="zh-CN"/>
        </w:rPr>
        <w:t>-1</w:t>
      </w:r>
      <w:r>
        <w:rPr>
          <w:rFonts w:hint="eastAsia" w:ascii="仿宋_GB2312" w:hAnsi="仿宋_GB2312" w:eastAsia="仿宋_GB2312" w:cs="仿宋_GB2312"/>
          <w:sz w:val="28"/>
          <w:szCs w:val="28"/>
          <w:highlight w:val="none"/>
        </w:rPr>
        <w:t xml:space="preserve"> 建筑物补偿标准</w:t>
      </w:r>
    </w:p>
    <w:tbl>
      <w:tblPr>
        <w:tblStyle w:val="12"/>
        <w:tblW w:w="871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560"/>
        <w:gridCol w:w="1755"/>
        <w:gridCol w:w="1335"/>
        <w:gridCol w:w="1005"/>
        <w:gridCol w:w="1704"/>
      </w:tblGrid>
      <w:tr w14:paraId="0ED4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358" w:type="dxa"/>
            <w:noWrap w:val="0"/>
            <w:vAlign w:val="center"/>
          </w:tcPr>
          <w:p w14:paraId="04F2A23A">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补偿项目名称</w:t>
            </w:r>
          </w:p>
        </w:tc>
        <w:tc>
          <w:tcPr>
            <w:tcW w:w="1560" w:type="dxa"/>
            <w:noWrap w:val="0"/>
            <w:vAlign w:val="center"/>
          </w:tcPr>
          <w:p w14:paraId="33183AE8">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附着物补偿标准（元/㎡）</w:t>
            </w:r>
          </w:p>
        </w:tc>
        <w:tc>
          <w:tcPr>
            <w:tcW w:w="1755" w:type="dxa"/>
            <w:noWrap w:val="0"/>
            <w:vAlign w:val="center"/>
          </w:tcPr>
          <w:p w14:paraId="2D3F87B9">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计算基数</w:t>
            </w:r>
          </w:p>
        </w:tc>
        <w:tc>
          <w:tcPr>
            <w:tcW w:w="1335" w:type="dxa"/>
            <w:noWrap w:val="0"/>
            <w:vAlign w:val="center"/>
          </w:tcPr>
          <w:p w14:paraId="508D0690">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人均合法建筑面积（㎡）</w:t>
            </w:r>
          </w:p>
        </w:tc>
        <w:tc>
          <w:tcPr>
            <w:tcW w:w="1005" w:type="dxa"/>
            <w:noWrap w:val="0"/>
            <w:vAlign w:val="center"/>
          </w:tcPr>
          <w:p w14:paraId="4FA96B62">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补偿金额（元）</w:t>
            </w:r>
          </w:p>
        </w:tc>
        <w:tc>
          <w:tcPr>
            <w:tcW w:w="1704" w:type="dxa"/>
            <w:noWrap w:val="0"/>
            <w:vAlign w:val="center"/>
          </w:tcPr>
          <w:p w14:paraId="5D60CCC5">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备注</w:t>
            </w:r>
          </w:p>
        </w:tc>
      </w:tr>
      <w:tr w14:paraId="5365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358" w:type="dxa"/>
            <w:noWrap w:val="0"/>
            <w:vAlign w:val="center"/>
          </w:tcPr>
          <w:p w14:paraId="6137705A">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房屋补偿费</w:t>
            </w:r>
          </w:p>
        </w:tc>
        <w:tc>
          <w:tcPr>
            <w:tcW w:w="1560" w:type="dxa"/>
            <w:noWrap w:val="0"/>
            <w:vAlign w:val="center"/>
          </w:tcPr>
          <w:p w14:paraId="437C685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1350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c>
          <w:tcPr>
            <w:tcW w:w="1755" w:type="dxa"/>
            <w:noWrap w:val="0"/>
            <w:vAlign w:val="center"/>
          </w:tcPr>
          <w:p w14:paraId="70BD9C11">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按合法建筑面积</w:t>
            </w:r>
          </w:p>
        </w:tc>
        <w:tc>
          <w:tcPr>
            <w:tcW w:w="1335" w:type="dxa"/>
            <w:noWrap w:val="0"/>
            <w:vAlign w:val="center"/>
          </w:tcPr>
          <w:p w14:paraId="7A7FA1E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w:t>
            </w:r>
          </w:p>
        </w:tc>
        <w:tc>
          <w:tcPr>
            <w:tcW w:w="1005" w:type="dxa"/>
            <w:noWrap w:val="0"/>
            <w:vAlign w:val="center"/>
          </w:tcPr>
          <w:p w14:paraId="33F3DCFE">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94500</w:t>
            </w:r>
          </w:p>
        </w:tc>
        <w:tc>
          <w:tcPr>
            <w:tcW w:w="1704" w:type="dxa"/>
            <w:noWrap w:val="0"/>
            <w:vAlign w:val="center"/>
          </w:tcPr>
          <w:p w14:paraId="583F8DD2">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砖混，本补偿标准含室内外装饰、装修</w:t>
            </w:r>
          </w:p>
        </w:tc>
      </w:tr>
      <w:tr w14:paraId="218D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1358" w:type="dxa"/>
            <w:noWrap w:val="0"/>
            <w:vAlign w:val="center"/>
          </w:tcPr>
          <w:p w14:paraId="6BFB59C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主动腾地奖</w:t>
            </w:r>
          </w:p>
        </w:tc>
        <w:tc>
          <w:tcPr>
            <w:tcW w:w="1560" w:type="dxa"/>
            <w:noWrap w:val="0"/>
            <w:vAlign w:val="center"/>
          </w:tcPr>
          <w:p w14:paraId="2E2CD87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c>
          <w:tcPr>
            <w:tcW w:w="1755" w:type="dxa"/>
            <w:noWrap w:val="0"/>
            <w:vAlign w:val="center"/>
          </w:tcPr>
          <w:p w14:paraId="7A359EF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按合法建筑面积</w:t>
            </w:r>
          </w:p>
        </w:tc>
        <w:tc>
          <w:tcPr>
            <w:tcW w:w="1335" w:type="dxa"/>
            <w:noWrap w:val="0"/>
            <w:vAlign w:val="center"/>
          </w:tcPr>
          <w:p w14:paraId="046AEE3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w:t>
            </w:r>
          </w:p>
        </w:tc>
        <w:tc>
          <w:tcPr>
            <w:tcW w:w="1005" w:type="dxa"/>
            <w:noWrap w:val="0"/>
            <w:vAlign w:val="center"/>
          </w:tcPr>
          <w:p w14:paraId="5CDD96C7">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7000</w:t>
            </w:r>
          </w:p>
        </w:tc>
        <w:tc>
          <w:tcPr>
            <w:tcW w:w="1704" w:type="dxa"/>
            <w:noWrap w:val="0"/>
            <w:vAlign w:val="center"/>
          </w:tcPr>
          <w:p w14:paraId="6138197F">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按二层计算</w:t>
            </w:r>
          </w:p>
        </w:tc>
      </w:tr>
      <w:tr w14:paraId="59CF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358" w:type="dxa"/>
            <w:noWrap w:val="0"/>
            <w:vAlign w:val="center"/>
          </w:tcPr>
          <w:p w14:paraId="63FA6AE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搬家费</w:t>
            </w:r>
          </w:p>
        </w:tc>
        <w:tc>
          <w:tcPr>
            <w:tcW w:w="1560" w:type="dxa"/>
            <w:noWrap w:val="0"/>
            <w:vAlign w:val="center"/>
          </w:tcPr>
          <w:p w14:paraId="21F012DA">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2000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755" w:type="dxa"/>
            <w:noWrap w:val="0"/>
            <w:vAlign w:val="center"/>
          </w:tcPr>
          <w:p w14:paraId="6AA80BF6">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按每户，</w:t>
            </w:r>
            <w:r>
              <w:rPr>
                <w:rStyle w:val="20"/>
                <w:rFonts w:hint="eastAsia" w:ascii="仿宋_GB2312" w:hAnsi="仿宋_GB2312" w:eastAsia="仿宋_GB2312" w:cs="仿宋_GB2312"/>
                <w:sz w:val="21"/>
                <w:szCs w:val="21"/>
                <w:highlight w:val="none"/>
                <w:lang w:val="en-US" w:eastAsia="zh-CN" w:bidi="ar"/>
              </w:rPr>
              <w:t>4</w:t>
            </w:r>
            <w:r>
              <w:rPr>
                <w:rFonts w:hint="eastAsia" w:ascii="仿宋_GB2312" w:hAnsi="仿宋_GB2312" w:eastAsia="仿宋_GB2312" w:cs="仿宋_GB2312"/>
                <w:i w:val="0"/>
                <w:iCs w:val="0"/>
                <w:color w:val="000000"/>
                <w:kern w:val="0"/>
                <w:sz w:val="21"/>
                <w:szCs w:val="21"/>
                <w:highlight w:val="none"/>
                <w:u w:val="none"/>
                <w:lang w:val="en-US" w:eastAsia="zh-CN" w:bidi="ar"/>
              </w:rPr>
              <w:t>人</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335" w:type="dxa"/>
            <w:noWrap w:val="0"/>
            <w:vAlign w:val="center"/>
          </w:tcPr>
          <w:p w14:paraId="4C411D58">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c>
          <w:tcPr>
            <w:tcW w:w="1005" w:type="dxa"/>
            <w:noWrap w:val="0"/>
            <w:vAlign w:val="center"/>
          </w:tcPr>
          <w:p w14:paraId="62DE4CA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500</w:t>
            </w:r>
          </w:p>
        </w:tc>
        <w:tc>
          <w:tcPr>
            <w:tcW w:w="1704" w:type="dxa"/>
            <w:noWrap w:val="0"/>
            <w:vAlign w:val="center"/>
          </w:tcPr>
          <w:p w14:paraId="115D1F3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按中间值计算</w:t>
            </w:r>
          </w:p>
        </w:tc>
      </w:tr>
      <w:tr w14:paraId="68C2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358" w:type="dxa"/>
            <w:noWrap w:val="0"/>
            <w:vAlign w:val="center"/>
          </w:tcPr>
          <w:p w14:paraId="2002C56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过渡费</w:t>
            </w:r>
          </w:p>
        </w:tc>
        <w:tc>
          <w:tcPr>
            <w:tcW w:w="1560" w:type="dxa"/>
            <w:noWrap w:val="0"/>
            <w:vAlign w:val="center"/>
          </w:tcPr>
          <w:p w14:paraId="5B349BB0">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1000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月</w:t>
            </w:r>
          </w:p>
        </w:tc>
        <w:tc>
          <w:tcPr>
            <w:tcW w:w="1755" w:type="dxa"/>
            <w:noWrap w:val="0"/>
            <w:vAlign w:val="center"/>
          </w:tcPr>
          <w:p w14:paraId="4FD128C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按每户，</w:t>
            </w:r>
            <w:r>
              <w:rPr>
                <w:rStyle w:val="20"/>
                <w:rFonts w:hint="eastAsia" w:ascii="仿宋_GB2312" w:hAnsi="仿宋_GB2312" w:eastAsia="仿宋_GB2312" w:cs="仿宋_GB2312"/>
                <w:sz w:val="21"/>
                <w:szCs w:val="21"/>
                <w:highlight w:val="none"/>
                <w:lang w:val="en-US" w:eastAsia="zh-CN" w:bidi="ar"/>
              </w:rPr>
              <w:t>4</w:t>
            </w:r>
            <w:r>
              <w:rPr>
                <w:rFonts w:hint="eastAsia" w:ascii="仿宋_GB2312" w:hAnsi="仿宋_GB2312" w:eastAsia="仿宋_GB2312" w:cs="仿宋_GB2312"/>
                <w:i w:val="0"/>
                <w:iCs w:val="0"/>
                <w:color w:val="000000"/>
                <w:kern w:val="0"/>
                <w:sz w:val="21"/>
                <w:szCs w:val="21"/>
                <w:highlight w:val="none"/>
                <w:u w:val="none"/>
                <w:lang w:val="en-US" w:eastAsia="zh-CN" w:bidi="ar"/>
              </w:rPr>
              <w:t>人</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335" w:type="dxa"/>
            <w:noWrap w:val="0"/>
            <w:vAlign w:val="center"/>
          </w:tcPr>
          <w:p w14:paraId="5399E40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c>
          <w:tcPr>
            <w:tcW w:w="1005" w:type="dxa"/>
            <w:noWrap w:val="0"/>
            <w:vAlign w:val="center"/>
          </w:tcPr>
          <w:p w14:paraId="682C0DB9">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3000</w:t>
            </w:r>
          </w:p>
        </w:tc>
        <w:tc>
          <w:tcPr>
            <w:tcW w:w="1704" w:type="dxa"/>
            <w:noWrap w:val="0"/>
            <w:vAlign w:val="center"/>
          </w:tcPr>
          <w:p w14:paraId="6DDCF0E1">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过渡期</w:t>
            </w:r>
            <w:r>
              <w:rPr>
                <w:rStyle w:val="20"/>
                <w:rFonts w:hint="eastAsia" w:ascii="仿宋_GB2312" w:hAnsi="仿宋_GB2312" w:eastAsia="仿宋_GB2312" w:cs="仿宋_GB2312"/>
                <w:sz w:val="21"/>
                <w:szCs w:val="21"/>
                <w:highlight w:val="none"/>
                <w:lang w:val="en-US" w:eastAsia="zh-CN" w:bidi="ar"/>
              </w:rPr>
              <w:t>12</w:t>
            </w:r>
            <w:r>
              <w:rPr>
                <w:rFonts w:hint="eastAsia" w:ascii="仿宋_GB2312" w:hAnsi="仿宋_GB2312" w:eastAsia="仿宋_GB2312" w:cs="仿宋_GB2312"/>
                <w:i w:val="0"/>
                <w:iCs w:val="0"/>
                <w:color w:val="000000"/>
                <w:kern w:val="0"/>
                <w:sz w:val="21"/>
                <w:szCs w:val="21"/>
                <w:highlight w:val="none"/>
                <w:u w:val="none"/>
                <w:lang w:val="en-US" w:eastAsia="zh-CN" w:bidi="ar"/>
              </w:rPr>
              <w:t>个月</w:t>
            </w:r>
          </w:p>
        </w:tc>
      </w:tr>
    </w:tbl>
    <w:p w14:paraId="66B587CF">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根据以上测算，区域地上建筑物平均补偿费用为</w:t>
      </w:r>
      <w:r>
        <w:rPr>
          <w:rFonts w:hint="eastAsia" w:ascii="仿宋_GB2312" w:hAnsi="仿宋_GB2312" w:eastAsia="仿宋_GB2312" w:cs="仿宋_GB2312"/>
          <w:sz w:val="28"/>
          <w:highlight w:val="none"/>
          <w:lang w:val="en-US" w:eastAsia="zh-CN"/>
        </w:rPr>
        <w:t>105000</w:t>
      </w:r>
      <w:r>
        <w:rPr>
          <w:rFonts w:hint="eastAsia" w:ascii="仿宋_GB2312" w:hAnsi="仿宋_GB2312" w:eastAsia="仿宋_GB2312" w:cs="仿宋_GB2312"/>
          <w:sz w:val="28"/>
          <w:highlight w:val="none"/>
        </w:rPr>
        <w:t>元/人。据湖南征地信息平台公布的数据，收集到的区域三个征地案例的安置农业人口数，确定区域农业人口数约</w:t>
      </w:r>
      <w:r>
        <w:rPr>
          <w:rFonts w:hint="eastAsia" w:ascii="仿宋_GB2312" w:hAnsi="仿宋_GB2312" w:eastAsia="仿宋_GB2312" w:cs="仿宋_GB2312"/>
          <w:sz w:val="28"/>
          <w:highlight w:val="none"/>
          <w:lang w:val="en-US" w:eastAsia="zh-CN"/>
        </w:rPr>
        <w:t>12.82</w:t>
      </w:r>
      <w:r>
        <w:rPr>
          <w:rFonts w:hint="eastAsia" w:ascii="仿宋_GB2312" w:hAnsi="仿宋_GB2312" w:eastAsia="仿宋_GB2312" w:cs="仿宋_GB2312"/>
          <w:sz w:val="28"/>
          <w:highlight w:val="none"/>
        </w:rPr>
        <w:t>人/公顷。具体补偿人口数量详见下表：</w:t>
      </w:r>
    </w:p>
    <w:p w14:paraId="60FF420F">
      <w:pPr>
        <w:spacing w:line="480" w:lineRule="exact"/>
        <w:ind w:firstLine="560" w:firstLineChars="200"/>
        <w:jc w:val="center"/>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表</w:t>
      </w:r>
      <w:r>
        <w:rPr>
          <w:rFonts w:hint="eastAsia" w:ascii="仿宋_GB2312" w:hAnsi="仿宋_GB2312" w:eastAsia="仿宋_GB2312" w:cs="仿宋_GB2312"/>
          <w:sz w:val="28"/>
          <w:szCs w:val="28"/>
          <w:highlight w:val="none"/>
          <w:lang w:val="en-US" w:eastAsia="zh-CN"/>
        </w:rPr>
        <w:t>3-2</w:t>
      </w:r>
      <w:r>
        <w:rPr>
          <w:rFonts w:hint="eastAsia" w:ascii="仿宋_GB2312" w:hAnsi="仿宋_GB2312" w:eastAsia="仿宋_GB2312" w:cs="仿宋_GB2312"/>
          <w:sz w:val="28"/>
          <w:szCs w:val="28"/>
          <w:highlight w:val="none"/>
        </w:rPr>
        <w:t>平均</w:t>
      </w:r>
      <w:r>
        <w:rPr>
          <w:rFonts w:hint="eastAsia" w:ascii="仿宋_GB2312" w:hAnsi="仿宋_GB2312" w:eastAsia="仿宋_GB2312" w:cs="仿宋_GB2312"/>
          <w:sz w:val="28"/>
          <w:highlight w:val="none"/>
        </w:rPr>
        <w:t>安置农业人口数确定表</w:t>
      </w:r>
    </w:p>
    <w:tbl>
      <w:tblPr>
        <w:tblStyle w:val="12"/>
        <w:tblW w:w="863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9"/>
        <w:gridCol w:w="2467"/>
        <w:gridCol w:w="1289"/>
        <w:gridCol w:w="1266"/>
        <w:gridCol w:w="1586"/>
      </w:tblGrid>
      <w:tr w14:paraId="72D0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029" w:type="dxa"/>
            <w:noWrap w:val="0"/>
            <w:vAlign w:val="center"/>
          </w:tcPr>
          <w:p w14:paraId="4679DA0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项目名称</w:t>
            </w:r>
          </w:p>
        </w:tc>
        <w:tc>
          <w:tcPr>
            <w:tcW w:w="2467" w:type="dxa"/>
            <w:noWrap w:val="0"/>
            <w:vAlign w:val="center"/>
          </w:tcPr>
          <w:p w14:paraId="63F6E5F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位置</w:t>
            </w:r>
          </w:p>
        </w:tc>
        <w:tc>
          <w:tcPr>
            <w:tcW w:w="1289" w:type="dxa"/>
            <w:noWrap w:val="0"/>
            <w:vAlign w:val="center"/>
          </w:tcPr>
          <w:p w14:paraId="436A47F6">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用地面积</w:t>
            </w:r>
          </w:p>
          <w:p w14:paraId="166198FF">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（h㎡）</w:t>
            </w:r>
          </w:p>
        </w:tc>
        <w:tc>
          <w:tcPr>
            <w:tcW w:w="1266" w:type="dxa"/>
            <w:noWrap w:val="0"/>
            <w:vAlign w:val="center"/>
          </w:tcPr>
          <w:p w14:paraId="58F7164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安置农业人口（人）</w:t>
            </w:r>
          </w:p>
        </w:tc>
        <w:tc>
          <w:tcPr>
            <w:tcW w:w="1586" w:type="dxa"/>
            <w:noWrap w:val="0"/>
            <w:vAlign w:val="center"/>
          </w:tcPr>
          <w:p w14:paraId="53BF67C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安置人口数折合人/公顷</w:t>
            </w:r>
          </w:p>
        </w:tc>
      </w:tr>
      <w:tr w14:paraId="1CFF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029" w:type="dxa"/>
            <w:noWrap w:val="0"/>
            <w:vAlign w:val="center"/>
          </w:tcPr>
          <w:p w14:paraId="73118DF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道县2023年第五批次建设用地</w:t>
            </w:r>
          </w:p>
        </w:tc>
        <w:tc>
          <w:tcPr>
            <w:tcW w:w="2467" w:type="dxa"/>
            <w:noWrap w:val="0"/>
            <w:vAlign w:val="center"/>
          </w:tcPr>
          <w:p w14:paraId="06EE8E4C">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道县东门街道乌家山社区、富塘街道五里牌社区、溪街道东阳社区</w:t>
            </w:r>
          </w:p>
        </w:tc>
        <w:tc>
          <w:tcPr>
            <w:tcW w:w="1289" w:type="dxa"/>
            <w:noWrap w:val="0"/>
            <w:vAlign w:val="center"/>
          </w:tcPr>
          <w:p w14:paraId="23FD5E3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1.3883</w:t>
            </w:r>
          </w:p>
        </w:tc>
        <w:tc>
          <w:tcPr>
            <w:tcW w:w="1266" w:type="dxa"/>
            <w:noWrap w:val="0"/>
            <w:vAlign w:val="center"/>
          </w:tcPr>
          <w:p w14:paraId="24E5BE1A">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9</w:t>
            </w:r>
          </w:p>
        </w:tc>
        <w:tc>
          <w:tcPr>
            <w:tcW w:w="1586" w:type="dxa"/>
            <w:noWrap w:val="0"/>
            <w:vAlign w:val="center"/>
          </w:tcPr>
          <w:p w14:paraId="49945E78">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6.48</w:t>
            </w:r>
          </w:p>
        </w:tc>
      </w:tr>
      <w:tr w14:paraId="6E45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029" w:type="dxa"/>
            <w:noWrap w:val="0"/>
            <w:vAlign w:val="center"/>
          </w:tcPr>
          <w:p w14:paraId="2BC107A9">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道县2023年第四批次建设用地</w:t>
            </w:r>
          </w:p>
        </w:tc>
        <w:tc>
          <w:tcPr>
            <w:tcW w:w="2467" w:type="dxa"/>
            <w:noWrap w:val="0"/>
            <w:vAlign w:val="center"/>
          </w:tcPr>
          <w:p w14:paraId="42562DA3">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道县东门街道东门社区、乌家山社区、北门社区</w:t>
            </w:r>
          </w:p>
        </w:tc>
        <w:tc>
          <w:tcPr>
            <w:tcW w:w="1289" w:type="dxa"/>
            <w:noWrap w:val="0"/>
            <w:vAlign w:val="center"/>
          </w:tcPr>
          <w:p w14:paraId="73B4306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0.9904</w:t>
            </w:r>
          </w:p>
        </w:tc>
        <w:tc>
          <w:tcPr>
            <w:tcW w:w="1266" w:type="dxa"/>
            <w:noWrap w:val="0"/>
            <w:vAlign w:val="center"/>
          </w:tcPr>
          <w:p w14:paraId="68FD0515">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16</w:t>
            </w:r>
          </w:p>
        </w:tc>
        <w:tc>
          <w:tcPr>
            <w:tcW w:w="1586" w:type="dxa"/>
            <w:noWrap w:val="0"/>
            <w:vAlign w:val="center"/>
          </w:tcPr>
          <w:p w14:paraId="1B22CA1F">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16.16</w:t>
            </w:r>
          </w:p>
        </w:tc>
      </w:tr>
      <w:tr w14:paraId="41E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9" w:type="dxa"/>
            <w:noWrap w:val="0"/>
            <w:vAlign w:val="center"/>
          </w:tcPr>
          <w:p w14:paraId="19BBDF84">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道县2023年第三批次建设用地</w:t>
            </w:r>
          </w:p>
        </w:tc>
        <w:tc>
          <w:tcPr>
            <w:tcW w:w="2467" w:type="dxa"/>
            <w:noWrap w:val="0"/>
            <w:vAlign w:val="center"/>
          </w:tcPr>
          <w:p w14:paraId="04C03930">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道县万家庄街道下洞社区</w:t>
            </w:r>
          </w:p>
        </w:tc>
        <w:tc>
          <w:tcPr>
            <w:tcW w:w="1289" w:type="dxa"/>
            <w:noWrap w:val="0"/>
            <w:vAlign w:val="center"/>
          </w:tcPr>
          <w:p w14:paraId="18138F9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4.83283</w:t>
            </w:r>
          </w:p>
        </w:tc>
        <w:tc>
          <w:tcPr>
            <w:tcW w:w="1266" w:type="dxa"/>
            <w:noWrap w:val="0"/>
            <w:vAlign w:val="center"/>
          </w:tcPr>
          <w:p w14:paraId="0967F218">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40</w:t>
            </w:r>
          </w:p>
        </w:tc>
        <w:tc>
          <w:tcPr>
            <w:tcW w:w="1586" w:type="dxa"/>
            <w:noWrap w:val="0"/>
            <w:vAlign w:val="center"/>
          </w:tcPr>
          <w:p w14:paraId="24A657EF">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15.82</w:t>
            </w:r>
          </w:p>
        </w:tc>
      </w:tr>
      <w:tr w14:paraId="72D8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9" w:type="dxa"/>
            <w:noWrap w:val="0"/>
            <w:vAlign w:val="center"/>
          </w:tcPr>
          <w:p w14:paraId="0709C5F9">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平均值</w:t>
            </w:r>
          </w:p>
        </w:tc>
        <w:tc>
          <w:tcPr>
            <w:tcW w:w="2467" w:type="dxa"/>
            <w:noWrap w:val="0"/>
            <w:vAlign w:val="center"/>
          </w:tcPr>
          <w:p w14:paraId="0BB9B09D">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289" w:type="dxa"/>
            <w:noWrap w:val="0"/>
            <w:vAlign w:val="center"/>
          </w:tcPr>
          <w:p w14:paraId="1176DCC2">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266" w:type="dxa"/>
            <w:noWrap w:val="0"/>
            <w:vAlign w:val="center"/>
          </w:tcPr>
          <w:p w14:paraId="7C9520AE">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586" w:type="dxa"/>
            <w:noWrap w:val="0"/>
            <w:vAlign w:val="center"/>
          </w:tcPr>
          <w:p w14:paraId="21C6920C">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i w:val="0"/>
                <w:iCs w:val="0"/>
                <w:color w:val="auto"/>
                <w:kern w:val="0"/>
                <w:sz w:val="21"/>
                <w:szCs w:val="21"/>
                <w:highlight w:val="none"/>
                <w:u w:val="none"/>
                <w:lang w:val="en-US" w:eastAsia="zh-CN" w:bidi="ar"/>
              </w:rPr>
              <w:t>12.82</w:t>
            </w:r>
          </w:p>
        </w:tc>
      </w:tr>
    </w:tbl>
    <w:p w14:paraId="1BD6F1AD">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则地上附着物补偿标准为地上建筑物费用+青苗费补偿</w:t>
      </w:r>
    </w:p>
    <w:p w14:paraId="220CD6BD">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105000</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1282</w:t>
      </w:r>
      <w:r>
        <w:rPr>
          <w:rFonts w:hint="eastAsia" w:ascii="仿宋_GB2312" w:hAnsi="仿宋_GB2312" w:eastAsia="仿宋_GB2312" w:cs="仿宋_GB2312"/>
          <w:sz w:val="28"/>
          <w:highlight w:val="none"/>
        </w:rPr>
        <w:t>÷10000+</w:t>
      </w:r>
      <w:r>
        <w:rPr>
          <w:rFonts w:hint="eastAsia" w:ascii="仿宋_GB2312" w:hAnsi="仿宋_GB2312" w:eastAsia="仿宋_GB2312" w:cs="仿宋_GB2312"/>
          <w:sz w:val="28"/>
          <w:highlight w:val="none"/>
          <w:lang w:val="en-US" w:eastAsia="zh-CN"/>
        </w:rPr>
        <w:t>4.2</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138.81</w:t>
      </w:r>
      <w:r>
        <w:rPr>
          <w:rFonts w:hint="eastAsia" w:ascii="仿宋_GB2312" w:hAnsi="仿宋_GB2312" w:eastAsia="仿宋_GB2312" w:cs="仿宋_GB2312"/>
          <w:sz w:val="28"/>
          <w:highlight w:val="none"/>
        </w:rPr>
        <w:t>元/㎡。</w:t>
      </w:r>
    </w:p>
    <w:p w14:paraId="093DCA87">
      <w:pPr>
        <w:snapToGrid w:val="0"/>
        <w:spacing w:line="480" w:lineRule="exact"/>
        <w:ind w:firstLine="560" w:firstLineChars="200"/>
        <w:rPr>
          <w:rFonts w:hint="eastAsia" w:ascii="仿宋_GB2312" w:hAnsi="仿宋_GB2312" w:eastAsia="仿宋_GB2312" w:cs="仿宋_GB2312"/>
          <w:color w:val="000000"/>
          <w:sz w:val="28"/>
          <w:highlight w:val="none"/>
        </w:rPr>
      </w:pPr>
      <w:r>
        <w:rPr>
          <w:rFonts w:hint="eastAsia" w:ascii="仿宋_GB2312" w:hAnsi="仿宋_GB2312" w:eastAsia="仿宋_GB2312" w:cs="仿宋_GB2312"/>
          <w:color w:val="000000"/>
          <w:sz w:val="28"/>
          <w:highlight w:val="none"/>
        </w:rPr>
        <w:t>故：土地取得费＝①＋②</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99.45</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138.81</w:t>
      </w:r>
      <w:r>
        <w:rPr>
          <w:rFonts w:hint="eastAsia" w:ascii="仿宋_GB2312" w:hAnsi="仿宋_GB2312" w:eastAsia="仿宋_GB2312" w:cs="仿宋_GB2312"/>
          <w:sz w:val="28"/>
          <w:highlight w:val="none"/>
        </w:rPr>
        <w:t>=</w:t>
      </w:r>
      <w:r>
        <w:rPr>
          <w:rFonts w:hint="eastAsia" w:ascii="仿宋_GB2312" w:hAnsi="仿宋_GB2312" w:eastAsia="仿宋_GB2312" w:cs="仿宋_GB2312"/>
          <w:color w:val="000000"/>
          <w:sz w:val="28"/>
          <w:highlight w:val="none"/>
          <w:lang w:val="en-US" w:eastAsia="zh-CN"/>
        </w:rPr>
        <w:t>238.26</w:t>
      </w:r>
      <w:r>
        <w:rPr>
          <w:rFonts w:hint="eastAsia" w:ascii="仿宋_GB2312" w:hAnsi="仿宋_GB2312" w:eastAsia="仿宋_GB2312" w:cs="仿宋_GB2312"/>
          <w:color w:val="000000"/>
          <w:sz w:val="28"/>
          <w:highlight w:val="none"/>
        </w:rPr>
        <w:t>元/平方米</w:t>
      </w:r>
      <w:r>
        <w:rPr>
          <w:rFonts w:hint="eastAsia" w:ascii="仿宋_GB2312" w:hAnsi="仿宋_GB2312" w:eastAsia="仿宋_GB2312" w:cs="仿宋_GB2312"/>
          <w:sz w:val="28"/>
          <w:szCs w:val="21"/>
          <w:highlight w:val="none"/>
        </w:rPr>
        <w:t>。</w:t>
      </w:r>
    </w:p>
    <w:p w14:paraId="5043DC2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1E7347D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2FC4BE0C">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434B6AC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036EA62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故此次评估</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耕地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85F886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48361F09">
      <w:pPr>
        <w:snapToGrid w:val="0"/>
        <w:spacing w:line="440" w:lineRule="exact"/>
        <w:ind w:firstLine="555"/>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color w:val="000000" w:themeColor="text1"/>
          <w:sz w:val="28"/>
          <w:highlight w:val="none"/>
          <w14:textFill>
            <w14:solidFill>
              <w14:schemeClr w14:val="tx1"/>
            </w14:solidFill>
          </w14:textFill>
        </w:rPr>
        <w:t>的通知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估价对象属于中等水田，</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6.6万元/亩，则：</w:t>
      </w:r>
    </w:p>
    <w:p w14:paraId="690CE8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耕地开垦费=6.6×10000×0.0015=99元/平方米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05FCABF">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0BA3788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99</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155.6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B5EE326">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12"/>
        <w:tblW w:w="5000" w:type="pct"/>
        <w:jc w:val="center"/>
        <w:tblLayout w:type="autofit"/>
        <w:tblCellMar>
          <w:top w:w="0" w:type="dxa"/>
          <w:left w:w="0" w:type="dxa"/>
          <w:bottom w:w="0" w:type="dxa"/>
          <w:right w:w="0" w:type="dxa"/>
        </w:tblCellMar>
      </w:tblPr>
      <w:tblGrid>
        <w:gridCol w:w="1571"/>
        <w:gridCol w:w="1559"/>
        <w:gridCol w:w="1277"/>
        <w:gridCol w:w="1443"/>
        <w:gridCol w:w="1555"/>
        <w:gridCol w:w="1117"/>
      </w:tblGrid>
      <w:tr w14:paraId="166BDAB5">
        <w:tblPrEx>
          <w:tblCellMar>
            <w:top w:w="0" w:type="dxa"/>
            <w:left w:w="0" w:type="dxa"/>
            <w:bottom w:w="0" w:type="dxa"/>
            <w:right w:w="0" w:type="dxa"/>
          </w:tblCellMar>
        </w:tblPrEx>
        <w:trPr>
          <w:trHeight w:val="850" w:hRule="atLeast"/>
          <w:jc w:val="center"/>
        </w:trPr>
        <w:tc>
          <w:tcPr>
            <w:tcW w:w="92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7E767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土地取得费（元/平方米）</w:t>
            </w:r>
          </w:p>
        </w:tc>
        <w:tc>
          <w:tcPr>
            <w:tcW w:w="91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EFCCED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水利建设基金（元/平方米）</w:t>
            </w:r>
          </w:p>
        </w:tc>
        <w:tc>
          <w:tcPr>
            <w:tcW w:w="749"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A1AA0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耕地占用税（元/平方米）</w:t>
            </w:r>
          </w:p>
        </w:tc>
        <w:tc>
          <w:tcPr>
            <w:tcW w:w="846"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CD201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耕地开垦费（元/平方米）</w:t>
            </w:r>
          </w:p>
        </w:tc>
        <w:tc>
          <w:tcPr>
            <w:tcW w:w="91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49D145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社会保障费（元/平方米）</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05525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合计（元/平方米）</w:t>
            </w:r>
          </w:p>
        </w:tc>
      </w:tr>
      <w:tr w14:paraId="177AC768">
        <w:tblPrEx>
          <w:tblCellMar>
            <w:top w:w="0" w:type="dxa"/>
            <w:left w:w="0" w:type="dxa"/>
            <w:bottom w:w="0" w:type="dxa"/>
            <w:right w:w="0" w:type="dxa"/>
          </w:tblCellMar>
        </w:tblPrEx>
        <w:trPr>
          <w:trHeight w:val="234" w:hRule="atLeast"/>
          <w:jc w:val="center"/>
        </w:trPr>
        <w:tc>
          <w:tcPr>
            <w:tcW w:w="92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4F7AE77">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238.26</w:t>
            </w:r>
          </w:p>
        </w:tc>
        <w:tc>
          <w:tcPr>
            <w:tcW w:w="91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A6C98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1.6</w:t>
            </w:r>
          </w:p>
        </w:tc>
        <w:tc>
          <w:tcPr>
            <w:tcW w:w="749"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758C45">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25</w:t>
            </w:r>
          </w:p>
        </w:tc>
        <w:tc>
          <w:tcPr>
            <w:tcW w:w="846"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5A2859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99</w:t>
            </w:r>
          </w:p>
        </w:tc>
        <w:tc>
          <w:tcPr>
            <w:tcW w:w="91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2B4E3A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30</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393.86</w:t>
            </w:r>
          </w:p>
        </w:tc>
      </w:tr>
    </w:tbl>
    <w:p w14:paraId="50C9B04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A1CE51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val="0"/>
        <w:keepLines w:val="0"/>
        <w:pageBreakBefore w:val="0"/>
        <w:widowControl w:val="0"/>
        <w:kinsoku/>
        <w:wordWrap/>
        <w:overflowPunct/>
        <w:topLinePunct w:val="0"/>
        <w:autoSpaceDE w:val="0"/>
        <w:autoSpaceDN w:val="0"/>
        <w:bidi w:val="0"/>
        <w:adjustRightInd w:val="0"/>
        <w:snapToGrid w:val="0"/>
        <w:spacing w:before="120" w:beforeLines="50" w:after="120" w:afterLines="50"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12"/>
        <w:tblW w:w="498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120"/>
        <w:gridCol w:w="1042"/>
        <w:gridCol w:w="891"/>
        <w:gridCol w:w="831"/>
        <w:gridCol w:w="889"/>
        <w:gridCol w:w="1248"/>
        <w:gridCol w:w="765"/>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jc w:val="center"/>
        </w:trPr>
        <w:tc>
          <w:tcPr>
            <w:tcW w:w="1005" w:type="pct"/>
            <w:noWrap w:val="0"/>
            <w:vAlign w:val="center"/>
          </w:tcPr>
          <w:p w14:paraId="68134BC4">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土地开发项目</w:t>
            </w:r>
          </w:p>
        </w:tc>
        <w:tc>
          <w:tcPr>
            <w:tcW w:w="659" w:type="pct"/>
            <w:noWrap w:val="0"/>
            <w:vAlign w:val="center"/>
          </w:tcPr>
          <w:p w14:paraId="31346051">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通路</w:t>
            </w:r>
          </w:p>
        </w:tc>
        <w:tc>
          <w:tcPr>
            <w:tcW w:w="613" w:type="pct"/>
            <w:noWrap w:val="0"/>
            <w:vAlign w:val="center"/>
          </w:tcPr>
          <w:p w14:paraId="68F6FB98">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供水</w:t>
            </w:r>
          </w:p>
        </w:tc>
        <w:tc>
          <w:tcPr>
            <w:tcW w:w="524" w:type="pct"/>
            <w:noWrap w:val="0"/>
            <w:vAlign w:val="center"/>
          </w:tcPr>
          <w:p w14:paraId="4EFA9600">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排水</w:t>
            </w:r>
          </w:p>
        </w:tc>
        <w:tc>
          <w:tcPr>
            <w:tcW w:w="489" w:type="pct"/>
            <w:noWrap w:val="0"/>
            <w:vAlign w:val="center"/>
          </w:tcPr>
          <w:p w14:paraId="161F8D2D">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通电</w:t>
            </w:r>
          </w:p>
        </w:tc>
        <w:tc>
          <w:tcPr>
            <w:tcW w:w="523" w:type="pct"/>
            <w:noWrap w:val="0"/>
            <w:vAlign w:val="center"/>
          </w:tcPr>
          <w:p w14:paraId="0C6CDBAE">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通讯</w:t>
            </w:r>
          </w:p>
        </w:tc>
        <w:tc>
          <w:tcPr>
            <w:tcW w:w="734" w:type="pct"/>
            <w:noWrap w:val="0"/>
            <w:vAlign w:val="center"/>
          </w:tcPr>
          <w:p w14:paraId="6F8B8199">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场地平整</w:t>
            </w:r>
          </w:p>
        </w:tc>
        <w:tc>
          <w:tcPr>
            <w:tcW w:w="450" w:type="pct"/>
            <w:noWrap w:val="0"/>
            <w:vAlign w:val="center"/>
          </w:tcPr>
          <w:p w14:paraId="4ADDBAAE">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1005" w:type="pct"/>
            <w:noWrap w:val="0"/>
            <w:vAlign w:val="center"/>
          </w:tcPr>
          <w:p w14:paraId="28DA4D32">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费用（元/㎡）</w:t>
            </w:r>
          </w:p>
        </w:tc>
        <w:tc>
          <w:tcPr>
            <w:tcW w:w="659" w:type="pct"/>
            <w:noWrap w:val="0"/>
            <w:vAlign w:val="center"/>
          </w:tcPr>
          <w:p w14:paraId="6B904843">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14-16</w:t>
            </w:r>
          </w:p>
        </w:tc>
        <w:tc>
          <w:tcPr>
            <w:tcW w:w="613" w:type="pct"/>
            <w:noWrap w:val="0"/>
            <w:vAlign w:val="center"/>
          </w:tcPr>
          <w:p w14:paraId="37BD6B0B">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12-14</w:t>
            </w:r>
          </w:p>
        </w:tc>
        <w:tc>
          <w:tcPr>
            <w:tcW w:w="524" w:type="pct"/>
            <w:noWrap w:val="0"/>
            <w:vAlign w:val="center"/>
          </w:tcPr>
          <w:p w14:paraId="16F0EF9D">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14-16</w:t>
            </w:r>
          </w:p>
        </w:tc>
        <w:tc>
          <w:tcPr>
            <w:tcW w:w="489" w:type="pct"/>
            <w:noWrap w:val="0"/>
            <w:vAlign w:val="center"/>
          </w:tcPr>
          <w:p w14:paraId="553E14EC">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12-14</w:t>
            </w:r>
          </w:p>
        </w:tc>
        <w:tc>
          <w:tcPr>
            <w:tcW w:w="523" w:type="pct"/>
            <w:noWrap w:val="0"/>
            <w:vAlign w:val="center"/>
          </w:tcPr>
          <w:p w14:paraId="75E0FCA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5-7</w:t>
            </w:r>
          </w:p>
        </w:tc>
        <w:tc>
          <w:tcPr>
            <w:tcW w:w="734" w:type="pct"/>
            <w:noWrap w:val="0"/>
            <w:vAlign w:val="center"/>
          </w:tcPr>
          <w:p w14:paraId="1036530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13-15</w:t>
            </w:r>
          </w:p>
        </w:tc>
        <w:tc>
          <w:tcPr>
            <w:tcW w:w="450" w:type="pct"/>
            <w:noWrap w:val="0"/>
            <w:vAlign w:val="center"/>
          </w:tcPr>
          <w:p w14:paraId="4B57F1F8">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70-82</w:t>
            </w:r>
          </w:p>
        </w:tc>
      </w:tr>
    </w:tbl>
    <w:p w14:paraId="7D0478E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7E44524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15E9872A">
      <w:pPr>
        <w:keepNext w:val="0"/>
        <w:keepLines w:val="0"/>
        <w:pageBreakBefore w:val="0"/>
        <w:widowControl w:val="0"/>
        <w:tabs>
          <w:tab w:val="left" w:pos="8520"/>
        </w:tabs>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238.26+155.6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13.05</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3273F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5ADA536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4CC9D10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098BDD6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580F45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238.26+155.6+82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95.17</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5AD5D8AE">
      <w:pPr>
        <w:keepNext w:val="0"/>
        <w:keepLines w:val="0"/>
        <w:pageBreakBefore w:val="0"/>
        <w:widowControl w:val="0"/>
        <w:kinsoku/>
        <w:wordWrap/>
        <w:overflowPunct/>
        <w:topLinePunct w:val="0"/>
        <w:autoSpaceDE w:val="0"/>
        <w:autoSpaceDN w:val="0"/>
        <w:bidi w:val="0"/>
        <w:adjustRightInd w:val="0"/>
        <w:snapToGrid w:val="0"/>
        <w:spacing w:line="300" w:lineRule="auto"/>
        <w:ind w:left="561"/>
        <w:textAlignment w:val="auto"/>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646D4E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湖南省人民政府办公厅关于印发《湖南省国有土地使用权出让收支管理办法》的通知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湘政办发〔2015〕1号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转让划拨国有土地使用权、依法利用原划拨土地进行经营性建设，或者变现处置抵押划拨土地使用权等，依法应当补办出让手续的，补缴土地价款等于正常出让土地使用权市场价格减去划拨土地使用权价格。其最低补缴额，商业用地不得低于成交价款的40%;商品住宅用地不得低于成交价款的35％”，</w:t>
      </w:r>
      <w:r>
        <w:rPr>
          <w:rFonts w:hint="eastAsia" w:ascii="仿宋_GB2312" w:hAnsi="仿宋_GB2312" w:eastAsia="仿宋_GB2312" w:cs="仿宋_GB2312"/>
          <w:color w:val="000000" w:themeColor="text1"/>
          <w:sz w:val="28"/>
          <w:szCs w:val="28"/>
          <w:highlight w:val="none"/>
          <w14:textFill>
            <w14:solidFill>
              <w14:schemeClr w14:val="tx1"/>
            </w14:solidFill>
          </w14:textFill>
        </w:rPr>
        <w:t>估价人员通过对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永州市道县住宅</w:t>
      </w:r>
      <w:r>
        <w:rPr>
          <w:rFonts w:hint="eastAsia" w:ascii="仿宋_GB2312" w:hAnsi="仿宋_GB2312" w:eastAsia="仿宋_GB2312" w:cs="仿宋_GB2312"/>
          <w:color w:val="000000" w:themeColor="text1"/>
          <w:sz w:val="28"/>
          <w:szCs w:val="28"/>
          <w:highlight w:val="none"/>
          <w14:textFill>
            <w14:solidFill>
              <w14:schemeClr w14:val="tx1"/>
            </w14:solidFill>
          </w14:textFill>
        </w:rPr>
        <w:t>用地的增值收益情况的调查，</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永州市道县城镇住宅用地增值收益率为土地价格的35%，</w:t>
      </w:r>
      <w:r>
        <w:rPr>
          <w:rFonts w:hint="eastAsia" w:ascii="仿宋_GB2312" w:hAnsi="仿宋_GB2312" w:eastAsia="仿宋_GB2312" w:cs="仿宋_GB2312"/>
          <w:color w:val="000000"/>
          <w:sz w:val="28"/>
          <w:szCs w:val="28"/>
          <w:highlight w:val="none"/>
        </w:rPr>
        <w:t>结合宗地所在区域土地市场行情，此次评估确定取土地成本的</w:t>
      </w:r>
      <w:r>
        <w:rPr>
          <w:rFonts w:hint="eastAsia" w:ascii="仿宋_GB2312" w:hAnsi="仿宋_GB2312" w:eastAsia="仿宋_GB2312" w:cs="仿宋_GB2312"/>
          <w:color w:val="000000"/>
          <w:sz w:val="28"/>
          <w:szCs w:val="28"/>
          <w:highlight w:val="none"/>
          <w:lang w:val="en-US" w:eastAsia="zh-CN"/>
        </w:rPr>
        <w:t>35</w:t>
      </w:r>
      <w:r>
        <w:rPr>
          <w:rFonts w:hint="eastAsia" w:ascii="仿宋_GB2312" w:hAnsi="仿宋_GB2312" w:eastAsia="仿宋_GB2312" w:cs="仿宋_GB2312"/>
          <w:color w:val="000000"/>
          <w:sz w:val="28"/>
          <w:szCs w:val="28"/>
          <w:highlight w:val="none"/>
        </w:rPr>
        <w:t>%为</w:t>
      </w:r>
      <w:r>
        <w:rPr>
          <w:rFonts w:hint="eastAsia" w:ascii="仿宋_GB2312" w:hAnsi="仿宋_GB2312" w:eastAsia="仿宋_GB2312" w:cs="仿宋_GB2312"/>
          <w:color w:val="000000"/>
          <w:sz w:val="28"/>
          <w:szCs w:val="28"/>
          <w:highlight w:val="none"/>
          <w:lang w:val="en-US" w:eastAsia="zh-CN"/>
        </w:rPr>
        <w:t>城镇住宅用地的</w:t>
      </w:r>
      <w:r>
        <w:rPr>
          <w:rFonts w:hint="eastAsia" w:ascii="仿宋_GB2312" w:hAnsi="仿宋_GB2312" w:eastAsia="仿宋_GB2312" w:cs="仿宋_GB2312"/>
          <w:color w:val="000000"/>
          <w:sz w:val="28"/>
          <w:szCs w:val="28"/>
          <w:highlight w:val="none"/>
        </w:rPr>
        <w:t>土地增值收益率。</w:t>
      </w:r>
    </w:p>
    <w:p w14:paraId="13FFE4B7">
      <w:pPr>
        <w:adjustRightInd w:val="0"/>
        <w:snapToGrid w:val="0"/>
        <w:spacing w:line="480" w:lineRule="exact"/>
        <w:ind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住宅用地</w:t>
      </w:r>
      <w:r>
        <w:rPr>
          <w:rFonts w:hint="eastAsia" w:ascii="仿宋_GB2312" w:hAnsi="仿宋_GB2312" w:eastAsia="仿宋_GB2312" w:cs="仿宋_GB2312"/>
          <w:color w:val="000000"/>
          <w:sz w:val="28"/>
          <w:szCs w:val="28"/>
          <w:highlight w:val="none"/>
        </w:rPr>
        <w:t>土地增值收益=土地成本价格×土地增值收益率</w:t>
      </w:r>
    </w:p>
    <w:p w14:paraId="2FE375F8">
      <w:pPr>
        <w:adjustRightInd w:val="0"/>
        <w:snapToGrid w:val="0"/>
        <w:spacing w:line="480" w:lineRule="exact"/>
        <w:ind w:firstLine="2240" w:firstLineChars="8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val="en-US" w:eastAsia="zh-CN"/>
        </w:rPr>
        <w:t>（238.26+155.6+82+13.05+95.17）</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val="en-US" w:eastAsia="zh-CN"/>
        </w:rPr>
        <w:t>35</w:t>
      </w:r>
      <w:r>
        <w:rPr>
          <w:rFonts w:hint="eastAsia" w:ascii="仿宋_GB2312" w:hAnsi="仿宋_GB2312" w:eastAsia="仿宋_GB2312" w:cs="仿宋_GB2312"/>
          <w:color w:val="000000"/>
          <w:sz w:val="28"/>
          <w:szCs w:val="28"/>
          <w:highlight w:val="none"/>
        </w:rPr>
        <w:t>%</w:t>
      </w:r>
    </w:p>
    <w:p w14:paraId="0DC7DB59">
      <w:pPr>
        <w:pStyle w:val="11"/>
        <w:rPr>
          <w:rFonts w:hint="eastAsia" w:ascii="仿宋_GB2312" w:hAnsi="仿宋_GB2312" w:eastAsia="仿宋_GB2312" w:cs="仿宋_GB2312"/>
          <w:b/>
          <w:bCs/>
          <w:color w:val="000000"/>
          <w:sz w:val="28"/>
          <w:szCs w:val="28"/>
          <w:highlight w:val="none"/>
        </w:rPr>
      </w:pPr>
      <w:r>
        <w:rPr>
          <w:rFonts w:hint="eastAsia" w:ascii="仿宋_GB2312" w:hAnsi="仿宋_GB2312" w:eastAsia="仿宋_GB2312" w:cs="仿宋_GB2312"/>
          <w:color w:val="000000"/>
          <w:sz w:val="28"/>
          <w:szCs w:val="28"/>
          <w:highlight w:val="none"/>
        </w:rPr>
        <w:t xml:space="preserve">        </w:t>
      </w:r>
      <w:r>
        <w:rPr>
          <w:rFonts w:hint="eastAsia" w:ascii="仿宋_GB2312" w:hAnsi="仿宋_GB2312" w:cs="仿宋_GB2312"/>
          <w:color w:val="000000"/>
          <w:sz w:val="28"/>
          <w:szCs w:val="28"/>
          <w:highlight w:val="none"/>
          <w:lang w:val="en-US" w:eastAsia="zh-CN"/>
        </w:rPr>
        <w:t xml:space="preserve">   </w:t>
      </w:r>
      <w:r>
        <w:rPr>
          <w:rFonts w:hint="eastAsia" w:ascii="仿宋_GB2312" w:hAnsi="仿宋_GB2312" w:eastAsia="仿宋_GB2312" w:cs="仿宋_GB2312"/>
          <w:color w:val="000000"/>
          <w:sz w:val="28"/>
          <w:szCs w:val="28"/>
          <w:highlight w:val="none"/>
        </w:rPr>
        <w:t xml:space="preserve"> =</w:t>
      </w:r>
      <w:r>
        <w:rPr>
          <w:rFonts w:hint="eastAsia" w:ascii="仿宋_GB2312" w:hAnsi="仿宋_GB2312" w:cs="仿宋_GB2312"/>
          <w:color w:val="000000"/>
          <w:sz w:val="28"/>
          <w:szCs w:val="28"/>
          <w:highlight w:val="none"/>
          <w:lang w:val="en-US" w:eastAsia="zh-CN"/>
        </w:rPr>
        <w:t>204.43</w:t>
      </w:r>
      <w:r>
        <w:rPr>
          <w:rFonts w:hint="eastAsia" w:ascii="仿宋_GB2312" w:hAnsi="仿宋_GB2312" w:eastAsia="仿宋_GB2312" w:cs="仿宋_GB2312"/>
          <w:color w:val="000000"/>
          <w:sz w:val="28"/>
          <w:szCs w:val="28"/>
          <w:highlight w:val="none"/>
          <w:lang w:val="en-US" w:eastAsia="zh-CN"/>
        </w:rPr>
        <w:t>元</w:t>
      </w:r>
      <w:r>
        <w:rPr>
          <w:rFonts w:hint="eastAsia" w:ascii="仿宋_GB2312" w:hAnsi="仿宋_GB2312" w:eastAsia="仿宋_GB2312" w:cs="仿宋_GB2312"/>
          <w:color w:val="000000"/>
          <w:sz w:val="28"/>
          <w:szCs w:val="28"/>
          <w:highlight w:val="none"/>
        </w:rPr>
        <w:t>/平方米</w:t>
      </w:r>
    </w:p>
    <w:p w14:paraId="2F757F9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sz w:val="28"/>
          <w:highlight w:val="none"/>
        </w:rPr>
      </w:pPr>
      <w:r>
        <w:rPr>
          <w:rFonts w:hint="eastAsia" w:ascii="仿宋_GB2312" w:hAnsi="仿宋_GB2312" w:eastAsia="仿宋_GB2312" w:cs="仿宋_GB2312"/>
          <w:bCs/>
          <w:sz w:val="28"/>
          <w:highlight w:val="none"/>
          <w:lang w:val="en-US" w:eastAsia="zh-CN"/>
        </w:rPr>
        <w:t>7</w:t>
      </w:r>
      <w:r>
        <w:rPr>
          <w:rFonts w:hint="eastAsia" w:ascii="仿宋_GB2312" w:hAnsi="仿宋_GB2312" w:eastAsia="仿宋_GB2312" w:cs="仿宋_GB2312"/>
          <w:bCs/>
          <w:sz w:val="28"/>
          <w:highlight w:val="none"/>
        </w:rPr>
        <w:t>、土地使用年期修正系数</w:t>
      </w:r>
    </w:p>
    <w:p w14:paraId="642D734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lang w:val="en-US" w:eastAsia="zh-CN"/>
        </w:rPr>
        <w:t>土地使用年期</w:t>
      </w:r>
      <w:r>
        <w:rPr>
          <w:rFonts w:hint="eastAsia" w:ascii="仿宋_GB2312" w:hAnsi="仿宋_GB2312" w:eastAsia="仿宋_GB2312" w:cs="仿宋_GB2312"/>
          <w:bCs/>
          <w:sz w:val="28"/>
          <w:highlight w:val="none"/>
        </w:rPr>
        <w:t>修正系数为：</w:t>
      </w:r>
    </w:p>
    <w:p w14:paraId="24ECAF3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年期修正系数=1－1/ (1+r)</w:t>
      </w:r>
      <w:r>
        <w:rPr>
          <w:rFonts w:hint="eastAsia" w:ascii="仿宋_GB2312" w:hAnsi="仿宋_GB2312" w:eastAsia="仿宋_GB2312" w:cs="仿宋_GB2312"/>
          <w:bCs/>
          <w:sz w:val="28"/>
          <w:highlight w:val="none"/>
          <w:vertAlign w:val="superscript"/>
        </w:rPr>
        <w:t>n</w:t>
      </w:r>
    </w:p>
    <w:p w14:paraId="60C04BB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其中: r─土地还原利率；</w:t>
      </w:r>
    </w:p>
    <w:p w14:paraId="2FA0ED2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 xml:space="preserve">     n─估价对象设定土地使用年期；</w:t>
      </w:r>
    </w:p>
    <w:p w14:paraId="03938856">
      <w:pPr>
        <w:overflowPunct w:val="0"/>
        <w:autoSpaceDE w:val="0"/>
        <w:autoSpaceDN w:val="0"/>
        <w:snapToGrid w:val="0"/>
        <w:spacing w:line="460" w:lineRule="exact"/>
        <w:ind w:firstLine="565" w:firstLineChars="202"/>
        <w:rPr>
          <w:rFonts w:hint="eastAsia" w:ascii="仿宋" w:hAnsi="仿宋" w:eastAsia="仿宋"/>
          <w:snapToGrid w:val="0"/>
          <w:kern w:val="0"/>
          <w:sz w:val="28"/>
          <w:szCs w:val="28"/>
          <w:highlight w:val="none"/>
        </w:rPr>
      </w:pPr>
      <w:r>
        <w:rPr>
          <w:rFonts w:hint="eastAsia" w:ascii="仿宋" w:hAnsi="仿宋" w:eastAsia="仿宋"/>
          <w:snapToGrid w:val="0"/>
          <w:kern w:val="0"/>
          <w:sz w:val="28"/>
          <w:szCs w:val="28"/>
          <w:highlight w:val="none"/>
        </w:rPr>
        <w:t>土地还原率确定</w:t>
      </w:r>
      <w:r>
        <w:rPr>
          <w:rFonts w:ascii="仿宋" w:hAnsi="仿宋" w:eastAsia="仿宋"/>
          <w:snapToGrid w:val="0"/>
          <w:kern w:val="0"/>
          <w:sz w:val="28"/>
          <w:szCs w:val="28"/>
          <w:highlight w:val="none"/>
        </w:rPr>
        <w:t>过程</w:t>
      </w:r>
      <w:r>
        <w:rPr>
          <w:rFonts w:hint="eastAsia" w:ascii="仿宋" w:hAnsi="仿宋" w:eastAsia="仿宋"/>
          <w:snapToGrid w:val="0"/>
          <w:kern w:val="0"/>
          <w:sz w:val="28"/>
          <w:szCs w:val="28"/>
          <w:highlight w:val="none"/>
        </w:rPr>
        <w:t>：</w:t>
      </w:r>
    </w:p>
    <w:p w14:paraId="545ADAE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土地还原利率的确定方法是安全利率加风险调整值法，安全利率采用中国外汇交易中心（全国银行间同业拆借中心）2026年4月公布的一年期国债收益率1.16%，风险调整值根据各市场风险因素对土地市场的影响程度而确定。</w:t>
      </w:r>
    </w:p>
    <w:p w14:paraId="347D69A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①土地市场风险程度分析</w:t>
      </w:r>
    </w:p>
    <w:p w14:paraId="2D16BD6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kern w:val="0"/>
          <w:sz w:val="28"/>
          <w:szCs w:val="28"/>
          <w:highlight w:val="none"/>
        </w:rPr>
      </w:pPr>
      <w:r>
        <w:rPr>
          <w:rFonts w:hint="eastAsia" w:ascii="仿宋_GB2312" w:hAnsi="仿宋_GB2312" w:eastAsia="仿宋_GB2312" w:cs="仿宋_GB2312"/>
          <w:bCs/>
          <w:sz w:val="28"/>
          <w:highlight w:val="none"/>
          <w:lang w:val="en-US" w:eastAsia="zh-CN"/>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55DD9E52">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表3-5 风险因素因子对不同土地利用类型的影响程度分析</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3647"/>
        <w:gridCol w:w="2662"/>
      </w:tblGrid>
      <w:tr w14:paraId="49D8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noWrap w:val="0"/>
            <w:vAlign w:val="center"/>
          </w:tcPr>
          <w:p w14:paraId="33AD5CE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风险因素</w:t>
            </w:r>
          </w:p>
        </w:tc>
        <w:tc>
          <w:tcPr>
            <w:tcW w:w="2140" w:type="pct"/>
            <w:noWrap w:val="0"/>
            <w:vAlign w:val="center"/>
          </w:tcPr>
          <w:p w14:paraId="6E8C46D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风险因子</w:t>
            </w:r>
          </w:p>
        </w:tc>
        <w:tc>
          <w:tcPr>
            <w:tcW w:w="1562" w:type="pct"/>
            <w:noWrap w:val="0"/>
            <w:vAlign w:val="center"/>
          </w:tcPr>
          <w:p w14:paraId="312A09A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053D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3457428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2140" w:type="pct"/>
            <w:noWrap w:val="0"/>
            <w:vAlign w:val="center"/>
          </w:tcPr>
          <w:p w14:paraId="709E95C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2662" w:type="dxa"/>
            <w:noWrap w:val="0"/>
            <w:vAlign w:val="center"/>
          </w:tcPr>
          <w:p w14:paraId="7D511DE3">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52E2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42F55C1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B82D24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2662" w:type="dxa"/>
            <w:noWrap w:val="0"/>
            <w:vAlign w:val="center"/>
          </w:tcPr>
          <w:p w14:paraId="2DC9BD75">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1188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6F3F603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6E5077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2662" w:type="dxa"/>
            <w:noWrap w:val="0"/>
            <w:vAlign w:val="center"/>
          </w:tcPr>
          <w:p w14:paraId="5CBAB124">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4E4F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7EF28AF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71629E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2662" w:type="dxa"/>
            <w:noWrap w:val="0"/>
            <w:vAlign w:val="center"/>
          </w:tcPr>
          <w:p w14:paraId="10CE9970">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6D68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04381F1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2140" w:type="pct"/>
            <w:noWrap w:val="0"/>
            <w:vAlign w:val="center"/>
          </w:tcPr>
          <w:p w14:paraId="0154328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2662" w:type="dxa"/>
            <w:noWrap w:val="0"/>
            <w:vAlign w:val="center"/>
          </w:tcPr>
          <w:p w14:paraId="388A7D6D">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3396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85AC6C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5098B71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2662" w:type="dxa"/>
            <w:noWrap w:val="0"/>
            <w:vAlign w:val="center"/>
          </w:tcPr>
          <w:p w14:paraId="21DDC382">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1719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0DAC96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2FE677D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2662" w:type="dxa"/>
            <w:noWrap w:val="0"/>
            <w:vAlign w:val="center"/>
          </w:tcPr>
          <w:p w14:paraId="51CFF350">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6DEA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33B82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BDE636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2662" w:type="dxa"/>
            <w:noWrap w:val="0"/>
            <w:vAlign w:val="center"/>
          </w:tcPr>
          <w:p w14:paraId="0EFEAD5D">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1FCD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5BCA304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2140" w:type="pct"/>
            <w:noWrap w:val="0"/>
            <w:vAlign w:val="center"/>
          </w:tcPr>
          <w:p w14:paraId="102CFFC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2662" w:type="dxa"/>
            <w:noWrap w:val="0"/>
            <w:vAlign w:val="center"/>
          </w:tcPr>
          <w:p w14:paraId="09FE4CD1">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5E21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380C770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044B4A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2662" w:type="dxa"/>
            <w:noWrap w:val="0"/>
            <w:vAlign w:val="center"/>
          </w:tcPr>
          <w:p w14:paraId="6AA72D04">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72AF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167597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7CA7AF2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2662" w:type="dxa"/>
            <w:noWrap w:val="0"/>
            <w:vAlign w:val="center"/>
          </w:tcPr>
          <w:p w14:paraId="3C2DB337">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bl>
    <w:p w14:paraId="342928CE">
      <w:pPr>
        <w:spacing w:line="460" w:lineRule="exact"/>
        <w:ind w:firstLine="600" w:firstLineChars="250"/>
        <w:rPr>
          <w:rFonts w:hint="eastAsia" w:ascii="仿宋" w:hAnsi="仿宋" w:eastAsia="仿宋"/>
          <w:sz w:val="24"/>
          <w:highlight w:val="none"/>
        </w:rPr>
      </w:pPr>
      <w:r>
        <w:rPr>
          <w:rFonts w:hint="eastAsia" w:ascii="仿宋" w:hAnsi="仿宋" w:eastAsia="仿宋"/>
          <w:sz w:val="24"/>
          <w:highlight w:val="none"/>
        </w:rPr>
        <w:t>注：A最严重；B较严重；C不严重；D无影响</w:t>
      </w:r>
    </w:p>
    <w:p w14:paraId="76EE0F5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②风险因素因子权重值的确定</w:t>
      </w:r>
    </w:p>
    <w:p w14:paraId="270A3E3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599F65AA">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表3-6 风险因素、因子权重值</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48B5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8A7E5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影响因素</w:t>
            </w:r>
          </w:p>
        </w:tc>
        <w:tc>
          <w:tcPr>
            <w:tcW w:w="949" w:type="pct"/>
            <w:noWrap w:val="0"/>
            <w:vAlign w:val="center"/>
          </w:tcPr>
          <w:p w14:paraId="5F0669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c>
          <w:tcPr>
            <w:tcW w:w="1708" w:type="pct"/>
            <w:noWrap w:val="0"/>
            <w:vAlign w:val="center"/>
          </w:tcPr>
          <w:p w14:paraId="3A34FBF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影响因子</w:t>
            </w:r>
          </w:p>
        </w:tc>
        <w:tc>
          <w:tcPr>
            <w:tcW w:w="1308" w:type="pct"/>
            <w:noWrap w:val="0"/>
            <w:vAlign w:val="center"/>
          </w:tcPr>
          <w:p w14:paraId="32E7F6D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r>
      <w:tr w14:paraId="4463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3563F64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949" w:type="pct"/>
            <w:vMerge w:val="restart"/>
            <w:noWrap w:val="0"/>
            <w:vAlign w:val="center"/>
          </w:tcPr>
          <w:p w14:paraId="5C5A2B4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p>
        </w:tc>
        <w:tc>
          <w:tcPr>
            <w:tcW w:w="1708" w:type="pct"/>
            <w:noWrap w:val="0"/>
            <w:vAlign w:val="center"/>
          </w:tcPr>
          <w:p w14:paraId="1B2A6AC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1308" w:type="pct"/>
            <w:noWrap w:val="0"/>
            <w:vAlign w:val="center"/>
          </w:tcPr>
          <w:p w14:paraId="14F8B1A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0.2957</w:t>
            </w:r>
          </w:p>
        </w:tc>
      </w:tr>
      <w:tr w14:paraId="2C89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447666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AE75E9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B8FFF4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1308" w:type="pct"/>
            <w:noWrap w:val="0"/>
            <w:vAlign w:val="center"/>
          </w:tcPr>
          <w:p w14:paraId="66504B3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0.2121</w:t>
            </w:r>
          </w:p>
        </w:tc>
      </w:tr>
      <w:tr w14:paraId="66E8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1A585F5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270A81F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6D636D2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1308" w:type="pct"/>
            <w:noWrap w:val="0"/>
            <w:vAlign w:val="center"/>
          </w:tcPr>
          <w:p w14:paraId="0FCC0E8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0.2734</w:t>
            </w:r>
          </w:p>
        </w:tc>
      </w:tr>
      <w:tr w14:paraId="4036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4E9BD09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64AF687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25E01B3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1308" w:type="pct"/>
            <w:noWrap w:val="0"/>
            <w:vAlign w:val="center"/>
          </w:tcPr>
          <w:p w14:paraId="1FE538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0.2188</w:t>
            </w:r>
          </w:p>
        </w:tc>
      </w:tr>
      <w:tr w14:paraId="39D9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3F46EB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949" w:type="pct"/>
            <w:vMerge w:val="restart"/>
            <w:noWrap w:val="0"/>
            <w:vAlign w:val="center"/>
          </w:tcPr>
          <w:p w14:paraId="7A05CF6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p>
        </w:tc>
        <w:tc>
          <w:tcPr>
            <w:tcW w:w="1708" w:type="pct"/>
            <w:noWrap w:val="0"/>
            <w:vAlign w:val="center"/>
          </w:tcPr>
          <w:p w14:paraId="43C78FC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1308" w:type="pct"/>
            <w:noWrap w:val="0"/>
            <w:vAlign w:val="center"/>
          </w:tcPr>
          <w:p w14:paraId="08BA9FB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0.3434</w:t>
            </w:r>
          </w:p>
        </w:tc>
      </w:tr>
      <w:tr w14:paraId="1657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1475E1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7683102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39FCF3E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1308" w:type="pct"/>
            <w:noWrap w:val="0"/>
            <w:vAlign w:val="center"/>
          </w:tcPr>
          <w:p w14:paraId="624897F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0.2119</w:t>
            </w:r>
          </w:p>
        </w:tc>
      </w:tr>
      <w:tr w14:paraId="5CF3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0E80387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2B0A5C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5EAB7C7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1308" w:type="pct"/>
            <w:noWrap w:val="0"/>
            <w:vAlign w:val="center"/>
          </w:tcPr>
          <w:p w14:paraId="3719331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0.2365</w:t>
            </w:r>
          </w:p>
        </w:tc>
      </w:tr>
      <w:tr w14:paraId="31BA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0FF0604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A07AB1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6A800A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1308" w:type="pct"/>
            <w:noWrap w:val="0"/>
            <w:vAlign w:val="center"/>
          </w:tcPr>
          <w:p w14:paraId="40E3F8B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0.2082</w:t>
            </w:r>
          </w:p>
        </w:tc>
      </w:tr>
      <w:tr w14:paraId="3556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E11B05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949" w:type="pct"/>
            <w:vMerge w:val="restart"/>
            <w:noWrap w:val="0"/>
            <w:vAlign w:val="center"/>
          </w:tcPr>
          <w:p w14:paraId="70B2007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p>
        </w:tc>
        <w:tc>
          <w:tcPr>
            <w:tcW w:w="1708" w:type="pct"/>
            <w:noWrap w:val="0"/>
            <w:vAlign w:val="center"/>
          </w:tcPr>
          <w:p w14:paraId="3E9BFA6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1308" w:type="pct"/>
            <w:noWrap w:val="0"/>
            <w:vAlign w:val="center"/>
          </w:tcPr>
          <w:p w14:paraId="04B4F79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0.3762</w:t>
            </w:r>
          </w:p>
        </w:tc>
      </w:tr>
      <w:tr w14:paraId="1E95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49C2164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619FE9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880E59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1308" w:type="pct"/>
            <w:noWrap w:val="0"/>
            <w:vAlign w:val="center"/>
          </w:tcPr>
          <w:p w14:paraId="34284CD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0.3113</w:t>
            </w:r>
          </w:p>
        </w:tc>
      </w:tr>
      <w:tr w14:paraId="6EE5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15BF902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4535FE1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40D64F2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1308" w:type="pct"/>
            <w:noWrap w:val="0"/>
            <w:vAlign w:val="center"/>
          </w:tcPr>
          <w:p w14:paraId="0ABCE7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0.3125</w:t>
            </w:r>
          </w:p>
        </w:tc>
      </w:tr>
    </w:tbl>
    <w:p w14:paraId="313F42C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③风险调整值的确定</w:t>
      </w:r>
    </w:p>
    <w:p w14:paraId="492E4D4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风险调整值的大小由市场风险因素因子对土地市场的影响程度决定，本次评估将对市场风险影响程度赋值，即：风险因素对土地市场无影响时，风险调整值为0；风险因素对土地市场影响不严重时，风险调整值为1%；风险因素对土地市场影响较严重时，风险调整值为4%；风险因素对土地市场影响最严重时，风险调整值为8%。</w:t>
      </w:r>
    </w:p>
    <w:p w14:paraId="3DA576AE">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表3-7 风险调整值赋值表</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52"/>
        <w:gridCol w:w="1614"/>
        <w:gridCol w:w="1718"/>
        <w:gridCol w:w="1719"/>
        <w:gridCol w:w="1719"/>
      </w:tblGrid>
      <w:tr w14:paraId="0AE062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0EDBEF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市场风险影响程度</w:t>
            </w:r>
          </w:p>
        </w:tc>
        <w:tc>
          <w:tcPr>
            <w:tcW w:w="1773" w:type="dxa"/>
            <w:noWrap w:val="0"/>
            <w:vAlign w:val="center"/>
          </w:tcPr>
          <w:p w14:paraId="01E2D5F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无影响（D）</w:t>
            </w:r>
          </w:p>
        </w:tc>
        <w:tc>
          <w:tcPr>
            <w:tcW w:w="1896" w:type="dxa"/>
            <w:noWrap w:val="0"/>
            <w:vAlign w:val="center"/>
          </w:tcPr>
          <w:p w14:paraId="3B49E49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不严重（C）</w:t>
            </w:r>
          </w:p>
        </w:tc>
        <w:tc>
          <w:tcPr>
            <w:tcW w:w="1897" w:type="dxa"/>
            <w:noWrap w:val="0"/>
            <w:vAlign w:val="center"/>
          </w:tcPr>
          <w:p w14:paraId="6FAD0F6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较严重（B）</w:t>
            </w:r>
          </w:p>
        </w:tc>
        <w:tc>
          <w:tcPr>
            <w:tcW w:w="1897" w:type="dxa"/>
            <w:noWrap w:val="0"/>
            <w:vAlign w:val="center"/>
          </w:tcPr>
          <w:p w14:paraId="1DA4821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最严重（A）</w:t>
            </w:r>
          </w:p>
        </w:tc>
      </w:tr>
      <w:tr w14:paraId="3ECC9C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5FFA589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1773" w:type="dxa"/>
            <w:noWrap w:val="0"/>
            <w:vAlign w:val="center"/>
          </w:tcPr>
          <w:p w14:paraId="58AD00B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c>
          <w:tcPr>
            <w:tcW w:w="1896" w:type="dxa"/>
            <w:noWrap w:val="0"/>
            <w:vAlign w:val="center"/>
          </w:tcPr>
          <w:p w14:paraId="3D14D5E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c>
          <w:tcPr>
            <w:tcW w:w="1897" w:type="dxa"/>
            <w:noWrap w:val="0"/>
            <w:vAlign w:val="center"/>
          </w:tcPr>
          <w:p w14:paraId="73E833B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4%</w:t>
            </w:r>
          </w:p>
        </w:tc>
        <w:tc>
          <w:tcPr>
            <w:tcW w:w="1897" w:type="dxa"/>
            <w:noWrap w:val="0"/>
            <w:vAlign w:val="center"/>
          </w:tcPr>
          <w:p w14:paraId="2F2FCDD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8%</w:t>
            </w:r>
          </w:p>
        </w:tc>
      </w:tr>
    </w:tbl>
    <w:p w14:paraId="3B8C566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根据风险调整值赋值与道县风险因素、因子权重值，确定的道县风险调整值结果见下表。</w:t>
      </w:r>
    </w:p>
    <w:p w14:paraId="22C69091">
      <w:pPr>
        <w:spacing w:line="440" w:lineRule="exact"/>
        <w:ind w:firstLine="560" w:firstLineChars="200"/>
        <w:jc w:val="center"/>
        <w:rPr>
          <w:rFonts w:hint="eastAsia" w:ascii="仿宋" w:hAnsi="仿宋" w:eastAsia="仿宋"/>
          <w:sz w:val="24"/>
          <w:highlight w:val="none"/>
        </w:rPr>
      </w:pPr>
      <w:r>
        <w:rPr>
          <w:rFonts w:hint="eastAsia" w:ascii="仿宋" w:hAnsi="仿宋" w:eastAsia="仿宋" w:cs="仿宋"/>
          <w:snapToGrid w:val="0"/>
          <w:kern w:val="0"/>
          <w:sz w:val="28"/>
          <w:szCs w:val="28"/>
          <w:highlight w:val="none"/>
          <w:lang w:val="en-US" w:eastAsia="zh-CN" w:bidi="ar-SA"/>
        </w:rPr>
        <w:t>表3-8 道县土地市场风险调整值结果</w:t>
      </w:r>
    </w:p>
    <w:tbl>
      <w:tblPr>
        <w:tblStyle w:val="12"/>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23"/>
        <w:gridCol w:w="6097"/>
      </w:tblGrid>
      <w:tr w14:paraId="6993EC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3" w:hRule="atLeast"/>
        </w:trPr>
        <w:tc>
          <w:tcPr>
            <w:tcW w:w="1422" w:type="pct"/>
            <w:noWrap w:val="0"/>
            <w:vAlign w:val="center"/>
          </w:tcPr>
          <w:p w14:paraId="11D4185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土地市场</w:t>
            </w:r>
          </w:p>
        </w:tc>
        <w:tc>
          <w:tcPr>
            <w:tcW w:w="3577" w:type="pct"/>
            <w:noWrap w:val="0"/>
            <w:vAlign w:val="center"/>
          </w:tcPr>
          <w:p w14:paraId="4193E1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0C07D8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22" w:type="pct"/>
            <w:noWrap w:val="0"/>
            <w:vAlign w:val="center"/>
          </w:tcPr>
          <w:p w14:paraId="37FF24D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3577" w:type="pct"/>
            <w:noWrap w:val="0"/>
            <w:vAlign w:val="center"/>
          </w:tcPr>
          <w:p w14:paraId="071A234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8.00</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5.3</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r>
    </w:tbl>
    <w:p w14:paraId="5638545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④还原利率的确定</w:t>
      </w:r>
    </w:p>
    <w:p w14:paraId="10C85087">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根据安全利率加风险调整值法确定还原利率的公式，由于前文已经确定了住宅用地的安全利率，因此，根据还原利率=安全利率+风险调整值。</w:t>
      </w:r>
    </w:p>
    <w:p w14:paraId="5480BB4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sz w:val="28"/>
          <w:szCs w:val="28"/>
          <w:highlight w:val="none"/>
          <w:lang w:val="en-US" w:eastAsia="zh-CN"/>
        </w:rPr>
      </w:pPr>
      <w:r>
        <w:rPr>
          <w:rFonts w:hint="eastAsia" w:ascii="仿宋_GB2312" w:hAnsi="仿宋_GB2312" w:eastAsia="仿宋_GB2312" w:cs="仿宋_GB2312"/>
          <w:bCs/>
          <w:sz w:val="28"/>
          <w:highlight w:val="none"/>
          <w:lang w:val="en-US" w:eastAsia="zh-CN"/>
        </w:rPr>
        <w:t>住宅用地还原利率＝1.16%＋5.3%≈6.5%</w:t>
      </w:r>
    </w:p>
    <w:p w14:paraId="1D426E9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sz w:val="28"/>
          <w:highlight w:val="none"/>
          <w:lang w:val="en-US" w:eastAsia="zh-CN"/>
        </w:rPr>
        <w:t>则年期修正系数住宅用地=1-（1/（1+6.5%）</w:t>
      </w:r>
      <w:r>
        <w:rPr>
          <w:rFonts w:hint="eastAsia" w:ascii="仿宋_GB2312" w:hAnsi="仿宋_GB2312" w:eastAsia="仿宋_GB2312" w:cs="仿宋_GB2312"/>
          <w:bCs/>
          <w:sz w:val="28"/>
          <w:highlight w:val="none"/>
          <w:vertAlign w:val="superscript"/>
          <w:lang w:val="en-US" w:eastAsia="zh-CN"/>
        </w:rPr>
        <w:t>70</w:t>
      </w:r>
      <w:r>
        <w:rPr>
          <w:rFonts w:hint="eastAsia" w:ascii="仿宋_GB2312" w:hAnsi="仿宋_GB2312" w:eastAsia="仿宋_GB2312" w:cs="仿宋_GB2312"/>
          <w:bCs/>
          <w:sz w:val="28"/>
          <w:highlight w:val="none"/>
          <w:lang w:val="en-US" w:eastAsia="zh-CN"/>
        </w:rPr>
        <w:t>）=0.9878</w:t>
      </w:r>
    </w:p>
    <w:p w14:paraId="78C6835B">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430E0463">
      <w:pPr>
        <w:jc w:val="center"/>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表</w:t>
      </w:r>
      <w:r>
        <w:rPr>
          <w:rFonts w:hint="eastAsia" w:ascii="仿宋_GB2312" w:hAnsi="仿宋_GB2312" w:eastAsia="仿宋_GB2312" w:cs="仿宋_GB2312"/>
          <w:sz w:val="28"/>
          <w:highlight w:val="none"/>
          <w:lang w:val="en-US" w:eastAsia="zh-CN"/>
        </w:rPr>
        <w:t>3-9</w:t>
      </w:r>
      <w:r>
        <w:rPr>
          <w:rFonts w:hint="eastAsia" w:ascii="仿宋_GB2312" w:hAnsi="仿宋_GB2312" w:eastAsia="仿宋_GB2312" w:cs="仿宋_GB2312"/>
          <w:sz w:val="28"/>
          <w:highlight w:val="none"/>
        </w:rPr>
        <w:t xml:space="preserve"> </w:t>
      </w:r>
      <w:r>
        <w:rPr>
          <w:rFonts w:hint="eastAsia" w:ascii="仿宋_GB2312" w:hAnsi="仿宋_GB2312" w:eastAsia="仿宋_GB2312" w:cs="仿宋_GB2312"/>
          <w:sz w:val="28"/>
          <w:highlight w:val="none"/>
          <w:lang w:val="en-US" w:eastAsia="zh-CN"/>
        </w:rPr>
        <w:t>道县城区城镇住宅</w:t>
      </w:r>
      <w:r>
        <w:rPr>
          <w:rFonts w:hint="eastAsia" w:ascii="仿宋_GB2312" w:hAnsi="仿宋_GB2312" w:eastAsia="仿宋_GB2312" w:cs="仿宋_GB2312"/>
          <w:sz w:val="28"/>
          <w:highlight w:val="none"/>
        </w:rPr>
        <w:t>用地宗地地价区域因素修正系数表（%）</w:t>
      </w:r>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8"/>
        <w:gridCol w:w="1067"/>
        <w:gridCol w:w="1067"/>
        <w:gridCol w:w="1067"/>
        <w:gridCol w:w="1067"/>
        <w:gridCol w:w="1067"/>
        <w:gridCol w:w="1526"/>
      </w:tblGrid>
      <w:tr w14:paraId="4C817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65884">
            <w:pPr>
              <w:keepNext w:val="0"/>
              <w:keepLines w:val="0"/>
              <w:widowControl/>
              <w:suppressLineNumbers w:val="0"/>
              <w:jc w:val="center"/>
              <w:textAlignment w:val="center"/>
              <w:rPr>
                <w:rFonts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因素</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4201F">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7D47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66B26">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A5CF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4F335">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CD6B4">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等级修正幅度</w:t>
            </w:r>
          </w:p>
        </w:tc>
      </w:tr>
      <w:tr w14:paraId="2AD74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144A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距汽车站的距离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D04C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58F1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23DC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CA2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91E8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3F0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8E0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FD73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距火车站距离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EED8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F1C1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CED3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F8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D40D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5F0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089B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1803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距商服中心距离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7D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95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287F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961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D8D0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8B8E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6D6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0E2B9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临路类型</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7CF2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混合型主干道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2EB2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生活型主干道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8ED9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交通型主道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FB0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交通次主道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9F4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支路</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434E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9A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73AB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路网密度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CBFA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9876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DA94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64CD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较低</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99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低</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C3FC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EAA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B11A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对外交通便利度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79A0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9CF8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DDD9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646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1EA3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不便利</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88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7485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CE0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环境质量优劣度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B1A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3AB7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CDA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93DF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1FF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796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6DC49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D6C6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人口密度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689B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AC7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934B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8D1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较稀疏</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5EF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稀疏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9AE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0B75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D7BD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基础设施完善度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C6AE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AC3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D128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762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29C4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不完善</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458F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248D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773C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地形状况</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B3D7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2DFAC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207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346D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0DB4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不平坦</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267A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3915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8EC8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宗地面积</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125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适中</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A1F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面积较大</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650F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5E32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面积较小</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7B0C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F136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61F65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57E6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宗地形状</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EDB8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B8E4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58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0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D41D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不规则</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E26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bl>
    <w:p w14:paraId="2073112B">
      <w:pPr>
        <w:pStyle w:val="4"/>
        <w:jc w:val="center"/>
        <w:outlineLvl w:val="9"/>
        <w:rPr>
          <w:rFonts w:ascii="仿宋_GB2312" w:eastAsia="仿宋_GB2312"/>
          <w:sz w:val="28"/>
          <w:szCs w:val="28"/>
          <w:highlight w:val="none"/>
        </w:rPr>
      </w:pPr>
      <w:r>
        <w:rPr>
          <w:rFonts w:hint="eastAsia" w:ascii="仿宋_GB2312" w:eastAsia="仿宋_GB2312"/>
          <w:sz w:val="28"/>
          <w:szCs w:val="28"/>
          <w:highlight w:val="none"/>
        </w:rPr>
        <w:t>表</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10</w:t>
      </w:r>
      <w:r>
        <w:rPr>
          <w:rFonts w:hint="eastAsia" w:ascii="仿宋_GB2312" w:eastAsia="仿宋_GB2312"/>
          <w:sz w:val="28"/>
          <w:szCs w:val="28"/>
          <w:highlight w:val="none"/>
        </w:rPr>
        <w:t xml:space="preserve"> 宗地地价影响因素条件说明、修正系数表</w:t>
      </w:r>
    </w:p>
    <w:tbl>
      <w:tblPr>
        <w:tblStyle w:val="12"/>
        <w:tblW w:w="498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49"/>
        <w:gridCol w:w="3216"/>
        <w:gridCol w:w="1415"/>
        <w:gridCol w:w="1416"/>
      </w:tblGrid>
      <w:tr w14:paraId="3B11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1706"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44B81285">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924176">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因素说明</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F5E2">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因素优劣度</w:t>
            </w:r>
          </w:p>
        </w:tc>
        <w:tc>
          <w:tcPr>
            <w:tcW w:w="10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A3F63">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因素修正</w:t>
            </w:r>
          </w:p>
        </w:tc>
      </w:tr>
      <w:tr w14:paraId="2A343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22B2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距汽车站的距离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7E661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距道州新车站680米，距离较近</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530A0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B8CFD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389CC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AE40F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距火车站距离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A0DB5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距道州站1500米，距离较远</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3346E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FE7A2">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506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6B72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距商服中心距离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8A54F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距道州商业广场890米，距离较近</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80FCF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7CE2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4%</w:t>
            </w:r>
          </w:p>
        </w:tc>
      </w:tr>
      <w:tr w14:paraId="68285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2FD5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临路类型</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70A264">
            <w:pPr>
              <w:keepNext w:val="0"/>
              <w:keepLines w:val="0"/>
              <w:widowControl/>
              <w:suppressLineNumbers w:val="0"/>
              <w:jc w:val="center"/>
              <w:textAlignment w:val="center"/>
              <w:rPr>
                <w:rFonts w:hint="default" w:ascii="仿宋_GB2312" w:hAnsi="仿宋_GB2312" w:eastAsia="仿宋_GB2312" w:cs="仿宋_GB2312"/>
                <w:b w:val="0"/>
                <w:i w:val="0"/>
                <w:iCs w:val="0"/>
                <w:color w:val="000000"/>
                <w:sz w:val="20"/>
                <w:szCs w:val="20"/>
                <w:u w:val="none"/>
                <w:lang w:val="en-US"/>
              </w:rPr>
            </w:pPr>
            <w:r>
              <w:rPr>
                <w:rFonts w:hint="eastAsia" w:ascii="仿宋_GB2312" w:hAnsi="仿宋_GB2312" w:eastAsia="仿宋_GB2312" w:cs="仿宋_GB2312"/>
                <w:b w:val="0"/>
                <w:i w:val="0"/>
                <w:iCs w:val="0"/>
                <w:color w:val="000000"/>
                <w:kern w:val="0"/>
                <w:sz w:val="20"/>
                <w:szCs w:val="20"/>
                <w:u w:val="none"/>
                <w:lang w:val="en-US" w:eastAsia="zh-CN" w:bidi="ar"/>
              </w:rPr>
              <w:t>临支路鹭鸶塘路</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26EC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82ABD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-4%</w:t>
            </w:r>
          </w:p>
        </w:tc>
      </w:tr>
      <w:tr w14:paraId="665E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81A8E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路网密度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9E24B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较高</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51E3B">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1B76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C581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34519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对外交通便利度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4F9D8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较便利</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403BEB">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9A57D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1602E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E5FA8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环境质量优劣度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E4A5A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149C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27C1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58FFA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F4EC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人口密度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3967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较密集</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22C77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DDA37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D2C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D05A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基础设施完善度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D8435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较完善</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3C5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C9D5D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20E0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E4FC5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地形状况</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0C6B7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较平坦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DFF47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7943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1%</w:t>
            </w:r>
          </w:p>
        </w:tc>
      </w:tr>
      <w:tr w14:paraId="115C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EDF93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宗地面积</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9F75E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面积较小</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95851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D2DC6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3484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8ED3C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宗地形状</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94C3C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较不规则</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EE06A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40233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403C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7"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1A79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合计</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0E40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154F0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16D6B">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10%</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sz w:val="28"/>
          <w:highlight w:val="none"/>
        </w:rPr>
        <w:t>根据上述修正过程，确定区位条件修正系数为</w:t>
      </w:r>
      <w:r>
        <w:rPr>
          <w:rFonts w:hint="eastAsia" w:ascii="仿宋_GB2312" w:hAnsi="仿宋_GB2312" w:eastAsia="仿宋_GB2312" w:cs="仿宋_GB2312"/>
          <w:sz w:val="28"/>
          <w:highlight w:val="none"/>
          <w:lang w:val="en-US" w:eastAsia="zh-CN"/>
        </w:rPr>
        <w:t>10%</w:t>
      </w:r>
      <w:r>
        <w:rPr>
          <w:rFonts w:hint="eastAsia" w:ascii="仿宋_GB2312" w:hAnsi="仿宋_GB2312" w:eastAsia="仿宋_GB2312" w:cs="仿宋_GB2312"/>
          <w:sz w:val="28"/>
          <w:highlight w:val="none"/>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lang w:val="en-US" w:eastAsia="zh-CN"/>
        </w:rPr>
        <w:t>9</w:t>
      </w:r>
      <w:r>
        <w:rPr>
          <w:rFonts w:hint="eastAsia" w:ascii="仿宋_GB2312" w:hAnsi="仿宋_GB2312" w:eastAsia="仿宋_GB2312" w:cs="仿宋_GB2312"/>
          <w:bCs/>
          <w:sz w:val="28"/>
          <w:highlight w:val="none"/>
        </w:rPr>
        <w:t>、成本逼近法价格计算</w:t>
      </w:r>
    </w:p>
    <w:p w14:paraId="401DF3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P=</w:t>
      </w:r>
      <w:r>
        <w:rPr>
          <w:rFonts w:hint="eastAsia" w:ascii="仿宋_GB2312" w:hAnsi="仿宋_GB2312" w:eastAsia="仿宋_GB2312" w:cs="仿宋_GB2312"/>
          <w:color w:val="000000"/>
          <w:sz w:val="28"/>
          <w:highlight w:val="none"/>
        </w:rPr>
        <w:t>（土地取得费+相关税费+土地开发费+投资利息+投资利润</w:t>
      </w:r>
      <w:r>
        <w:rPr>
          <w:rFonts w:hint="eastAsia" w:ascii="仿宋_GB2312" w:hAnsi="仿宋_GB2312" w:eastAsia="仿宋_GB2312" w:cs="仿宋_GB2312"/>
          <w:color w:val="000000"/>
          <w:sz w:val="28"/>
          <w:highlight w:val="none"/>
          <w:lang w:val="en-US" w:eastAsia="zh-CN"/>
        </w:rPr>
        <w:t>+土地增值收益</w:t>
      </w:r>
      <w:r>
        <w:rPr>
          <w:rFonts w:hint="eastAsia" w:ascii="仿宋_GB2312" w:hAnsi="仿宋_GB2312" w:eastAsia="仿宋_GB2312" w:cs="仿宋_GB2312"/>
          <w:color w:val="000000"/>
          <w:sz w:val="28"/>
          <w:highlight w:val="none"/>
        </w:rPr>
        <w:t>）×土地使用年期修正系数×区位修正系数</w:t>
      </w:r>
    </w:p>
    <w:p w14:paraId="5D1A718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238.26</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155.6</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82</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13.05</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95.17+204.43</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×0.9878</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eastAsia="zh-CN"/>
        </w:rPr>
        <w:t>（</w:t>
      </w:r>
      <w:r>
        <w:rPr>
          <w:rFonts w:hint="eastAsia" w:ascii="仿宋_GB2312" w:hAnsi="仿宋_GB2312" w:eastAsia="仿宋_GB2312" w:cs="仿宋_GB2312"/>
          <w:bCs/>
          <w:sz w:val="28"/>
          <w:highlight w:val="none"/>
          <w:lang w:val="en-US" w:eastAsia="zh-CN"/>
        </w:rPr>
        <w:t>1+10%）</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856.8</w:t>
      </w:r>
      <w:r>
        <w:rPr>
          <w:rFonts w:hint="eastAsia" w:ascii="仿宋_GB2312" w:hAnsi="仿宋_GB2312" w:eastAsia="仿宋_GB2312" w:cs="仿宋_GB2312"/>
          <w:bCs/>
          <w:sz w:val="28"/>
          <w:highlight w:val="none"/>
        </w:rPr>
        <w:t>元／平方米</w:t>
      </w:r>
    </w:p>
    <w:p w14:paraId="686910A3">
      <w:pPr>
        <w:pStyle w:val="6"/>
        <w:keepNext w:val="0"/>
        <w:keepLines w:val="0"/>
        <w:pageBreakBefore w:val="0"/>
        <w:widowControl w:val="0"/>
        <w:numPr>
          <w:ilvl w:val="0"/>
          <w:numId w:val="0"/>
        </w:numPr>
        <w:kinsoku/>
        <w:wordWrap/>
        <w:topLinePunct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color w:val="000000"/>
          <w:sz w:val="28"/>
          <w:szCs w:val="20"/>
          <w:highlight w:val="none"/>
        </w:rPr>
        <w:t>成本逼近法</w:t>
      </w:r>
      <w:r>
        <w:rPr>
          <w:rFonts w:hint="eastAsia" w:ascii="仿宋_GB2312" w:hAnsi="仿宋_GB2312" w:eastAsia="仿宋_GB2312" w:cs="仿宋_GB2312"/>
          <w:color w:val="000000"/>
          <w:sz w:val="28"/>
          <w:highlight w:val="none"/>
        </w:rPr>
        <w:t>测算地价的结果为：估价对象于估价期日</w:t>
      </w:r>
      <w:r>
        <w:rPr>
          <w:rFonts w:hint="eastAsia" w:ascii="仿宋_GB2312" w:hAnsi="仿宋_GB2312" w:cs="仿宋_GB2312"/>
          <w:color w:val="000000"/>
          <w:sz w:val="28"/>
          <w:highlight w:val="none"/>
          <w:lang w:val="en-US" w:eastAsia="zh-CN"/>
        </w:rPr>
        <w:t>2026年5月18日</w:t>
      </w:r>
      <w:r>
        <w:rPr>
          <w:rFonts w:hint="eastAsia" w:ascii="仿宋_GB2312" w:hAnsi="仿宋_GB2312" w:eastAsia="仿宋_GB2312" w:cs="仿宋_GB2312"/>
          <w:color w:val="000000"/>
          <w:sz w:val="28"/>
          <w:highlight w:val="none"/>
        </w:rPr>
        <w:t>，在设定土地用途，设定土地使用年限，设定土地开发程度，</w:t>
      </w:r>
      <w:r>
        <w:rPr>
          <w:rFonts w:hint="eastAsia" w:ascii="仿宋_GB2312" w:hAnsi="仿宋_GB2312" w:cs="仿宋_GB2312"/>
          <w:color w:val="000000"/>
          <w:sz w:val="28"/>
          <w:highlight w:val="none"/>
          <w:lang w:val="en-US" w:eastAsia="zh-CN"/>
        </w:rPr>
        <w:t>现状</w:t>
      </w:r>
      <w:r>
        <w:rPr>
          <w:rFonts w:hint="eastAsia" w:ascii="仿宋_GB2312" w:hAnsi="仿宋_GB2312" w:eastAsia="仿宋_GB2312" w:cs="仿宋_GB2312"/>
          <w:color w:val="000000"/>
          <w:sz w:val="28"/>
          <w:highlight w:val="none"/>
        </w:rPr>
        <w:t>利用条件下的国有土地</w:t>
      </w:r>
      <w:r>
        <w:rPr>
          <w:rFonts w:hint="eastAsia" w:ascii="仿宋_GB2312" w:hAnsi="仿宋_GB2312" w:eastAsia="仿宋_GB2312" w:cs="仿宋_GB2312"/>
          <w:color w:val="000000"/>
          <w:sz w:val="28"/>
          <w:highlight w:val="none"/>
          <w:lang w:val="en-US" w:eastAsia="zh-CN"/>
        </w:rPr>
        <w:t>出让</w:t>
      </w:r>
      <w:r>
        <w:rPr>
          <w:rFonts w:hint="eastAsia" w:ascii="仿宋_GB2312" w:hAnsi="仿宋_GB2312" w:eastAsia="仿宋_GB2312" w:cs="仿宋_GB2312"/>
          <w:color w:val="000000"/>
          <w:sz w:val="28"/>
          <w:highlight w:val="none"/>
        </w:rPr>
        <w:t>使用权价格为</w:t>
      </w:r>
      <w:r>
        <w:rPr>
          <w:rFonts w:hint="eastAsia" w:ascii="仿宋_GB2312" w:hAnsi="仿宋_GB2312" w:cs="仿宋_GB2312"/>
          <w:color w:val="000000"/>
          <w:sz w:val="28"/>
          <w:highlight w:val="none"/>
          <w:lang w:val="en-US" w:eastAsia="zh-CN"/>
        </w:rPr>
        <w:t>856.8</w:t>
      </w:r>
      <w:r>
        <w:rPr>
          <w:rFonts w:hint="eastAsia" w:ascii="仿宋_GB2312" w:hAnsi="仿宋_GB2312" w:eastAsia="仿宋_GB2312" w:cs="仿宋_GB2312"/>
          <w:color w:val="000000"/>
          <w:sz w:val="28"/>
          <w:highlight w:val="none"/>
          <w:lang w:val="en-US" w:eastAsia="zh-CN"/>
        </w:rPr>
        <w:t>元/平方米</w:t>
      </w:r>
      <w:r>
        <w:rPr>
          <w:rFonts w:hint="eastAsia" w:ascii="仿宋_GB2312" w:hAnsi="仿宋_GB2312" w:eastAsia="仿宋_GB2312" w:cs="仿宋_GB2312"/>
          <w:color w:val="000000"/>
          <w:sz w:val="28"/>
          <w:highlight w:val="none"/>
        </w:rPr>
        <w:t>。</w:t>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收益还原法是在估算估价对象在未来每年预期纯收益（正常年纯收益）的基础上，以一定的土地还原率，将评估对象在未来每年的纯收益折算为估价期日收益总和的一种方法。</w:t>
      </w:r>
    </w:p>
    <w:p w14:paraId="3B5DDFBC">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法定有限年期的土地使用权价格计算公式为：</w:t>
      </w:r>
    </w:p>
    <w:p w14:paraId="550F5353">
      <w:pPr>
        <w:keepNext w:val="0"/>
        <w:keepLines w:val="0"/>
        <w:pageBreakBefore w:val="0"/>
        <w:widowControl w:val="0"/>
        <w:kinsoku/>
        <w:wordWrap/>
        <w:overflowPunct/>
        <w:topLinePunct w:val="0"/>
        <w:autoSpaceDE/>
        <w:autoSpaceDN/>
        <w:bidi w:val="0"/>
        <w:adjustRightInd w:val="0"/>
        <w:snapToGrid w:val="0"/>
        <w:spacing w:line="240" w:lineRule="auto"/>
        <w:ind w:firstLine="840" w:firstLineChars="3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5" o:spt="75" type="#_x0000_t75" style="height:38pt;width:103.95pt;" o:ole="t" filled="f" o:preferrelative="t" stroked="f" coordsize="21600,21600">
            <v:path/>
            <v:fill on="f" focussize="0,0"/>
            <v:stroke on="f"/>
            <v:imagedata r:id="rId27" o:title=""/>
            <o:lock v:ext="edit" aspectratio="t"/>
            <w10:wrap type="none"/>
            <w10:anchorlock/>
          </v:shape>
          <o:OLEObject Type="Embed" ProgID="Equation.3" ShapeID="_x0000_i1025" DrawAspect="Content" ObjectID="_1468075725" r:id="rId26">
            <o:LockedField>false</o:LockedField>
          </o:OLEObject>
        </w:object>
      </w:r>
    </w:p>
    <w:p w14:paraId="6AC76995">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式中：</w:t>
      </w:r>
      <w:r>
        <w:rPr>
          <w:rFonts w:hint="eastAsia" w:ascii="仿宋_GB2312" w:hAnsi="仿宋_GB2312" w:eastAsia="仿宋_GB2312" w:cs="仿宋_GB2312"/>
          <w:b w:val="0"/>
          <w:bCs w:val="0"/>
          <w:color w:val="000000"/>
          <w:kern w:val="2"/>
          <w:sz w:val="28"/>
          <w:szCs w:val="28"/>
          <w:highlight w:val="none"/>
          <w:lang w:val="en-US" w:eastAsia="zh-CN" w:bidi="ar-SA"/>
        </w:rPr>
        <w:object>
          <v:shape id="_x0000_i1026" o:spt="75" type="#_x0000_t75" style="height:13pt;width:12pt;" o:ole="t" filled="f" o:preferrelative="t" stroked="f" coordsize="21600,21600">
            <v:path/>
            <v:fill on="f" focussize="0,0"/>
            <v:stroke on="f"/>
            <v:imagedata r:id="rId29" o:title=""/>
            <o:lock v:ext="edit" aspectratio="t"/>
            <w10:wrap type="none"/>
            <w10:anchorlock/>
          </v:shape>
          <o:OLEObject Type="Embed" ProgID="Equation.3" ShapeID="_x0000_i1026" DrawAspect="Content" ObjectID="_1468075726" r:id="rId28">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－土地价格</w:t>
      </w:r>
    </w:p>
    <w:p w14:paraId="4471A620">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7" o:spt="75" type="#_x0000_t75" style="height:11pt;width:10pt;" o:ole="t" filled="f" o:preferrelative="t" stroked="f" coordsize="21600,21600">
            <v:path/>
            <v:fill on="f" focussize="0,0"/>
            <v:stroke on="f"/>
            <v:imagedata r:id="rId31" o:title=""/>
            <o:lock v:ext="edit" aspectratio="t"/>
            <w10:wrap type="none"/>
            <w10:anchorlock/>
          </v:shape>
          <o:OLEObject Type="Embed" ProgID="Equation.3" ShapeID="_x0000_i1027" DrawAspect="Content" ObjectID="_1468075727" r:id="rId30">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－土地年纯收益</w:t>
      </w:r>
    </w:p>
    <w:p w14:paraId="5962B9E9">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8" o:spt="75" type="#_x0000_t75" style="height:10pt;width:9pt;" o:ole="t" filled="f" o:preferrelative="t" stroked="f" coordsize="21600,21600">
            <v:path/>
            <v:fill on="f" focussize="0,0"/>
            <v:stroke on="f"/>
            <v:imagedata r:id="rId33" o:title=""/>
            <o:lock v:ext="edit" aspectratio="t"/>
            <w10:wrap type="none"/>
            <w10:anchorlock/>
          </v:shape>
          <o:OLEObject Type="Embed" ProgID="Equation.3" ShapeID="_x0000_i1028" DrawAspect="Content" ObjectID="_1468075728" r:id="rId32">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－土地还原利率</w:t>
      </w:r>
    </w:p>
    <w:p w14:paraId="7CF796DC">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9" o:spt="75" type="#_x0000_t75" style="height:11pt;width:10pt;" o:ole="t" filled="f" o:preferrelative="t" stroked="f" coordsize="21600,21600">
            <v:path/>
            <v:fill on="f" focussize="0,0"/>
            <v:stroke on="f"/>
            <v:imagedata r:id="rId35" o:title=""/>
            <o:lock v:ext="edit" aspectratio="t"/>
            <w10:wrap type="none"/>
            <w10:anchorlock/>
          </v:shape>
          <o:OLEObject Type="Embed" ProgID="Equation.3" ShapeID="_x0000_i1029" DrawAspect="Content" ObjectID="_1468075729" r:id="rId34">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－使用土地的年期或有土地收益的年期</w:t>
      </w:r>
    </w:p>
    <w:p w14:paraId="6523A0A9">
      <w:pPr>
        <w:adjustRightInd w:val="0"/>
        <w:snapToGrid w:val="0"/>
        <w:spacing w:line="480" w:lineRule="exact"/>
        <w:ind w:firstLine="555"/>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具体测算思路是：</w:t>
      </w:r>
    </w:p>
    <w:p w14:paraId="5D074D7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A.房地年总收益＝房地年租金＝月租金×12×收益总面积×出租率×有效使用面积比率</w:t>
      </w:r>
    </w:p>
    <w:p w14:paraId="71974E2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B．房地出租年总费用＝维修费+管理费+保险费+税金</w:t>
      </w:r>
    </w:p>
    <w:p w14:paraId="082CED8B">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C．房地年纯收益＝房地年总收益-房地出租年总费用</w:t>
      </w:r>
    </w:p>
    <w:p w14:paraId="46AB2466">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D．房屋年纯收益＝房屋现值×房屋还原率</w:t>
      </w:r>
    </w:p>
    <w:p w14:paraId="1964B3C4">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房屋现值＝重置价－折旧总额＝重置成本－年折旧费×已使用年限</w:t>
      </w:r>
    </w:p>
    <w:p w14:paraId="0C30B48A">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E．土地年纯收益＝房地年纯收益—房屋年纯收益</w:t>
      </w:r>
    </w:p>
    <w:p w14:paraId="2AE802BF">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F．总地价＝土地年纯收益÷r×[1-1/（1+r）n]</w:t>
      </w:r>
    </w:p>
    <w:p w14:paraId="6F2CCE87">
      <w:pPr>
        <w:adjustRightInd w:val="0"/>
        <w:snapToGrid w:val="0"/>
        <w:spacing w:line="480" w:lineRule="exact"/>
        <w:ind w:firstLine="57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G．单位面积地价＝总地价÷总用地面积</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14:paraId="4265A839">
      <w:pPr>
        <w:keepNext w:val="0"/>
        <w:keepLines w:val="0"/>
        <w:pageBreakBefore w:val="0"/>
        <w:widowControl w:val="0"/>
        <w:kinsoku/>
        <w:wordWrap/>
        <w:overflowPunct/>
        <w:topLinePunct w:val="0"/>
        <w:bidi w:val="0"/>
        <w:adjustRightInd w:val="0"/>
        <w:snapToGrid w:val="0"/>
        <w:spacing w:line="480" w:lineRule="exact"/>
        <w:ind w:firstLine="562" w:firstLineChars="200"/>
        <w:outlineLvl w:val="1"/>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仿宋_GB2312" w:eastAsia="仿宋_GB2312" w:cs="仿宋_GB2312"/>
          <w:b/>
          <w:bCs/>
          <w:color w:val="000000"/>
          <w:kern w:val="2"/>
          <w:sz w:val="28"/>
          <w:szCs w:val="28"/>
          <w:highlight w:val="none"/>
          <w:lang w:val="en-US" w:eastAsia="zh-CN" w:bidi="ar-SA"/>
        </w:rPr>
        <w:t>三、地价的确定</w:t>
      </w:r>
      <w:bookmarkEnd w:id="26"/>
      <w:bookmarkEnd w:id="27"/>
    </w:p>
    <w:p w14:paraId="44F099A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45A10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7FCAA58B">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r>
        <w:rPr>
          <w:rFonts w:hint="eastAsia" w:ascii="仿宋_GB2312" w:hAnsi="仿宋_GB2312" w:eastAsia="仿宋_GB2312" w:cs="仿宋_GB2312"/>
          <w:snapToGrid w:val="0"/>
          <w:color w:val="000000"/>
          <w:kern w:val="0"/>
          <w:sz w:val="28"/>
          <w:szCs w:val="28"/>
          <w:highlight w:val="none"/>
        </w:rPr>
        <w:t>。</w:t>
      </w:r>
    </w:p>
    <w:p w14:paraId="1D0B73D3">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snapToGrid w:val="0"/>
          <w:color w:val="000000"/>
          <w:kern w:val="0"/>
          <w:sz w:val="28"/>
          <w:szCs w:val="28"/>
          <w:highlight w:val="none"/>
          <w:lang w:val="en-US" w:eastAsia="zh-CN"/>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通过对当地土地市场和土地价格的分析和两种方法的可靠性综合分析，根据项目特点，综合考虑宗地所在区域的地价水平，确定以剩余法的评估结果作为本次评估的最终结果。</w:t>
      </w:r>
    </w:p>
    <w:p w14:paraId="0CF2A8F9">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2"/>
        <w:tblW w:w="54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663"/>
        <w:gridCol w:w="900"/>
        <w:gridCol w:w="525"/>
        <w:gridCol w:w="1050"/>
        <w:gridCol w:w="660"/>
        <w:gridCol w:w="1120"/>
        <w:gridCol w:w="984"/>
        <w:gridCol w:w="1035"/>
        <w:gridCol w:w="967"/>
      </w:tblGrid>
      <w:tr w14:paraId="6F30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restart"/>
            <w:noWrap w:val="0"/>
            <w:vAlign w:val="center"/>
          </w:tcPr>
          <w:p w14:paraId="1E81C32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评估项目</w:t>
            </w:r>
          </w:p>
        </w:tc>
        <w:tc>
          <w:tcPr>
            <w:tcW w:w="356" w:type="pct"/>
            <w:vMerge w:val="restart"/>
            <w:noWrap w:val="0"/>
            <w:vAlign w:val="center"/>
          </w:tcPr>
          <w:p w14:paraId="23ECC265">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用途</w:t>
            </w:r>
          </w:p>
        </w:tc>
        <w:tc>
          <w:tcPr>
            <w:tcW w:w="766" w:type="pct"/>
            <w:gridSpan w:val="2"/>
            <w:noWrap w:val="0"/>
            <w:vAlign w:val="center"/>
          </w:tcPr>
          <w:p w14:paraId="38787FA7">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成本逼近法</w:t>
            </w:r>
          </w:p>
        </w:tc>
        <w:tc>
          <w:tcPr>
            <w:tcW w:w="919" w:type="pct"/>
            <w:gridSpan w:val="2"/>
            <w:noWrap w:val="0"/>
            <w:vAlign w:val="center"/>
          </w:tcPr>
          <w:p w14:paraId="09FDB7E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剩余法</w:t>
            </w:r>
          </w:p>
        </w:tc>
        <w:tc>
          <w:tcPr>
            <w:tcW w:w="602" w:type="pct"/>
            <w:vMerge w:val="restart"/>
            <w:noWrap w:val="0"/>
            <w:vAlign w:val="center"/>
          </w:tcPr>
          <w:p w14:paraId="0926344B">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确定土地单价（元/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29" w:type="pct"/>
            <w:vMerge w:val="restart"/>
            <w:noWrap w:val="0"/>
            <w:vAlign w:val="center"/>
          </w:tcPr>
          <w:p w14:paraId="5D9A792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土地面积（m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56" w:type="pct"/>
            <w:vMerge w:val="restart"/>
            <w:noWrap w:val="0"/>
            <w:vAlign w:val="center"/>
          </w:tcPr>
          <w:p w14:paraId="709BC544">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土地总价（万元）</w:t>
            </w:r>
          </w:p>
        </w:tc>
        <w:tc>
          <w:tcPr>
            <w:tcW w:w="520" w:type="pct"/>
            <w:vMerge w:val="restart"/>
            <w:noWrap w:val="0"/>
            <w:vAlign w:val="center"/>
          </w:tcPr>
          <w:p w14:paraId="60D609F8">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lang w:val="en-US" w:eastAsia="zh-CN"/>
              </w:rPr>
              <w:t>楼面</w:t>
            </w:r>
            <w:r>
              <w:rPr>
                <w:rFonts w:hint="eastAsia" w:ascii="仿宋_GB2312" w:hAnsi="仿宋_GB2312" w:eastAsia="仿宋_GB2312" w:cs="仿宋_GB2312"/>
                <w:snapToGrid w:val="0"/>
                <w:sz w:val="21"/>
                <w:szCs w:val="21"/>
                <w:highlight w:val="none"/>
              </w:rPr>
              <w:t>地价（元/m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r>
      <w:tr w14:paraId="0C6B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continue"/>
            <w:noWrap w:val="0"/>
            <w:vAlign w:val="center"/>
          </w:tcPr>
          <w:p w14:paraId="160D65BB">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356" w:type="pct"/>
            <w:vMerge w:val="continue"/>
            <w:noWrap w:val="0"/>
            <w:vAlign w:val="center"/>
          </w:tcPr>
          <w:p w14:paraId="245C66D4">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484" w:type="pct"/>
            <w:noWrap w:val="0"/>
            <w:vAlign w:val="center"/>
          </w:tcPr>
          <w:p w14:paraId="52C4574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282" w:type="pct"/>
            <w:noWrap w:val="0"/>
            <w:vAlign w:val="center"/>
          </w:tcPr>
          <w:p w14:paraId="79704C6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564" w:type="pct"/>
            <w:noWrap w:val="0"/>
            <w:vAlign w:val="center"/>
          </w:tcPr>
          <w:p w14:paraId="48742B25">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355" w:type="pct"/>
            <w:noWrap w:val="0"/>
            <w:vAlign w:val="center"/>
          </w:tcPr>
          <w:p w14:paraId="2D465058">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602" w:type="pct"/>
            <w:vMerge w:val="continue"/>
            <w:noWrap w:val="0"/>
            <w:vAlign w:val="center"/>
          </w:tcPr>
          <w:p w14:paraId="53ABD2F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9" w:type="pct"/>
            <w:vMerge w:val="continue"/>
            <w:noWrap w:val="0"/>
            <w:vAlign w:val="center"/>
          </w:tcPr>
          <w:p w14:paraId="47755CC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56" w:type="pct"/>
            <w:vMerge w:val="continue"/>
            <w:noWrap w:val="0"/>
            <w:vAlign w:val="center"/>
          </w:tcPr>
          <w:p w14:paraId="5FEF09E8">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0" w:type="pct"/>
            <w:vMerge w:val="continue"/>
            <w:noWrap w:val="0"/>
            <w:vAlign w:val="center"/>
          </w:tcPr>
          <w:p w14:paraId="592C2DBE">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r>
      <w:tr w14:paraId="1FC3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47" w:type="pct"/>
            <w:noWrap w:val="0"/>
            <w:vAlign w:val="center"/>
          </w:tcPr>
          <w:p w14:paraId="6F3D2796">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道县月岩西路宗地</w:t>
            </w:r>
          </w:p>
        </w:tc>
        <w:tc>
          <w:tcPr>
            <w:tcW w:w="356" w:type="pct"/>
            <w:noWrap w:val="0"/>
            <w:vAlign w:val="center"/>
          </w:tcPr>
          <w:p w14:paraId="4B7CB0FF">
            <w:pPr>
              <w:adjustRightInd w:val="0"/>
              <w:snapToGrid w:val="0"/>
              <w:spacing w:line="240" w:lineRule="exact"/>
              <w:jc w:val="both"/>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住宅用地</w:t>
            </w:r>
          </w:p>
        </w:tc>
        <w:tc>
          <w:tcPr>
            <w:tcW w:w="484" w:type="pct"/>
            <w:noWrap w:val="0"/>
            <w:vAlign w:val="center"/>
          </w:tcPr>
          <w:p w14:paraId="042D249F">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856.8</w:t>
            </w:r>
          </w:p>
        </w:tc>
        <w:tc>
          <w:tcPr>
            <w:tcW w:w="282" w:type="pct"/>
            <w:noWrap w:val="0"/>
            <w:vAlign w:val="center"/>
          </w:tcPr>
          <w:p w14:paraId="23F813C9">
            <w:pPr>
              <w:adjustRightInd w:val="0"/>
              <w:snapToGrid w:val="0"/>
              <w:spacing w:line="240" w:lineRule="exact"/>
              <w:jc w:val="center"/>
              <w:rPr>
                <w:rFonts w:hint="eastAsia"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0</w:t>
            </w:r>
          </w:p>
        </w:tc>
        <w:tc>
          <w:tcPr>
            <w:tcW w:w="564" w:type="pct"/>
            <w:noWrap w:val="0"/>
            <w:vAlign w:val="center"/>
          </w:tcPr>
          <w:p w14:paraId="3775F732">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2510.5</w:t>
            </w:r>
          </w:p>
        </w:tc>
        <w:tc>
          <w:tcPr>
            <w:tcW w:w="355" w:type="pct"/>
            <w:noWrap w:val="0"/>
            <w:vAlign w:val="center"/>
          </w:tcPr>
          <w:p w14:paraId="751F29EE">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w:t>
            </w:r>
          </w:p>
        </w:tc>
        <w:tc>
          <w:tcPr>
            <w:tcW w:w="602" w:type="pct"/>
            <w:noWrap w:val="0"/>
            <w:vAlign w:val="center"/>
          </w:tcPr>
          <w:p w14:paraId="3598F22B">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2511</w:t>
            </w:r>
          </w:p>
        </w:tc>
        <w:tc>
          <w:tcPr>
            <w:tcW w:w="529" w:type="pct"/>
            <w:noWrap w:val="0"/>
            <w:vAlign w:val="center"/>
          </w:tcPr>
          <w:p w14:paraId="3957488C">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15.2</w:t>
            </w:r>
          </w:p>
        </w:tc>
        <w:tc>
          <w:tcPr>
            <w:tcW w:w="556" w:type="pct"/>
            <w:noWrap w:val="0"/>
            <w:vAlign w:val="center"/>
          </w:tcPr>
          <w:p w14:paraId="355517E2">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3.82</w:t>
            </w:r>
          </w:p>
        </w:tc>
        <w:tc>
          <w:tcPr>
            <w:tcW w:w="520" w:type="pct"/>
            <w:noWrap w:val="0"/>
            <w:vAlign w:val="center"/>
          </w:tcPr>
          <w:p w14:paraId="45F5394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519.88</w:t>
            </w:r>
          </w:p>
        </w:tc>
      </w:tr>
    </w:tbl>
    <w:p w14:paraId="5F21307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5EE0C19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w:t>
      </w:r>
      <w:bookmarkStart w:id="28" w:name="_GoBack"/>
      <w:bookmarkEnd w:id="28"/>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0CC5438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0C4DAA15">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7C54F7F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24AE12E7">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7353C065">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15D97A5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5F6D7EA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623EA900">
      <w:pP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br w:type="page"/>
      </w:r>
    </w:p>
    <w:p w14:paraId="37F1DCA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p>
    <w:p w14:paraId="0781E94D">
      <w:pPr>
        <w:pStyle w:val="2"/>
        <w:ind w:firstLine="0"/>
        <w:jc w:val="center"/>
        <w:rPr>
          <w:rFonts w:hint="eastAsia" w:asciiTheme="majorEastAsia" w:hAnsiTheme="majorEastAsia" w:eastAsiaTheme="majorEastAsia" w:cstheme="majorEastAsia"/>
          <w:b/>
          <w:bCs/>
          <w:sz w:val="32"/>
          <w:highlight w:val="none"/>
        </w:rPr>
      </w:pPr>
      <w:r>
        <w:rPr>
          <w:rFonts w:hint="eastAsia" w:asciiTheme="majorEastAsia" w:hAnsiTheme="majorEastAsia" w:eastAsiaTheme="majorEastAsia" w:cstheme="majorEastAsia"/>
          <w:b/>
          <w:bCs/>
          <w:sz w:val="32"/>
          <w:highlight w:val="none"/>
          <w:lang w:val="en-US" w:eastAsia="zh-CN"/>
        </w:rPr>
        <w:t xml:space="preserve">第四部分  </w:t>
      </w:r>
      <w:r>
        <w:rPr>
          <w:rFonts w:hint="eastAsia" w:asciiTheme="majorEastAsia" w:hAnsiTheme="majorEastAsia" w:eastAsiaTheme="majorEastAsia" w:cstheme="majorEastAsia"/>
          <w:b/>
          <w:bCs/>
          <w:sz w:val="32"/>
          <w:highlight w:val="none"/>
        </w:rPr>
        <w:t>附件</w:t>
      </w:r>
    </w:p>
    <w:p w14:paraId="49A37027">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BCF7E1B">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59B8A49">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4431F61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575EB89A">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2053C986">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7A1284C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5A8C112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0D46A96E">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9.估价对象宗地区域位置示意图；</w:t>
      </w:r>
    </w:p>
    <w:p w14:paraId="75304640">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10.现场勘查照片；</w:t>
      </w:r>
    </w:p>
    <w:p w14:paraId="3066B8F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11.现场勘查记录表；</w:t>
      </w:r>
    </w:p>
    <w:p w14:paraId="452A90A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12.收益还原法案例位置和现场照片；</w:t>
      </w:r>
    </w:p>
    <w:p w14:paraId="59C4C8A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13.土地评估中介机构企业营业执照；</w:t>
      </w:r>
    </w:p>
    <w:p w14:paraId="2374EEEF">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14.土地评估中介机构备案证明；</w:t>
      </w:r>
    </w:p>
    <w:p w14:paraId="2EE6B14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15.土地估价师资质证书。</w:t>
      </w:r>
    </w:p>
    <w:p w14:paraId="14795C38">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p>
    <w:p w14:paraId="11E1C5AE">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r>
        <w:rPr>
          <w:rFonts w:hint="eastAsia" w:ascii="仿宋_GB2312" w:eastAsia="仿宋_GB2312"/>
          <w:sz w:val="28"/>
          <w:szCs w:val="28"/>
          <w:highlight w:val="none"/>
        </w:rPr>
        <w:t>（以上资料均为复印件）</w:t>
      </w:r>
    </w:p>
    <w:p w14:paraId="7511B465">
      <w:pPr>
        <w:rPr>
          <w:highlight w:val="none"/>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体">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昆仑仿宋">
    <w:altName w:val="黑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4F21D">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A526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3DA5265">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B8ED5">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6771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026771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9"/>
      <w:pBdr>
        <w:bottom w:val="single" w:color="auto" w:sz="6" w:space="1"/>
      </w:pBdr>
      <w:rPr>
        <w:rFonts w:ascii="仿宋_GB2312" w:eastAsia="仿宋_GB2312"/>
        <w:sz w:val="21"/>
        <w:szCs w:val="21"/>
      </w:rPr>
    </w:pPr>
  </w:p>
  <w:p w14:paraId="21E1C8DA">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4384;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MQjOkm+AQAAcw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4678">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75171">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7775171">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8B2">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3360" behindDoc="0" locked="0" layoutInCell="1" allowOverlap="1">
              <wp:simplePos x="0" y="0"/>
              <wp:positionH relativeFrom="margin">
                <wp:posOffset>5210810</wp:posOffset>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90816">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0.3pt;margin-top:0pt;height:144pt;width:144pt;mso-position-horizontal-relative:margin;mso-wrap-style:none;z-index:251663360;mso-width-relative:page;mso-height-relative:page;" filled="f" stroked="f" coordsize="21600,21600" o:gfxdata="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wEyhNQAAAAJAQAADwAAAAAAAAABACAAAAAiAAAAZHJzL2Rvd25yZXYueG1sUEsB&#10;AhQAFAAAAAgAh07iQKT72nYyAgAAYwQAAA4AAAAAAAAAAQAgAAAAIwEAAGRycy9lMm9Eb2MueG1s&#10;UEsFBgAAAAAGAAYAWQEAAMcFAAAAAA==&#10;">
              <v:fill on="f" focussize="0,0"/>
              <v:stroke on="f" weight="0.5pt"/>
              <v:imagedata o:title=""/>
              <o:lock v:ext="edit" aspectratio="f"/>
              <v:textbox inset="0mm,0mm,0mm,0mm" style="mso-fit-shape-to-text:t;">
                <w:txbxContent>
                  <w:p w14:paraId="7AA90816">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p w14:paraId="58D6942B">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6744D">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CE6744D">
                    <w:pPr>
                      <w:pStyle w:val="9"/>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37DB">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D2F87">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91E069">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791E069">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DC9C9">
    <w:pPr>
      <w:pStyle w:val="9"/>
      <w:pBdr>
        <w:bottom w:val="single" w:color="auto" w:sz="6" w:space="1"/>
      </w:pBdr>
      <w:rPr>
        <w:rFonts w:ascii="仿宋_GB2312" w:eastAsia="仿宋_GB2312"/>
        <w:sz w:val="21"/>
        <w:szCs w:val="21"/>
      </w:rPr>
    </w:pPr>
  </w:p>
  <w:p w14:paraId="5BD50AF7">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3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3EE86E1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4384;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NWXcQe+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XJWdOWJr48fu3449f&#10;x59f2a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NWXcQe+AQAAcwMAAA4AAAAAAAAAAQAgAAAAIgEAAGRycy9lMm9Eb2MueG1sUEsF&#10;BgAAAAAGAAYAWQEAAFIFAAAAAA==&#10;">
              <v:fill on="f" focussize="0,0"/>
              <v:stroke on="f"/>
              <v:imagedata o:title=""/>
              <o:lock v:ext="edit" aspectratio="f"/>
              <v:textbox inset="0mm,0mm,0mm,0mm">
                <w:txbxContent>
                  <w:p w14:paraId="3EE86E1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DE2E">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rPr>
        <w:rFonts w:hint="eastAsia" w:eastAsia="仿宋_GB2312"/>
        <w:lang w:eastAsia="zh-CN"/>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ZC0007号</w:t>
    </w:r>
  </w:p>
  <w:p w14:paraId="27A76571">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24931">
    <w:pPr>
      <w:pStyle w:val="1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77782">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rPr>
      <w:t xml:space="preserve"> </w:t>
    </w: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36</w:t>
    </w:r>
    <w:r>
      <w:rPr>
        <w:rFonts w:hint="eastAsia" w:ascii="仿宋_GB2312" w:hAnsi="仿宋_GB2312" w:eastAsia="仿宋_GB2312" w:cs="仿宋_GB2312"/>
        <w:sz w:val="21"/>
        <w:szCs w:val="21"/>
      </w:rPr>
      <w:t>号</w:t>
    </w:r>
  </w:p>
  <w:p w14:paraId="1C619443">
    <w:pPr>
      <w:pStyle w:val="10"/>
      <w:pBdr>
        <w:top w:val="none" w:color="auto" w:sz="0" w:space="0"/>
        <w:left w:val="none" w:color="auto" w:sz="0" w:space="0"/>
        <w:bottom w:val="none" w:color="auto" w:sz="0" w:space="1"/>
        <w:right w:val="none" w:color="auto" w:sz="0" w:space="0"/>
        <w:between w:val="none" w:color="auto" w:sz="0" w:space="0"/>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1CC5F">
    <w:pPr>
      <w:pStyle w:val="10"/>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1C2D">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rPr>
        <w:rFonts w:hint="eastAsia" w:eastAsia="仿宋_GB2312"/>
        <w:lang w:eastAsia="zh-CN"/>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ZC0007号</w:t>
    </w:r>
  </w:p>
  <w:p w14:paraId="05AA1E90">
    <w:pPr>
      <w:pStyle w:val="10"/>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2521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60BDE"/>
    <w:multiLevelType w:val="singleLevel"/>
    <w:tmpl w:val="DBD60BDE"/>
    <w:lvl w:ilvl="0" w:tentative="0">
      <w:start w:val="2"/>
      <w:numFmt w:val="chineseCounting"/>
      <w:suff w:val="nothing"/>
      <w:lvlText w:val="%1、"/>
      <w:lvlJc w:val="left"/>
      <w:rPr>
        <w:rFonts w:hint="eastAsia"/>
      </w:rPr>
    </w:lvl>
  </w:abstractNum>
  <w:abstractNum w:abstractNumId="1">
    <w:nsid w:val="E6C9BDCA"/>
    <w:multiLevelType w:val="singleLevel"/>
    <w:tmpl w:val="E6C9BDCA"/>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50C37"/>
    <w:rsid w:val="0050638A"/>
    <w:rsid w:val="00A65FA9"/>
    <w:rsid w:val="00CB77BE"/>
    <w:rsid w:val="01685CBB"/>
    <w:rsid w:val="02A97FD3"/>
    <w:rsid w:val="02F474AE"/>
    <w:rsid w:val="02F573B1"/>
    <w:rsid w:val="031B668D"/>
    <w:rsid w:val="040556DD"/>
    <w:rsid w:val="04073203"/>
    <w:rsid w:val="0495202A"/>
    <w:rsid w:val="04E538B9"/>
    <w:rsid w:val="053C4D34"/>
    <w:rsid w:val="06BB4318"/>
    <w:rsid w:val="071F3380"/>
    <w:rsid w:val="07A43F8C"/>
    <w:rsid w:val="0911242E"/>
    <w:rsid w:val="0A2D56D2"/>
    <w:rsid w:val="0A580BC0"/>
    <w:rsid w:val="0AA7385B"/>
    <w:rsid w:val="0B26152B"/>
    <w:rsid w:val="0B685FD4"/>
    <w:rsid w:val="0BCF567D"/>
    <w:rsid w:val="0BD2614F"/>
    <w:rsid w:val="0D024545"/>
    <w:rsid w:val="0D3916C5"/>
    <w:rsid w:val="0D745238"/>
    <w:rsid w:val="0EC95C85"/>
    <w:rsid w:val="0EE57B2C"/>
    <w:rsid w:val="0F6F7D85"/>
    <w:rsid w:val="0FCB723E"/>
    <w:rsid w:val="100B7BDD"/>
    <w:rsid w:val="102869DB"/>
    <w:rsid w:val="11036C22"/>
    <w:rsid w:val="11841B42"/>
    <w:rsid w:val="11BA012C"/>
    <w:rsid w:val="11D02E86"/>
    <w:rsid w:val="12EB4609"/>
    <w:rsid w:val="1303728B"/>
    <w:rsid w:val="142764E5"/>
    <w:rsid w:val="14D42C8D"/>
    <w:rsid w:val="16691109"/>
    <w:rsid w:val="16A92BBA"/>
    <w:rsid w:val="16BC7E7D"/>
    <w:rsid w:val="17CE7E68"/>
    <w:rsid w:val="17FF3FCB"/>
    <w:rsid w:val="19227B8E"/>
    <w:rsid w:val="194B373A"/>
    <w:rsid w:val="1A116D99"/>
    <w:rsid w:val="1A2D6C30"/>
    <w:rsid w:val="1A6920CA"/>
    <w:rsid w:val="1A8769F4"/>
    <w:rsid w:val="1A8D2345"/>
    <w:rsid w:val="1ADE1860"/>
    <w:rsid w:val="1B6539E2"/>
    <w:rsid w:val="1B852C38"/>
    <w:rsid w:val="1BB90E2F"/>
    <w:rsid w:val="1BDC68CC"/>
    <w:rsid w:val="1D584C60"/>
    <w:rsid w:val="1D6A7EEF"/>
    <w:rsid w:val="1D9B5D99"/>
    <w:rsid w:val="1E0513AA"/>
    <w:rsid w:val="1E256308"/>
    <w:rsid w:val="1E8E0A96"/>
    <w:rsid w:val="1EFA3C38"/>
    <w:rsid w:val="1F5A2534"/>
    <w:rsid w:val="1F6D7F66"/>
    <w:rsid w:val="201B5A3A"/>
    <w:rsid w:val="2031368A"/>
    <w:rsid w:val="207177E8"/>
    <w:rsid w:val="20784E15"/>
    <w:rsid w:val="207D68CF"/>
    <w:rsid w:val="2189080C"/>
    <w:rsid w:val="21983295"/>
    <w:rsid w:val="22572D6D"/>
    <w:rsid w:val="22701C93"/>
    <w:rsid w:val="23130E25"/>
    <w:rsid w:val="237D2742"/>
    <w:rsid w:val="23A52A71"/>
    <w:rsid w:val="24B46637"/>
    <w:rsid w:val="252E1F46"/>
    <w:rsid w:val="25F50CB6"/>
    <w:rsid w:val="271401A9"/>
    <w:rsid w:val="274972F1"/>
    <w:rsid w:val="274E02E3"/>
    <w:rsid w:val="27D22E3F"/>
    <w:rsid w:val="2992630E"/>
    <w:rsid w:val="29D26541"/>
    <w:rsid w:val="2A173A58"/>
    <w:rsid w:val="2ABE1FBE"/>
    <w:rsid w:val="2D0F414A"/>
    <w:rsid w:val="2D1C2018"/>
    <w:rsid w:val="2D232E96"/>
    <w:rsid w:val="2E301933"/>
    <w:rsid w:val="2E677E28"/>
    <w:rsid w:val="2E764129"/>
    <w:rsid w:val="2E8157DC"/>
    <w:rsid w:val="2E9A689E"/>
    <w:rsid w:val="2FBE079E"/>
    <w:rsid w:val="30006BD5"/>
    <w:rsid w:val="30050C37"/>
    <w:rsid w:val="307373A7"/>
    <w:rsid w:val="30F35BEE"/>
    <w:rsid w:val="314259D7"/>
    <w:rsid w:val="31DA6AF7"/>
    <w:rsid w:val="31FA2CB1"/>
    <w:rsid w:val="321A1456"/>
    <w:rsid w:val="325251FF"/>
    <w:rsid w:val="333E1EB5"/>
    <w:rsid w:val="336932CF"/>
    <w:rsid w:val="33F311AB"/>
    <w:rsid w:val="36080591"/>
    <w:rsid w:val="36205584"/>
    <w:rsid w:val="36213401"/>
    <w:rsid w:val="367E46F6"/>
    <w:rsid w:val="36DB5CA6"/>
    <w:rsid w:val="37763DFC"/>
    <w:rsid w:val="377A2070"/>
    <w:rsid w:val="37970C53"/>
    <w:rsid w:val="37AC4521"/>
    <w:rsid w:val="38085800"/>
    <w:rsid w:val="389122A4"/>
    <w:rsid w:val="398B187A"/>
    <w:rsid w:val="399B3B29"/>
    <w:rsid w:val="39CE6B7E"/>
    <w:rsid w:val="3A306341"/>
    <w:rsid w:val="3AB605BC"/>
    <w:rsid w:val="3AFA4934"/>
    <w:rsid w:val="3B985CFD"/>
    <w:rsid w:val="3BCC4052"/>
    <w:rsid w:val="3CBE4263"/>
    <w:rsid w:val="3D92499B"/>
    <w:rsid w:val="3DBB413B"/>
    <w:rsid w:val="3E095C8C"/>
    <w:rsid w:val="3E3826A5"/>
    <w:rsid w:val="3F484871"/>
    <w:rsid w:val="3FBE5FE6"/>
    <w:rsid w:val="401150BE"/>
    <w:rsid w:val="40176647"/>
    <w:rsid w:val="40786313"/>
    <w:rsid w:val="40A13ABC"/>
    <w:rsid w:val="41236C02"/>
    <w:rsid w:val="413D180C"/>
    <w:rsid w:val="43390BE3"/>
    <w:rsid w:val="43AB62F8"/>
    <w:rsid w:val="44CD1324"/>
    <w:rsid w:val="4506156C"/>
    <w:rsid w:val="45333E46"/>
    <w:rsid w:val="46024DBE"/>
    <w:rsid w:val="47F70466"/>
    <w:rsid w:val="49C23DE4"/>
    <w:rsid w:val="4A004451"/>
    <w:rsid w:val="4A7C384F"/>
    <w:rsid w:val="4ABF1A3A"/>
    <w:rsid w:val="4B9C1A50"/>
    <w:rsid w:val="4BBE277F"/>
    <w:rsid w:val="4C3A381B"/>
    <w:rsid w:val="4C517170"/>
    <w:rsid w:val="4C5D11DF"/>
    <w:rsid w:val="4CA72A99"/>
    <w:rsid w:val="4D0F1C63"/>
    <w:rsid w:val="4D1F6494"/>
    <w:rsid w:val="4D3866EA"/>
    <w:rsid w:val="4D5F2FC1"/>
    <w:rsid w:val="4DA27FF9"/>
    <w:rsid w:val="4E7B6FE2"/>
    <w:rsid w:val="504E47AC"/>
    <w:rsid w:val="506369BC"/>
    <w:rsid w:val="510A55DB"/>
    <w:rsid w:val="51143E36"/>
    <w:rsid w:val="530F4D20"/>
    <w:rsid w:val="531A725B"/>
    <w:rsid w:val="53433B89"/>
    <w:rsid w:val="53935CD0"/>
    <w:rsid w:val="53BD1699"/>
    <w:rsid w:val="53E42A17"/>
    <w:rsid w:val="5412080D"/>
    <w:rsid w:val="54150FD4"/>
    <w:rsid w:val="547F16B0"/>
    <w:rsid w:val="55195A82"/>
    <w:rsid w:val="55393E05"/>
    <w:rsid w:val="56024BA5"/>
    <w:rsid w:val="56115CEB"/>
    <w:rsid w:val="56D13F4F"/>
    <w:rsid w:val="573174F0"/>
    <w:rsid w:val="582C415B"/>
    <w:rsid w:val="59FF44AD"/>
    <w:rsid w:val="5A513A05"/>
    <w:rsid w:val="5BFE196B"/>
    <w:rsid w:val="5C163158"/>
    <w:rsid w:val="5C4E46A0"/>
    <w:rsid w:val="5D1551BE"/>
    <w:rsid w:val="5E6A778C"/>
    <w:rsid w:val="5F2004B7"/>
    <w:rsid w:val="5F63348B"/>
    <w:rsid w:val="5FAE348C"/>
    <w:rsid w:val="603040BD"/>
    <w:rsid w:val="60CE7B5E"/>
    <w:rsid w:val="61566291"/>
    <w:rsid w:val="618D7A19"/>
    <w:rsid w:val="61FC4B9F"/>
    <w:rsid w:val="629D3584"/>
    <w:rsid w:val="62E056E2"/>
    <w:rsid w:val="638B43E1"/>
    <w:rsid w:val="63A20BAE"/>
    <w:rsid w:val="63FF54EA"/>
    <w:rsid w:val="64507CAB"/>
    <w:rsid w:val="646564E6"/>
    <w:rsid w:val="64771F77"/>
    <w:rsid w:val="64CD45D0"/>
    <w:rsid w:val="64F14763"/>
    <w:rsid w:val="65364186"/>
    <w:rsid w:val="664550B7"/>
    <w:rsid w:val="67452EF2"/>
    <w:rsid w:val="67E67187"/>
    <w:rsid w:val="68062ABB"/>
    <w:rsid w:val="6A6A7556"/>
    <w:rsid w:val="6AC22965"/>
    <w:rsid w:val="6BE96194"/>
    <w:rsid w:val="6C4433CA"/>
    <w:rsid w:val="6C877877"/>
    <w:rsid w:val="6CB84CCD"/>
    <w:rsid w:val="6F9E54E7"/>
    <w:rsid w:val="6FC447D3"/>
    <w:rsid w:val="70AE32E4"/>
    <w:rsid w:val="70F452EC"/>
    <w:rsid w:val="712D0709"/>
    <w:rsid w:val="71E73300"/>
    <w:rsid w:val="72C22916"/>
    <w:rsid w:val="73917AEE"/>
    <w:rsid w:val="741B2C62"/>
    <w:rsid w:val="741F27C9"/>
    <w:rsid w:val="750F0823"/>
    <w:rsid w:val="755307D3"/>
    <w:rsid w:val="75724890"/>
    <w:rsid w:val="75887FBF"/>
    <w:rsid w:val="75AC3360"/>
    <w:rsid w:val="76541732"/>
    <w:rsid w:val="765D1986"/>
    <w:rsid w:val="76933589"/>
    <w:rsid w:val="76A52B16"/>
    <w:rsid w:val="77CC15C1"/>
    <w:rsid w:val="78587AFF"/>
    <w:rsid w:val="799137CB"/>
    <w:rsid w:val="79A44897"/>
    <w:rsid w:val="7B0B7A4F"/>
    <w:rsid w:val="7B853E5A"/>
    <w:rsid w:val="7B937ECA"/>
    <w:rsid w:val="7BF65233"/>
    <w:rsid w:val="7C6F0028"/>
    <w:rsid w:val="7E540F3B"/>
    <w:rsid w:val="7E8F2BCB"/>
    <w:rsid w:val="7EF04D78"/>
    <w:rsid w:val="7F7E632E"/>
    <w:rsid w:val="7FD63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autoSpaceDE w:val="0"/>
      <w:autoSpaceDN w:val="0"/>
      <w:adjustRightInd w:val="0"/>
      <w:spacing w:line="312" w:lineRule="atLeast"/>
      <w:ind w:right="-113" w:firstLine="525"/>
      <w:jc w:val="left"/>
      <w:textAlignment w:val="bottom"/>
      <w:outlineLvl w:val="0"/>
    </w:pPr>
    <w:rPr>
      <w:rFonts w:ascii="仿宋体" w:eastAsia="仿宋体"/>
      <w:kern w:val="0"/>
      <w:sz w:val="28"/>
      <w:szCs w:val="20"/>
    </w:rPr>
  </w:style>
  <w:style w:type="paragraph" w:styleId="3">
    <w:name w:val="heading 2"/>
    <w:basedOn w:val="1"/>
    <w:next w:val="1"/>
    <w:qFormat/>
    <w:uiPriority w:val="0"/>
    <w:pPr>
      <w:keepNext/>
      <w:tabs>
        <w:tab w:val="left" w:pos="975"/>
      </w:tabs>
      <w:adjustRightInd w:val="0"/>
      <w:snapToGrid w:val="0"/>
      <w:ind w:left="975" w:hanging="420"/>
      <w:outlineLvl w:val="1"/>
    </w:pPr>
    <w:rPr>
      <w:rFonts w:ascii="仿宋_GB2312" w:hAnsi="仿宋_GB2312" w:eastAsia="仿宋_GB2312"/>
      <w:bCs/>
      <w:sz w:val="28"/>
      <w:szCs w:val="20"/>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rPr>
      <w:rFonts w:ascii="宋体" w:hAnsi="宋体" w:cs="宋体"/>
      <w:sz w:val="24"/>
      <w:szCs w:val="24"/>
      <w:lang w:val="zh-CN" w:bidi="zh-CN"/>
    </w:rPr>
  </w:style>
  <w:style w:type="paragraph" w:styleId="6">
    <w:name w:val="Body Text Indent"/>
    <w:basedOn w:val="1"/>
    <w:next w:val="7"/>
    <w:qFormat/>
    <w:uiPriority w:val="0"/>
    <w:pPr>
      <w:ind w:firstLine="560" w:firstLineChars="200"/>
    </w:pPr>
    <w:rPr>
      <w:rFonts w:eastAsia="仿宋_GB2312"/>
      <w:sz w:val="28"/>
    </w:rPr>
  </w:style>
  <w:style w:type="paragraph" w:styleId="7">
    <w:name w:val="Body Text Indent 2"/>
    <w:basedOn w:val="1"/>
    <w:qFormat/>
    <w:uiPriority w:val="0"/>
    <w:pPr>
      <w:spacing w:line="320" w:lineRule="atLeast"/>
      <w:ind w:right="-22" w:firstLine="600"/>
    </w:pPr>
    <w:rPr>
      <w:rFonts w:ascii="仿宋体" w:hAnsi="Tahoma" w:eastAsia="仿宋体"/>
      <w:spacing w:val="10"/>
      <w:sz w:val="28"/>
      <w:szCs w:val="20"/>
    </w:rPr>
  </w:style>
  <w:style w:type="paragraph" w:styleId="8">
    <w:name w:val="Plain Text"/>
    <w:basedOn w:val="1"/>
    <w:qFormat/>
    <w:uiPriority w:val="0"/>
    <w:rPr>
      <w:rFonts w:ascii="宋体"/>
      <w:sz w:val="2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rPr>
  </w:style>
  <w:style w:type="paragraph" w:styleId="11">
    <w:name w:val="Body Text First Indent 2"/>
    <w:basedOn w:val="6"/>
    <w:next w:val="1"/>
    <w:qFormat/>
    <w:uiPriority w:val="0"/>
    <w:pPr>
      <w:ind w:firstLine="420" w:firstLine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customStyle="1" w:styleId="16">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7">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8">
    <w:name w:val="列出段落1"/>
    <w:basedOn w:val="19"/>
    <w:autoRedefine/>
    <w:qFormat/>
    <w:uiPriority w:val="0"/>
    <w:pPr>
      <w:ind w:firstLine="420" w:firstLineChars="200"/>
    </w:pPr>
  </w:style>
  <w:style w:type="paragraph" w:customStyle="1" w:styleId="19">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
    <w:name w:val="font11"/>
    <w:basedOn w:val="14"/>
    <w:qFormat/>
    <w:uiPriority w:val="0"/>
    <w:rPr>
      <w:rFonts w:hint="default" w:ascii="Times New Roman" w:hAnsi="Times New Roman" w:cs="Times New Roman"/>
      <w:color w:val="000000"/>
      <w:sz w:val="21"/>
      <w:szCs w:val="21"/>
      <w:u w:val="none"/>
    </w:rPr>
  </w:style>
  <w:style w:type="paragraph" w:customStyle="1" w:styleId="21">
    <w:name w:val="List Paragraph"/>
    <w:basedOn w:val="1"/>
    <w:qFormat/>
    <w:uiPriority w:val="0"/>
    <w:pPr>
      <w:ind w:firstLine="420" w:firstLineChars="200"/>
    </w:pPr>
  </w:style>
  <w:style w:type="paragraph" w:customStyle="1" w:styleId="22">
    <w:name w:val="图表名"/>
    <w:basedOn w:val="23"/>
    <w:qFormat/>
    <w:uiPriority w:val="0"/>
    <w:pPr>
      <w:ind w:firstLine="422"/>
      <w:jc w:val="center"/>
    </w:pPr>
    <w:rPr>
      <w:rFonts w:ascii="宋体" w:hAnsi="宋体"/>
      <w:b/>
      <w:bCs/>
      <w:sz w:val="21"/>
    </w:rPr>
  </w:style>
  <w:style w:type="paragraph" w:customStyle="1" w:styleId="23">
    <w:name w:val="正文1"/>
    <w:basedOn w:val="1"/>
    <w:qFormat/>
    <w:uiPriority w:val="0"/>
    <w:pPr>
      <w:ind w:firstLine="480" w:firstLineChars="200"/>
    </w:pPr>
    <w:rPr>
      <w:sz w:val="24"/>
      <w:szCs w:val="20"/>
    </w:rPr>
  </w:style>
  <w:style w:type="character" w:customStyle="1" w:styleId="24">
    <w:name w:val="font41"/>
    <w:basedOn w:val="14"/>
    <w:qFormat/>
    <w:uiPriority w:val="0"/>
    <w:rPr>
      <w:rFonts w:hint="eastAsia" w:ascii="宋体" w:hAnsi="宋体" w:eastAsia="宋体" w:cs="宋体"/>
      <w:color w:val="000000"/>
      <w:sz w:val="22"/>
      <w:szCs w:val="22"/>
      <w:u w:val="none"/>
    </w:rPr>
  </w:style>
  <w:style w:type="paragraph" w:customStyle="1" w:styleId="25">
    <w:name w:val="样式7"/>
    <w:basedOn w:val="1"/>
    <w:qFormat/>
    <w:uiPriority w:val="0"/>
    <w:pPr>
      <w:spacing w:line="360" w:lineRule="auto"/>
      <w:ind w:firstLine="567"/>
    </w:pPr>
    <w:rPr>
      <w:rFonts w:ascii="仿宋_GB2312" w:eastAsia="仿宋_GB2312"/>
      <w:sz w:val="28"/>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4.png"/><Relationship Id="rId40" Type="http://schemas.openxmlformats.org/officeDocument/2006/relationships/image" Target="media/image13.jpeg"/><Relationship Id="rId4" Type="http://schemas.openxmlformats.org/officeDocument/2006/relationships/header" Target="header2.xml"/><Relationship Id="rId39" Type="http://schemas.openxmlformats.org/officeDocument/2006/relationships/image" Target="media/image12.png"/><Relationship Id="rId38" Type="http://schemas.openxmlformats.org/officeDocument/2006/relationships/image" Target="media/image11.jpeg"/><Relationship Id="rId37" Type="http://schemas.openxmlformats.org/officeDocument/2006/relationships/image" Target="media/image10.png"/><Relationship Id="rId36" Type="http://schemas.openxmlformats.org/officeDocument/2006/relationships/image" Target="media/image9.jpeg"/><Relationship Id="rId35" Type="http://schemas.openxmlformats.org/officeDocument/2006/relationships/image" Target="media/image8.wmf"/><Relationship Id="rId34" Type="http://schemas.openxmlformats.org/officeDocument/2006/relationships/oleObject" Target="embeddings/oleObject5.bin"/><Relationship Id="rId33" Type="http://schemas.openxmlformats.org/officeDocument/2006/relationships/image" Target="media/image7.wmf"/><Relationship Id="rId32" Type="http://schemas.openxmlformats.org/officeDocument/2006/relationships/oleObject" Target="embeddings/oleObject4.bin"/><Relationship Id="rId31" Type="http://schemas.openxmlformats.org/officeDocument/2006/relationships/image" Target="media/image6.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5.wmf"/><Relationship Id="rId28" Type="http://schemas.openxmlformats.org/officeDocument/2006/relationships/oleObject" Target="embeddings/oleObject2.bin"/><Relationship Id="rId27" Type="http://schemas.openxmlformats.org/officeDocument/2006/relationships/image" Target="media/image4.wmf"/><Relationship Id="rId26" Type="http://schemas.openxmlformats.org/officeDocument/2006/relationships/oleObject" Target="embeddings/oleObject1.bin"/><Relationship Id="rId25" Type="http://schemas.openxmlformats.org/officeDocument/2006/relationships/chart" Target="charts/chart4.xml"/><Relationship Id="rId24" Type="http://schemas.openxmlformats.org/officeDocument/2006/relationships/chart" Target="charts/chart3.xml"/><Relationship Id="rId23" Type="http://schemas.openxmlformats.org/officeDocument/2006/relationships/chart" Target="charts/chart2.xml"/><Relationship Id="rId22" Type="http://schemas.openxmlformats.org/officeDocument/2006/relationships/image" Target="media/image3.emf"/><Relationship Id="rId21" Type="http://schemas.openxmlformats.org/officeDocument/2006/relationships/chart" Target="charts/chart1.xml"/><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150</Pages>
  <Words>23108</Words>
  <Characters>25473</Characters>
  <Lines>0</Lines>
  <Paragraphs>0</Paragraphs>
  <TotalTime>2</TotalTime>
  <ScaleCrop>false</ScaleCrop>
  <LinksUpToDate>false</LinksUpToDate>
  <CharactersWithSpaces>26065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2025-12-08T08:23:00Z</dcterms:created>
  <dc:creator>熙里处</dc:creator>
  <cp:lastModifiedBy>歪比八卜</cp:lastModifiedBy>
  <dcterms:modified xsi:type="dcterms:W3CDTF">2026-06-01T02:50:39Z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D9436F401C8D42BABD8ABF23F8B61D2A_13</vt:lpwstr>
  </property>
  <property fmtid="{D5CDD505-2E9C-101B-9397-08002B2CF9AE}" pid="4" name="KSOTemplateDocerSaveRecord">
    <vt:lpwstr>eyJoZGlkIjoiYzg2ZDFhZjAxODU1NmRlODQ1YThmY2VjYmViZjg0YjgiLCJ1c2VySWQiOiIyNTc4NTE1ODcifQ==</vt:lpwstr>
  </property>
</Properties>
</file>