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spacing w:before="0" w:after="0" w:line="480" w:lineRule="exact"/>
      </w:pPr>
      <w:r>
        <w:rPr>
          <w:rFonts w:ascii="仿宋_GB2312" w:hAnsi="仿宋_GB2312" w:eastAsia="仿宋_GB2312" w:cs="仿宋_GB2312"/>
          <w:sz w:val="28"/>
        </w:rPr>
        <w:t>{{ benchmark_corr_method_intro }}</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14:paraId="467CA4EF">
      <w:pPr>
        <w:keepNext/>
        <w:keepLines w:val="0"/>
        <w:pageBreakBefore w:val="0"/>
        <w:widowControl w:val="0"/>
        <w:kinsoku/>
        <w:wordWrap/>
        <w:overflowPunct/>
        <w:topLinePunct w:val="0"/>
        <w:autoSpaceDE/>
        <w:autoSpaceDN/>
        <w:bidi w:val="0"/>
        <w:spacing w:line="480" w:lineRule="exact" w:before="0" w:after="0"/>
        <w:ind w:firstLineChars="200" w:firstLine="561"/>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b/>
          <w:bCs/>
          <w:color w:val="000000" w:themeColor="text1"/>
          <w:sz w:val="28"/>
          <w:szCs w:val="30"/>
          <w:highlight w:val="none"/>
          <w:lang w:val="en-US" w:eastAsia="zh-CN"/>
          <w14:textFill>
            <w14:solidFill>
              <w14:schemeClr w14:val="tx1"/>
            </w14:solidFill>
          </w14:textFill>
        </w:rPr>
        <w:t>成本逼近</w:t>
      </w: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法</w:t>
      </w:r>
    </w:p>
    <w:p w14:paraId="0910535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cost_approx_method_intro }}</w:t>
      </w:r>
    </w:p>
    <w:p w14:paraId="30B9D8A1">
      <w:pPr>
        <w:snapToGrid w:val="0"/>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计算过程：</w:t>
      </w:r>
    </w:p>
    <w:p w14:paraId="7B0008F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cost_approx_land_class_intro }}</w:t>
      </w:r>
    </w:p>
    <w:p w14:paraId="12014A94">
      <w:pPr>
        <w:pStyle w:val="3"/>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cost_approx_process_intro }}</w:t>
      </w:r>
    </w:p>
    <w:p w14:paraId="7635C4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before="0" w:after="0"/>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仿宋_GB2312" w:hAnsi="仿宋_GB2312" w:eastAsia="仿宋_GB2312" w:cs="仿宋_GB2312"/>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80" w:lineRule="exact" w:before="0" w:after="0"/>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80" w:lineRule="exact" w:before="0" w:after="0"/>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根据</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keepNext/>
        <w:snapToGrid w:val="0"/>
        <w:spacing w:line="480" w:lineRule="exact" w:before="157" w:after="10"/>
        <w:ind w:firstLine="0" w:left="0" w:right="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spacing w:before="157" w:beforeLines="50" w:after="10" w:afterLines="50" w:line="480" w:lineRule="exact"/>
        <w:ind w:firstLine="0" w:left="0" w:right="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b w:val="0"/>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80" w:lineRule="exact" w:before="0" w:after="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480" w:lineRule="exact" w:before="0" w:after="0"/>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永州市道县工业</w:t>
      </w:r>
      <w:r>
        <w:rPr>
          <w:rFonts w:eastAsia="仿宋_GB2312" w:ascii="仿宋_GB2312" w:hAnsi="仿宋_GB2312" w:cs="仿宋_GB2312"/>
          <w:color w:val="000000" w:themeColor="text1"/>
          <w:sz w:val="28"/>
          <w:szCs w:val="28"/>
          <w:highlight w:val="none"/>
          <w14:textFill>
            <w14:solidFill>
              <w14:schemeClr w14:val="tx1"/>
            </w14:solidFill>
          </w14:textFill>
        </w:rPr>
        <w:t>用地的增值收益情况的调查，</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w:t>
      </w:r>
      <w:r>
        <w:rPr>
          <w:rFonts w:eastAsia="仿宋_GB2312" w:ascii="仿宋_GB2312" w:hAnsi="仿宋_GB2312" w:cs="仿宋_GB2312"/>
          <w:color w:val="000000" w:themeColor="text1"/>
          <w:sz w:val="28"/>
          <w:szCs w:val="28"/>
          <w:highlight w:val="none"/>
          <w14:textFill>
            <w14:solidFill>
              <w14:schemeClr w14:val="tx1"/>
            </w14:solidFill>
          </w14:textFill>
        </w:rPr>
        <w:t>公用</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工业用地</w:t>
      </w:r>
      <w:r>
        <w:rPr>
          <w:rFonts w:eastAsia="仿宋_GB2312" w:ascii="仿宋_GB2312" w:hAnsi="仿宋_GB2312" w:cs="仿宋_GB2312"/>
          <w:color w:val="000000" w:themeColor="text1"/>
          <w:sz w:val="28"/>
          <w:szCs w:val="28"/>
          <w:highlight w:val="none"/>
          <w14:textFill>
            <w14:solidFill>
              <w14:schemeClr w14:val="tx1"/>
            </w14:solidFill>
          </w14:textFill>
        </w:rPr>
        <w:t>增值收益率为土地成本价格的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before="0" w:after="0"/>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spacing w:before="0" w:after="0" w:line="480" w:lineRule="exact"/>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80" w:lineRule="exact" w:before="0" w:after="0"/>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土地还原率确定</w:t>
      </w:r>
      <w:r>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t>过程</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keepNext/>
        <w:spacing w:before="157" w:after="10" w:line="480" w:lineRule="exact"/>
        <w:ind w:firstLine="0" w:left="0" w:right="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80" w:lineRule="exact" w:before="0" w:after="0"/>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keepNext/>
        <w:spacing w:before="157" w:after="10" w:line="480" w:lineRule="exact"/>
        <w:ind w:firstLine="0" w:left="0" w:right="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keepNext/>
        <w:spacing w:before="157" w:after="10" w:line="480" w:lineRule="exact"/>
        <w:ind w:firstLine="0" w:left="0" w:right="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keepNext/>
        <w:spacing w:line="480" w:lineRule="exact" w:before="157" w:after="10"/>
        <w:ind w:firstLineChars="200" w:firstLine="0" w:left="0" w:right="0"/>
        <w:jc w:val="center"/>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keepLines w:val="0"/>
        <w:pageBreakBefore w:val="0"/>
        <w:widowControl w:val="0"/>
        <w:kinsoku/>
        <w:wordWrap/>
        <w:overflowPunct/>
        <w:topLinePunct w:val="0"/>
        <w:autoSpaceDE/>
        <w:autoSpaceDN/>
        <w:bidi w:val="0"/>
        <w:adjustRightInd/>
        <w:spacing w:line="480" w:lineRule="exact" w:before="157" w:after="10"/>
        <w:ind w:firstLine="0" w:left="0" w:right="0"/>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keepNext/>
        <w:spacing w:before="157" w:after="10" w:line="480" w:lineRule="exact"/>
        <w:ind w:firstLine="0" w:left="0" w:right="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keepNext/>
        <w:spacing w:before="157" w:after="10" w:line="480" w:lineRule="exact"/>
        <w:ind w:firstLine="0" w:left="0" w:right="0"/>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表</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3</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9</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P＝（67.51+71.6+82+5.42+11.09+11.91）×0.7936×（1-4.3494%）＝{{ cost_approx_price }}（元／平方米）</w:t>
      </w:r>
    </w:p>
    <w:p w14:paraId="12F594D5">
      <w:pPr>
        <w:pStyle w:val="3"/>
        <w:adjustRightInd w:val="0"/>
        <w:snapToGrid w:val="0"/>
        <w:spacing w:line="480" w:lineRule="exact" w:before="0" w:after="0"/>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成本逼近法测算地价的结果为：估价对象于估价期日{{ valuation_date }}，在设定土地用途，设定土地使用年限，设定土地开发程度，规划利用条件下的国有土地出让使用权价格为{{ cost_approx_price }}元/平方米。</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firstLine="0" w:left="0" w:right="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firstLine="0" w:left="0" w:right="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