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F2F45">
      <w:pPr>
        <w:spacing w:line="520" w:lineRule="exact"/>
        <w:jc w:val="center"/>
        <w:rPr>
          <w:rFonts w:hint="eastAsia" w:asciiTheme="majorEastAsia" w:hAnsiTheme="majorEastAsia" w:eastAsiaTheme="majorEastAsia" w:cstheme="majorEastAsia"/>
          <w:b/>
          <w:bCs/>
          <w:sz w:val="44"/>
          <w:szCs w:val="44"/>
          <w:highlight w:val="none"/>
        </w:rPr>
      </w:pPr>
    </w:p>
    <w:p w14:paraId="675BDBF0">
      <w:pPr>
        <w:spacing w:line="520" w:lineRule="exact"/>
        <w:jc w:val="center"/>
        <w:rPr>
          <w:rFonts w:hint="eastAsia" w:asciiTheme="majorEastAsia" w:hAnsiTheme="majorEastAsia" w:eastAsiaTheme="majorEastAsia" w:cstheme="majorEastAsia"/>
          <w:b/>
          <w:bCs/>
          <w:sz w:val="44"/>
          <w:szCs w:val="44"/>
          <w:highlight w:val="none"/>
        </w:rPr>
      </w:pPr>
    </w:p>
    <w:p w14:paraId="16C8CCDC">
      <w:pPr>
        <w:spacing w:line="520" w:lineRule="exact"/>
        <w:jc w:val="center"/>
        <w:rPr>
          <w:rFonts w:hint="eastAsia" w:asciiTheme="majorEastAsia" w:hAnsiTheme="majorEastAsia" w:eastAsiaTheme="majorEastAsia" w:cstheme="majorEastAsia"/>
          <w:b/>
          <w:bCs/>
          <w:sz w:val="44"/>
          <w:szCs w:val="44"/>
          <w:highlight w:val="none"/>
        </w:rPr>
      </w:pPr>
    </w:p>
    <w:p w14:paraId="24F9D0B3">
      <w:pPr>
        <w:spacing w:line="520" w:lineRule="exact"/>
        <w:jc w:val="center"/>
        <w:rPr>
          <w:rFonts w:hint="eastAsia" w:asciiTheme="majorEastAsia" w:hAnsiTheme="majorEastAsia" w:eastAsiaTheme="majorEastAsia" w:cstheme="majorEastAsia"/>
          <w:b/>
          <w:bCs/>
          <w:sz w:val="44"/>
          <w:szCs w:val="44"/>
          <w:highlight w:val="none"/>
        </w:rPr>
      </w:pPr>
      <w:r>
        <w:rPr>
          <w:rFonts w:hint="eastAsia" w:asciiTheme="majorEastAsia" w:hAnsiTheme="majorEastAsia" w:eastAsiaTheme="majorEastAsia" w:cstheme="majorEastAsia"/>
          <w:b/>
          <w:bCs/>
          <w:sz w:val="44"/>
          <w:szCs w:val="44"/>
          <w:highlight w:val="none"/>
        </w:rPr>
        <w:t>土 地 估 价 报 告</w:t>
      </w:r>
    </w:p>
    <w:p w14:paraId="2E50EE65">
      <w:pPr>
        <w:spacing w:line="520" w:lineRule="exact"/>
        <w:jc w:val="center"/>
        <w:rPr>
          <w:rFonts w:hint="eastAsia" w:asciiTheme="majorEastAsia" w:hAnsiTheme="majorEastAsia" w:eastAsiaTheme="majorEastAsia" w:cstheme="majorEastAsia"/>
          <w:sz w:val="44"/>
          <w:szCs w:val="44"/>
          <w:highlight w:val="none"/>
        </w:rPr>
      </w:pPr>
    </w:p>
    <w:tbl>
      <w:tblPr>
        <w:tblStyle w:val="11"/>
        <w:tblpPr w:leftFromText="180" w:rightFromText="180" w:vertAnchor="text" w:horzAnchor="page" w:tblpX="1326" w:tblpY="1241"/>
        <w:tblOverlap w:val="never"/>
        <w:tblW w:w="9741" w:type="dxa"/>
        <w:tblInd w:w="0" w:type="dxa"/>
        <w:tblLayout w:type="fixed"/>
        <w:tblCellMar>
          <w:top w:w="0" w:type="dxa"/>
          <w:left w:w="108" w:type="dxa"/>
          <w:bottom w:w="0" w:type="dxa"/>
          <w:right w:w="108" w:type="dxa"/>
        </w:tblCellMar>
      </w:tblPr>
      <w:tblGrid>
        <w:gridCol w:w="3364"/>
        <w:gridCol w:w="6377"/>
      </w:tblGrid>
      <w:tr w14:paraId="2D742652">
        <w:tblPrEx>
          <w:tblCellMar>
            <w:top w:w="0" w:type="dxa"/>
            <w:left w:w="108" w:type="dxa"/>
            <w:bottom w:w="0" w:type="dxa"/>
            <w:right w:w="108" w:type="dxa"/>
          </w:tblCellMar>
        </w:tblPrEx>
        <w:trPr>
          <w:trHeight w:val="1820" w:hRule="atLeast"/>
        </w:trPr>
        <w:tc>
          <w:tcPr>
            <w:tcW w:w="3364" w:type="dxa"/>
            <w:vAlign w:val="center"/>
          </w:tcPr>
          <w:p w14:paraId="551FA56B">
            <w:pPr>
              <w:pStyle w:val="7"/>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b/>
                <w:bCs/>
                <w:spacing w:val="14"/>
                <w:sz w:val="32"/>
                <w:szCs w:val="32"/>
                <w:highlight w:val="none"/>
              </w:rPr>
            </w:pPr>
            <w:r>
              <w:rPr>
                <w:rFonts w:hint="eastAsia" w:ascii="楷体" w:hAnsi="楷体" w:eastAsia="楷体"/>
                <w:b/>
                <w:bCs/>
                <w:spacing w:val="21"/>
                <w:kern w:val="0"/>
                <w:sz w:val="32"/>
                <w:szCs w:val="32"/>
                <w:highlight w:val="none"/>
                <w:fitText w:val="3200" w:id="40767700"/>
              </w:rPr>
              <w:t>项  目   名  称</w:t>
            </w:r>
            <w:r>
              <w:rPr>
                <w:rFonts w:hint="eastAsia" w:ascii="楷体" w:hAnsi="楷体" w:eastAsia="楷体"/>
                <w:b/>
                <w:bCs/>
                <w:spacing w:val="9"/>
                <w:kern w:val="0"/>
                <w:sz w:val="32"/>
                <w:szCs w:val="32"/>
                <w:highlight w:val="none"/>
                <w:fitText w:val="3200" w:id="40767700"/>
              </w:rPr>
              <w:t>：</w:t>
            </w:r>
          </w:p>
        </w:tc>
        <w:tc>
          <w:tcPr>
            <w:tcW w:w="6377" w:type="dxa"/>
            <w:vAlign w:val="center"/>
          </w:tcPr>
          <w:p w14:paraId="4E42C9DC">
            <w:pPr>
              <w:keepNext w:val="0"/>
              <w:keepLines w:val="0"/>
              <w:pageBreakBefore w:val="0"/>
              <w:widowControl w:val="0"/>
              <w:kinsoku/>
              <w:wordWrap/>
              <w:overflowPunct/>
              <w:topLinePunct w:val="0"/>
              <w:autoSpaceDE/>
              <w:autoSpaceDN/>
              <w:bidi w:val="0"/>
              <w:adjustRightInd w:val="0"/>
              <w:snapToGrid w:val="0"/>
              <w:spacing w:line="480" w:lineRule="exact"/>
              <w:textAlignment w:val="auto"/>
              <w:rPr>
                <w:rFonts w:hint="eastAsia" w:ascii="楷体" w:hAnsi="楷体" w:eastAsia="楷体" w:cs="楷体"/>
                <w:bCs/>
                <w:color w:val="auto"/>
                <w:sz w:val="32"/>
                <w:szCs w:val="32"/>
                <w:highlight w:val="none"/>
                <w:lang w:val="en-US" w:eastAsia="zh-CN"/>
              </w:rPr>
            </w:pPr>
            <w:r>
              <w:rPr>
                <w:rFonts w:hint="eastAsia" w:ascii="楷体" w:hAnsi="楷体" w:eastAsia="楷体" w:cs="楷体"/>
                <w:bCs/>
                <w:color w:val="auto"/>
                <w:sz w:val="32"/>
                <w:szCs w:val="32"/>
                <w:highlight w:val="none"/>
                <w:lang w:val="en-US" w:eastAsia="zh-CN"/>
              </w:rPr>
              <w:t>通道侗族自治县自然资源局办理土地使用权出让手续涉及位于通道县双江镇行政街一宗商服、住宅用途国有土地使用权市场价格评估</w:t>
            </w:r>
          </w:p>
          <w:p w14:paraId="1CEF20A4">
            <w:pPr>
              <w:pStyle w:val="7"/>
              <w:keepNext w:val="0"/>
              <w:keepLines w:val="0"/>
              <w:pageBreakBefore w:val="0"/>
              <w:widowControl w:val="0"/>
              <w:suppressLineNumbers w:val="0"/>
              <w:tabs>
                <w:tab w:val="left" w:pos="0"/>
                <w:tab w:val="left" w:pos="2340"/>
              </w:tabs>
              <w:kinsoku/>
              <w:wordWrap/>
              <w:overflowPunct/>
              <w:topLinePunct w:val="0"/>
              <w:autoSpaceDE/>
              <w:autoSpaceDN/>
              <w:bidi w:val="0"/>
              <w:adjustRightInd w:val="0"/>
              <w:snapToGrid w:val="0"/>
              <w:spacing w:before="0" w:beforeAutospacing="0" w:after="0" w:afterAutospacing="0" w:line="480" w:lineRule="exact"/>
              <w:ind w:left="0" w:leftChars="0" w:right="0" w:rightChars="0" w:hanging="2"/>
              <w:jc w:val="both"/>
              <w:textAlignment w:val="auto"/>
              <w:rPr>
                <w:rFonts w:hint="default" w:ascii="楷体" w:hAnsi="楷体" w:eastAsia="楷体"/>
                <w:spacing w:val="14"/>
                <w:sz w:val="32"/>
                <w:szCs w:val="32"/>
                <w:highlight w:val="none"/>
                <w:lang w:val="en-US" w:eastAsia="zh-CN"/>
              </w:rPr>
            </w:pPr>
          </w:p>
        </w:tc>
      </w:tr>
      <w:tr w14:paraId="1D56195C">
        <w:tblPrEx>
          <w:tblCellMar>
            <w:top w:w="0" w:type="dxa"/>
            <w:left w:w="108" w:type="dxa"/>
            <w:bottom w:w="0" w:type="dxa"/>
            <w:right w:w="108" w:type="dxa"/>
          </w:tblCellMar>
        </w:tblPrEx>
        <w:trPr>
          <w:trHeight w:val="1134" w:hRule="atLeast"/>
        </w:trPr>
        <w:tc>
          <w:tcPr>
            <w:tcW w:w="3364" w:type="dxa"/>
            <w:vAlign w:val="center"/>
          </w:tcPr>
          <w:p w14:paraId="48DA9045">
            <w:pPr>
              <w:pStyle w:val="7"/>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cs="Times New Roman"/>
                <w:b/>
                <w:bCs/>
                <w:spacing w:val="14"/>
                <w:sz w:val="32"/>
                <w:szCs w:val="32"/>
                <w:highlight w:val="none"/>
              </w:rPr>
            </w:pPr>
            <w:r>
              <w:rPr>
                <w:rFonts w:ascii="楷体" w:hAnsi="楷体" w:eastAsia="楷体"/>
                <w:b/>
                <w:bCs/>
                <w:spacing w:val="80"/>
                <w:kern w:val="0"/>
                <w:sz w:val="32"/>
                <w:szCs w:val="32"/>
                <w:highlight w:val="none"/>
                <w:fitText w:val="3200" w:id="693456129"/>
              </w:rPr>
              <w:t>受托估价单位</w:t>
            </w:r>
            <w:r>
              <w:rPr>
                <w:rFonts w:ascii="楷体" w:hAnsi="楷体" w:eastAsia="楷体"/>
                <w:b/>
                <w:bCs/>
                <w:spacing w:val="0"/>
                <w:kern w:val="0"/>
                <w:sz w:val="32"/>
                <w:szCs w:val="32"/>
                <w:highlight w:val="none"/>
                <w:fitText w:val="3200" w:id="693456129"/>
              </w:rPr>
              <w:t>：</w:t>
            </w:r>
          </w:p>
        </w:tc>
        <w:tc>
          <w:tcPr>
            <w:tcW w:w="6377" w:type="dxa"/>
            <w:vAlign w:val="center"/>
          </w:tcPr>
          <w:p w14:paraId="2D668735">
            <w:pPr>
              <w:pStyle w:val="7"/>
              <w:keepNext w:val="0"/>
              <w:keepLines w:val="0"/>
              <w:pageBreakBefore w:val="0"/>
              <w:widowControl w:val="0"/>
              <w:suppressLineNumbers w:val="0"/>
              <w:tabs>
                <w:tab w:val="left" w:pos="0"/>
                <w:tab w:val="left" w:pos="234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ascii="楷体" w:hAnsi="楷体" w:eastAsia="楷体"/>
                <w:spacing w:val="14"/>
                <w:sz w:val="32"/>
                <w:szCs w:val="32"/>
                <w:highlight w:val="none"/>
              </w:rPr>
            </w:pPr>
            <w:r>
              <w:rPr>
                <w:rFonts w:hint="eastAsia" w:ascii="楷体" w:hAnsi="楷体" w:eastAsia="楷体"/>
                <w:spacing w:val="14"/>
                <w:sz w:val="32"/>
                <w:szCs w:val="32"/>
                <w:highlight w:val="none"/>
                <w:lang w:eastAsia="zh-CN"/>
              </w:rPr>
              <w:t>湖南兆财不动产规划评估有限公司</w:t>
            </w:r>
          </w:p>
        </w:tc>
      </w:tr>
      <w:tr w14:paraId="6E18D6F2">
        <w:tblPrEx>
          <w:tblCellMar>
            <w:top w:w="0" w:type="dxa"/>
            <w:left w:w="108" w:type="dxa"/>
            <w:bottom w:w="0" w:type="dxa"/>
            <w:right w:w="108" w:type="dxa"/>
          </w:tblCellMar>
        </w:tblPrEx>
        <w:trPr>
          <w:trHeight w:val="1134" w:hRule="atLeast"/>
        </w:trPr>
        <w:tc>
          <w:tcPr>
            <w:tcW w:w="3364" w:type="dxa"/>
            <w:vAlign w:val="center"/>
          </w:tcPr>
          <w:p w14:paraId="59F86A5B">
            <w:pPr>
              <w:pStyle w:val="7"/>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highlight w:val="none"/>
              </w:rPr>
            </w:pPr>
            <w:r>
              <w:rPr>
                <w:rFonts w:ascii="楷体" w:hAnsi="楷体" w:eastAsia="楷体"/>
                <w:b/>
                <w:bCs/>
                <w:spacing w:val="20"/>
                <w:kern w:val="0"/>
                <w:sz w:val="32"/>
                <w:szCs w:val="32"/>
                <w:highlight w:val="none"/>
                <w:fitText w:val="3200" w:id="211571103"/>
              </w:rPr>
              <w:t>土地估价报告编号</w:t>
            </w:r>
            <w:r>
              <w:rPr>
                <w:rFonts w:ascii="楷体" w:hAnsi="楷体" w:eastAsia="楷体"/>
                <w:b/>
                <w:bCs/>
                <w:spacing w:val="0"/>
                <w:kern w:val="0"/>
                <w:sz w:val="32"/>
                <w:szCs w:val="32"/>
                <w:highlight w:val="none"/>
                <w:fitText w:val="3200" w:id="211571103"/>
              </w:rPr>
              <w:t>：</w:t>
            </w:r>
          </w:p>
        </w:tc>
        <w:tc>
          <w:tcPr>
            <w:tcW w:w="6377" w:type="dxa"/>
            <w:vAlign w:val="center"/>
          </w:tcPr>
          <w:p w14:paraId="146D8ABE">
            <w:pPr>
              <w:pStyle w:val="7"/>
              <w:keepNext w:val="0"/>
              <w:keepLines w:val="0"/>
              <w:pageBreakBefore w:val="0"/>
              <w:widowControl w:val="0"/>
              <w:suppressLineNumbers w:val="0"/>
              <w:tabs>
                <w:tab w:val="left" w:pos="0"/>
                <w:tab w:val="left" w:pos="234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hint="default" w:ascii="楷体" w:hAnsi="楷体" w:eastAsia="楷体"/>
                <w:spacing w:val="14"/>
                <w:sz w:val="32"/>
                <w:szCs w:val="32"/>
                <w:highlight w:val="none"/>
                <w:lang w:val="en-US" w:eastAsia="zh-CN"/>
              </w:rPr>
            </w:pPr>
            <w:r>
              <w:rPr>
                <w:rFonts w:hint="eastAsia" w:ascii="楷体" w:hAnsi="楷体" w:eastAsia="楷体"/>
                <w:spacing w:val="14"/>
                <w:sz w:val="32"/>
                <w:szCs w:val="32"/>
                <w:highlight w:val="none"/>
                <w:lang w:eastAsia="zh-CN"/>
              </w:rPr>
              <w:t>（</w:t>
            </w:r>
            <w:r>
              <w:rPr>
                <w:rFonts w:hint="eastAsia" w:ascii="楷体" w:hAnsi="楷体" w:eastAsia="楷体"/>
                <w:spacing w:val="14"/>
                <w:sz w:val="32"/>
                <w:szCs w:val="32"/>
                <w:highlight w:val="none"/>
                <w:lang w:val="en-US" w:eastAsia="zh-CN"/>
              </w:rPr>
              <w:t>湖南</w:t>
            </w:r>
            <w:r>
              <w:rPr>
                <w:rFonts w:hint="eastAsia" w:ascii="楷体" w:hAnsi="楷体" w:eastAsia="楷体"/>
                <w:spacing w:val="14"/>
                <w:sz w:val="32"/>
                <w:szCs w:val="32"/>
                <w:highlight w:val="none"/>
                <w:lang w:eastAsia="zh-CN"/>
              </w:rPr>
              <w:t>）</w:t>
            </w:r>
            <w:r>
              <w:rPr>
                <w:rFonts w:hint="eastAsia" w:ascii="楷体" w:hAnsi="楷体" w:eastAsia="楷体"/>
                <w:spacing w:val="14"/>
                <w:sz w:val="32"/>
                <w:szCs w:val="32"/>
                <w:highlight w:val="none"/>
                <w:lang w:val="en-US" w:eastAsia="zh-CN"/>
              </w:rPr>
              <w:t>湘兆财土地</w:t>
            </w:r>
            <w:r>
              <w:rPr>
                <w:rFonts w:hint="eastAsia" w:ascii="楷体" w:hAnsi="楷体" w:eastAsia="楷体"/>
                <w:color w:val="auto"/>
                <w:spacing w:val="-11"/>
                <w:sz w:val="32"/>
                <w:szCs w:val="32"/>
                <w:highlight w:val="none"/>
                <w:lang w:eastAsia="zh-CN"/>
              </w:rPr>
              <w:t>[202</w:t>
            </w:r>
            <w:r>
              <w:rPr>
                <w:rFonts w:hint="eastAsia" w:ascii="楷体" w:hAnsi="楷体" w:eastAsia="楷体"/>
                <w:color w:val="auto"/>
                <w:spacing w:val="-11"/>
                <w:sz w:val="32"/>
                <w:szCs w:val="32"/>
                <w:highlight w:val="none"/>
                <w:lang w:val="en-US" w:eastAsia="zh-CN"/>
              </w:rPr>
              <w:t>6</w:t>
            </w:r>
            <w:r>
              <w:rPr>
                <w:rFonts w:hint="eastAsia" w:ascii="楷体" w:hAnsi="楷体" w:eastAsia="楷体"/>
                <w:color w:val="auto"/>
                <w:spacing w:val="-11"/>
                <w:sz w:val="32"/>
                <w:szCs w:val="32"/>
                <w:highlight w:val="none"/>
                <w:lang w:eastAsia="zh-CN"/>
              </w:rPr>
              <w:t>]（</w:t>
            </w:r>
            <w:r>
              <w:rPr>
                <w:rFonts w:hint="eastAsia" w:ascii="楷体" w:hAnsi="楷体" w:eastAsia="楷体"/>
                <w:color w:val="auto"/>
                <w:spacing w:val="-11"/>
                <w:sz w:val="32"/>
                <w:szCs w:val="32"/>
                <w:highlight w:val="none"/>
                <w:lang w:val="en-US" w:eastAsia="zh-CN"/>
              </w:rPr>
              <w:t>估</w:t>
            </w:r>
            <w:r>
              <w:rPr>
                <w:rFonts w:hint="eastAsia" w:ascii="楷体" w:hAnsi="楷体" w:eastAsia="楷体"/>
                <w:color w:val="auto"/>
                <w:spacing w:val="-11"/>
                <w:sz w:val="32"/>
                <w:szCs w:val="32"/>
                <w:highlight w:val="none"/>
                <w:lang w:eastAsia="zh-CN"/>
              </w:rPr>
              <w:t>）字第</w:t>
            </w:r>
            <w:r>
              <w:rPr>
                <w:rFonts w:hint="eastAsia" w:ascii="楷体" w:hAnsi="楷体" w:eastAsia="楷体"/>
                <w:color w:val="auto"/>
                <w:spacing w:val="-11"/>
                <w:sz w:val="32"/>
                <w:szCs w:val="32"/>
                <w:highlight w:val="none"/>
                <w:lang w:val="en-US" w:eastAsia="zh-CN"/>
              </w:rPr>
              <w:t>ZC</w:t>
            </w:r>
            <w:r>
              <w:rPr>
                <w:rFonts w:hint="eastAsia" w:ascii="楷体" w:hAnsi="楷体" w:eastAsia="楷体"/>
                <w:color w:val="auto"/>
                <w:spacing w:val="-11"/>
                <w:sz w:val="32"/>
                <w:szCs w:val="32"/>
                <w:highlight w:val="none"/>
                <w:lang w:eastAsia="zh-CN"/>
              </w:rPr>
              <w:t>00</w:t>
            </w:r>
            <w:r>
              <w:rPr>
                <w:rFonts w:hint="eastAsia" w:ascii="楷体" w:hAnsi="楷体" w:eastAsia="楷体"/>
                <w:color w:val="auto"/>
                <w:spacing w:val="-11"/>
                <w:sz w:val="32"/>
                <w:szCs w:val="32"/>
                <w:highlight w:val="none"/>
                <w:lang w:val="en-US" w:eastAsia="zh-CN"/>
              </w:rPr>
              <w:t>13</w:t>
            </w:r>
            <w:r>
              <w:rPr>
                <w:rFonts w:hint="eastAsia" w:ascii="楷体" w:hAnsi="楷体" w:eastAsia="楷体"/>
                <w:color w:val="auto"/>
                <w:spacing w:val="-11"/>
                <w:sz w:val="32"/>
                <w:szCs w:val="32"/>
                <w:highlight w:val="none"/>
                <w:lang w:eastAsia="zh-CN"/>
              </w:rPr>
              <w:t>号</w:t>
            </w:r>
          </w:p>
        </w:tc>
      </w:tr>
      <w:tr w14:paraId="51339250">
        <w:tblPrEx>
          <w:tblCellMar>
            <w:top w:w="0" w:type="dxa"/>
            <w:left w:w="108" w:type="dxa"/>
            <w:bottom w:w="0" w:type="dxa"/>
            <w:right w:w="108" w:type="dxa"/>
          </w:tblCellMar>
        </w:tblPrEx>
        <w:trPr>
          <w:trHeight w:val="1134" w:hRule="atLeast"/>
        </w:trPr>
        <w:tc>
          <w:tcPr>
            <w:tcW w:w="3364" w:type="dxa"/>
            <w:vAlign w:val="center"/>
          </w:tcPr>
          <w:p w14:paraId="38429D1A">
            <w:pPr>
              <w:pStyle w:val="7"/>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cs="Times New Roman"/>
                <w:b/>
                <w:bCs/>
                <w:spacing w:val="14"/>
                <w:sz w:val="32"/>
                <w:szCs w:val="32"/>
                <w:highlight w:val="none"/>
                <w:lang w:val="en-US" w:eastAsia="zh-CN"/>
              </w:rPr>
            </w:pPr>
            <w:r>
              <w:rPr>
                <w:rFonts w:hint="eastAsia" w:ascii="楷体" w:hAnsi="楷体" w:eastAsia="楷体"/>
                <w:b/>
                <w:bCs/>
                <w:spacing w:val="7"/>
                <w:kern w:val="0"/>
                <w:sz w:val="32"/>
                <w:szCs w:val="32"/>
                <w:highlight w:val="none"/>
                <w:fitText w:val="3200" w:id="1356283142"/>
              </w:rPr>
              <w:t>电 子 备 案 编 号</w:t>
            </w:r>
            <w:r>
              <w:rPr>
                <w:rFonts w:hint="eastAsia" w:ascii="楷体" w:hAnsi="楷体" w:eastAsia="楷体"/>
                <w:b/>
                <w:bCs/>
                <w:spacing w:val="3"/>
                <w:kern w:val="0"/>
                <w:sz w:val="32"/>
                <w:szCs w:val="32"/>
                <w:highlight w:val="none"/>
                <w:fitText w:val="3200" w:id="1356283142"/>
              </w:rPr>
              <w:t>：</w:t>
            </w:r>
          </w:p>
        </w:tc>
        <w:tc>
          <w:tcPr>
            <w:tcW w:w="6377" w:type="dxa"/>
            <w:vAlign w:val="center"/>
          </w:tcPr>
          <w:p w14:paraId="13F7953B">
            <w:pPr>
              <w:pStyle w:val="7"/>
              <w:keepNext w:val="0"/>
              <w:keepLines w:val="0"/>
              <w:pageBreakBefore w:val="0"/>
              <w:widowControl w:val="0"/>
              <w:suppressLineNumbers w:val="0"/>
              <w:tabs>
                <w:tab w:val="left" w:pos="0"/>
                <w:tab w:val="left" w:pos="2340"/>
                <w:tab w:val="left" w:pos="2745"/>
                <w:tab w:val="left" w:pos="3030"/>
                <w:tab w:val="left" w:pos="318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hint="default" w:ascii="楷体" w:hAnsi="楷体" w:eastAsia="楷体" w:cs="Times New Roman"/>
                <w:color w:val="auto"/>
                <w:spacing w:val="14"/>
                <w:kern w:val="2"/>
                <w:sz w:val="32"/>
                <w:szCs w:val="32"/>
                <w:highlight w:val="none"/>
                <w:lang w:val="en-US" w:eastAsia="zh-CN" w:bidi="ar-SA"/>
              </w:rPr>
            </w:pPr>
            <w:r>
              <w:rPr>
                <w:rFonts w:hint="eastAsia" w:ascii="楷体" w:hAnsi="楷体" w:eastAsia="楷体" w:cs="Times New Roman"/>
                <w:color w:val="auto"/>
                <w:spacing w:val="14"/>
                <w:kern w:val="2"/>
                <w:sz w:val="32"/>
                <w:szCs w:val="32"/>
                <w:highlight w:val="none"/>
                <w:lang w:val="en-US" w:eastAsia="zh-CN" w:bidi="ar-SA"/>
              </w:rPr>
              <w:t>详见备案页</w:t>
            </w:r>
          </w:p>
        </w:tc>
      </w:tr>
      <w:tr w14:paraId="3AAFD3D3">
        <w:tblPrEx>
          <w:tblCellMar>
            <w:top w:w="0" w:type="dxa"/>
            <w:left w:w="108" w:type="dxa"/>
            <w:bottom w:w="0" w:type="dxa"/>
            <w:right w:w="108" w:type="dxa"/>
          </w:tblCellMar>
        </w:tblPrEx>
        <w:trPr>
          <w:trHeight w:val="1134" w:hRule="atLeast"/>
        </w:trPr>
        <w:tc>
          <w:tcPr>
            <w:tcW w:w="3364" w:type="dxa"/>
            <w:vAlign w:val="center"/>
          </w:tcPr>
          <w:p w14:paraId="0980B3A2">
            <w:pPr>
              <w:pStyle w:val="7"/>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cs="Times New Roman"/>
                <w:b/>
                <w:bCs/>
                <w:spacing w:val="14"/>
                <w:sz w:val="32"/>
                <w:szCs w:val="32"/>
                <w:highlight w:val="none"/>
              </w:rPr>
            </w:pPr>
            <w:r>
              <w:rPr>
                <w:rFonts w:hint="eastAsia" w:ascii="楷体" w:hAnsi="楷体" w:eastAsia="楷体"/>
                <w:b/>
                <w:bCs/>
                <w:spacing w:val="20"/>
                <w:kern w:val="0"/>
                <w:sz w:val="32"/>
                <w:szCs w:val="32"/>
                <w:highlight w:val="none"/>
                <w:fitText w:val="3200" w:id="269683369"/>
              </w:rPr>
              <w:t>提交估价报告日期</w:t>
            </w:r>
            <w:r>
              <w:rPr>
                <w:rFonts w:hint="eastAsia" w:ascii="楷体" w:hAnsi="楷体" w:eastAsia="楷体"/>
                <w:b/>
                <w:bCs/>
                <w:spacing w:val="0"/>
                <w:kern w:val="0"/>
                <w:sz w:val="32"/>
                <w:szCs w:val="32"/>
                <w:highlight w:val="none"/>
                <w:fitText w:val="3200" w:id="269683369"/>
              </w:rPr>
              <w:t>：</w:t>
            </w:r>
          </w:p>
        </w:tc>
        <w:tc>
          <w:tcPr>
            <w:tcW w:w="6377" w:type="dxa"/>
            <w:vAlign w:val="center"/>
          </w:tcPr>
          <w:p w14:paraId="7F79656B">
            <w:pPr>
              <w:pStyle w:val="7"/>
              <w:keepNext w:val="0"/>
              <w:keepLines w:val="0"/>
              <w:pageBreakBefore w:val="0"/>
              <w:widowControl w:val="0"/>
              <w:suppressLineNumbers w:val="0"/>
              <w:tabs>
                <w:tab w:val="left" w:pos="0"/>
                <w:tab w:val="left" w:pos="2340"/>
                <w:tab w:val="left" w:pos="2745"/>
                <w:tab w:val="left" w:pos="3030"/>
                <w:tab w:val="left" w:pos="318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hint="eastAsia" w:ascii="楷体" w:hAnsi="楷体" w:eastAsia="楷体" w:cs="楷体"/>
                <w:spacing w:val="-20"/>
                <w:sz w:val="32"/>
                <w:szCs w:val="32"/>
                <w:highlight w:val="none"/>
                <w:lang w:eastAsia="zh-CN"/>
              </w:rPr>
            </w:pPr>
            <w:r>
              <w:rPr>
                <w:rFonts w:hint="eastAsia" w:ascii="楷体" w:hAnsi="楷体" w:eastAsia="楷体" w:cs="楷体"/>
                <w:spacing w:val="-20"/>
                <w:sz w:val="32"/>
                <w:szCs w:val="32"/>
                <w:highlight w:val="none"/>
                <w:lang w:eastAsia="zh-CN"/>
              </w:rPr>
              <w:t>二〇二</w:t>
            </w:r>
            <w:r>
              <w:rPr>
                <w:rFonts w:hint="eastAsia" w:ascii="楷体" w:hAnsi="楷体" w:eastAsia="楷体" w:cs="楷体"/>
                <w:spacing w:val="-20"/>
                <w:sz w:val="32"/>
                <w:szCs w:val="32"/>
                <w:highlight w:val="none"/>
                <w:lang w:val="en-US" w:eastAsia="zh-CN"/>
              </w:rPr>
              <w:t>六</w:t>
            </w:r>
            <w:r>
              <w:rPr>
                <w:rFonts w:hint="eastAsia" w:ascii="楷体" w:hAnsi="楷体" w:eastAsia="楷体" w:cs="楷体"/>
                <w:spacing w:val="-20"/>
                <w:sz w:val="32"/>
                <w:szCs w:val="32"/>
                <w:highlight w:val="none"/>
                <w:lang w:eastAsia="zh-CN"/>
              </w:rPr>
              <w:t>年</w:t>
            </w:r>
            <w:r>
              <w:rPr>
                <w:rFonts w:hint="eastAsia" w:ascii="楷体" w:hAnsi="楷体" w:eastAsia="楷体" w:cs="楷体"/>
                <w:spacing w:val="-20"/>
                <w:sz w:val="32"/>
                <w:szCs w:val="32"/>
                <w:highlight w:val="none"/>
                <w:lang w:val="en-US" w:eastAsia="zh-CN"/>
              </w:rPr>
              <w:t>二</w:t>
            </w:r>
            <w:r>
              <w:rPr>
                <w:rFonts w:hint="eastAsia" w:ascii="楷体" w:hAnsi="楷体" w:eastAsia="楷体" w:cs="楷体"/>
                <w:spacing w:val="-20"/>
                <w:sz w:val="32"/>
                <w:szCs w:val="32"/>
                <w:highlight w:val="none"/>
                <w:lang w:eastAsia="zh-CN"/>
              </w:rPr>
              <w:t>月</w:t>
            </w:r>
            <w:r>
              <w:rPr>
                <w:rFonts w:hint="eastAsia" w:ascii="楷体" w:hAnsi="楷体" w:eastAsia="楷体" w:cs="楷体"/>
                <w:spacing w:val="-20"/>
                <w:sz w:val="32"/>
                <w:szCs w:val="32"/>
                <w:highlight w:val="none"/>
                <w:lang w:val="en-US" w:eastAsia="zh-CN"/>
              </w:rPr>
              <w:t>四</w:t>
            </w:r>
            <w:r>
              <w:rPr>
                <w:rFonts w:hint="eastAsia" w:ascii="楷体" w:hAnsi="楷体" w:eastAsia="楷体" w:cs="楷体"/>
                <w:spacing w:val="-20"/>
                <w:sz w:val="32"/>
                <w:szCs w:val="32"/>
                <w:highlight w:val="none"/>
                <w:lang w:eastAsia="zh-CN"/>
              </w:rPr>
              <w:t>日</w:t>
            </w:r>
          </w:p>
        </w:tc>
      </w:tr>
    </w:tbl>
    <w:p w14:paraId="467E9F4E">
      <w:pPr>
        <w:spacing w:line="520" w:lineRule="exact"/>
        <w:rPr>
          <w:sz w:val="32"/>
          <w:highlight w:val="none"/>
        </w:rPr>
      </w:pPr>
    </w:p>
    <w:p w14:paraId="061ABEC2">
      <w:pPr>
        <w:pStyle w:val="15"/>
        <w:spacing w:line="360" w:lineRule="auto"/>
        <w:outlineLvl w:val="0"/>
        <w:rPr>
          <w:rFonts w:hint="eastAsia" w:asciiTheme="majorEastAsia" w:hAnsiTheme="majorEastAsia" w:eastAsiaTheme="majorEastAsia" w:cstheme="majorEastAsia"/>
          <w:b/>
          <w:bCs/>
          <w:color w:val="auto"/>
          <w:sz w:val="32"/>
          <w:szCs w:val="32"/>
          <w:highlight w:val="none"/>
        </w:rPr>
        <w:sectPr>
          <w:headerReference r:id="rId4" w:type="first"/>
          <w:headerReference r:id="rId3" w:type="default"/>
          <w:footerReference r:id="rId5" w:type="default"/>
          <w:pgSz w:w="11906" w:h="16838"/>
          <w:pgMar w:top="1440" w:right="1800" w:bottom="1440" w:left="1800" w:header="851" w:footer="992" w:gutter="0"/>
          <w:pgNumType w:fmt="decimal"/>
          <w:cols w:space="0" w:num="1"/>
          <w:titlePg/>
          <w:rtlGutter w:val="0"/>
          <w:docGrid w:type="lines" w:linePitch="312" w:charSpace="0"/>
        </w:sectPr>
      </w:pPr>
    </w:p>
    <w:p w14:paraId="7745CF90">
      <w:pPr>
        <w:pStyle w:val="15"/>
        <w:spacing w:line="360" w:lineRule="auto"/>
        <w:outlineLvl w:val="0"/>
        <w:rPr>
          <w:rFonts w:hint="eastAsia" w:asciiTheme="majorEastAsia" w:hAnsiTheme="majorEastAsia" w:eastAsiaTheme="majorEastAsia" w:cstheme="majorEastAsia"/>
          <w:color w:val="auto"/>
          <w:sz w:val="32"/>
          <w:szCs w:val="32"/>
          <w:highlight w:val="none"/>
        </w:rPr>
      </w:pPr>
      <w:r>
        <w:rPr>
          <w:rFonts w:hint="eastAsia" w:asciiTheme="majorEastAsia" w:hAnsiTheme="majorEastAsia" w:eastAsiaTheme="majorEastAsia" w:cstheme="majorEastAsia"/>
          <w:b/>
          <w:bCs/>
          <w:color w:val="auto"/>
          <w:sz w:val="32"/>
          <w:szCs w:val="32"/>
          <w:highlight w:val="none"/>
        </w:rPr>
        <w:t>土 地 估 价 报 告</w:t>
      </w:r>
    </w:p>
    <w:p w14:paraId="332B4298">
      <w:pPr>
        <w:pStyle w:val="16"/>
        <w:spacing w:before="120" w:beforeLines="50" w:after="240" w:afterLines="100" w:line="440" w:lineRule="exact"/>
        <w:ind w:firstLine="0" w:firstLineChars="0"/>
        <w:jc w:val="center"/>
        <w:outlineLvl w:val="0"/>
        <w:rPr>
          <w:rFonts w:ascii="宋体" w:hAnsi="宋体" w:eastAsia="宋体" w:cs="宋体"/>
          <w:b/>
          <w:color w:val="auto"/>
          <w:sz w:val="32"/>
          <w:szCs w:val="32"/>
          <w:highlight w:val="none"/>
        </w:rPr>
      </w:pPr>
      <w:r>
        <w:rPr>
          <w:rFonts w:hint="eastAsia" w:ascii="宋体" w:hAnsi="宋体" w:eastAsia="宋体" w:cs="宋体"/>
          <w:b/>
          <w:color w:val="auto"/>
          <w:sz w:val="32"/>
          <w:szCs w:val="32"/>
          <w:highlight w:val="none"/>
        </w:rPr>
        <w:t>第一部分  摘要</w:t>
      </w:r>
    </w:p>
    <w:p w14:paraId="75208816">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一、估价项目名称</w:t>
      </w:r>
    </w:p>
    <w:p w14:paraId="68DE60E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通道侗族自治县自然资源局办理土地使用权出让手续涉及位于通道县双江镇行政街一宗商服、住宅用途国有土地使用权市场价格评估</w:t>
      </w:r>
    </w:p>
    <w:p w14:paraId="6CB2082A">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二、</w:t>
      </w:r>
      <w:r>
        <w:rPr>
          <w:rFonts w:hint="eastAsia" w:ascii="仿宋_GB2312" w:hAnsi="仿宋_GB2312" w:eastAsia="仿宋_GB2312" w:cs="仿宋_GB2312"/>
          <w:b/>
          <w:bCs w:val="0"/>
          <w:color w:val="auto"/>
          <w:sz w:val="28"/>
          <w:szCs w:val="28"/>
          <w:highlight w:val="none"/>
          <w:lang w:val="en-GB" w:eastAsia="zh-CN"/>
        </w:rPr>
        <w:t>委托估价方</w:t>
      </w:r>
    </w:p>
    <w:p w14:paraId="73EE4C9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US" w:eastAsia="zh-CN"/>
        </w:rPr>
        <w:t>通道侗族自治县自然资源局</w:t>
      </w:r>
    </w:p>
    <w:p w14:paraId="14029CA1">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三、</w:t>
      </w:r>
      <w:r>
        <w:rPr>
          <w:rFonts w:hint="eastAsia" w:ascii="仿宋_GB2312" w:hAnsi="仿宋_GB2312" w:eastAsia="仿宋_GB2312" w:cs="仿宋_GB2312"/>
          <w:b/>
          <w:bCs w:val="0"/>
          <w:color w:val="auto"/>
          <w:sz w:val="28"/>
          <w:szCs w:val="28"/>
          <w:highlight w:val="none"/>
          <w:lang w:val="en-GB" w:eastAsia="zh-CN"/>
        </w:rPr>
        <w:t>估价目的</w:t>
      </w:r>
    </w:p>
    <w:p w14:paraId="75CF28D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GB" w:eastAsia="zh-CN"/>
        </w:rPr>
      </w:pPr>
      <w:r>
        <w:rPr>
          <w:rFonts w:hint="default" w:ascii="仿宋_GB2312" w:hAnsi="仿宋_GB2312" w:eastAsia="仿宋_GB2312" w:cs="仿宋_GB2312"/>
          <w:bCs/>
          <w:color w:val="auto"/>
          <w:sz w:val="28"/>
          <w:szCs w:val="28"/>
          <w:highlight w:val="none"/>
          <w:lang w:val="en-US" w:eastAsia="zh-CN"/>
        </w:rPr>
        <w:t>根据</w:t>
      </w:r>
      <w:r>
        <w:rPr>
          <w:rFonts w:hint="default" w:ascii="仿宋_GB2312" w:hAnsi="仿宋_GB2312" w:eastAsia="仿宋_GB2312" w:cs="仿宋_GB2312"/>
          <w:bCs/>
          <w:color w:val="auto"/>
          <w:sz w:val="28"/>
          <w:szCs w:val="28"/>
          <w:highlight w:val="none"/>
          <w:lang w:val="en-GB" w:eastAsia="zh-CN"/>
        </w:rPr>
        <w:t>《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w:t>
      </w:r>
      <w:r>
        <w:rPr>
          <w:rFonts w:hint="default" w:ascii="仿宋_GB2312" w:hAnsi="仿宋_GB2312" w:eastAsia="仿宋_GB2312" w:cs="仿宋_GB2312"/>
          <w:bCs/>
          <w:color w:val="auto"/>
          <w:sz w:val="28"/>
          <w:szCs w:val="28"/>
          <w:highlight w:val="none"/>
          <w:lang w:val="en-US" w:eastAsia="zh-CN"/>
        </w:rPr>
        <w:t>委托方提供的《土地资产评估委托书》，通道侗族自治县</w:t>
      </w:r>
      <w:r>
        <w:rPr>
          <w:rFonts w:hint="default" w:ascii="仿宋_GB2312" w:hAnsi="仿宋_GB2312" w:eastAsia="仿宋_GB2312" w:cs="仿宋_GB2312"/>
          <w:bCs/>
          <w:color w:val="auto"/>
          <w:sz w:val="28"/>
          <w:szCs w:val="28"/>
          <w:highlight w:val="none"/>
          <w:lang w:val="en-GB" w:eastAsia="zh-CN"/>
        </w:rPr>
        <w:t>拟了解一宗位于</w:t>
      </w:r>
      <w:r>
        <w:rPr>
          <w:rFonts w:hint="eastAsia" w:ascii="仿宋_GB2312" w:hAnsi="仿宋_GB2312" w:eastAsia="仿宋_GB2312" w:cs="仿宋_GB2312"/>
          <w:bCs/>
          <w:color w:val="auto"/>
          <w:sz w:val="28"/>
          <w:szCs w:val="28"/>
          <w:highlight w:val="none"/>
          <w:lang w:val="en-US" w:eastAsia="zh-CN"/>
        </w:rPr>
        <w:t>通道县双江镇行政街</w:t>
      </w:r>
      <w:r>
        <w:rPr>
          <w:rFonts w:hint="default" w:ascii="仿宋_GB2312" w:hAnsi="仿宋_GB2312" w:eastAsia="仿宋_GB2312" w:cs="仿宋_GB2312"/>
          <w:bCs/>
          <w:color w:val="auto"/>
          <w:sz w:val="28"/>
          <w:szCs w:val="28"/>
          <w:highlight w:val="none"/>
          <w:lang w:val="en-GB" w:eastAsia="zh-CN"/>
        </w:rPr>
        <w:t>的国有土地使用权价值，特委托</w:t>
      </w:r>
      <w:r>
        <w:rPr>
          <w:rFonts w:hint="eastAsia" w:ascii="仿宋_GB2312" w:hAnsi="仿宋_GB2312" w:eastAsia="仿宋_GB2312" w:cs="仿宋_GB2312"/>
          <w:bCs/>
          <w:color w:val="auto"/>
          <w:sz w:val="28"/>
          <w:szCs w:val="28"/>
          <w:highlight w:val="none"/>
          <w:lang w:val="en-GB" w:eastAsia="zh-CN"/>
        </w:rPr>
        <w:t>湖南兆财不动产规划评估有限公司</w:t>
      </w:r>
      <w:r>
        <w:rPr>
          <w:rFonts w:hint="default" w:ascii="仿宋_GB2312" w:hAnsi="仿宋_GB2312" w:eastAsia="仿宋_GB2312" w:cs="仿宋_GB2312"/>
          <w:bCs/>
          <w:color w:val="auto"/>
          <w:sz w:val="28"/>
          <w:szCs w:val="28"/>
          <w:highlight w:val="none"/>
          <w:lang w:val="en-GB" w:eastAsia="zh-CN"/>
        </w:rPr>
        <w:t>对</w:t>
      </w:r>
      <w:r>
        <w:rPr>
          <w:rFonts w:hint="eastAsia" w:ascii="仿宋_GB2312" w:hAnsi="仿宋_GB2312" w:eastAsia="仿宋_GB2312" w:cs="仿宋_GB2312"/>
          <w:bCs/>
          <w:color w:val="auto"/>
          <w:sz w:val="28"/>
          <w:szCs w:val="28"/>
          <w:highlight w:val="none"/>
          <w:lang w:val="en-US" w:eastAsia="zh-CN"/>
        </w:rPr>
        <w:t>估价对象</w:t>
      </w:r>
      <w:r>
        <w:rPr>
          <w:rFonts w:hint="default" w:ascii="仿宋_GB2312" w:hAnsi="仿宋_GB2312" w:eastAsia="仿宋_GB2312" w:cs="仿宋_GB2312"/>
          <w:bCs/>
          <w:color w:val="auto"/>
          <w:sz w:val="28"/>
          <w:szCs w:val="28"/>
          <w:highlight w:val="none"/>
          <w:lang w:val="en-GB" w:eastAsia="zh-CN"/>
        </w:rPr>
        <w:t>在现状利用条件下的</w:t>
      </w:r>
      <w:r>
        <w:rPr>
          <w:rFonts w:hint="eastAsia" w:ascii="仿宋_GB2312" w:hAnsi="仿宋_GB2312" w:eastAsia="仿宋_GB2312" w:cs="仿宋_GB2312"/>
          <w:bCs/>
          <w:color w:val="auto"/>
          <w:sz w:val="28"/>
          <w:szCs w:val="28"/>
          <w:highlight w:val="none"/>
          <w:lang w:val="en-US" w:eastAsia="zh-CN"/>
        </w:rPr>
        <w:t>国有土地使用权出让</w:t>
      </w:r>
      <w:r>
        <w:rPr>
          <w:rFonts w:hint="default" w:ascii="仿宋_GB2312" w:hAnsi="仿宋_GB2312" w:eastAsia="仿宋_GB2312" w:cs="仿宋_GB2312"/>
          <w:bCs/>
          <w:color w:val="auto"/>
          <w:sz w:val="28"/>
          <w:szCs w:val="28"/>
          <w:highlight w:val="none"/>
          <w:lang w:val="en-GB" w:eastAsia="zh-CN"/>
        </w:rPr>
        <w:t>土地使用权价格进行评估，为其办理土地使用权出让手续提供</w:t>
      </w:r>
      <w:r>
        <w:rPr>
          <w:rFonts w:hint="eastAsia" w:ascii="仿宋_GB2312" w:hAnsi="仿宋_GB2312" w:eastAsia="仿宋_GB2312" w:cs="仿宋_GB2312"/>
          <w:bCs/>
          <w:color w:val="auto"/>
          <w:sz w:val="28"/>
          <w:szCs w:val="28"/>
          <w:highlight w:val="none"/>
          <w:lang w:val="en-US" w:eastAsia="zh-CN"/>
        </w:rPr>
        <w:t>客观、公正、合理的</w:t>
      </w:r>
      <w:r>
        <w:rPr>
          <w:rFonts w:hint="default" w:ascii="仿宋_GB2312" w:hAnsi="仿宋_GB2312" w:eastAsia="仿宋_GB2312" w:cs="仿宋_GB2312"/>
          <w:bCs/>
          <w:color w:val="auto"/>
          <w:sz w:val="28"/>
          <w:szCs w:val="28"/>
          <w:highlight w:val="none"/>
          <w:lang w:val="en-GB" w:eastAsia="zh-CN"/>
        </w:rPr>
        <w:t>价格参考</w:t>
      </w:r>
      <w:r>
        <w:rPr>
          <w:rFonts w:hint="eastAsia" w:ascii="仿宋_GB2312" w:hAnsi="仿宋_GB2312" w:eastAsia="仿宋_GB2312" w:cs="仿宋_GB2312"/>
          <w:bCs/>
          <w:color w:val="auto"/>
          <w:sz w:val="28"/>
          <w:szCs w:val="28"/>
          <w:highlight w:val="none"/>
          <w:lang w:val="en-US" w:eastAsia="zh-CN"/>
        </w:rPr>
        <w:t>依据</w:t>
      </w:r>
      <w:r>
        <w:rPr>
          <w:rFonts w:hint="default" w:ascii="仿宋_GB2312" w:hAnsi="仿宋_GB2312" w:eastAsia="仿宋_GB2312" w:cs="仿宋_GB2312"/>
          <w:bCs/>
          <w:color w:val="auto"/>
          <w:sz w:val="28"/>
          <w:szCs w:val="28"/>
          <w:highlight w:val="none"/>
          <w:lang w:val="en-GB" w:eastAsia="zh-CN"/>
        </w:rPr>
        <w:t>。</w:t>
      </w:r>
    </w:p>
    <w:p w14:paraId="5B9409D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四、估价期日</w:t>
      </w:r>
    </w:p>
    <w:p w14:paraId="3C9244B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本次土地估价师现场勘查日期为2026年2月3日，结合本次估价目的</w:t>
      </w:r>
      <w:r>
        <w:rPr>
          <w:rFonts w:hint="eastAsia" w:ascii="仿宋_GB2312" w:hAnsi="仿宋_GB2312" w:eastAsia="仿宋_GB2312" w:cs="仿宋_GB2312"/>
          <w:bCs/>
          <w:color w:val="auto"/>
          <w:sz w:val="28"/>
          <w:szCs w:val="28"/>
          <w:highlight w:val="none"/>
          <w:lang w:val="en-US" w:eastAsia="zh-CN"/>
        </w:rPr>
        <w:t>和</w:t>
      </w:r>
      <w:r>
        <w:rPr>
          <w:rFonts w:hint="eastAsia" w:ascii="仿宋_GB2312" w:hAnsi="仿宋_GB2312" w:eastAsia="仿宋_GB2312" w:cs="仿宋_GB2312"/>
          <w:bCs/>
          <w:color w:val="auto"/>
          <w:sz w:val="28"/>
          <w:szCs w:val="28"/>
          <w:highlight w:val="none"/>
          <w:lang w:val="en-GB" w:eastAsia="zh-CN"/>
        </w:rPr>
        <w:t>委托估价方提供的《</w:t>
      </w:r>
      <w:r>
        <w:rPr>
          <w:rFonts w:hint="eastAsia" w:ascii="仿宋_GB2312" w:hAnsi="仿宋_GB2312" w:eastAsia="仿宋_GB2312" w:cs="仿宋_GB2312"/>
          <w:bCs/>
          <w:color w:val="auto"/>
          <w:sz w:val="28"/>
          <w:szCs w:val="28"/>
          <w:highlight w:val="none"/>
          <w:lang w:val="en-US" w:eastAsia="zh-CN"/>
        </w:rPr>
        <w:t>土地资产</w:t>
      </w:r>
      <w:r>
        <w:rPr>
          <w:rFonts w:hint="eastAsia" w:ascii="仿宋_GB2312" w:hAnsi="仿宋_GB2312" w:eastAsia="仿宋_GB2312" w:cs="仿宋_GB2312"/>
          <w:bCs/>
          <w:color w:val="auto"/>
          <w:sz w:val="28"/>
          <w:szCs w:val="28"/>
          <w:highlight w:val="none"/>
          <w:lang w:val="en-GB" w:eastAsia="zh-CN"/>
        </w:rPr>
        <w:t>评估委托书》，</w:t>
      </w:r>
      <w:r>
        <w:rPr>
          <w:rFonts w:hint="eastAsia" w:ascii="仿宋_GB2312" w:hAnsi="仿宋_GB2312" w:eastAsia="仿宋_GB2312" w:cs="仿宋_GB2312"/>
          <w:bCs/>
          <w:color w:val="auto"/>
          <w:sz w:val="28"/>
          <w:szCs w:val="28"/>
          <w:highlight w:val="none"/>
          <w:lang w:val="en-US" w:eastAsia="zh-CN"/>
        </w:rPr>
        <w:t>本次估价设定</w:t>
      </w:r>
      <w:r>
        <w:rPr>
          <w:rFonts w:hint="eastAsia" w:ascii="仿宋_GB2312" w:hAnsi="仿宋_GB2312" w:eastAsia="仿宋_GB2312" w:cs="仿宋_GB2312"/>
          <w:bCs/>
          <w:color w:val="auto"/>
          <w:sz w:val="28"/>
          <w:szCs w:val="28"/>
          <w:highlight w:val="none"/>
          <w:lang w:val="en-GB" w:eastAsia="zh-CN"/>
        </w:rPr>
        <w:t>估价期日为2026年2月3日。</w:t>
      </w:r>
    </w:p>
    <w:p w14:paraId="67043E5A">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五、估价日期</w:t>
      </w:r>
    </w:p>
    <w:p w14:paraId="190C94D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2026年2月3日至2025年2月4日。</w:t>
      </w:r>
    </w:p>
    <w:p w14:paraId="46900131">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六、地价定义</w:t>
      </w:r>
    </w:p>
    <w:p w14:paraId="73AEC22F">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default" w:ascii="仿宋_GB2312" w:hAnsi="仿宋_GB2312" w:eastAsia="仿宋_GB2312" w:cs="仿宋_GB2312"/>
          <w:bCs/>
          <w:color w:val="auto"/>
          <w:kern w:val="2"/>
          <w:sz w:val="28"/>
          <w:szCs w:val="28"/>
          <w:highlight w:val="none"/>
          <w:lang w:val="en-GB" w:eastAsia="zh-CN" w:bidi="ar-SA"/>
        </w:rPr>
        <w:t>根据</w:t>
      </w:r>
      <w:r>
        <w:rPr>
          <w:rFonts w:hint="eastAsia" w:ascii="仿宋_GB2312" w:hAnsi="仿宋_GB2312" w:eastAsia="仿宋_GB2312" w:cs="仿宋_GB2312"/>
          <w:bCs/>
          <w:color w:val="auto"/>
          <w:kern w:val="2"/>
          <w:sz w:val="28"/>
          <w:szCs w:val="28"/>
          <w:highlight w:val="none"/>
          <w:lang w:val="en-GB" w:eastAsia="zh-CN" w:bidi="ar-SA"/>
        </w:rPr>
        <w:t>《国有土地使用证》（通国用（2014）第000327号），</w:t>
      </w:r>
      <w:r>
        <w:rPr>
          <w:rFonts w:hint="eastAsia" w:ascii="仿宋_GB2312" w:hAnsi="仿宋_GB2312" w:eastAsia="仿宋_GB2312" w:cs="仿宋_GB2312"/>
          <w:bCs/>
          <w:color w:val="auto"/>
          <w:kern w:val="2"/>
          <w:sz w:val="28"/>
          <w:szCs w:val="28"/>
          <w:highlight w:val="none"/>
          <w:lang w:val="en-US" w:eastAsia="zh-CN" w:bidi="ar-SA"/>
        </w:rPr>
        <w:t>估价对象土地使用权类型为国有划拨，</w:t>
      </w:r>
      <w:r>
        <w:rPr>
          <w:rFonts w:hint="default" w:ascii="仿宋_GB2312" w:hAnsi="仿宋_GB2312" w:eastAsia="仿宋_GB2312" w:cs="仿宋_GB2312"/>
          <w:bCs/>
          <w:color w:val="auto"/>
          <w:kern w:val="2"/>
          <w:sz w:val="28"/>
          <w:szCs w:val="28"/>
          <w:highlight w:val="none"/>
          <w:lang w:val="en-GB" w:eastAsia="zh-CN" w:bidi="ar-SA"/>
        </w:rPr>
        <w:t>土地使用权</w:t>
      </w:r>
      <w:r>
        <w:rPr>
          <w:rFonts w:hint="eastAsia" w:ascii="仿宋_GB2312" w:hAnsi="仿宋_GB2312" w:eastAsia="仿宋_GB2312" w:cs="仿宋_GB2312"/>
          <w:bCs/>
          <w:color w:val="auto"/>
          <w:kern w:val="2"/>
          <w:sz w:val="28"/>
          <w:szCs w:val="28"/>
          <w:highlight w:val="none"/>
          <w:lang w:val="en-US" w:eastAsia="zh-CN" w:bidi="ar-SA"/>
        </w:rPr>
        <w:t>者为通道侗族自治县国有资产监督管理办公室，使用权面积11030.64平方米。根据</w:t>
      </w:r>
      <w:r>
        <w:rPr>
          <w:rFonts w:hint="eastAsia" w:ascii="仿宋_GB2312" w:hAnsi="仿宋_GB2312" w:eastAsia="仿宋_GB2312" w:cs="仿宋_GB2312"/>
          <w:bCs/>
          <w:color w:val="auto"/>
          <w:kern w:val="2"/>
          <w:sz w:val="28"/>
          <w:szCs w:val="28"/>
          <w:highlight w:val="none"/>
          <w:lang w:val="en-GB" w:eastAsia="zh-CN" w:bidi="ar-SA"/>
        </w:rPr>
        <w:t>《房屋所有权证》（通房权证双江字第201517109号）</w:t>
      </w:r>
      <w:r>
        <w:rPr>
          <w:rFonts w:hint="default" w:ascii="仿宋_GB2312" w:hAnsi="仿宋_GB2312" w:eastAsia="仿宋_GB2312" w:cs="仿宋_GB2312"/>
          <w:bCs/>
          <w:color w:val="auto"/>
          <w:kern w:val="2"/>
          <w:sz w:val="28"/>
          <w:szCs w:val="28"/>
          <w:highlight w:val="none"/>
          <w:lang w:val="en-GB" w:eastAsia="zh-CN" w:bidi="ar-SA"/>
        </w:rPr>
        <w:t>，估价对象位于</w:t>
      </w:r>
      <w:r>
        <w:rPr>
          <w:rFonts w:hint="eastAsia" w:ascii="仿宋_GB2312" w:hAnsi="仿宋_GB2312" w:eastAsia="仿宋_GB2312" w:cs="仿宋_GB2312"/>
          <w:bCs/>
          <w:color w:val="auto"/>
          <w:kern w:val="2"/>
          <w:sz w:val="28"/>
          <w:szCs w:val="28"/>
          <w:highlight w:val="none"/>
          <w:lang w:val="en-US" w:eastAsia="zh-CN" w:bidi="ar-SA"/>
        </w:rPr>
        <w:t>通道县双江镇行政街331/1-2幢整栋</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房屋所有权人为通道侗族自治县国有资产监督管理办公室，总建筑面积745.47平方米</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根据《土地分户分摊面积明细表》，分摊土地使用权总面积183.27平方米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本次评估对象土地面积以《土地资产评估委托书》为标准，</w:t>
      </w:r>
      <w:r>
        <w:rPr>
          <w:rFonts w:hint="default" w:ascii="仿宋_GB2312" w:hAnsi="仿宋_GB2312" w:eastAsia="仿宋_GB2312" w:cs="仿宋_GB2312"/>
          <w:bCs/>
          <w:color w:val="auto"/>
          <w:kern w:val="2"/>
          <w:sz w:val="28"/>
          <w:szCs w:val="28"/>
          <w:highlight w:val="none"/>
          <w:lang w:val="en-GB" w:eastAsia="zh-CN" w:bidi="ar-SA"/>
        </w:rPr>
        <w:t>委托方拟按现状利用条件为其办理土地使用权出让手续</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估价对象土地面积为183.27平方米</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sz w:val="28"/>
          <w:szCs w:val="28"/>
          <w:highlight w:val="none"/>
          <w:lang w:val="en-GB" w:eastAsia="zh-CN"/>
        </w:rPr>
        <w:t>结合委托方提供的资料及估价人员的现场查勘，</w:t>
      </w:r>
      <w:r>
        <w:rPr>
          <w:rFonts w:hint="eastAsia" w:ascii="仿宋_GB2312" w:hAnsi="仿宋_GB2312" w:eastAsia="仿宋_GB2312" w:cs="仿宋_GB2312"/>
          <w:bCs/>
          <w:color w:val="auto"/>
          <w:sz w:val="28"/>
          <w:szCs w:val="28"/>
          <w:highlight w:val="none"/>
          <w:lang w:val="en-US" w:eastAsia="zh-CN"/>
        </w:rPr>
        <w:t>根据现行国家法律法规的规定和估价目的，地价定义如下：</w:t>
      </w:r>
    </w:p>
    <w:p w14:paraId="116F63A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US" w:eastAsia="zh-CN"/>
        </w:rPr>
        <w:t>1、估价期日的设定：</w:t>
      </w:r>
      <w:r>
        <w:rPr>
          <w:rFonts w:hint="eastAsia" w:ascii="仿宋_GB2312" w:hAnsi="仿宋_GB2312" w:eastAsia="仿宋_GB2312" w:cs="仿宋_GB2312"/>
          <w:bCs/>
          <w:color w:val="auto"/>
          <w:sz w:val="28"/>
          <w:szCs w:val="28"/>
          <w:highlight w:val="none"/>
          <w:lang w:val="en-GB" w:eastAsia="zh-CN"/>
        </w:rPr>
        <w:t>根据《土地</w:t>
      </w:r>
      <w:r>
        <w:rPr>
          <w:rFonts w:hint="eastAsia" w:ascii="仿宋_GB2312" w:hAnsi="仿宋_GB2312" w:eastAsia="仿宋_GB2312" w:cs="仿宋_GB2312"/>
          <w:bCs/>
          <w:color w:val="auto"/>
          <w:sz w:val="28"/>
          <w:szCs w:val="28"/>
          <w:highlight w:val="none"/>
          <w:lang w:val="en-US" w:eastAsia="zh-CN"/>
        </w:rPr>
        <w:t>资产</w:t>
      </w:r>
      <w:r>
        <w:rPr>
          <w:rFonts w:hint="eastAsia" w:ascii="仿宋_GB2312" w:hAnsi="仿宋_GB2312" w:eastAsia="仿宋_GB2312" w:cs="仿宋_GB2312"/>
          <w:bCs/>
          <w:color w:val="auto"/>
          <w:sz w:val="28"/>
          <w:szCs w:val="28"/>
          <w:highlight w:val="none"/>
          <w:lang w:val="en-GB" w:eastAsia="zh-CN"/>
        </w:rPr>
        <w:t>评估委托书》，此次评估设定估价期日为2026年2月3日。</w:t>
      </w:r>
    </w:p>
    <w:p w14:paraId="5461F9B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US" w:eastAsia="zh-CN"/>
        </w:rPr>
        <w:t>2、土地用途的设定：</w:t>
      </w:r>
      <w:r>
        <w:rPr>
          <w:rFonts w:hint="default" w:ascii="仿宋_GB2312" w:hAnsi="仿宋_GB2312" w:eastAsia="仿宋_GB2312" w:cs="仿宋_GB2312"/>
          <w:bCs/>
          <w:color w:val="auto"/>
          <w:sz w:val="28"/>
          <w:szCs w:val="28"/>
          <w:highlight w:val="none"/>
          <w:lang w:val="en-GB" w:eastAsia="zh-CN"/>
        </w:rPr>
        <w:t>根据</w:t>
      </w:r>
      <w:r>
        <w:rPr>
          <w:rFonts w:hint="eastAsia" w:ascii="仿宋_GB2312" w:hAnsi="仿宋_GB2312" w:eastAsia="仿宋_GB2312" w:cs="仿宋_GB2312"/>
          <w:bCs/>
          <w:color w:val="auto"/>
          <w:sz w:val="28"/>
          <w:szCs w:val="28"/>
          <w:highlight w:val="none"/>
          <w:lang w:val="en-GB" w:eastAsia="zh-CN"/>
        </w:rPr>
        <w:t>《国有土地使用证》（通国用（2014）第000327号）</w:t>
      </w:r>
      <w:r>
        <w:rPr>
          <w:rFonts w:hint="default" w:ascii="仿宋_GB2312" w:hAnsi="仿宋_GB2312" w:eastAsia="仿宋_GB2312" w:cs="仿宋_GB2312"/>
          <w:bCs/>
          <w:color w:val="auto"/>
          <w:sz w:val="28"/>
          <w:szCs w:val="28"/>
          <w:highlight w:val="none"/>
          <w:lang w:val="en-GB" w:eastAsia="zh-CN"/>
        </w:rPr>
        <w:t>，估价对象</w:t>
      </w:r>
      <w:r>
        <w:rPr>
          <w:rFonts w:hint="eastAsia" w:ascii="仿宋_GB2312" w:hAnsi="仿宋_GB2312" w:eastAsia="仿宋_GB2312" w:cs="仿宋_GB2312"/>
          <w:bCs/>
          <w:color w:val="auto"/>
          <w:sz w:val="28"/>
          <w:szCs w:val="28"/>
          <w:highlight w:val="none"/>
          <w:lang w:val="en-GB" w:eastAsia="zh-CN"/>
        </w:rPr>
        <w:t>登记土地用途为</w:t>
      </w:r>
      <w:r>
        <w:rPr>
          <w:rFonts w:hint="eastAsia" w:ascii="仿宋_GB2312" w:hAnsi="仿宋_GB2312" w:eastAsia="仿宋_GB2312" w:cs="仿宋_GB2312"/>
          <w:bCs/>
          <w:color w:val="auto"/>
          <w:sz w:val="28"/>
          <w:szCs w:val="28"/>
          <w:highlight w:val="none"/>
          <w:lang w:val="en-US" w:eastAsia="zh-CN"/>
        </w:rPr>
        <w:t>机关团体用地</w:t>
      </w:r>
      <w:r>
        <w:rPr>
          <w:rFonts w:hint="default"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根据《通道侗族自治县自然资源局关于通道县政府大院内各建筑性质的认定》（2026年1月28日），估价对象建筑性质为城镇住宅其中商业建筑占比25%</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根据</w:t>
      </w:r>
      <w:r>
        <w:rPr>
          <w:rFonts w:hint="eastAsia" w:ascii="仿宋_GB2312" w:hAnsi="仿宋_GB2312" w:eastAsia="仿宋_GB2312" w:cs="仿宋_GB2312"/>
          <w:bCs/>
          <w:color w:val="auto"/>
          <w:kern w:val="2"/>
          <w:sz w:val="28"/>
          <w:szCs w:val="28"/>
          <w:highlight w:val="none"/>
          <w:lang w:val="en-GB" w:eastAsia="zh-CN" w:bidi="ar-SA"/>
        </w:rPr>
        <w:t>《房屋所有权证》（通房权证双江字第201517109号），</w:t>
      </w:r>
      <w:r>
        <w:rPr>
          <w:rFonts w:hint="eastAsia" w:ascii="仿宋_GB2312" w:hAnsi="仿宋_GB2312" w:eastAsia="仿宋_GB2312" w:cs="仿宋_GB2312"/>
          <w:bCs/>
          <w:color w:val="auto"/>
          <w:kern w:val="2"/>
          <w:sz w:val="28"/>
          <w:szCs w:val="28"/>
          <w:highlight w:val="none"/>
          <w:lang w:val="en-US" w:eastAsia="zh-CN" w:bidi="ar-SA"/>
        </w:rPr>
        <w:t>住宅建筑面积581.31平方米，商业建筑面积164.16平方米，则商住比为22.02%：77.98%，根据</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土地资产评估委托书</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,估价对象土地用途为商业服务业用地、城镇住宅用地，其中商业服务业用地面积40.38平方米，城镇住宅用地面积142.89平方米，则商住比为22.03%：77.97%，此次评估以</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土地资产评估委托书</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为依据，</w:t>
      </w:r>
      <w:r>
        <w:rPr>
          <w:rFonts w:hint="eastAsia" w:ascii="仿宋_GB2312" w:hAnsi="仿宋_GB2312" w:eastAsia="仿宋_GB2312" w:cs="仿宋_GB2312"/>
          <w:bCs/>
          <w:color w:val="auto"/>
          <w:sz w:val="28"/>
          <w:szCs w:val="28"/>
          <w:highlight w:val="none"/>
          <w:lang w:val="en-GB" w:eastAsia="zh-CN"/>
        </w:rPr>
        <w:t>对照《城市用地分类与规划建设用地标准》（GB50137-2011），结合《土地利用现状分类》（GB/T 21010-2017），此次评估设定估价对象土地用途为</w:t>
      </w:r>
      <w:r>
        <w:rPr>
          <w:rFonts w:hint="eastAsia" w:ascii="仿宋_GB2312" w:hAnsi="仿宋_GB2312" w:eastAsia="仿宋_GB2312" w:cs="仿宋_GB2312"/>
          <w:bCs/>
          <w:color w:val="auto"/>
          <w:sz w:val="28"/>
          <w:szCs w:val="28"/>
          <w:highlight w:val="none"/>
          <w:lang w:val="en-US" w:eastAsia="zh-CN"/>
        </w:rPr>
        <w:t>商服用地、</w:t>
      </w:r>
      <w:r>
        <w:rPr>
          <w:rFonts w:hint="eastAsia" w:ascii="仿宋_GB2312" w:hAnsi="仿宋_GB2312" w:eastAsia="仿宋_GB2312" w:cs="仿宋_GB2312"/>
          <w:bCs/>
          <w:color w:val="auto"/>
          <w:sz w:val="28"/>
          <w:szCs w:val="28"/>
          <w:highlight w:val="none"/>
          <w:lang w:val="en-GB" w:eastAsia="zh-CN"/>
        </w:rPr>
        <w:t>住宅用地（</w:t>
      </w:r>
      <w:r>
        <w:rPr>
          <w:rFonts w:hint="eastAsia" w:ascii="仿宋_GB2312" w:hAnsi="仿宋_GB2312" w:eastAsia="仿宋_GB2312" w:cs="仿宋_GB2312"/>
          <w:bCs/>
          <w:color w:val="auto"/>
          <w:sz w:val="28"/>
          <w:szCs w:val="28"/>
          <w:highlight w:val="none"/>
          <w:lang w:val="en-US" w:eastAsia="zh-CN"/>
        </w:rPr>
        <w:t>商住比22.03%：77.97%</w:t>
      </w:r>
      <w:r>
        <w:rPr>
          <w:rFonts w:hint="eastAsia" w:ascii="仿宋_GB2312" w:hAnsi="仿宋_GB2312" w:eastAsia="仿宋_GB2312" w:cs="仿宋_GB2312"/>
          <w:bCs/>
          <w:color w:val="auto"/>
          <w:sz w:val="28"/>
          <w:szCs w:val="28"/>
          <w:highlight w:val="none"/>
          <w:lang w:val="en-GB" w:eastAsia="zh-CN"/>
        </w:rPr>
        <w:t>）。</w:t>
      </w:r>
    </w:p>
    <w:p w14:paraId="49C0605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3、土地利用条件设定：</w:t>
      </w:r>
      <w:r>
        <w:rPr>
          <w:rFonts w:hint="eastAsia" w:ascii="仿宋_GB2312" w:hAnsi="仿宋_GB2312" w:eastAsia="仿宋_GB2312" w:cs="仿宋_GB2312"/>
          <w:bCs/>
          <w:color w:val="auto"/>
          <w:sz w:val="28"/>
          <w:szCs w:val="28"/>
          <w:highlight w:val="none"/>
          <w:lang w:val="en-GB" w:eastAsia="zh-CN"/>
        </w:rPr>
        <w:t>经估价人员现场查勘，估价对象为已建成用地，地上有一栋</w:t>
      </w:r>
      <w:r>
        <w:rPr>
          <w:rFonts w:hint="eastAsia" w:ascii="仿宋_GB2312" w:hAnsi="仿宋_GB2312" w:eastAsia="仿宋_GB2312" w:cs="仿宋_GB2312"/>
          <w:bCs/>
          <w:color w:val="auto"/>
          <w:sz w:val="28"/>
          <w:szCs w:val="28"/>
          <w:highlight w:val="none"/>
          <w:lang w:val="en-US" w:eastAsia="zh-CN"/>
        </w:rPr>
        <w:t>4层</w:t>
      </w:r>
      <w:r>
        <w:rPr>
          <w:rFonts w:hint="eastAsia" w:ascii="仿宋_GB2312" w:hAnsi="仿宋_GB2312" w:eastAsia="仿宋_GB2312" w:cs="仿宋_GB2312"/>
          <w:bCs/>
          <w:color w:val="auto"/>
          <w:sz w:val="28"/>
          <w:szCs w:val="28"/>
          <w:highlight w:val="none"/>
          <w:lang w:val="en-GB" w:eastAsia="zh-CN"/>
        </w:rPr>
        <w:t>住宅楼。</w:t>
      </w:r>
      <w:r>
        <w:rPr>
          <w:rFonts w:hint="default" w:ascii="仿宋_GB2312" w:hAnsi="仿宋_GB2312" w:eastAsia="仿宋_GB2312" w:cs="仿宋_GB2312"/>
          <w:bCs/>
          <w:color w:val="auto"/>
          <w:sz w:val="28"/>
          <w:szCs w:val="28"/>
          <w:highlight w:val="none"/>
          <w:lang w:val="en-GB" w:eastAsia="zh-CN"/>
        </w:rPr>
        <w:t>根据</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土地资产评估委托书</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，委托方拟按估价对象现状使用条件进行出让</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根据委托方提供的估价对象</w:t>
      </w:r>
      <w:r>
        <w:rPr>
          <w:rFonts w:hint="eastAsia" w:ascii="仿宋_GB2312" w:hAnsi="仿宋_GB2312" w:eastAsia="仿宋_GB2312" w:cs="仿宋_GB2312"/>
          <w:bCs/>
          <w:color w:val="auto"/>
          <w:sz w:val="28"/>
          <w:szCs w:val="28"/>
          <w:highlight w:val="none"/>
          <w:lang w:val="en-GB" w:eastAsia="zh-CN"/>
        </w:rPr>
        <w:t>《房屋所有权证》（通房权证双江字第201517109号）</w:t>
      </w:r>
      <w:r>
        <w:rPr>
          <w:rFonts w:hint="eastAsia" w:ascii="仿宋_GB2312" w:hAnsi="仿宋_GB2312" w:eastAsia="仿宋_GB2312" w:cs="仿宋_GB2312"/>
          <w:bCs/>
          <w:color w:val="auto"/>
          <w:sz w:val="28"/>
          <w:szCs w:val="28"/>
          <w:highlight w:val="none"/>
          <w:lang w:val="en-US" w:eastAsia="zh-CN"/>
        </w:rPr>
        <w:t>及</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土地分户分摊面积明细表</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估价对象建筑</w:t>
      </w:r>
      <w:r>
        <w:rPr>
          <w:rFonts w:hint="eastAsia" w:ascii="仿宋_GB2312" w:hAnsi="仿宋_GB2312" w:eastAsia="仿宋_GB2312" w:cs="仿宋_GB2312"/>
          <w:bCs/>
          <w:color w:val="auto"/>
          <w:sz w:val="28"/>
          <w:szCs w:val="28"/>
          <w:highlight w:val="none"/>
          <w:lang w:val="en-US" w:eastAsia="zh-CN"/>
        </w:rPr>
        <w:t>总</w:t>
      </w:r>
      <w:r>
        <w:rPr>
          <w:rFonts w:hint="default" w:ascii="仿宋_GB2312" w:hAnsi="仿宋_GB2312" w:eastAsia="仿宋_GB2312" w:cs="仿宋_GB2312"/>
          <w:bCs/>
          <w:color w:val="auto"/>
          <w:sz w:val="28"/>
          <w:szCs w:val="28"/>
          <w:highlight w:val="none"/>
          <w:lang w:val="en-GB" w:eastAsia="zh-CN"/>
        </w:rPr>
        <w:t>面积为</w:t>
      </w:r>
      <w:r>
        <w:rPr>
          <w:rFonts w:hint="eastAsia" w:ascii="仿宋_GB2312" w:hAnsi="仿宋_GB2312" w:eastAsia="仿宋_GB2312" w:cs="仿宋_GB2312"/>
          <w:bCs/>
          <w:color w:val="auto"/>
          <w:sz w:val="28"/>
          <w:szCs w:val="28"/>
          <w:highlight w:val="none"/>
          <w:lang w:val="en-US" w:eastAsia="zh-CN"/>
        </w:rPr>
        <w:t>745.47平方米</w:t>
      </w:r>
      <w:r>
        <w:rPr>
          <w:rFonts w:hint="default" w:ascii="仿宋_GB2312" w:hAnsi="仿宋_GB2312" w:eastAsia="仿宋_GB2312" w:cs="仿宋_GB2312"/>
          <w:bCs/>
          <w:color w:val="auto"/>
          <w:sz w:val="28"/>
          <w:szCs w:val="28"/>
          <w:highlight w:val="none"/>
          <w:lang w:val="en-GB" w:eastAsia="zh-CN"/>
        </w:rPr>
        <w:t>，估价对象分摊土地面积为</w:t>
      </w:r>
      <w:r>
        <w:rPr>
          <w:rFonts w:hint="eastAsia" w:ascii="仿宋_GB2312" w:hAnsi="仿宋_GB2312" w:eastAsia="仿宋_GB2312" w:cs="仿宋_GB2312"/>
          <w:bCs/>
          <w:color w:val="auto"/>
          <w:sz w:val="28"/>
          <w:szCs w:val="28"/>
          <w:highlight w:val="none"/>
          <w:lang w:val="en-US" w:eastAsia="zh-CN"/>
        </w:rPr>
        <w:t>183.27平方米</w:t>
      </w:r>
      <w:r>
        <w:rPr>
          <w:rFonts w:hint="default" w:ascii="仿宋_GB2312" w:hAnsi="仿宋_GB2312" w:eastAsia="仿宋_GB2312" w:cs="仿宋_GB2312"/>
          <w:bCs/>
          <w:color w:val="auto"/>
          <w:sz w:val="28"/>
          <w:szCs w:val="28"/>
          <w:highlight w:val="none"/>
          <w:lang w:val="en-GB" w:eastAsia="zh-CN"/>
        </w:rPr>
        <w:t>，则估价对象现状</w:t>
      </w:r>
      <w:r>
        <w:rPr>
          <w:rFonts w:hint="eastAsia" w:ascii="仿宋_GB2312" w:hAnsi="仿宋_GB2312" w:eastAsia="仿宋_GB2312" w:cs="仿宋_GB2312"/>
          <w:bCs/>
          <w:color w:val="auto"/>
          <w:sz w:val="28"/>
          <w:szCs w:val="28"/>
          <w:highlight w:val="none"/>
          <w:lang w:val="en-GB" w:eastAsia="zh-CN"/>
        </w:rPr>
        <w:t>容积率为4.07</w:t>
      </w:r>
      <w:r>
        <w:rPr>
          <w:rFonts w:hint="default" w:ascii="仿宋_GB2312" w:hAnsi="仿宋_GB2312" w:eastAsia="仿宋_GB2312" w:cs="仿宋_GB2312"/>
          <w:bCs/>
          <w:color w:val="auto"/>
          <w:sz w:val="28"/>
          <w:szCs w:val="28"/>
          <w:highlight w:val="none"/>
          <w:lang w:val="en-GB" w:eastAsia="zh-CN"/>
        </w:rPr>
        <w:t>。本次评估设定土地</w:t>
      </w:r>
      <w:r>
        <w:rPr>
          <w:rFonts w:hint="eastAsia" w:ascii="仿宋_GB2312" w:hAnsi="仿宋_GB2312" w:eastAsia="仿宋_GB2312" w:cs="仿宋_GB2312"/>
          <w:bCs/>
          <w:color w:val="auto"/>
          <w:sz w:val="28"/>
          <w:szCs w:val="28"/>
          <w:highlight w:val="none"/>
          <w:lang w:val="en-GB" w:eastAsia="zh-CN"/>
        </w:rPr>
        <w:t>容积率为4.07</w:t>
      </w:r>
      <w:r>
        <w:rPr>
          <w:rFonts w:hint="default" w:ascii="仿宋_GB2312" w:hAnsi="仿宋_GB2312" w:eastAsia="仿宋_GB2312" w:cs="仿宋_GB2312"/>
          <w:bCs/>
          <w:color w:val="auto"/>
          <w:sz w:val="28"/>
          <w:szCs w:val="28"/>
          <w:highlight w:val="none"/>
          <w:lang w:val="en-GB" w:eastAsia="zh-CN"/>
        </w:rPr>
        <w:t>。</w:t>
      </w:r>
    </w:p>
    <w:p w14:paraId="39C92C4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4、土地使用权类型设定：</w:t>
      </w:r>
      <w:r>
        <w:rPr>
          <w:rFonts w:hint="default" w:ascii="仿宋_GB2312" w:hAnsi="仿宋_GB2312" w:eastAsia="仿宋_GB2312" w:cs="仿宋_GB2312"/>
          <w:bCs/>
          <w:color w:val="auto"/>
          <w:sz w:val="28"/>
          <w:szCs w:val="28"/>
          <w:highlight w:val="none"/>
          <w:lang w:val="en-US" w:eastAsia="zh-CN"/>
        </w:rPr>
        <w:t>根据委托方提供的估价对象</w:t>
      </w:r>
      <w:r>
        <w:rPr>
          <w:rFonts w:hint="eastAsia" w:ascii="仿宋_GB2312" w:hAnsi="仿宋_GB2312" w:eastAsia="仿宋_GB2312" w:cs="仿宋_GB2312"/>
          <w:bCs/>
          <w:color w:val="auto"/>
          <w:sz w:val="28"/>
          <w:szCs w:val="28"/>
          <w:highlight w:val="none"/>
          <w:lang w:val="en-US" w:eastAsia="zh-CN"/>
        </w:rPr>
        <w:t>《国有土地使用证》（通国用（2014）第000327号）</w:t>
      </w:r>
      <w:r>
        <w:rPr>
          <w:rFonts w:hint="default" w:ascii="仿宋_GB2312" w:hAnsi="仿宋_GB2312" w:eastAsia="仿宋_GB2312" w:cs="仿宋_GB2312"/>
          <w:bCs/>
          <w:color w:val="auto"/>
          <w:sz w:val="28"/>
          <w:szCs w:val="28"/>
          <w:highlight w:val="none"/>
          <w:lang w:val="en-US" w:eastAsia="zh-CN"/>
        </w:rPr>
        <w:t>，估价对象</w:t>
      </w:r>
      <w:r>
        <w:rPr>
          <w:rFonts w:hint="eastAsia" w:ascii="仿宋_GB2312" w:hAnsi="仿宋_GB2312" w:eastAsia="仿宋_GB2312" w:cs="仿宋_GB2312"/>
          <w:bCs/>
          <w:color w:val="auto"/>
          <w:sz w:val="28"/>
          <w:szCs w:val="28"/>
          <w:highlight w:val="none"/>
          <w:lang w:val="en-US" w:eastAsia="zh-CN"/>
        </w:rPr>
        <w:t>登记</w:t>
      </w:r>
      <w:r>
        <w:rPr>
          <w:rFonts w:hint="default" w:ascii="仿宋_GB2312" w:hAnsi="仿宋_GB2312" w:eastAsia="仿宋_GB2312" w:cs="仿宋_GB2312"/>
          <w:bCs/>
          <w:color w:val="auto"/>
          <w:sz w:val="28"/>
          <w:szCs w:val="28"/>
          <w:highlight w:val="none"/>
          <w:lang w:val="en-US" w:eastAsia="zh-CN"/>
        </w:rPr>
        <w:t>土地使用权类型为</w:t>
      </w:r>
      <w:r>
        <w:rPr>
          <w:rFonts w:hint="eastAsia" w:ascii="仿宋_GB2312" w:hAnsi="仿宋_GB2312" w:eastAsia="仿宋_GB2312" w:cs="仿宋_GB2312"/>
          <w:bCs/>
          <w:color w:val="auto"/>
          <w:sz w:val="28"/>
          <w:szCs w:val="28"/>
          <w:highlight w:val="none"/>
          <w:lang w:val="en-US" w:eastAsia="zh-CN"/>
        </w:rPr>
        <w:t>国有划拨</w:t>
      </w:r>
      <w:r>
        <w:rPr>
          <w:rFonts w:hint="default" w:ascii="仿宋_GB2312" w:hAnsi="仿宋_GB2312" w:eastAsia="仿宋_GB2312" w:cs="仿宋_GB2312"/>
          <w:bCs/>
          <w:color w:val="auto"/>
          <w:sz w:val="28"/>
          <w:szCs w:val="28"/>
          <w:highlight w:val="none"/>
          <w:lang w:val="en-US" w:eastAsia="zh-CN"/>
        </w:rPr>
        <w:t>，委托方拟按现状利用条件为其办理土地使用权出让手续，根据此次评估目的，设定估价对象土地使用权类型为出让。</w:t>
      </w:r>
    </w:p>
    <w:p w14:paraId="785AC62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5、土地使用年限设定：</w:t>
      </w:r>
      <w:r>
        <w:rPr>
          <w:rFonts w:hint="default" w:ascii="仿宋_GB2312" w:hAnsi="仿宋_GB2312" w:eastAsia="仿宋_GB2312" w:cs="仿宋_GB2312"/>
          <w:bCs/>
          <w:color w:val="auto"/>
          <w:sz w:val="28"/>
          <w:szCs w:val="28"/>
          <w:highlight w:val="none"/>
          <w:lang w:val="en-US" w:eastAsia="zh-CN"/>
        </w:rPr>
        <w:t>估价对象登记土地使用权类型为</w:t>
      </w:r>
      <w:r>
        <w:rPr>
          <w:rFonts w:hint="eastAsia" w:ascii="仿宋_GB2312" w:hAnsi="仿宋_GB2312" w:eastAsia="仿宋_GB2312" w:cs="仿宋_GB2312"/>
          <w:bCs/>
          <w:color w:val="auto"/>
          <w:sz w:val="28"/>
          <w:szCs w:val="28"/>
          <w:highlight w:val="none"/>
          <w:lang w:val="en-US" w:eastAsia="zh-CN"/>
        </w:rPr>
        <w:t>国有划拨</w:t>
      </w:r>
      <w:r>
        <w:rPr>
          <w:rFonts w:hint="default" w:ascii="仿宋_GB2312" w:hAnsi="仿宋_GB2312" w:eastAsia="仿宋_GB2312" w:cs="仿宋_GB2312"/>
          <w:bCs/>
          <w:color w:val="auto"/>
          <w:sz w:val="28"/>
          <w:szCs w:val="28"/>
          <w:highlight w:val="none"/>
          <w:lang w:val="en-US" w:eastAsia="zh-CN"/>
        </w:rPr>
        <w:t>，土地使用年期为无年期限制</w:t>
      </w:r>
      <w:r>
        <w:rPr>
          <w:rFonts w:hint="eastAsia" w:ascii="仿宋_GB2312" w:hAnsi="仿宋_GB2312" w:eastAsia="仿宋_GB2312" w:cs="仿宋_GB2312"/>
          <w:bCs/>
          <w:color w:val="auto"/>
          <w:sz w:val="28"/>
          <w:szCs w:val="28"/>
          <w:highlight w:val="none"/>
          <w:lang w:val="en-US" w:eastAsia="zh-CN"/>
        </w:rPr>
        <w:t>，</w:t>
      </w:r>
      <w:r>
        <w:rPr>
          <w:rFonts w:hint="default" w:ascii="仿宋_GB2312" w:hAnsi="仿宋_GB2312" w:eastAsia="仿宋_GB2312" w:cs="仿宋_GB2312"/>
          <w:bCs/>
          <w:color w:val="auto"/>
          <w:sz w:val="28"/>
          <w:szCs w:val="28"/>
          <w:highlight w:val="none"/>
          <w:lang w:val="en-US" w:eastAsia="zh-CN"/>
        </w:rPr>
        <w:t>结合《土地</w:t>
      </w:r>
      <w:r>
        <w:rPr>
          <w:rFonts w:hint="eastAsia" w:ascii="仿宋_GB2312" w:hAnsi="仿宋_GB2312" w:eastAsia="仿宋_GB2312" w:cs="仿宋_GB2312"/>
          <w:bCs/>
          <w:color w:val="auto"/>
          <w:sz w:val="28"/>
          <w:szCs w:val="28"/>
          <w:highlight w:val="none"/>
          <w:lang w:val="en-US" w:eastAsia="zh-CN"/>
        </w:rPr>
        <w:t>资产</w:t>
      </w:r>
      <w:r>
        <w:rPr>
          <w:rFonts w:hint="default"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US" w:eastAsia="zh-CN"/>
        </w:rPr>
        <w:t>评估土地使用年限为商服用地40年、住宅用地70年，</w:t>
      </w:r>
      <w:r>
        <w:rPr>
          <w:rFonts w:hint="default" w:ascii="仿宋_GB2312" w:hAnsi="仿宋_GB2312" w:eastAsia="仿宋_GB2312" w:cs="仿宋_GB2312"/>
          <w:bCs/>
          <w:color w:val="auto"/>
          <w:sz w:val="28"/>
          <w:szCs w:val="28"/>
          <w:highlight w:val="none"/>
          <w:lang w:val="en-US" w:eastAsia="zh-CN"/>
        </w:rPr>
        <w:t>结合本次估价目的，此次评估设定土地使用年期为</w:t>
      </w:r>
      <w:r>
        <w:rPr>
          <w:rFonts w:hint="eastAsia" w:ascii="仿宋_GB2312" w:hAnsi="仿宋_GB2312" w:eastAsia="仿宋_GB2312" w:cs="仿宋_GB2312"/>
          <w:bCs/>
          <w:color w:val="auto"/>
          <w:sz w:val="28"/>
          <w:szCs w:val="28"/>
          <w:highlight w:val="none"/>
          <w:lang w:val="en-US" w:eastAsia="zh-CN"/>
        </w:rPr>
        <w:t>商服用地40年、住宅用地70年。</w:t>
      </w:r>
    </w:p>
    <w:p w14:paraId="7DD3A0B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6、土地开发程度设定：</w:t>
      </w:r>
      <w:r>
        <w:rPr>
          <w:rFonts w:hint="default" w:ascii="仿宋_GB2312" w:hAnsi="仿宋_GB2312" w:eastAsia="仿宋_GB2312" w:cs="仿宋_GB2312"/>
          <w:bCs/>
          <w:color w:val="auto"/>
          <w:sz w:val="28"/>
          <w:szCs w:val="28"/>
          <w:highlight w:val="none"/>
          <w:lang w:val="en-US" w:eastAsia="zh-CN"/>
        </w:rPr>
        <w:t>估价对象现状土地开发程度为宗地红线内外“</w:t>
      </w:r>
      <w:r>
        <w:rPr>
          <w:rFonts w:hint="eastAsia" w:ascii="仿宋_GB2312" w:hAnsi="仿宋_GB2312" w:eastAsia="仿宋_GB2312" w:cs="仿宋_GB2312"/>
          <w:bCs/>
          <w:color w:val="auto"/>
          <w:sz w:val="28"/>
          <w:szCs w:val="28"/>
          <w:highlight w:val="none"/>
          <w:lang w:val="en-US" w:eastAsia="zh-CN"/>
        </w:rPr>
        <w:t>五</w:t>
      </w:r>
      <w:r>
        <w:rPr>
          <w:rFonts w:hint="default" w:ascii="仿宋_GB2312" w:hAnsi="仿宋_GB2312" w:eastAsia="仿宋_GB2312" w:cs="仿宋_GB2312"/>
          <w:bCs/>
          <w:color w:val="auto"/>
          <w:sz w:val="28"/>
          <w:szCs w:val="28"/>
          <w:highlight w:val="none"/>
          <w:lang w:val="en-US" w:eastAsia="zh-CN"/>
        </w:rPr>
        <w:t>通”（</w:t>
      </w:r>
      <w:r>
        <w:rPr>
          <w:rFonts w:hint="eastAsia" w:ascii="仿宋_GB2312" w:hAnsi="仿宋_GB2312" w:eastAsia="仿宋_GB2312" w:cs="仿宋_GB2312"/>
          <w:bCs/>
          <w:color w:val="auto"/>
          <w:sz w:val="28"/>
          <w:szCs w:val="28"/>
          <w:highlight w:val="none"/>
          <w:lang w:val="en-US" w:eastAsia="zh-CN"/>
        </w:rPr>
        <w:t>通路、通电、供水、排水、通讯</w:t>
      </w:r>
      <w:r>
        <w:rPr>
          <w:rFonts w:hint="default" w:ascii="仿宋_GB2312" w:hAnsi="仿宋_GB2312" w:eastAsia="仿宋_GB2312" w:cs="仿宋_GB2312"/>
          <w:bCs/>
          <w:color w:val="auto"/>
          <w:sz w:val="28"/>
          <w:szCs w:val="28"/>
          <w:highlight w:val="none"/>
          <w:lang w:val="en-US" w:eastAsia="zh-CN"/>
        </w:rPr>
        <w:t>）及红线内场地平整，根据此次评估目的，设定土地开发程度为宗地红线外“</w:t>
      </w:r>
      <w:r>
        <w:rPr>
          <w:rFonts w:hint="eastAsia" w:ascii="仿宋_GB2312" w:hAnsi="仿宋_GB2312" w:eastAsia="仿宋_GB2312" w:cs="仿宋_GB2312"/>
          <w:bCs/>
          <w:color w:val="auto"/>
          <w:sz w:val="28"/>
          <w:szCs w:val="28"/>
          <w:highlight w:val="none"/>
          <w:lang w:val="en-US" w:eastAsia="zh-CN"/>
        </w:rPr>
        <w:t>五</w:t>
      </w:r>
      <w:r>
        <w:rPr>
          <w:rFonts w:hint="default" w:ascii="仿宋_GB2312" w:hAnsi="仿宋_GB2312" w:eastAsia="仿宋_GB2312" w:cs="仿宋_GB2312"/>
          <w:bCs/>
          <w:color w:val="auto"/>
          <w:sz w:val="28"/>
          <w:szCs w:val="28"/>
          <w:highlight w:val="none"/>
          <w:lang w:val="en-US" w:eastAsia="zh-CN"/>
        </w:rPr>
        <w:t>通”（</w:t>
      </w:r>
      <w:r>
        <w:rPr>
          <w:rFonts w:hint="eastAsia" w:ascii="仿宋_GB2312" w:hAnsi="仿宋_GB2312" w:eastAsia="仿宋_GB2312" w:cs="仿宋_GB2312"/>
          <w:bCs/>
          <w:color w:val="auto"/>
          <w:sz w:val="28"/>
          <w:szCs w:val="28"/>
          <w:highlight w:val="none"/>
          <w:lang w:val="en-US" w:eastAsia="zh-CN"/>
        </w:rPr>
        <w:t>通路、通电、供水、排水、通讯</w:t>
      </w:r>
      <w:r>
        <w:rPr>
          <w:rFonts w:hint="default" w:ascii="仿宋_GB2312" w:hAnsi="仿宋_GB2312" w:eastAsia="仿宋_GB2312" w:cs="仿宋_GB2312"/>
          <w:bCs/>
          <w:color w:val="auto"/>
          <w:sz w:val="28"/>
          <w:szCs w:val="28"/>
          <w:highlight w:val="none"/>
          <w:lang w:val="en-US" w:eastAsia="zh-CN"/>
        </w:rPr>
        <w:t>）和红线内场地平整。</w:t>
      </w:r>
    </w:p>
    <w:p w14:paraId="074559C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7、</w:t>
      </w:r>
      <w:r>
        <w:rPr>
          <w:rFonts w:hint="default" w:ascii="仿宋_GB2312" w:hAnsi="仿宋_GB2312" w:eastAsia="仿宋_GB2312" w:cs="仿宋_GB2312"/>
          <w:bCs/>
          <w:color w:val="auto"/>
          <w:sz w:val="28"/>
          <w:szCs w:val="28"/>
          <w:highlight w:val="none"/>
          <w:lang w:val="en-US" w:eastAsia="zh-CN"/>
        </w:rPr>
        <w:t>权利状态：估价对象未设定他项权利，本次评估设定权利状态为无他项权利的完全权利条件。</w:t>
      </w:r>
    </w:p>
    <w:p w14:paraId="1C50BE6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综上所述，</w:t>
      </w:r>
      <w:r>
        <w:rPr>
          <w:rFonts w:hint="default" w:ascii="仿宋_GB2312" w:hAnsi="仿宋_GB2312" w:eastAsia="仿宋_GB2312" w:cs="仿宋_GB2312"/>
          <w:bCs/>
          <w:color w:val="auto"/>
          <w:sz w:val="28"/>
          <w:szCs w:val="28"/>
          <w:highlight w:val="none"/>
          <w:lang w:val="en-US" w:eastAsia="zh-CN"/>
        </w:rPr>
        <w:t>本次评估现状利用条件下的出让土地使用权价格是指在正常市场条件下，于估价期日</w:t>
      </w:r>
      <w:r>
        <w:rPr>
          <w:rFonts w:hint="eastAsia" w:ascii="仿宋_GB2312" w:hAnsi="仿宋_GB2312" w:eastAsia="仿宋_GB2312" w:cs="仿宋_GB2312"/>
          <w:bCs/>
          <w:color w:val="auto"/>
          <w:sz w:val="28"/>
          <w:szCs w:val="28"/>
          <w:highlight w:val="none"/>
          <w:lang w:val="en-US" w:eastAsia="zh-CN"/>
        </w:rPr>
        <w:t>2026年2月3日</w:t>
      </w:r>
      <w:r>
        <w:rPr>
          <w:rFonts w:hint="default" w:ascii="仿宋_GB2312" w:hAnsi="仿宋_GB2312" w:eastAsia="仿宋_GB2312" w:cs="仿宋_GB2312"/>
          <w:bCs/>
          <w:color w:val="auto"/>
          <w:sz w:val="28"/>
          <w:szCs w:val="28"/>
          <w:highlight w:val="none"/>
          <w:lang w:val="en-US" w:eastAsia="zh-CN"/>
        </w:rPr>
        <w:t>，在设定土地用途为</w:t>
      </w:r>
      <w:r>
        <w:rPr>
          <w:rFonts w:hint="eastAsia" w:ascii="仿宋_GB2312" w:hAnsi="仿宋_GB2312" w:eastAsia="仿宋_GB2312" w:cs="仿宋_GB2312"/>
          <w:bCs/>
          <w:color w:val="auto"/>
          <w:sz w:val="28"/>
          <w:szCs w:val="28"/>
          <w:highlight w:val="none"/>
          <w:lang w:val="en-US" w:eastAsia="zh-CN"/>
        </w:rPr>
        <w:t>商服用地、</w:t>
      </w:r>
      <w:r>
        <w:rPr>
          <w:rFonts w:hint="eastAsia" w:ascii="仿宋_GB2312" w:hAnsi="仿宋_GB2312" w:eastAsia="仿宋_GB2312" w:cs="仿宋_GB2312"/>
          <w:bCs/>
          <w:color w:val="auto"/>
          <w:sz w:val="28"/>
          <w:szCs w:val="28"/>
          <w:highlight w:val="none"/>
          <w:lang w:val="en-GB" w:eastAsia="zh-CN"/>
        </w:rPr>
        <w:t>住宅用地（</w:t>
      </w:r>
      <w:r>
        <w:rPr>
          <w:rFonts w:hint="eastAsia" w:ascii="仿宋_GB2312" w:hAnsi="仿宋_GB2312" w:eastAsia="仿宋_GB2312" w:cs="仿宋_GB2312"/>
          <w:bCs/>
          <w:color w:val="auto"/>
          <w:sz w:val="28"/>
          <w:szCs w:val="28"/>
          <w:highlight w:val="none"/>
          <w:lang w:val="en-US" w:eastAsia="zh-CN"/>
        </w:rPr>
        <w:t>商住比22.03%：77.97%</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US" w:eastAsia="zh-CN"/>
        </w:rPr>
        <w:t>，设定土地使用年期为</w:t>
      </w:r>
      <w:r>
        <w:rPr>
          <w:rFonts w:hint="eastAsia" w:ascii="仿宋_GB2312" w:hAnsi="仿宋_GB2312" w:eastAsia="仿宋_GB2312" w:cs="仿宋_GB2312"/>
          <w:bCs/>
          <w:color w:val="auto"/>
          <w:sz w:val="28"/>
          <w:szCs w:val="28"/>
          <w:highlight w:val="none"/>
          <w:lang w:val="en-US" w:eastAsia="zh-CN"/>
        </w:rPr>
        <w:t>商服用地40年、住宅</w:t>
      </w:r>
      <w:r>
        <w:rPr>
          <w:rFonts w:hint="default" w:ascii="仿宋_GB2312" w:hAnsi="仿宋_GB2312" w:eastAsia="仿宋_GB2312" w:cs="仿宋_GB2312"/>
          <w:bCs/>
          <w:color w:val="auto"/>
          <w:sz w:val="28"/>
          <w:szCs w:val="28"/>
          <w:highlight w:val="none"/>
          <w:lang w:val="en-US" w:eastAsia="zh-CN"/>
        </w:rPr>
        <w:t>用地</w:t>
      </w:r>
      <w:r>
        <w:rPr>
          <w:rFonts w:hint="eastAsia" w:ascii="仿宋_GB2312" w:hAnsi="仿宋_GB2312" w:eastAsia="仿宋_GB2312" w:cs="仿宋_GB2312"/>
          <w:bCs/>
          <w:color w:val="auto"/>
          <w:sz w:val="28"/>
          <w:szCs w:val="28"/>
          <w:highlight w:val="none"/>
          <w:lang w:val="en-US" w:eastAsia="zh-CN"/>
        </w:rPr>
        <w:t>70年</w:t>
      </w:r>
      <w:r>
        <w:rPr>
          <w:rFonts w:hint="default" w:ascii="仿宋_GB2312" w:hAnsi="仿宋_GB2312" w:eastAsia="仿宋_GB2312" w:cs="仿宋_GB2312"/>
          <w:bCs/>
          <w:color w:val="auto"/>
          <w:sz w:val="28"/>
          <w:szCs w:val="28"/>
          <w:highlight w:val="none"/>
          <w:lang w:val="en-US" w:eastAsia="zh-CN"/>
        </w:rPr>
        <w:t>，设定土地使用权类型为出让，设定</w:t>
      </w:r>
      <w:r>
        <w:rPr>
          <w:rFonts w:hint="eastAsia" w:ascii="仿宋_GB2312" w:hAnsi="仿宋_GB2312" w:eastAsia="仿宋_GB2312" w:cs="仿宋_GB2312"/>
          <w:bCs/>
          <w:color w:val="auto"/>
          <w:sz w:val="28"/>
          <w:szCs w:val="28"/>
          <w:highlight w:val="none"/>
          <w:lang w:val="en-US" w:eastAsia="zh-CN"/>
        </w:rPr>
        <w:t>容积率为4.07</w:t>
      </w:r>
      <w:r>
        <w:rPr>
          <w:rFonts w:hint="default" w:ascii="仿宋_GB2312" w:hAnsi="仿宋_GB2312" w:eastAsia="仿宋_GB2312" w:cs="仿宋_GB2312"/>
          <w:bCs/>
          <w:color w:val="auto"/>
          <w:sz w:val="28"/>
          <w:szCs w:val="28"/>
          <w:highlight w:val="none"/>
          <w:lang w:val="en-US" w:eastAsia="zh-CN"/>
        </w:rPr>
        <w:t>，设定土地开发程度为宗地红线外“</w:t>
      </w:r>
      <w:r>
        <w:rPr>
          <w:rFonts w:hint="eastAsia" w:ascii="仿宋_GB2312" w:hAnsi="仿宋_GB2312" w:eastAsia="仿宋_GB2312" w:cs="仿宋_GB2312"/>
          <w:bCs/>
          <w:color w:val="auto"/>
          <w:sz w:val="28"/>
          <w:szCs w:val="28"/>
          <w:highlight w:val="none"/>
          <w:lang w:val="en-US" w:eastAsia="zh-CN"/>
        </w:rPr>
        <w:t>五</w:t>
      </w:r>
      <w:r>
        <w:rPr>
          <w:rFonts w:hint="default" w:ascii="仿宋_GB2312" w:hAnsi="仿宋_GB2312" w:eastAsia="仿宋_GB2312" w:cs="仿宋_GB2312"/>
          <w:bCs/>
          <w:color w:val="auto"/>
          <w:sz w:val="28"/>
          <w:szCs w:val="28"/>
          <w:highlight w:val="none"/>
          <w:lang w:val="en-US" w:eastAsia="zh-CN"/>
        </w:rPr>
        <w:t>通”（通路、通电、供水、排水、通讯）及红线内场地平整条件下的价格。</w:t>
      </w:r>
    </w:p>
    <w:p w14:paraId="1ADE760A">
      <w:pPr>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br w:type="page"/>
      </w:r>
    </w:p>
    <w:p w14:paraId="5EF160B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七、估价结果</w:t>
      </w:r>
    </w:p>
    <w:p w14:paraId="17D7F51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bookmarkStart w:id="0" w:name="_Hlk46769309"/>
      <w:r>
        <w:rPr>
          <w:rFonts w:hint="eastAsia" w:ascii="仿宋_GB2312" w:hAnsi="仿宋_GB2312" w:eastAsia="仿宋_GB2312" w:cs="仿宋_GB2312"/>
          <w:bCs/>
          <w:color w:val="auto"/>
          <w:sz w:val="28"/>
          <w:szCs w:val="28"/>
          <w:highlight w:val="none"/>
          <w:lang w:val="en-US" w:eastAsia="zh-CN"/>
        </w:rPr>
        <w:t>通道侗族自治</w:t>
      </w:r>
      <w:r>
        <w:rPr>
          <w:rFonts w:hint="eastAsia" w:ascii="仿宋_GB2312" w:hAnsi="仿宋_GB2312" w:eastAsia="仿宋_GB2312" w:cs="仿宋_GB2312"/>
          <w:bCs/>
          <w:color w:val="auto"/>
          <w:sz w:val="28"/>
          <w:szCs w:val="28"/>
          <w:highlight w:val="none"/>
          <w:lang w:val="en-GB" w:eastAsia="zh-CN"/>
        </w:rPr>
        <w:t>县自然资源局委托评估的，位于</w:t>
      </w:r>
      <w:r>
        <w:rPr>
          <w:rFonts w:hint="eastAsia" w:ascii="仿宋_GB2312" w:hAnsi="仿宋_GB2312" w:eastAsia="仿宋_GB2312" w:cs="仿宋_GB2312"/>
          <w:bCs/>
          <w:color w:val="auto"/>
          <w:sz w:val="28"/>
          <w:szCs w:val="28"/>
          <w:highlight w:val="none"/>
          <w:lang w:val="en-US" w:eastAsia="zh-CN"/>
        </w:rPr>
        <w:t>通道县双江镇行政街</w:t>
      </w:r>
      <w:r>
        <w:rPr>
          <w:rFonts w:hint="eastAsia" w:ascii="仿宋_GB2312" w:hAnsi="仿宋_GB2312" w:eastAsia="仿宋_GB2312" w:cs="仿宋_GB2312"/>
          <w:bCs/>
          <w:color w:val="auto"/>
          <w:sz w:val="28"/>
          <w:szCs w:val="28"/>
          <w:highlight w:val="none"/>
          <w:lang w:val="en-GB" w:eastAsia="zh-CN"/>
        </w:rPr>
        <w:t>的一宗国有土地，土地面积为</w:t>
      </w:r>
      <w:r>
        <w:rPr>
          <w:rFonts w:hint="eastAsia" w:ascii="仿宋_GB2312" w:hAnsi="仿宋_GB2312" w:eastAsia="仿宋_GB2312" w:cs="仿宋_GB2312"/>
          <w:bCs/>
          <w:color w:val="auto"/>
          <w:sz w:val="28"/>
          <w:szCs w:val="28"/>
          <w:highlight w:val="none"/>
          <w:lang w:val="en-US" w:eastAsia="zh-CN"/>
        </w:rPr>
        <w:t>183.27平方米</w:t>
      </w:r>
      <w:r>
        <w:rPr>
          <w:rFonts w:hint="eastAsia" w:ascii="仿宋_GB2312" w:hAnsi="仿宋_GB2312" w:eastAsia="仿宋_GB2312" w:cs="仿宋_GB2312"/>
          <w:bCs/>
          <w:color w:val="auto"/>
          <w:sz w:val="28"/>
          <w:szCs w:val="28"/>
          <w:highlight w:val="none"/>
          <w:lang w:val="en-GB" w:eastAsia="zh-CN"/>
        </w:rPr>
        <w:t>，于估价期日2026年2月3日，在设定土地用途为</w:t>
      </w:r>
      <w:r>
        <w:rPr>
          <w:rFonts w:hint="eastAsia" w:ascii="仿宋_GB2312" w:hAnsi="仿宋_GB2312" w:eastAsia="仿宋_GB2312" w:cs="仿宋_GB2312"/>
          <w:bCs/>
          <w:color w:val="auto"/>
          <w:sz w:val="28"/>
          <w:szCs w:val="28"/>
          <w:highlight w:val="none"/>
          <w:lang w:val="en-US" w:eastAsia="zh-CN"/>
        </w:rPr>
        <w:t>商服用地、</w:t>
      </w:r>
      <w:r>
        <w:rPr>
          <w:rFonts w:hint="eastAsia" w:ascii="仿宋_GB2312" w:hAnsi="仿宋_GB2312" w:eastAsia="仿宋_GB2312" w:cs="仿宋_GB2312"/>
          <w:bCs/>
          <w:color w:val="auto"/>
          <w:sz w:val="28"/>
          <w:szCs w:val="28"/>
          <w:highlight w:val="none"/>
          <w:lang w:val="en-GB" w:eastAsia="zh-CN"/>
        </w:rPr>
        <w:t>住宅用地（</w:t>
      </w:r>
      <w:r>
        <w:rPr>
          <w:rFonts w:hint="eastAsia" w:ascii="仿宋_GB2312" w:hAnsi="仿宋_GB2312" w:eastAsia="仿宋_GB2312" w:cs="仿宋_GB2312"/>
          <w:bCs/>
          <w:color w:val="auto"/>
          <w:sz w:val="28"/>
          <w:szCs w:val="28"/>
          <w:highlight w:val="none"/>
          <w:lang w:val="en-US" w:eastAsia="zh-CN"/>
        </w:rPr>
        <w:t>商住比22.03%：77.97%</w:t>
      </w:r>
      <w:r>
        <w:rPr>
          <w:rFonts w:hint="eastAsia" w:ascii="仿宋_GB2312" w:hAnsi="仿宋_GB2312" w:eastAsia="仿宋_GB2312" w:cs="仿宋_GB2312"/>
          <w:bCs/>
          <w:color w:val="auto"/>
          <w:sz w:val="28"/>
          <w:szCs w:val="28"/>
          <w:highlight w:val="none"/>
          <w:lang w:val="en-GB" w:eastAsia="zh-CN"/>
        </w:rPr>
        <w:t>），</w:t>
      </w:r>
      <w:bookmarkStart w:id="1" w:name="_Hlk68686850"/>
      <w:r>
        <w:rPr>
          <w:rFonts w:hint="eastAsia" w:ascii="仿宋_GB2312" w:hAnsi="仿宋_GB2312" w:eastAsia="仿宋_GB2312" w:cs="仿宋_GB2312"/>
          <w:bCs/>
          <w:color w:val="auto"/>
          <w:sz w:val="28"/>
          <w:szCs w:val="28"/>
          <w:highlight w:val="none"/>
          <w:lang w:val="en-GB" w:eastAsia="zh-CN"/>
        </w:rPr>
        <w:t>设定土地使用权类型为出让，</w:t>
      </w:r>
      <w:bookmarkEnd w:id="1"/>
      <w:r>
        <w:rPr>
          <w:rFonts w:hint="eastAsia" w:ascii="仿宋_GB2312" w:hAnsi="仿宋_GB2312" w:eastAsia="仿宋_GB2312" w:cs="仿宋_GB2312"/>
          <w:bCs/>
          <w:color w:val="auto"/>
          <w:sz w:val="28"/>
          <w:szCs w:val="28"/>
          <w:highlight w:val="none"/>
          <w:lang w:val="en-GB" w:eastAsia="zh-CN"/>
        </w:rPr>
        <w:t>设定土地使用年期为</w:t>
      </w:r>
      <w:r>
        <w:rPr>
          <w:rFonts w:hint="eastAsia" w:ascii="仿宋_GB2312" w:hAnsi="仿宋_GB2312" w:eastAsia="仿宋_GB2312" w:cs="仿宋_GB2312"/>
          <w:bCs/>
          <w:color w:val="auto"/>
          <w:sz w:val="28"/>
          <w:szCs w:val="28"/>
          <w:highlight w:val="none"/>
          <w:lang w:val="en-US" w:eastAsia="zh-CN"/>
        </w:rPr>
        <w:t>商服用地40年、住宅用地70年</w:t>
      </w:r>
      <w:r>
        <w:rPr>
          <w:rFonts w:hint="eastAsia" w:ascii="仿宋_GB2312" w:hAnsi="仿宋_GB2312" w:eastAsia="仿宋_GB2312" w:cs="仿宋_GB2312"/>
          <w:bCs/>
          <w:color w:val="auto"/>
          <w:sz w:val="28"/>
          <w:szCs w:val="28"/>
          <w:highlight w:val="none"/>
          <w:lang w:val="en-GB" w:eastAsia="zh-CN"/>
        </w:rPr>
        <w:t>，设定容积率为4.07，设定土地开发程度为宗地红线外“五通”（通路、供水、排水、通电、通讯）及红线内场地平整，现状利用条件下的出让土地使用权价格</w:t>
      </w:r>
      <w:bookmarkEnd w:id="0"/>
      <w:r>
        <w:rPr>
          <w:rFonts w:hint="eastAsia" w:ascii="仿宋_GB2312" w:hAnsi="仿宋_GB2312" w:eastAsia="仿宋_GB2312" w:cs="仿宋_GB2312"/>
          <w:bCs/>
          <w:color w:val="auto"/>
          <w:sz w:val="28"/>
          <w:szCs w:val="28"/>
          <w:highlight w:val="none"/>
          <w:lang w:val="en-GB" w:eastAsia="zh-CN"/>
        </w:rPr>
        <w:t>如下（币种：人民币）：</w:t>
      </w:r>
    </w:p>
    <w:p w14:paraId="00B7E3DC">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土地面积：</w:t>
      </w:r>
      <w:r>
        <w:rPr>
          <w:rFonts w:hint="eastAsia" w:ascii="仿宋_GB2312" w:hAnsi="仿宋_GB2312" w:eastAsia="仿宋_GB2312" w:cs="仿宋_GB2312"/>
          <w:b/>
          <w:bCs w:val="0"/>
          <w:color w:val="auto"/>
          <w:sz w:val="28"/>
          <w:szCs w:val="28"/>
          <w:highlight w:val="none"/>
          <w:lang w:val="en-US" w:eastAsia="zh-CN"/>
        </w:rPr>
        <w:t>183.27平方米</w:t>
      </w:r>
    </w:p>
    <w:p w14:paraId="6B754A8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单位面积地价：</w:t>
      </w:r>
      <w:r>
        <w:rPr>
          <w:rFonts w:hint="eastAsia" w:ascii="仿宋_GB2312" w:hAnsi="仿宋_GB2312" w:eastAsia="仿宋_GB2312" w:cs="仿宋_GB2312"/>
          <w:b/>
          <w:bCs w:val="0"/>
          <w:color w:val="auto"/>
          <w:sz w:val="28"/>
          <w:szCs w:val="28"/>
          <w:highlight w:val="none"/>
          <w:lang w:val="en-US" w:eastAsia="zh-CN"/>
        </w:rPr>
        <w:t>2426</w:t>
      </w:r>
      <w:r>
        <w:rPr>
          <w:rFonts w:hint="eastAsia" w:ascii="仿宋_GB2312" w:hAnsi="仿宋_GB2312" w:eastAsia="仿宋_GB2312" w:cs="仿宋_GB2312"/>
          <w:b/>
          <w:bCs w:val="0"/>
          <w:color w:val="auto"/>
          <w:sz w:val="28"/>
          <w:szCs w:val="28"/>
          <w:highlight w:val="none"/>
          <w:lang w:val="en-GB" w:eastAsia="zh-CN"/>
        </w:rPr>
        <w:t>元/平方米</w:t>
      </w:r>
    </w:p>
    <w:p w14:paraId="6BD90530">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楼面地价：</w:t>
      </w:r>
      <w:r>
        <w:rPr>
          <w:rFonts w:hint="eastAsia" w:ascii="仿宋_GB2312" w:hAnsi="仿宋_GB2312" w:eastAsia="仿宋_GB2312" w:cs="仿宋_GB2312"/>
          <w:b/>
          <w:bCs w:val="0"/>
          <w:color w:val="auto"/>
          <w:sz w:val="28"/>
          <w:szCs w:val="28"/>
          <w:highlight w:val="none"/>
          <w:lang w:val="en-US" w:eastAsia="zh-CN"/>
        </w:rPr>
        <w:t>596.1</w:t>
      </w:r>
      <w:r>
        <w:rPr>
          <w:rFonts w:hint="eastAsia" w:ascii="仿宋_GB2312" w:hAnsi="仿宋_GB2312" w:eastAsia="仿宋_GB2312" w:cs="仿宋_GB2312"/>
          <w:b/>
          <w:bCs w:val="0"/>
          <w:color w:val="auto"/>
          <w:sz w:val="28"/>
          <w:szCs w:val="28"/>
          <w:highlight w:val="none"/>
          <w:lang w:val="en-GB" w:eastAsia="zh-CN"/>
        </w:rPr>
        <w:t>元/平方米</w:t>
      </w:r>
    </w:p>
    <w:p w14:paraId="5040D7C9">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总 地 价：</w:t>
      </w:r>
      <w:r>
        <w:rPr>
          <w:rFonts w:hint="eastAsia" w:ascii="仿宋_GB2312" w:hAnsi="仿宋_GB2312" w:eastAsia="仿宋_GB2312" w:cs="仿宋_GB2312"/>
          <w:b/>
          <w:bCs w:val="0"/>
          <w:color w:val="auto"/>
          <w:sz w:val="28"/>
          <w:szCs w:val="28"/>
          <w:highlight w:val="none"/>
          <w:lang w:val="en-US" w:eastAsia="zh-CN"/>
        </w:rPr>
        <w:t>44.46</w:t>
      </w:r>
      <w:r>
        <w:rPr>
          <w:rFonts w:hint="eastAsia" w:ascii="仿宋_GB2312" w:hAnsi="仿宋_GB2312" w:eastAsia="仿宋_GB2312" w:cs="仿宋_GB2312"/>
          <w:b/>
          <w:bCs w:val="0"/>
          <w:color w:val="auto"/>
          <w:sz w:val="28"/>
          <w:szCs w:val="28"/>
          <w:highlight w:val="none"/>
          <w:lang w:val="en-GB" w:eastAsia="zh-CN"/>
        </w:rPr>
        <w:t>万元</w:t>
      </w:r>
    </w:p>
    <w:p w14:paraId="0B6D7F66">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大    写：</w:t>
      </w:r>
      <w:r>
        <w:rPr>
          <w:rFonts w:hint="eastAsia" w:ascii="仿宋_GB2312" w:hAnsi="仿宋_GB2312" w:eastAsia="仿宋_GB2312" w:cs="仿宋_GB2312"/>
          <w:b/>
          <w:bCs w:val="0"/>
          <w:color w:val="auto"/>
          <w:sz w:val="28"/>
          <w:szCs w:val="28"/>
          <w:highlight w:val="none"/>
          <w:lang w:val="en-US" w:eastAsia="zh-CN"/>
        </w:rPr>
        <w:t>肆拾肆万肆仟陆佰</w:t>
      </w:r>
      <w:r>
        <w:rPr>
          <w:rFonts w:hint="eastAsia" w:ascii="仿宋_GB2312" w:hAnsi="仿宋_GB2312" w:eastAsia="仿宋_GB2312" w:cs="仿宋_GB2312"/>
          <w:b/>
          <w:bCs w:val="0"/>
          <w:color w:val="auto"/>
          <w:sz w:val="28"/>
          <w:szCs w:val="28"/>
          <w:highlight w:val="none"/>
          <w:lang w:val="en-GB" w:eastAsia="zh-CN"/>
        </w:rPr>
        <w:t>元整</w:t>
      </w:r>
    </w:p>
    <w:p w14:paraId="18F47EA3">
      <w:pPr>
        <w:spacing w:line="480" w:lineRule="exact"/>
        <w:ind w:firstLine="562" w:firstLineChars="200"/>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其中：</w:t>
      </w:r>
    </w:p>
    <w:p w14:paraId="40597B51">
      <w:pPr>
        <w:overflowPunct w:val="0"/>
        <w:autoSpaceDE w:val="0"/>
        <w:autoSpaceDN w:val="0"/>
        <w:snapToGrid w:val="0"/>
        <w:spacing w:line="460" w:lineRule="exact"/>
        <w:ind w:firstLine="562" w:firstLineChars="200"/>
        <w:rPr>
          <w:rFonts w:hint="eastAsia" w:ascii="仿宋" w:hAnsi="仿宋" w:eastAsia="仿宋"/>
          <w:b/>
          <w:bCs/>
          <w:sz w:val="28"/>
          <w:szCs w:val="28"/>
          <w:highlight w:val="none"/>
        </w:rPr>
      </w:pPr>
      <w:r>
        <w:rPr>
          <w:rFonts w:hint="eastAsia" w:ascii="仿宋" w:hAnsi="仿宋" w:eastAsia="仿宋"/>
          <w:b/>
          <w:bCs/>
          <w:sz w:val="28"/>
          <w:szCs w:val="28"/>
          <w:highlight w:val="none"/>
        </w:rPr>
        <w:t>商服用地面积</w:t>
      </w:r>
      <w:r>
        <w:rPr>
          <w:rFonts w:hint="eastAsia" w:ascii="仿宋" w:hAnsi="仿宋" w:eastAsia="仿宋"/>
          <w:b/>
          <w:bCs/>
          <w:sz w:val="28"/>
          <w:szCs w:val="28"/>
          <w:highlight w:val="none"/>
          <w:lang w:val="en-US" w:eastAsia="zh-CN"/>
        </w:rPr>
        <w:t>:40.38</w:t>
      </w:r>
      <w:r>
        <w:rPr>
          <w:rFonts w:hint="eastAsia" w:ascii="仿宋" w:hAnsi="仿宋" w:eastAsia="仿宋"/>
          <w:b/>
          <w:bCs/>
          <w:sz w:val="28"/>
          <w:szCs w:val="28"/>
          <w:highlight w:val="none"/>
        </w:rPr>
        <w:t>平方米</w:t>
      </w:r>
    </w:p>
    <w:p w14:paraId="0DE9EE25">
      <w:pPr>
        <w:overflowPunct w:val="0"/>
        <w:autoSpaceDE w:val="0"/>
        <w:autoSpaceDN w:val="0"/>
        <w:snapToGrid w:val="0"/>
        <w:spacing w:line="460" w:lineRule="exact"/>
        <w:ind w:firstLine="562" w:firstLineChars="200"/>
        <w:rPr>
          <w:rFonts w:hint="eastAsia" w:ascii="仿宋" w:hAnsi="仿宋" w:eastAsia="仿宋"/>
          <w:b/>
          <w:bCs/>
          <w:sz w:val="28"/>
          <w:szCs w:val="28"/>
          <w:highlight w:val="none"/>
        </w:rPr>
      </w:pPr>
      <w:r>
        <w:rPr>
          <w:rFonts w:hint="eastAsia" w:ascii="仿宋" w:hAnsi="仿宋" w:eastAsia="仿宋"/>
          <w:b/>
          <w:bCs/>
          <w:sz w:val="28"/>
          <w:szCs w:val="28"/>
          <w:highlight w:val="none"/>
        </w:rPr>
        <w:t>商服用地</w:t>
      </w:r>
      <w:r>
        <w:rPr>
          <w:rFonts w:hint="eastAsia" w:ascii="仿宋" w:hAnsi="仿宋" w:eastAsia="仿宋"/>
          <w:b/>
          <w:bCs/>
          <w:sz w:val="28"/>
          <w:szCs w:val="28"/>
          <w:highlight w:val="none"/>
          <w:lang w:val="en-US" w:eastAsia="zh-CN"/>
        </w:rPr>
        <w:t>单</w:t>
      </w:r>
      <w:r>
        <w:rPr>
          <w:rFonts w:hint="eastAsia" w:ascii="仿宋" w:hAnsi="仿宋" w:eastAsia="仿宋"/>
          <w:b/>
          <w:bCs/>
          <w:sz w:val="28"/>
          <w:szCs w:val="28"/>
          <w:highlight w:val="none"/>
        </w:rPr>
        <w:t>价</w:t>
      </w:r>
      <w:r>
        <w:rPr>
          <w:rFonts w:hint="eastAsia" w:ascii="仿宋" w:hAnsi="仿宋" w:eastAsia="仿宋"/>
          <w:b/>
          <w:bCs/>
          <w:sz w:val="28"/>
          <w:szCs w:val="28"/>
          <w:highlight w:val="none"/>
          <w:lang w:val="en-US" w:eastAsia="zh-CN"/>
        </w:rPr>
        <w:t>:6636.00元</w:t>
      </w:r>
      <w:r>
        <w:rPr>
          <w:rFonts w:hint="eastAsia" w:ascii="仿宋" w:hAnsi="仿宋" w:eastAsia="仿宋"/>
          <w:b/>
          <w:bCs/>
          <w:sz w:val="28"/>
          <w:szCs w:val="28"/>
          <w:highlight w:val="none"/>
        </w:rPr>
        <w:t>/平方米</w:t>
      </w:r>
    </w:p>
    <w:p w14:paraId="0240DFD9">
      <w:pPr>
        <w:overflowPunct w:val="0"/>
        <w:autoSpaceDE w:val="0"/>
        <w:autoSpaceDN w:val="0"/>
        <w:snapToGrid w:val="0"/>
        <w:spacing w:line="460" w:lineRule="exact"/>
        <w:ind w:firstLine="562" w:firstLineChars="200"/>
        <w:rPr>
          <w:rFonts w:hint="eastAsia" w:ascii="仿宋" w:hAnsi="仿宋" w:eastAsia="仿宋"/>
          <w:b/>
          <w:bCs/>
          <w:sz w:val="28"/>
          <w:szCs w:val="28"/>
          <w:highlight w:val="none"/>
        </w:rPr>
      </w:pPr>
      <w:r>
        <w:rPr>
          <w:rFonts w:hint="eastAsia" w:ascii="仿宋" w:hAnsi="仿宋" w:eastAsia="仿宋"/>
          <w:b/>
          <w:bCs/>
          <w:sz w:val="28"/>
          <w:szCs w:val="28"/>
          <w:highlight w:val="none"/>
        </w:rPr>
        <w:t>商服用地楼面地价</w:t>
      </w:r>
      <w:r>
        <w:rPr>
          <w:rFonts w:hint="eastAsia" w:ascii="仿宋" w:hAnsi="仿宋" w:eastAsia="仿宋"/>
          <w:b/>
          <w:bCs/>
          <w:sz w:val="28"/>
          <w:szCs w:val="28"/>
          <w:highlight w:val="none"/>
          <w:lang w:val="en-US" w:eastAsia="zh-CN"/>
        </w:rPr>
        <w:t>:1630.5</w:t>
      </w:r>
      <w:r>
        <w:rPr>
          <w:rFonts w:hint="eastAsia" w:ascii="仿宋" w:hAnsi="仿宋" w:eastAsia="仿宋"/>
          <w:b/>
          <w:bCs/>
          <w:sz w:val="28"/>
          <w:szCs w:val="28"/>
          <w:highlight w:val="none"/>
        </w:rPr>
        <w:t>元/平方米</w:t>
      </w:r>
    </w:p>
    <w:p w14:paraId="00EDEB79">
      <w:pPr>
        <w:overflowPunct w:val="0"/>
        <w:autoSpaceDE w:val="0"/>
        <w:autoSpaceDN w:val="0"/>
        <w:snapToGrid w:val="0"/>
        <w:spacing w:line="460" w:lineRule="exact"/>
        <w:ind w:firstLine="562" w:firstLineChars="200"/>
        <w:rPr>
          <w:rFonts w:hint="eastAsia" w:ascii="仿宋" w:hAnsi="仿宋" w:eastAsia="仿宋"/>
          <w:b/>
          <w:bCs/>
          <w:sz w:val="28"/>
          <w:szCs w:val="28"/>
          <w:highlight w:val="none"/>
        </w:rPr>
      </w:pPr>
      <w:r>
        <w:rPr>
          <w:rFonts w:hint="eastAsia" w:ascii="仿宋" w:hAnsi="仿宋" w:eastAsia="仿宋"/>
          <w:b/>
          <w:bCs/>
          <w:sz w:val="28"/>
          <w:szCs w:val="28"/>
          <w:highlight w:val="none"/>
        </w:rPr>
        <w:t>商服用地总价</w:t>
      </w:r>
      <w:r>
        <w:rPr>
          <w:rFonts w:hint="eastAsia" w:ascii="仿宋" w:hAnsi="仿宋" w:eastAsia="仿宋"/>
          <w:b/>
          <w:bCs/>
          <w:sz w:val="28"/>
          <w:szCs w:val="28"/>
          <w:highlight w:val="none"/>
          <w:lang w:val="en-US" w:eastAsia="zh-CN"/>
        </w:rPr>
        <w:t>:26.8</w:t>
      </w:r>
      <w:r>
        <w:rPr>
          <w:rFonts w:hint="eastAsia" w:ascii="仿宋" w:hAnsi="仿宋" w:eastAsia="仿宋"/>
          <w:b/>
          <w:bCs/>
          <w:sz w:val="28"/>
          <w:szCs w:val="28"/>
          <w:highlight w:val="none"/>
        </w:rPr>
        <w:t>万元</w:t>
      </w:r>
    </w:p>
    <w:p w14:paraId="5C54921F">
      <w:pPr>
        <w:overflowPunct w:val="0"/>
        <w:autoSpaceDE w:val="0"/>
        <w:autoSpaceDN w:val="0"/>
        <w:snapToGrid w:val="0"/>
        <w:spacing w:line="460" w:lineRule="exact"/>
        <w:ind w:firstLine="562" w:firstLineChars="200"/>
        <w:rPr>
          <w:rFonts w:hint="eastAsia" w:ascii="仿宋" w:hAnsi="仿宋" w:eastAsia="仿宋"/>
          <w:b/>
          <w:bCs/>
          <w:snapToGrid w:val="0"/>
          <w:kern w:val="0"/>
          <w:sz w:val="28"/>
          <w:szCs w:val="28"/>
          <w:highlight w:val="none"/>
        </w:rPr>
      </w:pPr>
      <w:r>
        <w:rPr>
          <w:rFonts w:hint="eastAsia" w:ascii="仿宋" w:hAnsi="仿宋" w:eastAsia="仿宋"/>
          <w:b/>
          <w:bCs/>
          <w:snapToGrid w:val="0"/>
          <w:kern w:val="0"/>
          <w:sz w:val="28"/>
          <w:szCs w:val="28"/>
          <w:highlight w:val="none"/>
        </w:rPr>
        <w:t>住宅用地面积</w:t>
      </w:r>
      <w:r>
        <w:rPr>
          <w:rFonts w:hint="eastAsia" w:ascii="仿宋" w:hAnsi="仿宋" w:eastAsia="仿宋"/>
          <w:b/>
          <w:bCs/>
          <w:snapToGrid w:val="0"/>
          <w:kern w:val="0"/>
          <w:sz w:val="28"/>
          <w:szCs w:val="28"/>
          <w:highlight w:val="none"/>
          <w:lang w:val="en-US" w:eastAsia="zh-CN"/>
        </w:rPr>
        <w:t>:142.89</w:t>
      </w:r>
      <w:r>
        <w:rPr>
          <w:rFonts w:hint="eastAsia" w:ascii="仿宋" w:hAnsi="仿宋" w:eastAsia="仿宋"/>
          <w:b/>
          <w:bCs/>
          <w:snapToGrid w:val="0"/>
          <w:kern w:val="0"/>
          <w:sz w:val="28"/>
          <w:szCs w:val="28"/>
          <w:highlight w:val="none"/>
        </w:rPr>
        <w:t>平方米</w:t>
      </w:r>
    </w:p>
    <w:p w14:paraId="5A9AD881">
      <w:pPr>
        <w:overflowPunct w:val="0"/>
        <w:autoSpaceDE w:val="0"/>
        <w:autoSpaceDN w:val="0"/>
        <w:snapToGrid w:val="0"/>
        <w:spacing w:line="460" w:lineRule="exact"/>
        <w:ind w:firstLine="562" w:firstLineChars="200"/>
        <w:rPr>
          <w:rFonts w:hint="eastAsia" w:ascii="仿宋" w:hAnsi="仿宋" w:eastAsia="仿宋"/>
          <w:b/>
          <w:bCs/>
          <w:snapToGrid w:val="0"/>
          <w:kern w:val="0"/>
          <w:sz w:val="28"/>
          <w:szCs w:val="28"/>
          <w:highlight w:val="none"/>
        </w:rPr>
      </w:pPr>
      <w:r>
        <w:rPr>
          <w:rFonts w:hint="eastAsia" w:ascii="仿宋" w:hAnsi="仿宋" w:eastAsia="仿宋"/>
          <w:b/>
          <w:bCs/>
          <w:snapToGrid w:val="0"/>
          <w:kern w:val="0"/>
          <w:sz w:val="28"/>
          <w:szCs w:val="28"/>
          <w:highlight w:val="none"/>
        </w:rPr>
        <w:t>住宅用地单价</w:t>
      </w:r>
      <w:r>
        <w:rPr>
          <w:rFonts w:hint="eastAsia" w:ascii="仿宋" w:hAnsi="仿宋" w:eastAsia="仿宋"/>
          <w:b/>
          <w:bCs/>
          <w:snapToGrid w:val="0"/>
          <w:kern w:val="0"/>
          <w:sz w:val="28"/>
          <w:szCs w:val="28"/>
          <w:highlight w:val="none"/>
          <w:lang w:val="en-US" w:eastAsia="zh-CN"/>
        </w:rPr>
        <w:t>:1236.00</w:t>
      </w:r>
      <w:r>
        <w:rPr>
          <w:rFonts w:hint="eastAsia" w:ascii="仿宋" w:hAnsi="仿宋" w:eastAsia="仿宋"/>
          <w:b/>
          <w:bCs/>
          <w:snapToGrid w:val="0"/>
          <w:kern w:val="0"/>
          <w:sz w:val="28"/>
          <w:szCs w:val="28"/>
          <w:highlight w:val="none"/>
        </w:rPr>
        <w:t>元/平方米</w:t>
      </w:r>
    </w:p>
    <w:p w14:paraId="19A04A19">
      <w:pPr>
        <w:overflowPunct w:val="0"/>
        <w:autoSpaceDE w:val="0"/>
        <w:autoSpaceDN w:val="0"/>
        <w:snapToGrid w:val="0"/>
        <w:spacing w:line="460" w:lineRule="exact"/>
        <w:ind w:firstLine="562" w:firstLineChars="200"/>
        <w:rPr>
          <w:rFonts w:hint="eastAsia" w:ascii="仿宋" w:hAnsi="仿宋" w:eastAsia="仿宋"/>
          <w:b/>
          <w:bCs/>
          <w:snapToGrid w:val="0"/>
          <w:kern w:val="0"/>
          <w:sz w:val="28"/>
          <w:szCs w:val="28"/>
          <w:highlight w:val="none"/>
        </w:rPr>
      </w:pPr>
      <w:r>
        <w:rPr>
          <w:rFonts w:hint="eastAsia" w:ascii="仿宋" w:hAnsi="仿宋" w:eastAsia="仿宋"/>
          <w:b/>
          <w:bCs/>
          <w:snapToGrid w:val="0"/>
          <w:kern w:val="0"/>
          <w:sz w:val="28"/>
          <w:szCs w:val="28"/>
          <w:highlight w:val="none"/>
        </w:rPr>
        <w:t>住宅用地楼面地价</w:t>
      </w:r>
      <w:r>
        <w:rPr>
          <w:rFonts w:hint="eastAsia" w:ascii="仿宋" w:hAnsi="仿宋" w:eastAsia="仿宋"/>
          <w:b/>
          <w:bCs/>
          <w:snapToGrid w:val="0"/>
          <w:kern w:val="0"/>
          <w:sz w:val="28"/>
          <w:szCs w:val="28"/>
          <w:highlight w:val="none"/>
          <w:lang w:val="en-US" w:eastAsia="zh-CN"/>
        </w:rPr>
        <w:t>:303.7</w:t>
      </w:r>
      <w:r>
        <w:rPr>
          <w:rFonts w:hint="eastAsia" w:ascii="仿宋" w:hAnsi="仿宋" w:eastAsia="仿宋"/>
          <w:b/>
          <w:bCs/>
          <w:snapToGrid w:val="0"/>
          <w:kern w:val="0"/>
          <w:sz w:val="28"/>
          <w:szCs w:val="28"/>
          <w:highlight w:val="none"/>
        </w:rPr>
        <w:t>元/平方米</w:t>
      </w:r>
    </w:p>
    <w:p w14:paraId="29D94A14">
      <w:pPr>
        <w:overflowPunct w:val="0"/>
        <w:autoSpaceDE w:val="0"/>
        <w:autoSpaceDN w:val="0"/>
        <w:snapToGrid w:val="0"/>
        <w:spacing w:line="460" w:lineRule="exact"/>
        <w:ind w:firstLine="562" w:firstLineChars="200"/>
        <w:rPr>
          <w:rFonts w:hint="eastAsia" w:eastAsia="仿宋_GB2312"/>
          <w:highlight w:val="none"/>
          <w:lang w:val="en-US" w:eastAsia="zh-CN"/>
        </w:rPr>
      </w:pPr>
      <w:r>
        <w:rPr>
          <w:rFonts w:hint="eastAsia" w:ascii="仿宋" w:hAnsi="仿宋" w:eastAsia="仿宋"/>
          <w:b/>
          <w:bCs/>
          <w:snapToGrid w:val="0"/>
          <w:kern w:val="0"/>
          <w:sz w:val="28"/>
          <w:szCs w:val="28"/>
          <w:highlight w:val="none"/>
        </w:rPr>
        <w:t>住宅用地总价</w:t>
      </w:r>
      <w:r>
        <w:rPr>
          <w:rFonts w:hint="eastAsia" w:ascii="仿宋" w:hAnsi="仿宋" w:eastAsia="仿宋"/>
          <w:b/>
          <w:bCs/>
          <w:snapToGrid w:val="0"/>
          <w:kern w:val="0"/>
          <w:sz w:val="28"/>
          <w:szCs w:val="28"/>
          <w:highlight w:val="none"/>
          <w:lang w:val="en-US" w:eastAsia="zh-CN"/>
        </w:rPr>
        <w:t>:17.66</w:t>
      </w:r>
      <w:r>
        <w:rPr>
          <w:rFonts w:hint="eastAsia" w:ascii="仿宋" w:hAnsi="仿宋" w:eastAsia="仿宋"/>
          <w:b/>
          <w:bCs/>
          <w:snapToGrid w:val="0"/>
          <w:kern w:val="0"/>
          <w:sz w:val="28"/>
          <w:szCs w:val="28"/>
          <w:highlight w:val="none"/>
        </w:rPr>
        <w:t>万</w:t>
      </w:r>
      <w:r>
        <w:rPr>
          <w:rFonts w:hint="eastAsia" w:ascii="仿宋" w:hAnsi="仿宋" w:eastAsia="仿宋"/>
          <w:b/>
          <w:bCs/>
          <w:sz w:val="28"/>
          <w:szCs w:val="28"/>
          <w:highlight w:val="none"/>
        </w:rPr>
        <w:t>元</w:t>
      </w:r>
    </w:p>
    <w:p w14:paraId="61408857">
      <w:pPr>
        <w:keepNext w:val="0"/>
        <w:keepLines w:val="0"/>
        <w:pageBreakBefore w:val="0"/>
        <w:widowControl w:val="0"/>
        <w:tabs>
          <w:tab w:val="left" w:pos="5400"/>
        </w:tabs>
        <w:kinsoku/>
        <w:wordWrap/>
        <w:overflowPunct/>
        <w:topLinePunct w:val="0"/>
        <w:autoSpaceDE/>
        <w:autoSpaceDN/>
        <w:bidi w:val="0"/>
        <w:spacing w:line="480" w:lineRule="exact"/>
        <w:ind w:left="420" w:leftChars="200" w:firstLine="141" w:firstLineChars="50"/>
        <w:textAlignment w:val="auto"/>
        <w:rPr>
          <w:rFonts w:hint="eastAsia" w:ascii="仿宋_GB2312" w:eastAsia="仿宋_GB2312"/>
          <w:b/>
          <w:bCs/>
          <w:color w:val="000000"/>
          <w:sz w:val="28"/>
          <w:szCs w:val="28"/>
          <w:highlight w:val="none"/>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详见《土地估价结果一览表》</w:t>
      </w:r>
      <w:r>
        <w:rPr>
          <w:rFonts w:hint="eastAsia" w:ascii="仿宋_GB2312" w:eastAsia="仿宋_GB2312"/>
          <w:b/>
          <w:bCs/>
          <w:color w:val="000000"/>
          <w:sz w:val="28"/>
          <w:szCs w:val="28"/>
          <w:highlight w:val="none"/>
        </w:rPr>
        <w:t>。</w:t>
      </w:r>
    </w:p>
    <w:p w14:paraId="2CE077D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底价建议：根据《国土资源部办公厅关于印发&lt;国有建设用地使用权出让地价评估技术规范&gt;的通知》（国土资厅发[2018]4号），“协议出让评估需在土地估价报告中测算并对比说明该建议出让底价是否符合当地的协议出让最低价标准。当地未公布协议出让最低价标准的，按拟出让土地所在级别基准地价的70％测算对比”，故与《通道侗族自治县人民政府关于更新城镇基准地价标准和等级的通知》（通政发〔2026〕1号，2026年1月6日）的估价对象所在级别基准地价的70％进行测算和对比，估价对象属于通道县商业服务业用地二级、居住用地二级基准地价范围，其商业服务业用地级别楼面地价1040元/平方米，则测算协议最低价标准728元/平方米，居住用地级别楼面地价355元/平方米，则测算协议最低价标准248.5元/平方米，本次评估结果高于拟出让土地所在级别基准地价的70％。</w:t>
      </w:r>
    </w:p>
    <w:p w14:paraId="5546737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cs="仿宋_GB2312"/>
          <w:b/>
          <w:bCs w:val="0"/>
          <w:color w:val="auto"/>
          <w:kern w:val="2"/>
          <w:sz w:val="28"/>
          <w:szCs w:val="28"/>
          <w:highlight w:val="none"/>
          <w:lang w:val="en-US" w:eastAsia="zh-CN" w:bidi="ar-SA"/>
        </w:rPr>
      </w:pPr>
      <w:r>
        <w:rPr>
          <w:rFonts w:hint="eastAsia" w:ascii="仿宋_GB2312" w:hAnsi="仿宋_GB2312" w:eastAsia="仿宋_GB2312" w:cs="仿宋_GB2312"/>
          <w:bCs/>
          <w:color w:val="auto"/>
          <w:sz w:val="28"/>
          <w:szCs w:val="28"/>
          <w:highlight w:val="none"/>
          <w:lang w:val="en-US" w:eastAsia="zh-CN"/>
        </w:rPr>
        <w:t>综合分析，评估结果符合宗地所在区域地价水平，且高于协议出让最低价标准，建议确定土地出让价格时以此价格作为参考。</w:t>
      </w:r>
      <w:r>
        <w:rPr>
          <w:rFonts w:hint="eastAsia" w:cs="仿宋_GB2312"/>
          <w:b/>
          <w:bCs w:val="0"/>
          <w:color w:val="auto"/>
          <w:kern w:val="2"/>
          <w:sz w:val="28"/>
          <w:szCs w:val="28"/>
          <w:highlight w:val="none"/>
          <w:lang w:val="en-US" w:eastAsia="zh-CN" w:bidi="ar-SA"/>
        </w:rPr>
        <w:br w:type="page"/>
      </w:r>
    </w:p>
    <w:p w14:paraId="51D26560">
      <w:pPr>
        <w:pStyle w:val="6"/>
        <w:keepLines w:val="0"/>
        <w:pageBreakBefore w:val="0"/>
        <w:widowControl w:val="0"/>
        <w:kinsoku/>
        <w:wordWrap/>
        <w:overflowPunct/>
        <w:topLinePunct w:val="0"/>
        <w:autoSpaceDE/>
        <w:autoSpaceDN/>
        <w:bidi w:val="0"/>
        <w:spacing w:line="480" w:lineRule="exact"/>
        <w:ind w:left="0" w:right="0" w:firstLine="562" w:firstLineChars="200"/>
        <w:jc w:val="left"/>
        <w:textAlignment w:val="auto"/>
        <w:rPr>
          <w:rFonts w:hint="default" w:ascii="仿宋_GB2312" w:hAnsi="仿宋_GB2312" w:eastAsia="仿宋_GB2312" w:cs="仿宋_GB2312"/>
          <w:bCs/>
          <w:color w:val="auto"/>
          <w:kern w:val="2"/>
          <w:sz w:val="28"/>
          <w:szCs w:val="28"/>
          <w:highlight w:val="none"/>
          <w:lang w:val="en-GB" w:eastAsia="zh-CN" w:bidi="ar-SA"/>
        </w:rPr>
      </w:pPr>
      <w:r>
        <w:rPr>
          <w:rFonts w:hint="eastAsia" w:cs="仿宋_GB2312"/>
          <w:b/>
          <w:bCs w:val="0"/>
          <w:color w:val="auto"/>
          <w:kern w:val="2"/>
          <w:sz w:val="28"/>
          <w:szCs w:val="28"/>
          <w:highlight w:val="none"/>
          <w:lang w:val="en-US" w:eastAsia="zh-CN" w:bidi="ar-SA"/>
        </w:rPr>
        <w:t>八</w:t>
      </w:r>
      <w:r>
        <w:rPr>
          <w:rFonts w:hint="default" w:ascii="仿宋_GB2312" w:hAnsi="仿宋_GB2312" w:eastAsia="仿宋_GB2312" w:cs="仿宋_GB2312"/>
          <w:b/>
          <w:bCs w:val="0"/>
          <w:color w:val="auto"/>
          <w:kern w:val="2"/>
          <w:sz w:val="28"/>
          <w:szCs w:val="28"/>
          <w:highlight w:val="none"/>
          <w:lang w:val="en-GB" w:eastAsia="zh-CN" w:bidi="ar-SA"/>
        </w:rPr>
        <w:t>、土地估价师签字</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671F2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1641" w:type="pct"/>
            <w:tcBorders>
              <w:tl2br w:val="nil"/>
              <w:tr2bl w:val="nil"/>
            </w:tcBorders>
            <w:vAlign w:val="center"/>
          </w:tcPr>
          <w:p w14:paraId="29BA3D60">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估价师姓名</w:t>
            </w:r>
          </w:p>
        </w:tc>
        <w:tc>
          <w:tcPr>
            <w:tcW w:w="1716" w:type="pct"/>
            <w:tcBorders>
              <w:tl2br w:val="nil"/>
              <w:tr2bl w:val="nil"/>
            </w:tcBorders>
            <w:vAlign w:val="center"/>
          </w:tcPr>
          <w:p w14:paraId="00530503">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土地估价师资格证号</w:t>
            </w:r>
          </w:p>
        </w:tc>
        <w:tc>
          <w:tcPr>
            <w:tcW w:w="1642" w:type="pct"/>
            <w:tcBorders>
              <w:tl2br w:val="nil"/>
              <w:tr2bl w:val="nil"/>
            </w:tcBorders>
            <w:vAlign w:val="center"/>
          </w:tcPr>
          <w:p w14:paraId="75BDF0C0">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签    字</w:t>
            </w:r>
          </w:p>
        </w:tc>
      </w:tr>
      <w:tr w14:paraId="65A10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1641" w:type="pct"/>
            <w:tcBorders>
              <w:tl2br w:val="nil"/>
              <w:tr2bl w:val="nil"/>
            </w:tcBorders>
            <w:vAlign w:val="center"/>
          </w:tcPr>
          <w:p w14:paraId="0D7C2204">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sz w:val="28"/>
                <w:szCs w:val="18"/>
                <w:highlight w:val="none"/>
                <w:lang w:val="en-US" w:eastAsia="zh-CN"/>
              </w:rPr>
            </w:pPr>
            <w:r>
              <w:rPr>
                <w:rFonts w:hint="eastAsia" w:ascii="仿宋_GB2312" w:hAnsi="仿宋_GB2312" w:eastAsia="仿宋_GB2312" w:cs="仿宋_GB2312"/>
                <w:sz w:val="28"/>
                <w:szCs w:val="18"/>
                <w:highlight w:val="none"/>
                <w:lang w:val="en-US" w:eastAsia="zh-CN"/>
              </w:rPr>
              <w:t>谢良元</w:t>
            </w:r>
          </w:p>
        </w:tc>
        <w:tc>
          <w:tcPr>
            <w:tcW w:w="1716" w:type="pct"/>
            <w:tcBorders>
              <w:tl2br w:val="nil"/>
              <w:tr2bl w:val="nil"/>
            </w:tcBorders>
            <w:vAlign w:val="center"/>
          </w:tcPr>
          <w:p w14:paraId="57976F1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sz w:val="28"/>
                <w:szCs w:val="18"/>
                <w:highlight w:val="none"/>
                <w:lang w:eastAsia="zh-CN"/>
              </w:rPr>
            </w:pPr>
            <w:r>
              <w:rPr>
                <w:rFonts w:hint="eastAsia" w:ascii="仿宋_GB2312" w:hAnsi="仿宋_GB2312" w:eastAsia="仿宋_GB2312" w:cs="仿宋_GB2312"/>
                <w:sz w:val="28"/>
                <w:szCs w:val="18"/>
                <w:highlight w:val="none"/>
                <w:lang w:val="en-US" w:eastAsia="zh-CN"/>
              </w:rPr>
              <w:t>2019430003</w:t>
            </w:r>
          </w:p>
        </w:tc>
        <w:tc>
          <w:tcPr>
            <w:tcW w:w="1642" w:type="pct"/>
            <w:tcBorders>
              <w:tl2br w:val="nil"/>
              <w:tr2bl w:val="nil"/>
            </w:tcBorders>
          </w:tcPr>
          <w:p w14:paraId="50C186C9">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p>
        </w:tc>
      </w:tr>
      <w:tr w14:paraId="5BF1B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1641" w:type="pct"/>
            <w:tcBorders>
              <w:tl2br w:val="nil"/>
              <w:tr2bl w:val="nil"/>
            </w:tcBorders>
            <w:vAlign w:val="center"/>
          </w:tcPr>
          <w:p w14:paraId="24DAFAA8">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sz w:val="28"/>
                <w:szCs w:val="18"/>
                <w:highlight w:val="none"/>
                <w:lang w:val="en-US" w:eastAsia="zh-CN"/>
              </w:rPr>
            </w:pPr>
            <w:r>
              <w:rPr>
                <w:rFonts w:hint="eastAsia" w:ascii="仿宋_GB2312" w:hAnsi="仿宋_GB2312" w:eastAsia="仿宋_GB2312" w:cs="仿宋_GB2312"/>
                <w:sz w:val="28"/>
                <w:szCs w:val="18"/>
                <w:highlight w:val="none"/>
                <w:lang w:val="en-US" w:eastAsia="zh-CN"/>
              </w:rPr>
              <w:t>彭翀</w:t>
            </w:r>
          </w:p>
        </w:tc>
        <w:tc>
          <w:tcPr>
            <w:tcW w:w="1716" w:type="pct"/>
            <w:tcBorders>
              <w:tl2br w:val="nil"/>
              <w:tr2bl w:val="nil"/>
            </w:tcBorders>
            <w:vAlign w:val="center"/>
          </w:tcPr>
          <w:p w14:paraId="5EEEC8D7">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sz w:val="28"/>
                <w:szCs w:val="18"/>
                <w:highlight w:val="none"/>
                <w:lang w:eastAsia="zh-CN"/>
              </w:rPr>
            </w:pPr>
            <w:r>
              <w:rPr>
                <w:rFonts w:hint="eastAsia" w:ascii="仿宋_GB2312" w:hAnsi="仿宋_GB2312" w:eastAsia="仿宋_GB2312" w:cs="仿宋_GB2312"/>
                <w:sz w:val="28"/>
                <w:szCs w:val="18"/>
                <w:highlight w:val="none"/>
                <w:lang w:val="en-US" w:eastAsia="zh-CN"/>
              </w:rPr>
              <w:t>2004450008</w:t>
            </w:r>
          </w:p>
        </w:tc>
        <w:tc>
          <w:tcPr>
            <w:tcW w:w="1642" w:type="pct"/>
            <w:tcBorders>
              <w:tl2br w:val="nil"/>
              <w:tr2bl w:val="nil"/>
            </w:tcBorders>
          </w:tcPr>
          <w:p w14:paraId="48B969D1">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p>
        </w:tc>
      </w:tr>
    </w:tbl>
    <w:p w14:paraId="10B609FD">
      <w:pPr>
        <w:keepLines w:val="0"/>
        <w:pageBreakBefore w:val="0"/>
        <w:widowControl w:val="0"/>
        <w:kinsoku/>
        <w:wordWrap/>
        <w:overflowPunct/>
        <w:topLinePunct w:val="0"/>
        <w:autoSpaceDE/>
        <w:autoSpaceDN/>
        <w:bidi w:val="0"/>
        <w:spacing w:line="480" w:lineRule="exact"/>
        <w:ind w:right="0"/>
        <w:textAlignment w:val="auto"/>
        <w:rPr>
          <w:rFonts w:hint="eastAsia" w:ascii="仿宋_GB2312" w:hAnsi="仿宋_GB2312" w:eastAsia="仿宋_GB2312" w:cs="仿宋_GB2312"/>
          <w:b/>
          <w:bCs w:val="0"/>
          <w:color w:val="auto"/>
          <w:kern w:val="2"/>
          <w:sz w:val="28"/>
          <w:szCs w:val="28"/>
          <w:highlight w:val="none"/>
          <w:lang w:val="en-US" w:eastAsia="zh-CN" w:bidi="ar-SA"/>
        </w:rPr>
      </w:pPr>
    </w:p>
    <w:p w14:paraId="71CD56EB">
      <w:pPr>
        <w:keepLines w:val="0"/>
        <w:pageBreakBefore w:val="0"/>
        <w:widowControl w:val="0"/>
        <w:numPr>
          <w:ilvl w:val="0"/>
          <w:numId w:val="0"/>
        </w:numPr>
        <w:kinsoku/>
        <w:wordWrap/>
        <w:overflowPunct/>
        <w:topLinePunct w:val="0"/>
        <w:autoSpaceDE/>
        <w:autoSpaceDN/>
        <w:bidi w:val="0"/>
        <w:spacing w:line="480" w:lineRule="exact"/>
        <w:ind w:left="420" w:leftChars="0" w:right="0" w:rightChars="0" w:firstLine="0" w:firstLineChars="0"/>
        <w:textAlignment w:val="auto"/>
        <w:outlineLvl w:val="1"/>
        <w:rPr>
          <w:rFonts w:hint="default"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
          <w:bCs w:val="0"/>
          <w:color w:val="auto"/>
          <w:kern w:val="2"/>
          <w:sz w:val="28"/>
          <w:szCs w:val="28"/>
          <w:highlight w:val="none"/>
          <w:lang w:val="en-GB" w:eastAsia="zh-CN" w:bidi="ar-SA"/>
        </w:rPr>
        <w:t>九、</w:t>
      </w:r>
      <w:r>
        <w:rPr>
          <w:rFonts w:hint="default" w:ascii="仿宋_GB2312" w:hAnsi="仿宋_GB2312" w:eastAsia="仿宋_GB2312" w:cs="仿宋_GB2312"/>
          <w:b/>
          <w:bCs w:val="0"/>
          <w:color w:val="auto"/>
          <w:kern w:val="2"/>
          <w:sz w:val="28"/>
          <w:szCs w:val="28"/>
          <w:highlight w:val="none"/>
          <w:lang w:val="en-GB" w:eastAsia="zh-CN" w:bidi="ar-SA"/>
        </w:rPr>
        <w:t xml:space="preserve">土地估价机构 </w:t>
      </w:r>
      <w:r>
        <w:rPr>
          <w:rFonts w:hint="default" w:ascii="仿宋_GB2312" w:hAnsi="仿宋_GB2312" w:eastAsia="仿宋_GB2312" w:cs="仿宋_GB2312"/>
          <w:bCs/>
          <w:color w:val="auto"/>
          <w:kern w:val="2"/>
          <w:sz w:val="28"/>
          <w:szCs w:val="28"/>
          <w:highlight w:val="none"/>
          <w:lang w:val="en-GB" w:eastAsia="zh-CN" w:bidi="ar-SA"/>
        </w:rPr>
        <w:t xml:space="preserve">               </w:t>
      </w:r>
    </w:p>
    <w:p w14:paraId="6A92D85F">
      <w:pPr>
        <w:keepLines w:val="0"/>
        <w:pageBreakBefore w:val="0"/>
        <w:widowControl w:val="0"/>
        <w:numPr>
          <w:ilvl w:val="0"/>
          <w:numId w:val="0"/>
        </w:numPr>
        <w:kinsoku/>
        <w:wordWrap/>
        <w:overflowPunct/>
        <w:topLinePunct w:val="0"/>
        <w:autoSpaceDE/>
        <w:autoSpaceDN/>
        <w:bidi w:val="0"/>
        <w:spacing w:line="480" w:lineRule="exact"/>
        <w:ind w:right="0" w:rightChars="0"/>
        <w:textAlignment w:val="auto"/>
        <w:rPr>
          <w:rFonts w:ascii="仿宋_GB2312" w:eastAsia="仿宋_GB2312"/>
          <w:sz w:val="28"/>
          <w:highlight w:val="none"/>
        </w:rPr>
      </w:pPr>
      <w:r>
        <w:rPr>
          <w:rFonts w:hint="eastAsia" w:ascii="仿宋_GB2312" w:eastAsia="仿宋_GB2312"/>
          <w:sz w:val="28"/>
          <w:highlight w:val="none"/>
        </w:rPr>
        <w:t>估价机构法定代表人签字：</w:t>
      </w:r>
    </w:p>
    <w:p w14:paraId="7FFF3DE8">
      <w:pPr>
        <w:keepNext w:val="0"/>
        <w:keepLines w:val="0"/>
        <w:pageBreakBefore w:val="0"/>
        <w:widowControl w:val="0"/>
        <w:kinsoku/>
        <w:wordWrap/>
        <w:overflowPunct/>
        <w:topLinePunct w:val="0"/>
        <w:autoSpaceDE/>
        <w:autoSpaceDN/>
        <w:bidi w:val="0"/>
        <w:adjustRightInd/>
        <w:snapToGrid/>
        <w:spacing w:line="480" w:lineRule="exact"/>
        <w:ind w:right="140"/>
        <w:jc w:val="right"/>
        <w:textAlignment w:val="auto"/>
        <w:rPr>
          <w:rFonts w:ascii="仿宋_GB2312" w:eastAsia="仿宋_GB2312"/>
          <w:sz w:val="28"/>
          <w:highlight w:val="none"/>
        </w:rPr>
      </w:pPr>
    </w:p>
    <w:p w14:paraId="250D1A78">
      <w:pPr>
        <w:keepNext w:val="0"/>
        <w:keepLines w:val="0"/>
        <w:pageBreakBefore w:val="0"/>
        <w:widowControl w:val="0"/>
        <w:kinsoku/>
        <w:wordWrap/>
        <w:overflowPunct/>
        <w:topLinePunct w:val="0"/>
        <w:autoSpaceDE/>
        <w:autoSpaceDN/>
        <w:bidi w:val="0"/>
        <w:adjustRightInd/>
        <w:snapToGrid/>
        <w:spacing w:line="480" w:lineRule="exact"/>
        <w:ind w:right="140"/>
        <w:jc w:val="right"/>
        <w:textAlignment w:val="auto"/>
        <w:rPr>
          <w:rFonts w:ascii="仿宋_GB2312" w:eastAsia="仿宋_GB2312"/>
          <w:sz w:val="28"/>
          <w:highlight w:val="none"/>
        </w:rPr>
      </w:pPr>
    </w:p>
    <w:p w14:paraId="4C2F53E9">
      <w:pPr>
        <w:keepNext w:val="0"/>
        <w:keepLines w:val="0"/>
        <w:pageBreakBefore w:val="0"/>
        <w:widowControl w:val="0"/>
        <w:kinsoku/>
        <w:wordWrap/>
        <w:overflowPunct/>
        <w:topLinePunct w:val="0"/>
        <w:autoSpaceDE/>
        <w:autoSpaceDN/>
        <w:bidi w:val="0"/>
        <w:adjustRightInd/>
        <w:snapToGrid/>
        <w:spacing w:line="480" w:lineRule="exact"/>
        <w:ind w:right="140"/>
        <w:jc w:val="right"/>
        <w:textAlignment w:val="auto"/>
        <w:rPr>
          <w:rFonts w:ascii="仿宋_GB2312" w:eastAsia="仿宋_GB2312"/>
          <w:sz w:val="28"/>
          <w:highlight w:val="none"/>
        </w:rPr>
      </w:pPr>
    </w:p>
    <w:p w14:paraId="1AB0E3CD">
      <w:pPr>
        <w:keepNext w:val="0"/>
        <w:keepLines w:val="0"/>
        <w:pageBreakBefore w:val="0"/>
        <w:widowControl w:val="0"/>
        <w:kinsoku/>
        <w:wordWrap/>
        <w:overflowPunct/>
        <w:topLinePunct w:val="0"/>
        <w:autoSpaceDE/>
        <w:autoSpaceDN/>
        <w:bidi w:val="0"/>
        <w:adjustRightInd/>
        <w:snapToGrid/>
        <w:spacing w:line="480" w:lineRule="exact"/>
        <w:ind w:right="140"/>
        <w:jc w:val="right"/>
        <w:textAlignment w:val="auto"/>
        <w:outlineLvl w:val="9"/>
        <w:rPr>
          <w:rFonts w:hint="eastAsia" w:ascii="仿宋_GB2312" w:eastAsia="仿宋_GB2312"/>
          <w:sz w:val="28"/>
          <w:highlight w:val="none"/>
          <w:lang w:eastAsia="zh-CN"/>
        </w:rPr>
      </w:pPr>
      <w:r>
        <w:rPr>
          <w:rFonts w:hint="eastAsia" w:ascii="仿宋_GB2312" w:eastAsia="仿宋_GB2312"/>
          <w:sz w:val="28"/>
          <w:highlight w:val="none"/>
          <w:lang w:eastAsia="zh-CN"/>
        </w:rPr>
        <w:t>湖南兆财不动产规划评估有限公司</w:t>
      </w:r>
    </w:p>
    <w:p w14:paraId="1415DA4E">
      <w:pPr>
        <w:pStyle w:val="2"/>
        <w:jc w:val="right"/>
        <w:rPr>
          <w:highlight w:val="none"/>
        </w:rPr>
      </w:pPr>
      <w:r>
        <w:rPr>
          <w:rFonts w:hint="eastAsia"/>
          <w:highlight w:val="none"/>
        </w:rPr>
        <w:t xml:space="preserve">                              </w:t>
      </w:r>
      <w:r>
        <w:rPr>
          <w:rFonts w:hint="eastAsia"/>
          <w:highlight w:val="none"/>
          <w:lang w:val="en-US" w:eastAsia="zh-CN"/>
        </w:rPr>
        <w:t xml:space="preserve"> </w:t>
      </w:r>
      <w:r>
        <w:rPr>
          <w:rFonts w:hint="eastAsia" w:ascii="仿宋_GB2312" w:hAnsi="仿宋_GB2312" w:cs="仿宋_GB2312"/>
          <w:bCs/>
          <w:color w:val="auto"/>
          <w:kern w:val="2"/>
          <w:sz w:val="28"/>
          <w:szCs w:val="28"/>
          <w:highlight w:val="none"/>
          <w:lang w:val="en-US" w:eastAsia="zh-CN" w:bidi="ar-SA"/>
        </w:rPr>
        <w:t>二〇二六年二月四日</w:t>
      </w:r>
    </w:p>
    <w:p w14:paraId="1C5C89C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p>
    <w:p w14:paraId="50F0D111">
      <w:pPr>
        <w:pStyle w:val="17"/>
        <w:rPr>
          <w:rFonts w:hint="eastAsia" w:ascii="仿宋_GB2312" w:hAnsi="仿宋_GB2312" w:eastAsia="仿宋_GB2312" w:cs="仿宋_GB2312"/>
          <w:b/>
          <w:bCs w:val="0"/>
          <w:color w:val="auto"/>
          <w:sz w:val="28"/>
          <w:szCs w:val="28"/>
          <w:highlight w:val="none"/>
          <w:lang w:val="en-GB" w:eastAsia="zh-CN"/>
        </w:rPr>
      </w:pPr>
    </w:p>
    <w:p w14:paraId="20B646EF">
      <w:pPr>
        <w:keepNext w:val="0"/>
        <w:keepLines w:val="0"/>
        <w:pageBreakBefore w:val="0"/>
        <w:widowControl w:val="0"/>
        <w:kinsoku/>
        <w:wordWrap/>
        <w:overflowPunct/>
        <w:topLinePunct w:val="0"/>
        <w:autoSpaceDE/>
        <w:autoSpaceDN/>
        <w:bidi w:val="0"/>
        <w:adjustRightInd w:val="0"/>
        <w:snapToGrid w:val="0"/>
        <w:spacing w:line="480" w:lineRule="exact"/>
        <w:jc w:val="both"/>
        <w:textAlignment w:val="auto"/>
        <w:rPr>
          <w:rFonts w:hint="eastAsia" w:ascii="仿宋_GB2312" w:hAnsi="仿宋_GB2312" w:eastAsia="仿宋_GB2312" w:cs="仿宋_GB2312"/>
          <w:bCs/>
          <w:color w:val="auto"/>
          <w:sz w:val="21"/>
          <w:szCs w:val="21"/>
          <w:highlight w:val="none"/>
          <w:lang w:val="en-US" w:eastAsia="zh-CN"/>
        </w:rPr>
      </w:pPr>
    </w:p>
    <w:p w14:paraId="1A1A35EF">
      <w:pPr>
        <w:rPr>
          <w:rFonts w:hint="eastAsia" w:ascii="仿宋_GB2312" w:hAnsi="仿宋_GB2312" w:eastAsia="仿宋_GB2312" w:cs="仿宋_GB2312"/>
          <w:bCs/>
          <w:color w:val="auto"/>
          <w:sz w:val="21"/>
          <w:szCs w:val="21"/>
          <w:highlight w:val="none"/>
          <w:lang w:val="en-US" w:eastAsia="zh-CN"/>
        </w:rPr>
        <w:sectPr>
          <w:headerReference r:id="rId7" w:type="first"/>
          <w:footerReference r:id="rId9" w:type="first"/>
          <w:headerReference r:id="rId6" w:type="default"/>
          <w:footerReference r:id="rId8" w:type="default"/>
          <w:pgSz w:w="11906" w:h="16838"/>
          <w:pgMar w:top="1440" w:right="1800" w:bottom="1440" w:left="1800" w:header="851" w:footer="850" w:gutter="0"/>
          <w:pgNumType w:fmt="decimal" w:start="1"/>
          <w:cols w:space="0" w:num="1"/>
          <w:titlePg/>
          <w:rtlGutter w:val="0"/>
          <w:docGrid w:type="lines" w:linePitch="312" w:charSpace="0"/>
        </w:sectPr>
      </w:pPr>
    </w:p>
    <w:p w14:paraId="35AE8CCD">
      <w:pPr>
        <w:jc w:val="center"/>
        <w:outlineLvl w:val="3"/>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US" w:eastAsia="zh-CN"/>
        </w:rPr>
        <w:t xml:space="preserve">表1-1  </w:t>
      </w:r>
      <w:r>
        <w:rPr>
          <w:rFonts w:hint="eastAsia" w:ascii="仿宋_GB2312" w:hAnsi="仿宋_GB2312" w:eastAsia="仿宋_GB2312" w:cs="仿宋_GB2312"/>
          <w:bCs/>
          <w:color w:val="auto"/>
          <w:sz w:val="28"/>
          <w:szCs w:val="28"/>
          <w:highlight w:val="none"/>
          <w:lang w:val="en-GB" w:eastAsia="zh-CN"/>
        </w:rPr>
        <w:t>土地估价结果一览表</w:t>
      </w:r>
    </w:p>
    <w:p w14:paraId="0B87D0E7">
      <w:pPr>
        <w:keepNext w:val="0"/>
        <w:keepLines w:val="0"/>
        <w:pageBreakBefore w:val="0"/>
        <w:widowControl w:val="0"/>
        <w:kinsoku/>
        <w:wordWrap/>
        <w:overflowPunct/>
        <w:topLinePunct w:val="0"/>
        <w:autoSpaceDE/>
        <w:autoSpaceDN/>
        <w:bidi w:val="0"/>
        <w:adjustRightInd w:val="0"/>
        <w:snapToGrid w:val="0"/>
        <w:spacing w:line="300" w:lineRule="exact"/>
        <w:textAlignment w:val="auto"/>
        <w:rPr>
          <w:rFonts w:hint="eastAsia" w:ascii="仿宋_GB2312" w:hAnsi="仿宋_GB2312" w:eastAsia="仿宋_GB2312" w:cs="仿宋_GB2312"/>
          <w:bCs/>
          <w:color w:val="auto"/>
          <w:sz w:val="21"/>
          <w:szCs w:val="21"/>
          <w:highlight w:val="none"/>
          <w:lang w:val="en-GB" w:eastAsia="zh-CN"/>
        </w:rPr>
      </w:pPr>
      <w:r>
        <w:rPr>
          <w:rFonts w:hint="eastAsia" w:ascii="仿宋_GB2312" w:hAnsi="仿宋_GB2312" w:eastAsia="仿宋_GB2312" w:cs="仿宋_GB2312"/>
          <w:bCs/>
          <w:color w:val="auto"/>
          <w:sz w:val="21"/>
          <w:szCs w:val="21"/>
          <w:highlight w:val="none"/>
          <w:lang w:val="en-GB" w:eastAsia="zh-CN"/>
        </w:rPr>
        <w:t xml:space="preserve">估价机构：湖南兆财不动产规划评估有限公司                                          </w:t>
      </w:r>
      <w:r>
        <w:rPr>
          <w:rFonts w:hint="eastAsia" w:ascii="仿宋_GB2312" w:hAnsi="仿宋_GB2312" w:eastAsia="仿宋_GB2312" w:cs="仿宋_GB2312"/>
          <w:bCs/>
          <w:color w:val="auto"/>
          <w:sz w:val="21"/>
          <w:szCs w:val="21"/>
          <w:highlight w:val="none"/>
          <w:lang w:val="en-US" w:eastAsia="zh-CN"/>
        </w:rPr>
        <w:t xml:space="preserve">                    </w:t>
      </w:r>
      <w:r>
        <w:rPr>
          <w:rFonts w:hint="eastAsia" w:ascii="仿宋_GB2312" w:hAnsi="仿宋_GB2312" w:eastAsia="仿宋_GB2312" w:cs="仿宋_GB2312"/>
          <w:bCs/>
          <w:color w:val="auto"/>
          <w:sz w:val="21"/>
          <w:szCs w:val="21"/>
          <w:highlight w:val="none"/>
          <w:lang w:val="en-GB" w:eastAsia="zh-CN"/>
        </w:rPr>
        <w:t>估价期日：202</w:t>
      </w:r>
      <w:r>
        <w:rPr>
          <w:rFonts w:hint="eastAsia" w:ascii="仿宋_GB2312" w:hAnsi="仿宋_GB2312" w:eastAsia="仿宋_GB2312" w:cs="仿宋_GB2312"/>
          <w:bCs/>
          <w:color w:val="auto"/>
          <w:sz w:val="21"/>
          <w:szCs w:val="21"/>
          <w:highlight w:val="none"/>
          <w:lang w:val="en-US" w:eastAsia="zh-CN"/>
        </w:rPr>
        <w:t>6</w:t>
      </w:r>
      <w:r>
        <w:rPr>
          <w:rFonts w:hint="eastAsia" w:ascii="仿宋_GB2312" w:hAnsi="仿宋_GB2312" w:eastAsia="仿宋_GB2312" w:cs="仿宋_GB2312"/>
          <w:bCs/>
          <w:color w:val="auto"/>
          <w:sz w:val="21"/>
          <w:szCs w:val="21"/>
          <w:highlight w:val="none"/>
          <w:lang w:val="en-GB" w:eastAsia="zh-CN"/>
        </w:rPr>
        <w:t>年</w:t>
      </w:r>
      <w:r>
        <w:rPr>
          <w:rFonts w:hint="eastAsia" w:ascii="仿宋_GB2312" w:hAnsi="仿宋_GB2312" w:eastAsia="仿宋_GB2312" w:cs="仿宋_GB2312"/>
          <w:bCs/>
          <w:color w:val="auto"/>
          <w:sz w:val="21"/>
          <w:szCs w:val="21"/>
          <w:highlight w:val="none"/>
          <w:lang w:val="en-US" w:eastAsia="zh-CN"/>
        </w:rPr>
        <w:t>02</w:t>
      </w:r>
      <w:r>
        <w:rPr>
          <w:rFonts w:hint="eastAsia" w:ascii="仿宋_GB2312" w:hAnsi="仿宋_GB2312" w:eastAsia="仿宋_GB2312" w:cs="仿宋_GB2312"/>
          <w:bCs/>
          <w:color w:val="auto"/>
          <w:sz w:val="21"/>
          <w:szCs w:val="21"/>
          <w:highlight w:val="none"/>
          <w:lang w:val="en-GB" w:eastAsia="zh-CN"/>
        </w:rPr>
        <w:t>月</w:t>
      </w:r>
      <w:r>
        <w:rPr>
          <w:rFonts w:hint="eastAsia" w:ascii="仿宋_GB2312" w:hAnsi="仿宋_GB2312" w:eastAsia="仿宋_GB2312" w:cs="仿宋_GB2312"/>
          <w:bCs/>
          <w:color w:val="auto"/>
          <w:sz w:val="21"/>
          <w:szCs w:val="21"/>
          <w:highlight w:val="none"/>
          <w:lang w:val="en-US" w:eastAsia="zh-CN"/>
        </w:rPr>
        <w:t>03</w:t>
      </w:r>
      <w:r>
        <w:rPr>
          <w:rFonts w:hint="eastAsia" w:ascii="仿宋_GB2312" w:hAnsi="仿宋_GB2312" w:eastAsia="仿宋_GB2312" w:cs="仿宋_GB2312"/>
          <w:bCs/>
          <w:color w:val="auto"/>
          <w:sz w:val="21"/>
          <w:szCs w:val="21"/>
          <w:highlight w:val="none"/>
          <w:lang w:val="en-GB" w:eastAsia="zh-CN"/>
        </w:rPr>
        <w:t>日</w:t>
      </w:r>
    </w:p>
    <w:p w14:paraId="29090947">
      <w:pPr>
        <w:keepNext w:val="0"/>
        <w:keepLines w:val="0"/>
        <w:pageBreakBefore w:val="0"/>
        <w:widowControl w:val="0"/>
        <w:kinsoku/>
        <w:wordWrap/>
        <w:overflowPunct/>
        <w:topLinePunct w:val="0"/>
        <w:autoSpaceDE/>
        <w:autoSpaceDN/>
        <w:bidi w:val="0"/>
        <w:adjustRightInd w:val="0"/>
        <w:snapToGrid w:val="0"/>
        <w:spacing w:line="300" w:lineRule="exact"/>
        <w:textAlignment w:val="auto"/>
        <w:rPr>
          <w:rFonts w:hint="eastAsia" w:ascii="仿宋_GB2312" w:hAnsi="仿宋_GB2312" w:eastAsia="仿宋_GB2312" w:cs="仿宋_GB2312"/>
          <w:bCs/>
          <w:color w:val="auto"/>
          <w:sz w:val="21"/>
          <w:szCs w:val="21"/>
          <w:highlight w:val="none"/>
          <w:lang w:val="en-GB" w:eastAsia="zh-CN"/>
        </w:rPr>
      </w:pPr>
      <w:r>
        <w:rPr>
          <w:rFonts w:hint="eastAsia" w:ascii="仿宋_GB2312" w:hAnsi="仿宋_GB2312" w:eastAsia="仿宋_GB2312" w:cs="仿宋_GB2312"/>
          <w:bCs/>
          <w:color w:val="auto"/>
          <w:sz w:val="21"/>
          <w:szCs w:val="21"/>
          <w:highlight w:val="none"/>
          <w:lang w:val="en-GB" w:eastAsia="zh-CN"/>
        </w:rPr>
        <w:t>估价报告编号：（</w:t>
      </w:r>
      <w:r>
        <w:rPr>
          <w:rFonts w:hint="eastAsia" w:ascii="仿宋_GB2312" w:hAnsi="仿宋_GB2312" w:eastAsia="仿宋_GB2312" w:cs="仿宋_GB2312"/>
          <w:bCs/>
          <w:color w:val="auto"/>
          <w:sz w:val="21"/>
          <w:szCs w:val="21"/>
          <w:highlight w:val="none"/>
          <w:lang w:val="en-US" w:eastAsia="zh-CN"/>
        </w:rPr>
        <w:t>湖南</w:t>
      </w:r>
      <w:r>
        <w:rPr>
          <w:rFonts w:hint="eastAsia" w:ascii="仿宋_GB2312" w:hAnsi="仿宋_GB2312" w:eastAsia="仿宋_GB2312" w:cs="仿宋_GB2312"/>
          <w:bCs/>
          <w:color w:val="auto"/>
          <w:sz w:val="21"/>
          <w:szCs w:val="21"/>
          <w:highlight w:val="none"/>
          <w:lang w:val="en-GB" w:eastAsia="zh-CN"/>
        </w:rPr>
        <w:t>）</w:t>
      </w:r>
      <w:r>
        <w:rPr>
          <w:rFonts w:hint="eastAsia" w:ascii="仿宋_GB2312" w:hAnsi="仿宋_GB2312" w:eastAsia="仿宋_GB2312" w:cs="仿宋_GB2312"/>
          <w:bCs/>
          <w:color w:val="auto"/>
          <w:sz w:val="21"/>
          <w:szCs w:val="21"/>
          <w:highlight w:val="none"/>
          <w:lang w:val="en-US" w:eastAsia="zh-CN"/>
        </w:rPr>
        <w:t>湘兆财土地</w:t>
      </w:r>
      <w:r>
        <w:rPr>
          <w:rFonts w:hint="eastAsia" w:ascii="仿宋_GB2312" w:hAnsi="仿宋_GB2312" w:eastAsia="仿宋_GB2312" w:cs="仿宋_GB2312"/>
          <w:bCs/>
          <w:color w:val="auto"/>
          <w:sz w:val="21"/>
          <w:szCs w:val="21"/>
          <w:highlight w:val="none"/>
          <w:lang w:val="en-GB" w:eastAsia="zh-CN"/>
        </w:rPr>
        <w:t>[202</w:t>
      </w:r>
      <w:r>
        <w:rPr>
          <w:rFonts w:hint="eastAsia" w:ascii="仿宋_GB2312" w:hAnsi="仿宋_GB2312" w:eastAsia="仿宋_GB2312" w:cs="仿宋_GB2312"/>
          <w:bCs/>
          <w:color w:val="auto"/>
          <w:sz w:val="21"/>
          <w:szCs w:val="21"/>
          <w:highlight w:val="none"/>
          <w:lang w:val="en-US" w:eastAsia="zh-CN"/>
        </w:rPr>
        <w:t>6</w:t>
      </w:r>
      <w:r>
        <w:rPr>
          <w:rFonts w:hint="eastAsia" w:ascii="仿宋_GB2312" w:hAnsi="仿宋_GB2312" w:eastAsia="仿宋_GB2312" w:cs="仿宋_GB2312"/>
          <w:bCs/>
          <w:color w:val="auto"/>
          <w:sz w:val="21"/>
          <w:szCs w:val="21"/>
          <w:highlight w:val="none"/>
          <w:lang w:val="en-GB" w:eastAsia="zh-CN"/>
        </w:rPr>
        <w:t>]（估）字第</w:t>
      </w:r>
      <w:r>
        <w:rPr>
          <w:rFonts w:hint="eastAsia" w:ascii="仿宋_GB2312" w:hAnsi="仿宋_GB2312" w:eastAsia="仿宋_GB2312" w:cs="仿宋_GB2312"/>
          <w:bCs/>
          <w:color w:val="auto"/>
          <w:sz w:val="21"/>
          <w:szCs w:val="21"/>
          <w:highlight w:val="none"/>
          <w:lang w:val="en-US" w:eastAsia="zh-CN"/>
        </w:rPr>
        <w:t>ZC</w:t>
      </w:r>
      <w:r>
        <w:rPr>
          <w:rFonts w:hint="eastAsia" w:ascii="仿宋_GB2312" w:hAnsi="仿宋_GB2312" w:eastAsia="仿宋_GB2312" w:cs="仿宋_GB2312"/>
          <w:bCs/>
          <w:color w:val="auto"/>
          <w:sz w:val="21"/>
          <w:szCs w:val="21"/>
          <w:highlight w:val="none"/>
          <w:lang w:val="en-GB" w:eastAsia="zh-CN"/>
        </w:rPr>
        <w:t>00</w:t>
      </w:r>
      <w:r>
        <w:rPr>
          <w:rFonts w:hint="eastAsia" w:ascii="仿宋_GB2312" w:hAnsi="仿宋_GB2312" w:eastAsia="仿宋_GB2312" w:cs="仿宋_GB2312"/>
          <w:bCs/>
          <w:color w:val="auto"/>
          <w:sz w:val="21"/>
          <w:szCs w:val="21"/>
          <w:highlight w:val="none"/>
          <w:lang w:val="en-US" w:eastAsia="zh-CN"/>
        </w:rPr>
        <w:t>13</w:t>
      </w:r>
      <w:r>
        <w:rPr>
          <w:rFonts w:hint="eastAsia" w:ascii="仿宋_GB2312" w:hAnsi="仿宋_GB2312" w:eastAsia="仿宋_GB2312" w:cs="仿宋_GB2312"/>
          <w:bCs/>
          <w:color w:val="auto"/>
          <w:sz w:val="21"/>
          <w:szCs w:val="21"/>
          <w:highlight w:val="none"/>
          <w:lang w:val="en-GB" w:eastAsia="zh-CN"/>
        </w:rPr>
        <w:t>号</w:t>
      </w:r>
      <w:r>
        <w:rPr>
          <w:rFonts w:hint="eastAsia" w:ascii="仿宋_GB2312" w:hAnsi="仿宋_GB2312" w:eastAsia="仿宋_GB2312" w:cs="仿宋_GB2312"/>
          <w:bCs/>
          <w:color w:val="auto"/>
          <w:sz w:val="21"/>
          <w:szCs w:val="21"/>
          <w:highlight w:val="none"/>
          <w:lang w:val="en-US" w:eastAsia="zh-CN"/>
        </w:rPr>
        <w:t xml:space="preserve">         </w:t>
      </w:r>
      <w:r>
        <w:rPr>
          <w:rFonts w:hint="eastAsia" w:ascii="仿宋_GB2312" w:hAnsi="仿宋_GB2312" w:eastAsia="仿宋_GB2312" w:cs="仿宋_GB2312"/>
          <w:bCs/>
          <w:color w:val="auto"/>
          <w:sz w:val="21"/>
          <w:szCs w:val="21"/>
          <w:highlight w:val="none"/>
          <w:lang w:val="en-GB" w:eastAsia="zh-CN"/>
        </w:rPr>
        <w:t>估价目的：</w:t>
      </w:r>
      <w:r>
        <w:rPr>
          <w:rFonts w:hint="eastAsia" w:ascii="仿宋_GB2312" w:hAnsi="仿宋_GB2312" w:eastAsia="仿宋_GB2312" w:cs="仿宋_GB2312"/>
          <w:bCs/>
          <w:color w:val="auto"/>
          <w:sz w:val="21"/>
          <w:szCs w:val="21"/>
          <w:highlight w:val="none"/>
          <w:lang w:val="en-US" w:eastAsia="zh-CN"/>
        </w:rPr>
        <w:t>出让</w:t>
      </w:r>
      <w:r>
        <w:rPr>
          <w:rFonts w:hint="eastAsia" w:ascii="仿宋_GB2312" w:hAnsi="仿宋_GB2312" w:eastAsia="仿宋_GB2312" w:cs="仿宋_GB2312"/>
          <w:bCs/>
          <w:color w:val="auto"/>
          <w:sz w:val="21"/>
          <w:szCs w:val="21"/>
          <w:highlight w:val="none"/>
          <w:lang w:val="en-GB" w:eastAsia="zh-CN"/>
        </w:rPr>
        <w:t xml:space="preserve">  </w:t>
      </w:r>
      <w:r>
        <w:rPr>
          <w:rFonts w:hint="eastAsia" w:ascii="仿宋_GB2312" w:hAnsi="仿宋_GB2312" w:eastAsia="仿宋_GB2312" w:cs="仿宋_GB2312"/>
          <w:bCs/>
          <w:color w:val="auto"/>
          <w:sz w:val="21"/>
          <w:szCs w:val="21"/>
          <w:highlight w:val="none"/>
          <w:lang w:val="en-US" w:eastAsia="zh-CN"/>
        </w:rPr>
        <w:t xml:space="preserve">                </w:t>
      </w:r>
      <w:r>
        <w:rPr>
          <w:rFonts w:hint="eastAsia" w:ascii="仿宋_GB2312" w:hAnsi="仿宋_GB2312" w:eastAsia="仿宋_GB2312" w:cs="仿宋_GB2312"/>
          <w:bCs/>
          <w:color w:val="auto"/>
          <w:sz w:val="21"/>
          <w:szCs w:val="21"/>
          <w:highlight w:val="none"/>
          <w:lang w:val="en-GB" w:eastAsia="zh-CN"/>
        </w:rPr>
        <w:t>估价期日的土地使用权性质：</w:t>
      </w:r>
      <w:r>
        <w:rPr>
          <w:rFonts w:hint="eastAsia" w:ascii="仿宋_GB2312" w:hAnsi="仿宋_GB2312" w:eastAsia="仿宋_GB2312" w:cs="仿宋_GB2312"/>
          <w:bCs/>
          <w:color w:val="auto"/>
          <w:sz w:val="21"/>
          <w:szCs w:val="21"/>
          <w:highlight w:val="none"/>
          <w:lang w:val="en-US" w:eastAsia="zh-CN"/>
        </w:rPr>
        <w:t>国有划拨</w:t>
      </w:r>
    </w:p>
    <w:tbl>
      <w:tblPr>
        <w:tblStyle w:val="11"/>
        <w:tblpPr w:leftFromText="180" w:rightFromText="180" w:vertAnchor="text" w:horzAnchor="page" w:tblpX="1276" w:tblpY="12"/>
        <w:tblOverlap w:val="never"/>
        <w:tblW w:w="502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32"/>
        <w:gridCol w:w="485"/>
        <w:gridCol w:w="720"/>
        <w:gridCol w:w="956"/>
        <w:gridCol w:w="750"/>
        <w:gridCol w:w="971"/>
        <w:gridCol w:w="971"/>
        <w:gridCol w:w="455"/>
        <w:gridCol w:w="574"/>
        <w:gridCol w:w="603"/>
        <w:gridCol w:w="1294"/>
        <w:gridCol w:w="1176"/>
        <w:gridCol w:w="618"/>
        <w:gridCol w:w="765"/>
        <w:gridCol w:w="706"/>
        <w:gridCol w:w="647"/>
        <w:gridCol w:w="735"/>
        <w:gridCol w:w="792"/>
      </w:tblGrid>
      <w:tr w14:paraId="6F54A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36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E4741F3">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估价期日土地使用者</w:t>
            </w:r>
          </w:p>
        </w:tc>
        <w:tc>
          <w:tcPr>
            <w:tcW w:w="17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93D23AE">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宗地</w:t>
            </w:r>
          </w:p>
          <w:p w14:paraId="7B7EBEB0">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编号</w:t>
            </w:r>
          </w:p>
        </w:tc>
        <w:tc>
          <w:tcPr>
            <w:tcW w:w="2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812B364">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宗地名称</w:t>
            </w:r>
          </w:p>
        </w:tc>
        <w:tc>
          <w:tcPr>
            <w:tcW w:w="335"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2A1B8EB">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土地使用证编号</w:t>
            </w:r>
          </w:p>
        </w:tc>
        <w:tc>
          <w:tcPr>
            <w:tcW w:w="944"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364C6641">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估价期日用途</w:t>
            </w:r>
          </w:p>
        </w:tc>
        <w:tc>
          <w:tcPr>
            <w:tcW w:w="572"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1A323F7B">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容积率</w:t>
            </w:r>
          </w:p>
        </w:tc>
        <w:tc>
          <w:tcPr>
            <w:tcW w:w="454" w:type="pct"/>
            <w:vMerge w:val="restart"/>
            <w:tcBorders>
              <w:top w:val="single" w:color="000000" w:sz="4" w:space="0"/>
              <w:left w:val="single" w:color="000000" w:sz="4" w:space="0"/>
              <w:right w:val="single" w:color="000000" w:sz="4" w:space="0"/>
            </w:tcBorders>
            <w:shd w:val="clear" w:color="auto" w:fill="auto"/>
            <w:vAlign w:val="center"/>
          </w:tcPr>
          <w:p w14:paraId="03DCBF5E">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估价期日的实际土地开发程度</w:t>
            </w:r>
          </w:p>
        </w:tc>
        <w:tc>
          <w:tcPr>
            <w:tcW w:w="412" w:type="pct"/>
            <w:vMerge w:val="restart"/>
            <w:tcBorders>
              <w:top w:val="single" w:color="000000" w:sz="4" w:space="0"/>
              <w:left w:val="single" w:color="000000" w:sz="4" w:space="0"/>
              <w:right w:val="single" w:color="000000" w:sz="4" w:space="0"/>
            </w:tcBorders>
            <w:shd w:val="clear" w:color="auto" w:fill="auto"/>
            <w:vAlign w:val="center"/>
          </w:tcPr>
          <w:p w14:paraId="4687C2FC">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估价设定的土地开发程度</w:t>
            </w:r>
          </w:p>
        </w:tc>
        <w:tc>
          <w:tcPr>
            <w:tcW w:w="216" w:type="pct"/>
            <w:vMerge w:val="restart"/>
            <w:tcBorders>
              <w:top w:val="single" w:color="000000" w:sz="4" w:space="0"/>
              <w:left w:val="single" w:color="000000" w:sz="4" w:space="0"/>
              <w:right w:val="single" w:color="000000" w:sz="4" w:space="0"/>
            </w:tcBorders>
            <w:shd w:val="clear" w:color="auto" w:fill="auto"/>
            <w:vAlign w:val="center"/>
          </w:tcPr>
          <w:p w14:paraId="6C69FA20">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剩余土地使用权年限/年</w:t>
            </w:r>
          </w:p>
        </w:tc>
        <w:tc>
          <w:tcPr>
            <w:tcW w:w="268" w:type="pct"/>
            <w:vMerge w:val="restart"/>
            <w:tcBorders>
              <w:top w:val="single" w:color="000000" w:sz="4" w:space="0"/>
              <w:left w:val="single" w:color="000000" w:sz="4" w:space="0"/>
              <w:right w:val="single" w:color="000000" w:sz="4" w:space="0"/>
            </w:tcBorders>
            <w:shd w:val="clear" w:color="auto" w:fill="auto"/>
            <w:vAlign w:val="center"/>
          </w:tcPr>
          <w:p w14:paraId="15234DC3">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面积/m</w:t>
            </w:r>
            <w:r>
              <w:rPr>
                <w:rFonts w:hint="eastAsia" w:ascii="仿宋_GB2312" w:hAnsi="仿宋_GB2312" w:eastAsia="仿宋_GB2312" w:cs="仿宋_GB2312"/>
                <w:bCs/>
                <w:color w:val="auto"/>
                <w:sz w:val="20"/>
                <w:szCs w:val="20"/>
                <w:highlight w:val="none"/>
                <w:vertAlign w:val="superscript"/>
                <w:lang w:val="en-US" w:eastAsia="zh-CN"/>
              </w:rPr>
              <w:t>2</w:t>
            </w:r>
          </w:p>
        </w:tc>
        <w:tc>
          <w:tcPr>
            <w:tcW w:w="247" w:type="pct"/>
            <w:vMerge w:val="restart"/>
            <w:tcBorders>
              <w:top w:val="single" w:color="000000" w:sz="4" w:space="0"/>
              <w:left w:val="single" w:color="000000" w:sz="4" w:space="0"/>
              <w:right w:val="single" w:color="000000" w:sz="4" w:space="0"/>
            </w:tcBorders>
            <w:shd w:val="clear" w:color="auto" w:fill="auto"/>
            <w:vAlign w:val="center"/>
          </w:tcPr>
          <w:p w14:paraId="6172FA56">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单位面积地价/元/m</w:t>
            </w:r>
            <w:r>
              <w:rPr>
                <w:rFonts w:hint="eastAsia" w:ascii="仿宋_GB2312" w:hAnsi="仿宋_GB2312" w:eastAsia="仿宋_GB2312" w:cs="仿宋_GB2312"/>
                <w:bCs/>
                <w:color w:val="auto"/>
                <w:sz w:val="20"/>
                <w:szCs w:val="20"/>
                <w:highlight w:val="none"/>
                <w:vertAlign w:val="superscript"/>
                <w:lang w:val="en-US" w:eastAsia="zh-CN"/>
              </w:rPr>
              <w:t>2</w:t>
            </w:r>
          </w:p>
        </w:tc>
        <w:tc>
          <w:tcPr>
            <w:tcW w:w="227" w:type="pct"/>
            <w:vMerge w:val="restart"/>
            <w:tcBorders>
              <w:top w:val="single" w:color="000000" w:sz="4" w:space="0"/>
              <w:left w:val="single" w:color="000000" w:sz="4" w:space="0"/>
              <w:right w:val="single" w:color="000000" w:sz="4" w:space="0"/>
            </w:tcBorders>
            <w:shd w:val="clear" w:color="auto" w:fill="auto"/>
            <w:vAlign w:val="center"/>
          </w:tcPr>
          <w:p w14:paraId="2D5D9DCE">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总地价</w:t>
            </w:r>
            <w:r>
              <w:rPr>
                <w:rFonts w:hint="eastAsia" w:ascii="仿宋_GB2312" w:hAnsi="仿宋_GB2312" w:eastAsia="仿宋_GB2312" w:cs="仿宋_GB2312"/>
                <w:bCs/>
                <w:color w:val="auto"/>
                <w:sz w:val="20"/>
                <w:szCs w:val="20"/>
                <w:highlight w:val="none"/>
                <w:lang w:val="en-US" w:eastAsia="zh-CN"/>
              </w:rPr>
              <w:br w:type="textWrapping"/>
            </w:r>
            <w:r>
              <w:rPr>
                <w:rFonts w:hint="eastAsia" w:ascii="仿宋_GB2312" w:hAnsi="仿宋_GB2312" w:eastAsia="仿宋_GB2312" w:cs="仿宋_GB2312"/>
                <w:bCs/>
                <w:color w:val="auto"/>
                <w:sz w:val="20"/>
                <w:szCs w:val="20"/>
                <w:highlight w:val="none"/>
                <w:lang w:val="en-US" w:eastAsia="zh-CN"/>
              </w:rPr>
              <w:t>/万元</w:t>
            </w:r>
          </w:p>
        </w:tc>
        <w:tc>
          <w:tcPr>
            <w:tcW w:w="257" w:type="pct"/>
            <w:vMerge w:val="restart"/>
            <w:tcBorders>
              <w:top w:val="single" w:color="000000" w:sz="4" w:space="0"/>
              <w:left w:val="single" w:color="000000" w:sz="4" w:space="0"/>
              <w:right w:val="single" w:color="000000" w:sz="4" w:space="0"/>
            </w:tcBorders>
            <w:shd w:val="clear" w:color="auto" w:fill="auto"/>
            <w:vAlign w:val="center"/>
          </w:tcPr>
          <w:p w14:paraId="7CFDDAA0">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楼面地价/元/m</w:t>
            </w:r>
            <w:r>
              <w:rPr>
                <w:rFonts w:hint="eastAsia" w:ascii="仿宋_GB2312" w:hAnsi="仿宋_GB2312" w:eastAsia="仿宋_GB2312" w:cs="仿宋_GB2312"/>
                <w:bCs/>
                <w:color w:val="auto"/>
                <w:sz w:val="20"/>
                <w:szCs w:val="20"/>
                <w:highlight w:val="none"/>
                <w:vertAlign w:val="superscript"/>
                <w:lang w:val="en-US" w:eastAsia="zh-CN"/>
              </w:rPr>
              <w:t>2</w:t>
            </w:r>
          </w:p>
        </w:tc>
        <w:tc>
          <w:tcPr>
            <w:tcW w:w="277" w:type="pct"/>
            <w:vMerge w:val="restart"/>
            <w:tcBorders>
              <w:top w:val="single" w:color="000000" w:sz="4" w:space="0"/>
              <w:left w:val="single" w:color="000000" w:sz="4" w:space="0"/>
              <w:right w:val="single" w:color="000000" w:sz="4" w:space="0"/>
            </w:tcBorders>
            <w:shd w:val="clear" w:color="auto" w:fill="auto"/>
            <w:vAlign w:val="center"/>
          </w:tcPr>
          <w:p w14:paraId="02EF557E">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备注</w:t>
            </w:r>
          </w:p>
        </w:tc>
      </w:tr>
      <w:tr w14:paraId="3B3A6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9" w:hRule="atLeast"/>
        </w:trPr>
        <w:tc>
          <w:tcPr>
            <w:tcW w:w="36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19E5DE">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17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F0E009">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2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8B7953">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335"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84F930">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2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C48052">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证载（或批准）</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C9FF64">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实际</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9529DE">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设定</w:t>
            </w:r>
          </w:p>
        </w:tc>
        <w:tc>
          <w:tcPr>
            <w:tcW w:w="1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361351">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规划</w:t>
            </w:r>
          </w:p>
        </w:tc>
        <w:tc>
          <w:tcPr>
            <w:tcW w:w="2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5EAD30">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实际</w:t>
            </w:r>
          </w:p>
        </w:tc>
        <w:tc>
          <w:tcPr>
            <w:tcW w:w="2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29381A">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设定</w:t>
            </w:r>
          </w:p>
        </w:tc>
        <w:tc>
          <w:tcPr>
            <w:tcW w:w="454" w:type="pct"/>
            <w:vMerge w:val="continue"/>
            <w:tcBorders>
              <w:left w:val="single" w:color="000000" w:sz="4" w:space="0"/>
              <w:right w:val="single" w:color="000000" w:sz="4" w:space="0"/>
            </w:tcBorders>
            <w:shd w:val="clear" w:color="auto" w:fill="auto"/>
            <w:vAlign w:val="center"/>
          </w:tcPr>
          <w:p w14:paraId="4E60A3B5">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412" w:type="pct"/>
            <w:vMerge w:val="continue"/>
            <w:tcBorders>
              <w:left w:val="single" w:color="000000" w:sz="4" w:space="0"/>
              <w:right w:val="single" w:color="000000" w:sz="4" w:space="0"/>
            </w:tcBorders>
            <w:shd w:val="clear" w:color="auto" w:fill="auto"/>
            <w:vAlign w:val="center"/>
          </w:tcPr>
          <w:p w14:paraId="5713AA32">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216" w:type="pct"/>
            <w:vMerge w:val="continue"/>
            <w:tcBorders>
              <w:left w:val="single" w:color="000000" w:sz="4" w:space="0"/>
              <w:right w:val="single" w:color="000000" w:sz="4" w:space="0"/>
            </w:tcBorders>
            <w:shd w:val="clear" w:color="auto" w:fill="auto"/>
            <w:vAlign w:val="center"/>
          </w:tcPr>
          <w:p w14:paraId="5C47439A">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268" w:type="pct"/>
            <w:vMerge w:val="continue"/>
            <w:tcBorders>
              <w:left w:val="single" w:color="000000" w:sz="4" w:space="0"/>
              <w:right w:val="single" w:color="000000" w:sz="4" w:space="0"/>
            </w:tcBorders>
            <w:shd w:val="clear" w:color="auto" w:fill="auto"/>
            <w:vAlign w:val="center"/>
          </w:tcPr>
          <w:p w14:paraId="7AB51D6E">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247" w:type="pct"/>
            <w:vMerge w:val="continue"/>
            <w:tcBorders>
              <w:left w:val="single" w:color="000000" w:sz="4" w:space="0"/>
              <w:right w:val="single" w:color="000000" w:sz="4" w:space="0"/>
            </w:tcBorders>
            <w:shd w:val="clear" w:color="auto" w:fill="auto"/>
            <w:vAlign w:val="center"/>
          </w:tcPr>
          <w:p w14:paraId="1F3CC90B">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227" w:type="pct"/>
            <w:vMerge w:val="continue"/>
            <w:tcBorders>
              <w:left w:val="single" w:color="000000" w:sz="4" w:space="0"/>
              <w:right w:val="single" w:color="000000" w:sz="4" w:space="0"/>
            </w:tcBorders>
            <w:shd w:val="clear" w:color="auto" w:fill="auto"/>
            <w:vAlign w:val="center"/>
          </w:tcPr>
          <w:p w14:paraId="5D77DD4E">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257" w:type="pct"/>
            <w:vMerge w:val="continue"/>
            <w:tcBorders>
              <w:left w:val="single" w:color="000000" w:sz="4" w:space="0"/>
              <w:right w:val="single" w:color="000000" w:sz="4" w:space="0"/>
            </w:tcBorders>
            <w:shd w:val="clear" w:color="auto" w:fill="auto"/>
            <w:vAlign w:val="center"/>
          </w:tcPr>
          <w:p w14:paraId="4D297B1B">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277" w:type="pct"/>
            <w:vMerge w:val="continue"/>
            <w:tcBorders>
              <w:left w:val="single" w:color="000000" w:sz="4" w:space="0"/>
              <w:right w:val="single" w:color="000000" w:sz="4" w:space="0"/>
            </w:tcBorders>
            <w:shd w:val="clear" w:color="auto" w:fill="auto"/>
            <w:vAlign w:val="center"/>
          </w:tcPr>
          <w:p w14:paraId="50309A16">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r>
      <w:tr w14:paraId="0A8A6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1" w:hRule="atLeast"/>
        </w:trPr>
        <w:tc>
          <w:tcPr>
            <w:tcW w:w="362" w:type="pct"/>
            <w:vMerge w:val="restart"/>
            <w:tcBorders>
              <w:top w:val="single" w:color="000000" w:sz="4" w:space="0"/>
              <w:left w:val="single" w:color="000000" w:sz="4" w:space="0"/>
              <w:right w:val="single" w:color="000000" w:sz="4" w:space="0"/>
            </w:tcBorders>
            <w:shd w:val="clear" w:color="auto" w:fill="auto"/>
            <w:vAlign w:val="center"/>
          </w:tcPr>
          <w:p w14:paraId="63DC614E">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通道侗族自治县国有资产监督管理办公室</w:t>
            </w:r>
          </w:p>
        </w:tc>
        <w:tc>
          <w:tcPr>
            <w:tcW w:w="170" w:type="pct"/>
            <w:vMerge w:val="restart"/>
            <w:tcBorders>
              <w:top w:val="single" w:color="000000" w:sz="4" w:space="0"/>
              <w:left w:val="single" w:color="000000" w:sz="4" w:space="0"/>
              <w:right w:val="single" w:color="000000" w:sz="4" w:space="0"/>
            </w:tcBorders>
            <w:shd w:val="clear" w:color="auto" w:fill="auto"/>
            <w:vAlign w:val="center"/>
          </w:tcPr>
          <w:p w14:paraId="390E6284">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252" w:type="pct"/>
            <w:vMerge w:val="restart"/>
            <w:tcBorders>
              <w:top w:val="single" w:color="000000" w:sz="4" w:space="0"/>
              <w:left w:val="single" w:color="000000" w:sz="4" w:space="0"/>
              <w:right w:val="single" w:color="000000" w:sz="4" w:space="0"/>
            </w:tcBorders>
            <w:shd w:val="clear" w:color="auto" w:fill="auto"/>
            <w:vAlign w:val="center"/>
          </w:tcPr>
          <w:p w14:paraId="2F2B0324">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通道县双江镇行政街宗地</w:t>
            </w:r>
          </w:p>
        </w:tc>
        <w:tc>
          <w:tcPr>
            <w:tcW w:w="335" w:type="pct"/>
            <w:vMerge w:val="restart"/>
            <w:tcBorders>
              <w:top w:val="single" w:color="000000" w:sz="4" w:space="0"/>
              <w:left w:val="single" w:color="000000" w:sz="4" w:space="0"/>
              <w:right w:val="single" w:color="000000" w:sz="4" w:space="0"/>
            </w:tcBorders>
            <w:shd w:val="clear" w:color="auto" w:fill="auto"/>
            <w:vAlign w:val="center"/>
          </w:tcPr>
          <w:p w14:paraId="3BC162E2">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通国用（2014）第000327号</w:t>
            </w:r>
          </w:p>
        </w:tc>
        <w:tc>
          <w:tcPr>
            <w:tcW w:w="263" w:type="pct"/>
            <w:vMerge w:val="restart"/>
            <w:tcBorders>
              <w:top w:val="single" w:color="000000" w:sz="4" w:space="0"/>
              <w:left w:val="single" w:color="000000" w:sz="4" w:space="0"/>
              <w:right w:val="single" w:color="000000" w:sz="4" w:space="0"/>
            </w:tcBorders>
            <w:shd w:val="clear" w:color="auto" w:fill="auto"/>
            <w:vAlign w:val="center"/>
          </w:tcPr>
          <w:p w14:paraId="2B9B874F">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机关团体用地</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00A8E0">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商服用地（22.03%）</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B457AF">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商服用地（22.03%）</w:t>
            </w:r>
          </w:p>
        </w:tc>
        <w:tc>
          <w:tcPr>
            <w:tcW w:w="159" w:type="pct"/>
            <w:vMerge w:val="restart"/>
            <w:tcBorders>
              <w:top w:val="single" w:color="000000" w:sz="4" w:space="0"/>
              <w:left w:val="single" w:color="000000" w:sz="4" w:space="0"/>
              <w:right w:val="single" w:color="000000" w:sz="4" w:space="0"/>
            </w:tcBorders>
            <w:shd w:val="clear" w:color="auto" w:fill="auto"/>
            <w:vAlign w:val="center"/>
          </w:tcPr>
          <w:p w14:paraId="7785CD6B">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201" w:type="pct"/>
            <w:vMerge w:val="restart"/>
            <w:tcBorders>
              <w:top w:val="single" w:color="000000" w:sz="4" w:space="0"/>
              <w:left w:val="single" w:color="000000" w:sz="4" w:space="0"/>
              <w:right w:val="single" w:color="000000" w:sz="4" w:space="0"/>
            </w:tcBorders>
            <w:shd w:val="clear" w:color="auto" w:fill="auto"/>
            <w:vAlign w:val="center"/>
          </w:tcPr>
          <w:p w14:paraId="683398D9">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4.07</w:t>
            </w:r>
          </w:p>
        </w:tc>
        <w:tc>
          <w:tcPr>
            <w:tcW w:w="211" w:type="pct"/>
            <w:vMerge w:val="restart"/>
            <w:tcBorders>
              <w:top w:val="single" w:color="000000" w:sz="4" w:space="0"/>
              <w:left w:val="single" w:color="000000" w:sz="4" w:space="0"/>
              <w:right w:val="single" w:color="000000" w:sz="4" w:space="0"/>
            </w:tcBorders>
            <w:shd w:val="clear" w:color="auto" w:fill="auto"/>
            <w:vAlign w:val="center"/>
          </w:tcPr>
          <w:p w14:paraId="196EF320">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4.07</w:t>
            </w:r>
          </w:p>
        </w:tc>
        <w:tc>
          <w:tcPr>
            <w:tcW w:w="454" w:type="pct"/>
            <w:vMerge w:val="restart"/>
            <w:tcBorders>
              <w:top w:val="single" w:color="000000" w:sz="4" w:space="0"/>
              <w:left w:val="single" w:color="000000" w:sz="4" w:space="0"/>
              <w:right w:val="single" w:color="000000" w:sz="4" w:space="0"/>
            </w:tcBorders>
            <w:shd w:val="clear" w:color="auto" w:fill="auto"/>
            <w:vAlign w:val="center"/>
          </w:tcPr>
          <w:p w14:paraId="4219CEB9">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宗地红线外“五通”，红线内场地平整</w:t>
            </w:r>
          </w:p>
        </w:tc>
        <w:tc>
          <w:tcPr>
            <w:tcW w:w="412" w:type="pct"/>
            <w:vMerge w:val="restart"/>
            <w:tcBorders>
              <w:top w:val="single" w:color="000000" w:sz="4" w:space="0"/>
              <w:left w:val="single" w:color="000000" w:sz="4" w:space="0"/>
              <w:right w:val="single" w:color="000000" w:sz="4" w:space="0"/>
            </w:tcBorders>
            <w:shd w:val="clear" w:color="auto" w:fill="auto"/>
            <w:vAlign w:val="center"/>
          </w:tcPr>
          <w:p w14:paraId="57A10D6F">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宗地红线外“五通”，红线内场地平整</w:t>
            </w:r>
          </w:p>
        </w:tc>
        <w:tc>
          <w:tcPr>
            <w:tcW w:w="2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B4C3FB">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40</w:t>
            </w:r>
          </w:p>
        </w:tc>
        <w:tc>
          <w:tcPr>
            <w:tcW w:w="26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22358C">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40.38</w:t>
            </w:r>
          </w:p>
        </w:tc>
        <w:tc>
          <w:tcPr>
            <w:tcW w:w="2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80C14D">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6636</w:t>
            </w:r>
          </w:p>
        </w:tc>
        <w:tc>
          <w:tcPr>
            <w:tcW w:w="2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A0E899">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26.8</w:t>
            </w:r>
          </w:p>
        </w:tc>
        <w:tc>
          <w:tcPr>
            <w:tcW w:w="25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E2EB28">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1630.5</w:t>
            </w:r>
          </w:p>
        </w:tc>
        <w:tc>
          <w:tcPr>
            <w:tcW w:w="277" w:type="pct"/>
            <w:vMerge w:val="restart"/>
            <w:tcBorders>
              <w:top w:val="single" w:color="000000" w:sz="4" w:space="0"/>
              <w:left w:val="single" w:color="000000" w:sz="4" w:space="0"/>
              <w:right w:val="single" w:color="000000" w:sz="4" w:space="0"/>
            </w:tcBorders>
            <w:shd w:val="clear" w:color="auto" w:fill="auto"/>
            <w:vAlign w:val="center"/>
          </w:tcPr>
          <w:p w14:paraId="11911A83">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土地级别为二级</w:t>
            </w:r>
          </w:p>
        </w:tc>
      </w:tr>
      <w:tr w14:paraId="11915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362" w:type="pct"/>
            <w:vMerge w:val="continue"/>
            <w:tcBorders>
              <w:left w:val="single" w:color="000000" w:sz="4" w:space="0"/>
              <w:bottom w:val="single" w:color="000000" w:sz="4" w:space="0"/>
              <w:right w:val="single" w:color="000000" w:sz="4" w:space="0"/>
            </w:tcBorders>
            <w:shd w:val="clear" w:color="auto" w:fill="auto"/>
            <w:vAlign w:val="center"/>
          </w:tcPr>
          <w:p w14:paraId="083695CE">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170" w:type="pct"/>
            <w:vMerge w:val="continue"/>
            <w:tcBorders>
              <w:left w:val="single" w:color="000000" w:sz="4" w:space="0"/>
              <w:bottom w:val="single" w:color="000000" w:sz="4" w:space="0"/>
              <w:right w:val="single" w:color="000000" w:sz="4" w:space="0"/>
            </w:tcBorders>
            <w:shd w:val="clear" w:color="auto" w:fill="auto"/>
            <w:vAlign w:val="center"/>
          </w:tcPr>
          <w:p w14:paraId="4EC5B3B3">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252" w:type="pct"/>
            <w:vMerge w:val="continue"/>
            <w:tcBorders>
              <w:left w:val="single" w:color="000000" w:sz="4" w:space="0"/>
              <w:bottom w:val="single" w:color="000000" w:sz="4" w:space="0"/>
              <w:right w:val="single" w:color="000000" w:sz="4" w:space="0"/>
            </w:tcBorders>
            <w:shd w:val="clear" w:color="auto" w:fill="auto"/>
            <w:vAlign w:val="center"/>
          </w:tcPr>
          <w:p w14:paraId="0BCFDEC9">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335" w:type="pct"/>
            <w:vMerge w:val="continue"/>
            <w:tcBorders>
              <w:left w:val="single" w:color="000000" w:sz="4" w:space="0"/>
              <w:bottom w:val="single" w:color="000000" w:sz="4" w:space="0"/>
              <w:right w:val="single" w:color="000000" w:sz="4" w:space="0"/>
            </w:tcBorders>
            <w:shd w:val="clear" w:color="auto" w:fill="auto"/>
            <w:vAlign w:val="center"/>
          </w:tcPr>
          <w:p w14:paraId="1660180B">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263" w:type="pct"/>
            <w:vMerge w:val="continue"/>
            <w:tcBorders>
              <w:left w:val="single" w:color="000000" w:sz="4" w:space="0"/>
              <w:bottom w:val="single" w:color="000000" w:sz="4" w:space="0"/>
              <w:right w:val="single" w:color="000000" w:sz="4" w:space="0"/>
            </w:tcBorders>
            <w:shd w:val="clear" w:color="auto" w:fill="auto"/>
            <w:vAlign w:val="center"/>
          </w:tcPr>
          <w:p w14:paraId="47BBB1BD">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5ADBF4">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住宅用地（77.97%）</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595321">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住宅用地（77.97%）</w:t>
            </w:r>
          </w:p>
        </w:tc>
        <w:tc>
          <w:tcPr>
            <w:tcW w:w="159" w:type="pct"/>
            <w:vMerge w:val="continue"/>
            <w:tcBorders>
              <w:left w:val="single" w:color="000000" w:sz="4" w:space="0"/>
              <w:bottom w:val="single" w:color="000000" w:sz="4" w:space="0"/>
              <w:right w:val="single" w:color="000000" w:sz="4" w:space="0"/>
            </w:tcBorders>
            <w:shd w:val="clear" w:color="auto" w:fill="auto"/>
            <w:vAlign w:val="center"/>
          </w:tcPr>
          <w:p w14:paraId="3208F1AB">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201" w:type="pct"/>
            <w:vMerge w:val="continue"/>
            <w:tcBorders>
              <w:left w:val="single" w:color="000000" w:sz="4" w:space="0"/>
              <w:bottom w:val="single" w:color="000000" w:sz="4" w:space="0"/>
              <w:right w:val="single" w:color="000000" w:sz="4" w:space="0"/>
            </w:tcBorders>
            <w:shd w:val="clear" w:color="auto" w:fill="auto"/>
            <w:vAlign w:val="center"/>
          </w:tcPr>
          <w:p w14:paraId="365B4B1B">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211" w:type="pct"/>
            <w:vMerge w:val="continue"/>
            <w:tcBorders>
              <w:left w:val="single" w:color="000000" w:sz="4" w:space="0"/>
              <w:bottom w:val="single" w:color="000000" w:sz="4" w:space="0"/>
              <w:right w:val="single" w:color="000000" w:sz="4" w:space="0"/>
            </w:tcBorders>
            <w:shd w:val="clear" w:color="auto" w:fill="auto"/>
            <w:vAlign w:val="center"/>
          </w:tcPr>
          <w:p w14:paraId="109F754C">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454" w:type="pct"/>
            <w:vMerge w:val="continue"/>
            <w:tcBorders>
              <w:left w:val="single" w:color="000000" w:sz="4" w:space="0"/>
              <w:bottom w:val="single" w:color="000000" w:sz="4" w:space="0"/>
              <w:right w:val="single" w:color="000000" w:sz="4" w:space="0"/>
            </w:tcBorders>
            <w:shd w:val="clear" w:color="auto" w:fill="auto"/>
            <w:vAlign w:val="center"/>
          </w:tcPr>
          <w:p w14:paraId="702B3789">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412" w:type="pct"/>
            <w:vMerge w:val="continue"/>
            <w:tcBorders>
              <w:left w:val="single" w:color="000000" w:sz="4" w:space="0"/>
              <w:bottom w:val="single" w:color="000000" w:sz="4" w:space="0"/>
              <w:right w:val="single" w:color="000000" w:sz="4" w:space="0"/>
            </w:tcBorders>
            <w:shd w:val="clear" w:color="auto" w:fill="auto"/>
            <w:vAlign w:val="center"/>
          </w:tcPr>
          <w:p w14:paraId="102ECBC7">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2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49BBCA">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70</w:t>
            </w:r>
          </w:p>
        </w:tc>
        <w:tc>
          <w:tcPr>
            <w:tcW w:w="26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9CBB3D">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142.89</w:t>
            </w:r>
          </w:p>
        </w:tc>
        <w:tc>
          <w:tcPr>
            <w:tcW w:w="2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E01072">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1236</w:t>
            </w:r>
          </w:p>
        </w:tc>
        <w:tc>
          <w:tcPr>
            <w:tcW w:w="2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EFE309">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17.66</w:t>
            </w:r>
          </w:p>
        </w:tc>
        <w:tc>
          <w:tcPr>
            <w:tcW w:w="25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393833">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303.7</w:t>
            </w:r>
          </w:p>
        </w:tc>
        <w:tc>
          <w:tcPr>
            <w:tcW w:w="277" w:type="pct"/>
            <w:vMerge w:val="continue"/>
            <w:tcBorders>
              <w:left w:val="single" w:color="000000" w:sz="4" w:space="0"/>
              <w:bottom w:val="single" w:color="000000" w:sz="4" w:space="0"/>
              <w:right w:val="single" w:color="000000" w:sz="4" w:space="0"/>
            </w:tcBorders>
            <w:shd w:val="clear" w:color="auto" w:fill="auto"/>
            <w:vAlign w:val="center"/>
          </w:tcPr>
          <w:p w14:paraId="7CC1E8CB">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r>
      <w:tr w14:paraId="0A1AC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 w:hRule="atLeast"/>
        </w:trPr>
        <w:tc>
          <w:tcPr>
            <w:tcW w:w="3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FFE458">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合计</w:t>
            </w:r>
          </w:p>
        </w:tc>
        <w:tc>
          <w:tcPr>
            <w:tcW w:w="1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B0A6AE">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2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08FEA6">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33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13D3D0">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2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ECB7E4">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5C080F">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34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41CBDA">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15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17CADB">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2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1490B5">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21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0856B2">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4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969146">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4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B4D448">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21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7993D1">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26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55FA73">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183.27</w:t>
            </w:r>
          </w:p>
        </w:tc>
        <w:tc>
          <w:tcPr>
            <w:tcW w:w="2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26CE96">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2426</w:t>
            </w:r>
          </w:p>
        </w:tc>
        <w:tc>
          <w:tcPr>
            <w:tcW w:w="2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6BD3F0">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44.46</w:t>
            </w:r>
          </w:p>
        </w:tc>
        <w:tc>
          <w:tcPr>
            <w:tcW w:w="25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1BD5E6">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596.1</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90BD6C">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r>
    </w:tbl>
    <w:p w14:paraId="3F73B73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_GB2312" w:eastAsia="仿宋_GB2312" w:cs="仿宋_GB2312"/>
          <w:bCs/>
          <w:color w:val="auto"/>
          <w:kern w:val="2"/>
          <w:sz w:val="21"/>
          <w:szCs w:val="21"/>
          <w:highlight w:val="none"/>
          <w:lang w:val="en-US" w:eastAsia="zh-CN" w:bidi="ar-SA"/>
        </w:rPr>
      </w:pPr>
      <w:r>
        <w:rPr>
          <w:rFonts w:hint="eastAsia" w:ascii="仿宋_GB2312" w:hAnsi="仿宋_GB2312" w:eastAsia="仿宋_GB2312" w:cs="仿宋_GB2312"/>
          <w:bCs/>
          <w:color w:val="auto"/>
          <w:kern w:val="2"/>
          <w:sz w:val="21"/>
          <w:szCs w:val="21"/>
          <w:highlight w:val="none"/>
          <w:lang w:val="en-US" w:eastAsia="zh-CN" w:bidi="ar-SA"/>
        </w:rPr>
        <w:t>注：“五通”指：通路、通电、供水、排水、通讯</w:t>
      </w:r>
    </w:p>
    <w:p w14:paraId="65D190D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一、上述土地估价结果的限定条件：</w:t>
      </w:r>
    </w:p>
    <w:p w14:paraId="7785B2A9">
      <w:pPr>
        <w:keepNext w:val="0"/>
        <w:keepLines w:val="0"/>
        <w:pageBreakBefore w:val="0"/>
        <w:widowControl w:val="0"/>
        <w:tabs>
          <w:tab w:val="left" w:pos="560"/>
        </w:tabs>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sz w:val="20"/>
          <w:szCs w:val="20"/>
          <w:highlight w:val="none"/>
        </w:rPr>
      </w:pPr>
      <w:r>
        <w:rPr>
          <w:rFonts w:hint="eastAsia" w:ascii="仿宋_GB2312" w:hAnsi="仿宋_GB2312" w:eastAsia="仿宋_GB2312" w:cs="仿宋_GB2312"/>
          <w:sz w:val="21"/>
          <w:szCs w:val="21"/>
          <w:highlight w:val="none"/>
        </w:rPr>
        <w:t>一、上述土地估价结果的限定条</w:t>
      </w:r>
      <w:r>
        <w:rPr>
          <w:rFonts w:hint="eastAsia" w:ascii="仿宋_GB2312" w:hAnsi="仿宋_GB2312" w:eastAsia="仿宋_GB2312" w:cs="仿宋_GB2312"/>
          <w:color w:val="auto"/>
          <w:sz w:val="21"/>
          <w:szCs w:val="21"/>
          <w:highlight w:val="none"/>
        </w:rPr>
        <w:t>件</w:t>
      </w:r>
      <w:r>
        <w:rPr>
          <w:rFonts w:hint="eastAsia" w:ascii="仿宋_GB2312" w:hAnsi="仿宋_GB2312" w:eastAsia="仿宋_GB2312" w:cs="仿宋_GB2312"/>
          <w:color w:val="auto"/>
          <w:sz w:val="21"/>
          <w:szCs w:val="21"/>
          <w:highlight w:val="none"/>
          <w:lang w:eastAsia="zh-CN"/>
        </w:rPr>
        <w:t>：</w:t>
      </w:r>
      <w:r>
        <w:rPr>
          <w:rFonts w:hint="eastAsia" w:ascii="仿宋_GB2312" w:hAnsi="仿宋_GB2312" w:eastAsia="仿宋_GB2312" w:cs="仿宋_GB2312"/>
          <w:color w:val="auto"/>
          <w:sz w:val="21"/>
          <w:szCs w:val="21"/>
          <w:highlight w:val="none"/>
        </w:rPr>
        <w:t>1.根据</w:t>
      </w:r>
      <w:r>
        <w:rPr>
          <w:rFonts w:hint="eastAsia" w:ascii="仿宋_GB2312" w:hAnsi="仿宋_GB2312" w:eastAsia="仿宋_GB2312" w:cs="仿宋_GB2312"/>
          <w:color w:val="auto"/>
          <w:sz w:val="21"/>
          <w:szCs w:val="21"/>
          <w:highlight w:val="none"/>
          <w:lang w:eastAsia="zh-CN"/>
        </w:rPr>
        <w:t>《国有土地使用证》（通国用（2014）第000327号）</w:t>
      </w:r>
      <w:r>
        <w:rPr>
          <w:rFonts w:hint="eastAsia" w:ascii="仿宋_GB2312" w:hAnsi="仿宋_GB2312" w:eastAsia="仿宋_GB2312" w:cs="仿宋_GB2312"/>
          <w:color w:val="auto"/>
          <w:sz w:val="21"/>
          <w:szCs w:val="21"/>
          <w:highlight w:val="none"/>
        </w:rPr>
        <w:t>，估价对象位于</w:t>
      </w:r>
      <w:r>
        <w:rPr>
          <w:rFonts w:hint="eastAsia" w:ascii="仿宋_GB2312" w:hAnsi="仿宋_GB2312" w:eastAsia="仿宋_GB2312" w:cs="仿宋_GB2312"/>
          <w:color w:val="auto"/>
          <w:sz w:val="21"/>
          <w:szCs w:val="21"/>
          <w:highlight w:val="none"/>
          <w:lang w:val="en-US" w:eastAsia="zh-CN"/>
        </w:rPr>
        <w:t>通道县双江镇行政街</w:t>
      </w:r>
      <w:r>
        <w:rPr>
          <w:rFonts w:hint="eastAsia" w:ascii="仿宋_GB2312" w:hAnsi="仿宋_GB2312" w:eastAsia="仿宋_GB2312" w:cs="仿宋_GB2312"/>
          <w:color w:val="auto"/>
          <w:sz w:val="21"/>
          <w:szCs w:val="21"/>
          <w:highlight w:val="none"/>
          <w:lang w:eastAsia="zh-CN"/>
        </w:rPr>
        <w:t>，</w:t>
      </w:r>
      <w:r>
        <w:rPr>
          <w:rFonts w:hint="eastAsia" w:ascii="仿宋_GB2312" w:hAnsi="仿宋_GB2312" w:eastAsia="仿宋_GB2312" w:cs="仿宋_GB2312"/>
          <w:color w:val="auto"/>
          <w:sz w:val="21"/>
          <w:szCs w:val="21"/>
          <w:highlight w:val="none"/>
        </w:rPr>
        <w:t>估价对象土地所有权为国有，土地使用权性质为</w:t>
      </w:r>
      <w:r>
        <w:rPr>
          <w:rFonts w:hint="eastAsia" w:ascii="仿宋_GB2312" w:hAnsi="仿宋_GB2312" w:eastAsia="仿宋_GB2312" w:cs="仿宋_GB2312"/>
          <w:color w:val="auto"/>
          <w:sz w:val="21"/>
          <w:szCs w:val="21"/>
          <w:highlight w:val="none"/>
          <w:lang w:val="en-US" w:eastAsia="zh-CN"/>
        </w:rPr>
        <w:t>国有划拨</w:t>
      </w:r>
      <w:r>
        <w:rPr>
          <w:rFonts w:hint="eastAsia" w:ascii="仿宋_GB2312" w:hAnsi="仿宋_GB2312" w:eastAsia="仿宋_GB2312" w:cs="仿宋_GB2312"/>
          <w:color w:val="auto"/>
          <w:sz w:val="21"/>
          <w:szCs w:val="21"/>
          <w:highlight w:val="none"/>
        </w:rPr>
        <w:t>，土地使用者</w:t>
      </w:r>
      <w:r>
        <w:rPr>
          <w:rFonts w:hint="eastAsia" w:ascii="仿宋_GB2312" w:hAnsi="仿宋_GB2312" w:eastAsia="仿宋_GB2312" w:cs="仿宋_GB2312"/>
          <w:color w:val="auto"/>
          <w:sz w:val="21"/>
          <w:szCs w:val="21"/>
          <w:highlight w:val="none"/>
          <w:lang w:val="en-US" w:eastAsia="zh-CN"/>
        </w:rPr>
        <w:t>为通道侗族自治县国有资产监督管理办公室</w:t>
      </w:r>
      <w:r>
        <w:rPr>
          <w:rFonts w:hint="eastAsia" w:ascii="仿宋_GB2312" w:hAnsi="仿宋_GB2312" w:eastAsia="仿宋_GB2312" w:cs="仿宋_GB2312"/>
          <w:color w:val="auto"/>
          <w:sz w:val="21"/>
          <w:szCs w:val="21"/>
          <w:highlight w:val="none"/>
        </w:rPr>
        <w:t>。根据委托方提供相关资料和估价人员调查结果</w:t>
      </w:r>
      <w:r>
        <w:rPr>
          <w:rFonts w:hint="eastAsia" w:ascii="仿宋_GB2312" w:hAnsi="仿宋_GB2312" w:eastAsia="仿宋_GB2312" w:cs="仿宋_GB2312"/>
          <w:sz w:val="21"/>
          <w:szCs w:val="21"/>
          <w:highlight w:val="none"/>
        </w:rPr>
        <w:t>，截至估价期日估价对象未有抵押权、地役权、租赁权等他项权利登记，本次评估设定估价对象地上无抵押权、地役权、租赁权等他项权利登记；2.基础设施条件：估价对象土地实际开发程度为宗地红线外“</w:t>
      </w:r>
      <w:r>
        <w:rPr>
          <w:rFonts w:hint="eastAsia" w:ascii="仿宋_GB2312" w:hAnsi="仿宋_GB2312" w:eastAsia="仿宋_GB2312" w:cs="仿宋_GB2312"/>
          <w:sz w:val="21"/>
          <w:szCs w:val="21"/>
          <w:highlight w:val="none"/>
          <w:lang w:val="en-US" w:eastAsia="zh-CN"/>
        </w:rPr>
        <w:t>五通</w:t>
      </w:r>
      <w:r>
        <w:rPr>
          <w:rFonts w:hint="eastAsia" w:ascii="仿宋_GB2312" w:hAnsi="仿宋_GB2312" w:eastAsia="仿宋_GB2312" w:cs="仿宋_GB2312"/>
          <w:sz w:val="21"/>
          <w:szCs w:val="21"/>
          <w:highlight w:val="none"/>
        </w:rPr>
        <w:t>”（即通路、通讯</w:t>
      </w:r>
      <w:r>
        <w:rPr>
          <w:rFonts w:hint="eastAsia" w:ascii="仿宋_GB2312" w:hAnsi="仿宋_GB2312" w:eastAsia="仿宋_GB2312" w:cs="仿宋_GB2312"/>
          <w:sz w:val="21"/>
          <w:szCs w:val="21"/>
          <w:highlight w:val="none"/>
          <w:lang w:eastAsia="zh-CN"/>
        </w:rPr>
        <w:t>、</w:t>
      </w:r>
      <w:r>
        <w:rPr>
          <w:rFonts w:hint="eastAsia" w:ascii="仿宋_GB2312" w:hAnsi="仿宋_GB2312" w:eastAsia="仿宋_GB2312" w:cs="仿宋_GB2312"/>
          <w:sz w:val="21"/>
          <w:szCs w:val="21"/>
          <w:highlight w:val="none"/>
          <w:lang w:val="en-US" w:eastAsia="zh-CN"/>
        </w:rPr>
        <w:t>供水、排水</w:t>
      </w:r>
      <w:r>
        <w:rPr>
          <w:rFonts w:hint="eastAsia" w:ascii="仿宋_GB2312" w:hAnsi="仿宋_GB2312" w:eastAsia="仿宋_GB2312" w:cs="仿宋_GB2312"/>
          <w:sz w:val="21"/>
          <w:szCs w:val="21"/>
          <w:highlight w:val="none"/>
        </w:rPr>
        <w:t>、通讯），</w:t>
      </w:r>
      <w:r>
        <w:rPr>
          <w:rFonts w:hint="eastAsia" w:ascii="仿宋_GB2312" w:hAnsi="仿宋_GB2312" w:eastAsia="仿宋_GB2312" w:cs="仿宋_GB2312"/>
          <w:sz w:val="21"/>
          <w:szCs w:val="21"/>
          <w:highlight w:val="none"/>
          <w:lang w:eastAsia="zh-CN"/>
        </w:rPr>
        <w:t>红线内场地平整</w:t>
      </w:r>
      <w:r>
        <w:rPr>
          <w:rFonts w:hint="eastAsia" w:ascii="仿宋_GB2312" w:hAnsi="仿宋_GB2312" w:eastAsia="仿宋_GB2312" w:cs="仿宋_GB2312"/>
          <w:sz w:val="21"/>
          <w:szCs w:val="21"/>
          <w:highlight w:val="none"/>
        </w:rPr>
        <w:t>，详见下表。</w:t>
      </w:r>
    </w:p>
    <w:tbl>
      <w:tblPr>
        <w:tblStyle w:val="11"/>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4"/>
        <w:gridCol w:w="1610"/>
        <w:gridCol w:w="2194"/>
        <w:gridCol w:w="1601"/>
        <w:gridCol w:w="2117"/>
        <w:gridCol w:w="4787"/>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654"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20"/>
                <w:szCs w:val="20"/>
                <w:highlight w:val="none"/>
              </w:rPr>
            </w:pPr>
            <w:r>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t>地面平整状况</w:t>
            </w:r>
          </w:p>
        </w:tc>
        <w:tc>
          <w:tcPr>
            <w:tcW w:w="568"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t>周围道路状况</w:t>
            </w:r>
          </w:p>
        </w:tc>
        <w:tc>
          <w:tcPr>
            <w:tcW w:w="774"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t>供电状况</w:t>
            </w:r>
          </w:p>
        </w:tc>
        <w:tc>
          <w:tcPr>
            <w:tcW w:w="565"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t>供水状况</w:t>
            </w:r>
          </w:p>
        </w:tc>
        <w:tc>
          <w:tcPr>
            <w:tcW w:w="747"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t>排水状况</w:t>
            </w:r>
          </w:p>
        </w:tc>
        <w:tc>
          <w:tcPr>
            <w:tcW w:w="1689"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0"/>
                <w:szCs w:val="20"/>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654" w:type="pct"/>
            <w:noWrap w:val="0"/>
            <w:vAlign w:val="center"/>
          </w:tcPr>
          <w:p w14:paraId="7B088A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20"/>
                <w:szCs w:val="20"/>
                <w:highlight w:val="none"/>
                <w:lang w:val="en-US" w:eastAsia="zh-CN"/>
              </w:rPr>
            </w:pPr>
            <w:r>
              <w:rPr>
                <w:rFonts w:hint="eastAsia" w:ascii="仿宋_GB2312" w:hAnsi="仿宋_GB2312" w:eastAsia="仿宋_GB2312" w:cs="仿宋_GB2312"/>
                <w:snapToGrid/>
                <w:color w:val="000000" w:themeColor="text1"/>
                <w:spacing w:val="-20"/>
                <w:sz w:val="20"/>
                <w:szCs w:val="20"/>
                <w:highlight w:val="none"/>
                <w:lang w:val="en-US" w:eastAsia="zh-CN"/>
                <w14:textFill>
                  <w14:solidFill>
                    <w14:schemeClr w14:val="tx1"/>
                  </w14:solidFill>
                </w14:textFill>
              </w:rPr>
              <w:t>宗地红线外“五通”宗地红线内场地平整</w:t>
            </w:r>
          </w:p>
        </w:tc>
        <w:tc>
          <w:tcPr>
            <w:tcW w:w="568" w:type="pct"/>
            <w:noWrap w:val="0"/>
            <w:vAlign w:val="center"/>
          </w:tcPr>
          <w:p w14:paraId="0B559232">
            <w:pPr>
              <w:keepNext w:val="0"/>
              <w:keepLines w:val="0"/>
              <w:pageBreakBefore w:val="0"/>
              <w:widowControl w:val="0"/>
              <w:kinsoku/>
              <w:wordWrap/>
              <w:overflowPunct/>
              <w:topLinePunct w:val="0"/>
              <w:autoSpaceDE/>
              <w:autoSpaceDN/>
              <w:bidi w:val="0"/>
              <w:adjustRightInd/>
              <w:snapToGrid/>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临行政街，沥青路面，通行较顺畅</w:t>
            </w:r>
          </w:p>
        </w:tc>
        <w:tc>
          <w:tcPr>
            <w:tcW w:w="774" w:type="pct"/>
            <w:noWrap w:val="0"/>
            <w:vAlign w:val="center"/>
          </w:tcPr>
          <w:p w14:paraId="107270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0"/>
                <w:szCs w:val="20"/>
                <w:highlight w:val="none"/>
                <w:lang w:val="en-US" w:eastAsia="zh-CN"/>
                <w14:textFill>
                  <w14:solidFill>
                    <w14:schemeClr w14:val="tx1"/>
                  </w14:solidFill>
                </w14:textFill>
              </w:rPr>
              <w:t>区域内接市政双回路110KV供电管网，供电保证率高</w:t>
            </w:r>
          </w:p>
        </w:tc>
        <w:tc>
          <w:tcPr>
            <w:tcW w:w="565" w:type="pct"/>
            <w:noWrap w:val="0"/>
            <w:vAlign w:val="center"/>
          </w:tcPr>
          <w:p w14:paraId="7E44F5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0"/>
                <w:szCs w:val="20"/>
                <w:highlight w:val="none"/>
                <w:lang w:val="en-US" w:eastAsia="zh-CN"/>
                <w14:textFill>
                  <w14:solidFill>
                    <w14:schemeClr w14:val="tx1"/>
                  </w14:solidFill>
                </w14:textFill>
              </w:rPr>
              <w:t>区域内供水主要来自区内的市政供水</w:t>
            </w:r>
          </w:p>
        </w:tc>
        <w:tc>
          <w:tcPr>
            <w:tcW w:w="747" w:type="pct"/>
            <w:noWrap w:val="0"/>
            <w:vAlign w:val="center"/>
          </w:tcPr>
          <w:p w14:paraId="118088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0"/>
                <w:szCs w:val="20"/>
                <w:highlight w:val="none"/>
                <w:lang w:val="en-US" w:eastAsia="zh-CN"/>
                <w14:textFill>
                  <w14:solidFill>
                    <w14:schemeClr w14:val="tx1"/>
                  </w14:solidFill>
                </w14:textFill>
              </w:rPr>
              <w:t>宗地外接排水设施，在雨水大的情况下无洪涝和积水</w:t>
            </w:r>
          </w:p>
        </w:tc>
        <w:tc>
          <w:tcPr>
            <w:tcW w:w="1689" w:type="pct"/>
            <w:noWrap w:val="0"/>
            <w:vAlign w:val="center"/>
          </w:tcPr>
          <w:p w14:paraId="1F929E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0"/>
                <w:szCs w:val="20"/>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0A692DD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sz w:val="21"/>
          <w:szCs w:val="21"/>
          <w:highlight w:val="none"/>
        </w:rPr>
        <w:t>3.规划限制条件：根据</w:t>
      </w:r>
      <w:r>
        <w:rPr>
          <w:rFonts w:hint="eastAsia" w:ascii="仿宋_GB2312" w:hAnsi="仿宋_GB2312" w:eastAsia="仿宋_GB2312" w:cs="仿宋_GB2312"/>
          <w:color w:val="auto"/>
          <w:sz w:val="21"/>
          <w:szCs w:val="21"/>
          <w:highlight w:val="none"/>
          <w:lang w:eastAsia="zh-CN"/>
        </w:rPr>
        <w:t>《国有土地使用证》（通国用（2014）第000327号）</w:t>
      </w:r>
      <w:r>
        <w:rPr>
          <w:rFonts w:hint="eastAsia" w:ascii="仿宋_GB2312" w:hAnsi="仿宋_GB2312" w:eastAsia="仿宋_GB2312" w:cs="仿宋_GB2312"/>
          <w:sz w:val="21"/>
          <w:szCs w:val="21"/>
          <w:highlight w:val="none"/>
        </w:rPr>
        <w:t>，估价对象位于</w:t>
      </w:r>
      <w:r>
        <w:rPr>
          <w:rFonts w:hint="eastAsia" w:ascii="仿宋_GB2312" w:hAnsi="仿宋_GB2312" w:eastAsia="仿宋_GB2312" w:cs="仿宋_GB2312"/>
          <w:color w:val="auto"/>
          <w:sz w:val="21"/>
          <w:szCs w:val="21"/>
          <w:highlight w:val="none"/>
          <w:lang w:val="en-US" w:eastAsia="zh-CN"/>
        </w:rPr>
        <w:t>通道县双江镇行政街</w:t>
      </w:r>
      <w:r>
        <w:rPr>
          <w:rFonts w:hint="eastAsia" w:ascii="仿宋_GB2312" w:hAnsi="仿宋_GB2312" w:eastAsia="仿宋_GB2312" w:cs="仿宋_GB2312"/>
          <w:sz w:val="21"/>
          <w:szCs w:val="21"/>
          <w:highlight w:val="none"/>
        </w:rPr>
        <w:t>，</w:t>
      </w:r>
      <w:r>
        <w:rPr>
          <w:rFonts w:hint="eastAsia" w:ascii="仿宋_GB2312" w:hAnsi="仿宋_GB2312" w:eastAsia="仿宋_GB2312" w:cs="仿宋_GB2312"/>
          <w:sz w:val="21"/>
          <w:szCs w:val="21"/>
          <w:highlight w:val="none"/>
          <w:lang w:val="en-US" w:eastAsia="zh-CN"/>
        </w:rPr>
        <w:t>根据《土地分户分摊面积明细表》，估价对象分摊土地使用权面积为183.27平方米。</w:t>
      </w:r>
      <w:r>
        <w:rPr>
          <w:rFonts w:hint="eastAsia" w:ascii="仿宋_GB2312" w:hAnsi="仿宋_GB2312" w:eastAsia="仿宋_GB2312" w:cs="仿宋_GB2312"/>
          <w:sz w:val="21"/>
          <w:szCs w:val="21"/>
          <w:highlight w:val="none"/>
        </w:rPr>
        <w:t>4.影响土地价值的其他限定条件：无。</w:t>
      </w:r>
    </w:p>
    <w:p w14:paraId="51D195AF">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二、其他需要说明的事项：</w:t>
      </w:r>
    </w:p>
    <w:p w14:paraId="2BD05FC0">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1、</w:t>
      </w:r>
      <w:bookmarkStart w:id="2" w:name="_Hlk53237488"/>
      <w:r>
        <w:rPr>
          <w:rFonts w:hint="eastAsia" w:ascii="仿宋_GB2312" w:hAnsi="仿宋_GB2312" w:eastAsia="仿宋_GB2312" w:cs="仿宋_GB2312"/>
          <w:bCs/>
          <w:color w:val="auto"/>
          <w:kern w:val="2"/>
          <w:sz w:val="21"/>
          <w:szCs w:val="21"/>
          <w:highlight w:val="none"/>
          <w:lang w:val="en-GB" w:eastAsia="zh-CN" w:bidi="ar-SA"/>
        </w:rPr>
        <w:t>评估价格</w:t>
      </w:r>
      <w:bookmarkStart w:id="3" w:name="_Hlk53238728"/>
      <w:r>
        <w:rPr>
          <w:rFonts w:hint="eastAsia" w:ascii="仿宋_GB2312" w:hAnsi="仿宋_GB2312" w:eastAsia="仿宋_GB2312" w:cs="仿宋_GB2312"/>
          <w:bCs/>
          <w:color w:val="auto"/>
          <w:kern w:val="2"/>
          <w:sz w:val="21"/>
          <w:szCs w:val="21"/>
          <w:highlight w:val="none"/>
          <w:lang w:val="en-GB" w:eastAsia="zh-CN" w:bidi="ar-SA"/>
        </w:rPr>
        <w:t>仅为委托方了解土地使用权价值提供客观、公正、合理的价格参考依据</w:t>
      </w:r>
      <w:bookmarkEnd w:id="3"/>
      <w:r>
        <w:rPr>
          <w:rFonts w:hint="eastAsia" w:ascii="仿宋_GB2312" w:hAnsi="仿宋_GB2312" w:eastAsia="仿宋_GB2312" w:cs="仿宋_GB2312"/>
          <w:bCs/>
          <w:color w:val="auto"/>
          <w:kern w:val="2"/>
          <w:sz w:val="21"/>
          <w:szCs w:val="21"/>
          <w:highlight w:val="none"/>
          <w:lang w:val="en-GB" w:eastAsia="zh-CN" w:bidi="ar-SA"/>
        </w:rPr>
        <w:t>。</w:t>
      </w:r>
      <w:bookmarkEnd w:id="2"/>
    </w:p>
    <w:p w14:paraId="1E8FF51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2、评估结果自报告提交之日起壹年内有效。</w:t>
      </w:r>
    </w:p>
    <w:p w14:paraId="3F5DBB3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3、此次评估结果是估价对象于估价期日在设定土地用途、设定使用年期、设定容积率、现状利用条件下的土地使用权价格。</w:t>
      </w:r>
    </w:p>
    <w:p w14:paraId="6D192CD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default" w:ascii="仿宋_GB2312" w:hAnsi="仿宋_GB2312" w:eastAsia="仿宋_GB2312" w:cs="仿宋_GB2312"/>
          <w:bCs/>
          <w:color w:val="auto"/>
          <w:kern w:val="2"/>
          <w:sz w:val="21"/>
          <w:szCs w:val="21"/>
          <w:highlight w:val="none"/>
          <w:lang w:val="en-US" w:eastAsia="zh-CN" w:bidi="ar-SA"/>
        </w:rPr>
      </w:pPr>
      <w:r>
        <w:rPr>
          <w:rFonts w:hint="eastAsia" w:ascii="仿宋_GB2312" w:hAnsi="仿宋_GB2312" w:eastAsia="仿宋_GB2312" w:cs="仿宋_GB2312"/>
          <w:bCs/>
          <w:color w:val="auto"/>
          <w:kern w:val="2"/>
          <w:sz w:val="21"/>
          <w:szCs w:val="21"/>
          <w:highlight w:val="none"/>
          <w:lang w:val="en-GB" w:eastAsia="zh-CN" w:bidi="ar-SA"/>
        </w:rPr>
        <w:t>4、估价对象土地权属以《国有土地使用证》（通国用（2014）第000327号）为依据，建筑面积</w:t>
      </w:r>
      <w:r>
        <w:rPr>
          <w:rFonts w:hint="eastAsia" w:ascii="仿宋_GB2312" w:hAnsi="仿宋_GB2312" w:eastAsia="仿宋_GB2312" w:cs="仿宋_GB2312"/>
          <w:bCs/>
          <w:color w:val="auto"/>
          <w:kern w:val="2"/>
          <w:sz w:val="21"/>
          <w:szCs w:val="21"/>
          <w:highlight w:val="none"/>
          <w:lang w:val="en-US" w:eastAsia="zh-CN" w:bidi="ar-SA"/>
        </w:rPr>
        <w:t>以</w:t>
      </w:r>
      <w:r>
        <w:rPr>
          <w:rFonts w:hint="eastAsia" w:ascii="仿宋_GB2312" w:hAnsi="仿宋_GB2312" w:eastAsia="仿宋_GB2312" w:cs="仿宋_GB2312"/>
          <w:sz w:val="21"/>
          <w:szCs w:val="21"/>
          <w:highlight w:val="none"/>
          <w:lang w:val="en-US" w:eastAsia="zh-CN"/>
        </w:rPr>
        <w:t>《土地分户分摊面积明细表》</w:t>
      </w:r>
      <w:r>
        <w:rPr>
          <w:rFonts w:hint="eastAsia" w:ascii="仿宋_GB2312" w:hAnsi="仿宋_GB2312" w:eastAsia="仿宋_GB2312" w:cs="仿宋_GB2312"/>
          <w:bCs/>
          <w:color w:val="auto"/>
          <w:kern w:val="2"/>
          <w:sz w:val="21"/>
          <w:szCs w:val="21"/>
          <w:highlight w:val="none"/>
          <w:lang w:val="en-GB" w:eastAsia="zh-CN" w:bidi="ar-SA"/>
        </w:rPr>
        <w:t>为依据，土地使用权面积</w:t>
      </w:r>
      <w:r>
        <w:rPr>
          <w:rFonts w:hint="eastAsia" w:ascii="仿宋_GB2312" w:hAnsi="仿宋_GB2312" w:eastAsia="仿宋_GB2312" w:cs="仿宋_GB2312"/>
          <w:bCs/>
          <w:color w:val="auto"/>
          <w:kern w:val="2"/>
          <w:sz w:val="21"/>
          <w:szCs w:val="21"/>
          <w:highlight w:val="none"/>
          <w:lang w:val="en-US" w:eastAsia="zh-CN" w:bidi="ar-SA"/>
        </w:rPr>
        <w:t>以《土地分户分摊面积明细表》和《土地资产评估委托书》为依据</w:t>
      </w:r>
      <w:r>
        <w:rPr>
          <w:rFonts w:hint="eastAsia" w:ascii="仿宋_GB2312" w:hAnsi="仿宋_GB2312" w:eastAsia="仿宋_GB2312" w:cs="仿宋_GB2312"/>
          <w:bCs/>
          <w:color w:val="auto"/>
          <w:kern w:val="2"/>
          <w:sz w:val="21"/>
          <w:szCs w:val="21"/>
          <w:highlight w:val="none"/>
          <w:lang w:val="en-GB" w:eastAsia="zh-CN" w:bidi="ar-SA"/>
        </w:rPr>
        <w:t>，确定本次评估面积为</w:t>
      </w:r>
      <w:r>
        <w:rPr>
          <w:rFonts w:hint="eastAsia" w:ascii="仿宋_GB2312" w:hAnsi="仿宋_GB2312" w:eastAsia="仿宋_GB2312" w:cs="仿宋_GB2312"/>
          <w:bCs/>
          <w:color w:val="auto"/>
          <w:kern w:val="2"/>
          <w:sz w:val="21"/>
          <w:szCs w:val="21"/>
          <w:highlight w:val="none"/>
          <w:lang w:val="en-US" w:eastAsia="zh-CN" w:bidi="ar-SA"/>
        </w:rPr>
        <w:t>183.27平方米</w:t>
      </w:r>
      <w:r>
        <w:rPr>
          <w:rFonts w:hint="eastAsia" w:ascii="仿宋_GB2312" w:hAnsi="仿宋_GB2312" w:eastAsia="仿宋_GB2312" w:cs="仿宋_GB2312"/>
          <w:bCs/>
          <w:color w:val="auto"/>
          <w:kern w:val="2"/>
          <w:sz w:val="21"/>
          <w:szCs w:val="21"/>
          <w:highlight w:val="none"/>
          <w:lang w:val="en-GB" w:eastAsia="zh-CN" w:bidi="ar-SA"/>
        </w:rPr>
        <w:t>，最终土地面积以当地自然资源局核定面积为准，若土地面积发生变化，评估结果应做相应调整。</w:t>
      </w:r>
      <w:r>
        <w:rPr>
          <w:rFonts w:hint="eastAsia" w:ascii="仿宋_GB2312" w:hAnsi="仿宋_GB2312" w:eastAsia="仿宋_GB2312" w:cs="仿宋_GB2312"/>
          <w:bCs/>
          <w:color w:val="auto"/>
          <w:kern w:val="2"/>
          <w:sz w:val="21"/>
          <w:szCs w:val="21"/>
          <w:highlight w:val="none"/>
          <w:lang w:val="en-US" w:eastAsia="zh-CN" w:bidi="ar-SA"/>
        </w:rPr>
        <w:t xml:space="preserve">  </w:t>
      </w:r>
    </w:p>
    <w:p w14:paraId="71CE730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5、其他特殊说明事项详见本报告第</w:t>
      </w:r>
      <w:r>
        <w:rPr>
          <w:rFonts w:hint="eastAsia" w:ascii="仿宋_GB2312" w:hAnsi="仿宋_GB2312" w:eastAsia="仿宋_GB2312" w:cs="仿宋_GB2312"/>
          <w:bCs/>
          <w:color w:val="auto"/>
          <w:kern w:val="2"/>
          <w:sz w:val="21"/>
          <w:szCs w:val="21"/>
          <w:highlight w:val="none"/>
          <w:lang w:val="en-US" w:eastAsia="zh-CN" w:bidi="ar-SA"/>
        </w:rPr>
        <w:t>三</w:t>
      </w:r>
      <w:r>
        <w:rPr>
          <w:rFonts w:hint="eastAsia" w:ascii="仿宋_GB2312" w:hAnsi="仿宋_GB2312" w:eastAsia="仿宋_GB2312" w:cs="仿宋_GB2312"/>
          <w:bCs/>
          <w:color w:val="auto"/>
          <w:kern w:val="2"/>
          <w:sz w:val="21"/>
          <w:szCs w:val="21"/>
          <w:highlight w:val="none"/>
          <w:lang w:val="en-GB" w:eastAsia="zh-CN" w:bidi="ar-SA"/>
        </w:rPr>
        <w:t>部分第</w:t>
      </w:r>
      <w:r>
        <w:rPr>
          <w:rFonts w:hint="eastAsia" w:ascii="仿宋_GB2312" w:hAnsi="仿宋_GB2312" w:eastAsia="仿宋_GB2312" w:cs="仿宋_GB2312"/>
          <w:bCs/>
          <w:color w:val="auto"/>
          <w:kern w:val="2"/>
          <w:sz w:val="21"/>
          <w:szCs w:val="21"/>
          <w:highlight w:val="none"/>
          <w:lang w:val="en-US" w:eastAsia="zh-CN" w:bidi="ar-SA"/>
        </w:rPr>
        <w:t>三</w:t>
      </w:r>
      <w:r>
        <w:rPr>
          <w:rFonts w:hint="eastAsia" w:ascii="仿宋_GB2312" w:hAnsi="仿宋_GB2312" w:eastAsia="仿宋_GB2312" w:cs="仿宋_GB2312"/>
          <w:bCs/>
          <w:color w:val="auto"/>
          <w:kern w:val="2"/>
          <w:sz w:val="21"/>
          <w:szCs w:val="21"/>
          <w:highlight w:val="none"/>
          <w:lang w:val="en-GB" w:eastAsia="zh-CN" w:bidi="ar-SA"/>
        </w:rPr>
        <w:t>项。</w:t>
      </w:r>
    </w:p>
    <w:p w14:paraId="0EB206C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湖南兆财不动产规划评估有限公司</w:t>
      </w:r>
    </w:p>
    <w:p w14:paraId="5D3D0FD7">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rPr>
          <w:rFonts w:hint="eastAsia" w:eastAsia="仿宋_GB2312"/>
          <w:sz w:val="21"/>
          <w:szCs w:val="21"/>
          <w:highlight w:val="none"/>
          <w:lang w:eastAsia="zh-CN"/>
        </w:rPr>
        <w:sectPr>
          <w:headerReference r:id="rId11" w:type="first"/>
          <w:footerReference r:id="rId13" w:type="first"/>
          <w:headerReference r:id="rId10" w:type="default"/>
          <w:footerReference r:id="rId12" w:type="default"/>
          <w:endnotePr>
            <w:numFmt w:val="decimal"/>
          </w:endnotePr>
          <w:pgSz w:w="16838" w:h="11906" w:orient="landscape"/>
          <w:pgMar w:top="1474" w:right="1440" w:bottom="1474" w:left="1440" w:header="1134" w:footer="1247" w:gutter="0"/>
          <w:pgNumType w:fmt="decimal"/>
          <w:cols w:space="720" w:num="1"/>
          <w:titlePg/>
          <w:docGrid w:linePitch="312" w:charSpace="0"/>
        </w:sectPr>
      </w:pPr>
      <w:bookmarkStart w:id="4" w:name="_Toc27954"/>
      <w:bookmarkStart w:id="5" w:name="_Toc717"/>
      <w:r>
        <w:rPr>
          <w:rFonts w:hint="eastAsia" w:ascii="仿宋_GB2312" w:hAnsi="仿宋_GB2312" w:eastAsia="仿宋_GB2312" w:cs="仿宋_GB2312"/>
          <w:bCs/>
          <w:color w:val="auto"/>
          <w:kern w:val="2"/>
          <w:sz w:val="21"/>
          <w:szCs w:val="21"/>
          <w:highlight w:val="none"/>
          <w:lang w:val="en-GB" w:eastAsia="zh-CN" w:bidi="ar-SA"/>
        </w:rPr>
        <w:t>二〇二六年</w:t>
      </w:r>
      <w:r>
        <w:rPr>
          <w:rFonts w:hint="eastAsia" w:ascii="仿宋_GB2312" w:hAnsi="仿宋_GB2312" w:eastAsia="仿宋_GB2312" w:cs="仿宋_GB2312"/>
          <w:bCs/>
          <w:color w:val="auto"/>
          <w:kern w:val="2"/>
          <w:sz w:val="21"/>
          <w:szCs w:val="21"/>
          <w:highlight w:val="none"/>
          <w:lang w:val="en-US" w:eastAsia="zh-CN" w:bidi="ar-SA"/>
        </w:rPr>
        <w:t>二</w:t>
      </w:r>
      <w:r>
        <w:rPr>
          <w:rFonts w:hint="eastAsia" w:ascii="仿宋_GB2312" w:hAnsi="仿宋_GB2312" w:eastAsia="仿宋_GB2312" w:cs="仿宋_GB2312"/>
          <w:bCs/>
          <w:color w:val="auto"/>
          <w:kern w:val="2"/>
          <w:sz w:val="21"/>
          <w:szCs w:val="21"/>
          <w:highlight w:val="none"/>
          <w:lang w:val="en-GB" w:eastAsia="zh-CN" w:bidi="ar-SA"/>
        </w:rPr>
        <w:t>月</w:t>
      </w:r>
      <w:r>
        <w:rPr>
          <w:rFonts w:hint="eastAsia" w:ascii="仿宋_GB2312" w:hAnsi="仿宋_GB2312" w:eastAsia="仿宋_GB2312" w:cs="仿宋_GB2312"/>
          <w:bCs/>
          <w:color w:val="auto"/>
          <w:kern w:val="2"/>
          <w:sz w:val="21"/>
          <w:szCs w:val="21"/>
          <w:highlight w:val="none"/>
          <w:lang w:val="en-US" w:eastAsia="zh-CN" w:bidi="ar-SA"/>
        </w:rPr>
        <w:t>四</w:t>
      </w:r>
      <w:r>
        <w:rPr>
          <w:rFonts w:hint="eastAsia" w:ascii="仿宋_GB2312" w:hAnsi="仿宋_GB2312" w:eastAsia="仿宋_GB2312" w:cs="仿宋_GB2312"/>
          <w:bCs/>
          <w:color w:val="auto"/>
          <w:kern w:val="2"/>
          <w:sz w:val="21"/>
          <w:szCs w:val="21"/>
          <w:highlight w:val="none"/>
          <w:lang w:val="en-GB" w:eastAsia="zh-CN" w:bidi="ar-SA"/>
        </w:rPr>
        <w:t>日</w:t>
      </w:r>
    </w:p>
    <w:p w14:paraId="097071E2">
      <w:pPr>
        <w:pStyle w:val="16"/>
        <w:spacing w:before="120" w:beforeLines="50" w:after="240" w:afterLines="100" w:line="440" w:lineRule="exact"/>
        <w:ind w:firstLine="0" w:firstLineChars="0"/>
        <w:jc w:val="center"/>
        <w:outlineLvl w:val="0"/>
        <w:rPr>
          <w:rFonts w:hint="eastAsia" w:ascii="宋体" w:hAnsi="宋体" w:eastAsia="宋体" w:cs="宋体"/>
          <w:b/>
          <w:color w:val="auto"/>
          <w:sz w:val="32"/>
          <w:szCs w:val="32"/>
          <w:highlight w:val="none"/>
          <w:lang w:eastAsia="zh-CN"/>
        </w:rPr>
      </w:pPr>
      <w:r>
        <w:rPr>
          <w:rFonts w:hint="eastAsia" w:ascii="宋体" w:hAnsi="宋体" w:eastAsia="宋体" w:cs="宋体"/>
          <w:b/>
          <w:color w:val="auto"/>
          <w:sz w:val="32"/>
          <w:szCs w:val="32"/>
          <w:highlight w:val="none"/>
        </w:rPr>
        <w:t>第二部分  估价对象</w:t>
      </w:r>
      <w:bookmarkEnd w:id="4"/>
      <w:bookmarkEnd w:id="5"/>
      <w:r>
        <w:rPr>
          <w:rFonts w:hint="eastAsia" w:ascii="宋体" w:hAnsi="宋体" w:eastAsia="宋体" w:cs="宋体"/>
          <w:b/>
          <w:color w:val="auto"/>
          <w:sz w:val="32"/>
          <w:szCs w:val="32"/>
          <w:highlight w:val="none"/>
          <w:lang w:val="en-US" w:eastAsia="zh-CN"/>
        </w:rPr>
        <w:t>界定</w:t>
      </w:r>
    </w:p>
    <w:p w14:paraId="4A6078FA">
      <w:pPr>
        <w:pStyle w:val="6"/>
        <w:keepLines w:val="0"/>
        <w:pageBreakBefore w:val="0"/>
        <w:widowControl w:val="0"/>
        <w:kinsoku/>
        <w:wordWrap/>
        <w:overflowPunct/>
        <w:topLinePunct w:val="0"/>
        <w:autoSpaceDE/>
        <w:autoSpaceDN/>
        <w:bidi w:val="0"/>
        <w:spacing w:line="480" w:lineRule="exact"/>
        <w:ind w:left="0" w:firstLine="562" w:firstLineChars="200"/>
        <w:jc w:val="left"/>
        <w:textAlignment w:val="auto"/>
        <w:rPr>
          <w:rFonts w:hint="eastAsia" w:ascii="仿宋_GB2312" w:hAnsi="仿宋_GB2312" w:eastAsia="仿宋_GB2312" w:cs="仿宋_GB2312"/>
          <w:b/>
          <w:bCs w:val="0"/>
          <w:color w:val="auto"/>
          <w:kern w:val="2"/>
          <w:sz w:val="28"/>
          <w:szCs w:val="28"/>
          <w:highlight w:val="none"/>
          <w:lang w:val="en-US" w:eastAsia="zh-CN" w:bidi="ar-SA"/>
        </w:rPr>
      </w:pPr>
      <w:bookmarkStart w:id="6" w:name="_Toc7689"/>
      <w:bookmarkStart w:id="7" w:name="_Toc18157"/>
      <w:r>
        <w:rPr>
          <w:rFonts w:hint="eastAsia" w:ascii="仿宋_GB2312" w:hAnsi="仿宋_GB2312" w:eastAsia="仿宋_GB2312" w:cs="仿宋_GB2312"/>
          <w:b/>
          <w:bCs w:val="0"/>
          <w:color w:val="auto"/>
          <w:kern w:val="2"/>
          <w:sz w:val="28"/>
          <w:szCs w:val="28"/>
          <w:highlight w:val="none"/>
          <w:lang w:val="en-US" w:eastAsia="zh-CN" w:bidi="ar-SA"/>
        </w:rPr>
        <w:t>一、委托估价方</w:t>
      </w:r>
    </w:p>
    <w:p w14:paraId="13DABA3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GB" w:eastAsia="zh-CN"/>
        </w:rPr>
        <w:t>委托估价方</w:t>
      </w:r>
      <w:r>
        <w:rPr>
          <w:rFonts w:hint="eastAsia" w:ascii="仿宋_GB2312" w:hAnsi="仿宋_GB2312" w:eastAsia="仿宋_GB2312" w:cs="仿宋_GB2312"/>
          <w:bCs/>
          <w:sz w:val="28"/>
          <w:szCs w:val="28"/>
          <w:highlight w:val="none"/>
          <w:lang w:val="en-US" w:eastAsia="zh-CN"/>
        </w:rPr>
        <w:t>：通道侗族自治县自然资源局</w:t>
      </w:r>
    </w:p>
    <w:p w14:paraId="29FA0B9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社会统一信用代码：11431230MB16183635</w:t>
      </w:r>
    </w:p>
    <w:p w14:paraId="36DFA20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sz w:val="28"/>
          <w:szCs w:val="28"/>
          <w:highlight w:val="none"/>
          <w:lang w:val="en-US" w:eastAsia="zh-CN"/>
        </w:rPr>
        <w:t>负责人：</w:t>
      </w:r>
      <w:r>
        <w:rPr>
          <w:rFonts w:hint="eastAsia" w:ascii="仿宋_GB2312" w:hAnsi="仿宋_GB2312" w:eastAsia="仿宋_GB2312" w:cs="仿宋_GB2312"/>
          <w:bCs/>
          <w:color w:val="auto"/>
          <w:sz w:val="28"/>
          <w:szCs w:val="28"/>
          <w:highlight w:val="none"/>
          <w:lang w:val="en-US" w:eastAsia="zh-CN"/>
        </w:rPr>
        <w:t>杨理雄</w:t>
      </w:r>
    </w:p>
    <w:p w14:paraId="0C8DE79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机构性质：机关</w:t>
      </w:r>
    </w:p>
    <w:p w14:paraId="0C23AF6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机构地址：湖南省怀化市通道侗族自治县双江镇友谊街3号</w:t>
      </w:r>
    </w:p>
    <w:p w14:paraId="3A60FE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w:t>
      </w:r>
      <w:r>
        <w:rPr>
          <w:rFonts w:hint="eastAsia" w:ascii="仿宋_GB2312" w:eastAsia="仿宋_GB2312"/>
          <w:color w:val="000000" w:themeColor="text1"/>
          <w:sz w:val="28"/>
          <w:szCs w:val="30"/>
          <w:highlight w:val="none"/>
          <w:lang w:val="en-US" w:eastAsia="zh-CN"/>
          <w14:textFill>
            <w14:solidFill>
              <w14:schemeClr w14:val="tx1"/>
            </w14:solidFill>
          </w14:textFill>
        </w:rPr>
        <w:t>袁</w:t>
      </w:r>
      <w:r>
        <w:rPr>
          <w:rFonts w:hint="eastAsia" w:ascii="仿宋_GB2312" w:eastAsia="仿宋_GB2312"/>
          <w:color w:val="000000" w:themeColor="text1"/>
          <w:sz w:val="28"/>
          <w:szCs w:val="30"/>
          <w:highlight w:val="none"/>
          <w14:textFill>
            <w14:solidFill>
              <w14:schemeClr w14:val="tx1"/>
            </w14:solidFill>
          </w14:textFill>
        </w:rPr>
        <w:t>先生</w:t>
      </w:r>
    </w:p>
    <w:p w14:paraId="3FACC35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eastAsia="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联系电话：13</w:t>
      </w:r>
      <w:r>
        <w:rPr>
          <w:rFonts w:hint="eastAsia" w:ascii="仿宋_GB2312" w:eastAsia="仿宋_GB2312"/>
          <w:color w:val="000000" w:themeColor="text1"/>
          <w:sz w:val="28"/>
          <w:szCs w:val="28"/>
          <w:highlight w:val="none"/>
          <w:lang w:val="en-US" w:eastAsia="zh-CN"/>
          <w14:textFill>
            <w14:solidFill>
              <w14:schemeClr w14:val="tx1"/>
            </w14:solidFill>
          </w14:textFill>
        </w:rPr>
        <w:t>974595151</w:t>
      </w:r>
    </w:p>
    <w:p w14:paraId="41D3744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邮    编：418500</w:t>
      </w:r>
    </w:p>
    <w:p w14:paraId="0F06E41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highlight w:val="none"/>
          <w:lang w:val="en-US" w:eastAsia="zh-CN"/>
        </w:rPr>
      </w:pPr>
      <w:r>
        <w:rPr>
          <w:rFonts w:hint="eastAsia" w:ascii="仿宋_GB2312" w:hAnsi="仿宋_GB2312" w:eastAsia="仿宋_GB2312" w:cs="仿宋_GB2312"/>
          <w:bCs/>
          <w:sz w:val="28"/>
          <w:szCs w:val="28"/>
          <w:highlight w:val="none"/>
          <w:lang w:val="en-GB" w:eastAsia="zh-CN"/>
        </w:rPr>
        <w:t>与估价对象土地使用者之间的关系：</w:t>
      </w:r>
      <w:r>
        <w:rPr>
          <w:rFonts w:hint="eastAsia" w:ascii="仿宋_GB2312" w:hAnsi="仿宋_GB2312" w:eastAsia="仿宋_GB2312" w:cs="仿宋_GB2312"/>
          <w:bCs/>
          <w:sz w:val="28"/>
          <w:szCs w:val="28"/>
          <w:highlight w:val="none"/>
          <w:lang w:val="en-US" w:eastAsia="zh-CN"/>
        </w:rPr>
        <w:t>委托方为通道侗族自治县自然资源局，土地使用者为通道侗族自治县国有资产监督管理办公室</w:t>
      </w:r>
      <w:r>
        <w:rPr>
          <w:rFonts w:hint="eastAsia" w:ascii="仿宋_GB2312" w:hAnsi="仿宋_GB2312" w:eastAsia="仿宋_GB2312" w:cs="仿宋_GB2312"/>
          <w:bCs/>
          <w:sz w:val="28"/>
          <w:szCs w:val="28"/>
          <w:highlight w:val="none"/>
          <w:lang w:eastAsia="zh-CN"/>
        </w:rPr>
        <w:t>。</w:t>
      </w:r>
    </w:p>
    <w:p w14:paraId="6A91FAE1">
      <w:pPr>
        <w:pStyle w:val="6"/>
        <w:keepLines w:val="0"/>
        <w:pageBreakBefore w:val="0"/>
        <w:widowControl w:val="0"/>
        <w:kinsoku/>
        <w:wordWrap/>
        <w:overflowPunct/>
        <w:topLinePunct w:val="0"/>
        <w:autoSpaceDE/>
        <w:autoSpaceDN/>
        <w:bidi w:val="0"/>
        <w:spacing w:line="480" w:lineRule="exact"/>
        <w:ind w:left="0" w:firstLine="562" w:firstLineChars="200"/>
        <w:jc w:val="left"/>
        <w:textAlignment w:val="auto"/>
        <w:rPr>
          <w:rFonts w:hint="eastAsia" w:ascii="仿宋_GB2312" w:hAnsi="仿宋_GB2312" w:eastAsia="仿宋_GB2312" w:cs="仿宋_GB2312"/>
          <w:b/>
          <w:bCs w:val="0"/>
          <w:color w:val="auto"/>
          <w:kern w:val="2"/>
          <w:sz w:val="28"/>
          <w:szCs w:val="28"/>
          <w:highlight w:val="none"/>
          <w:lang w:val="en-US" w:eastAsia="zh-CN" w:bidi="ar-SA"/>
        </w:rPr>
      </w:pPr>
      <w:r>
        <w:rPr>
          <w:rFonts w:hint="eastAsia" w:ascii="仿宋_GB2312" w:hAnsi="仿宋_GB2312" w:eastAsia="仿宋_GB2312" w:cs="仿宋_GB2312"/>
          <w:b/>
          <w:bCs w:val="0"/>
          <w:color w:val="auto"/>
          <w:kern w:val="2"/>
          <w:sz w:val="28"/>
          <w:szCs w:val="28"/>
          <w:highlight w:val="none"/>
          <w:lang w:val="en-US" w:eastAsia="zh-CN" w:bidi="ar-SA"/>
        </w:rPr>
        <w:t>二、估价对象</w:t>
      </w:r>
    </w:p>
    <w:p w14:paraId="1D785814">
      <w:pPr>
        <w:keepLines w:val="0"/>
        <w:pageBreakBefore w:val="0"/>
        <w:widowControl w:val="0"/>
        <w:tabs>
          <w:tab w:val="left" w:pos="975"/>
        </w:tabs>
        <w:kinsoku/>
        <w:wordWrap/>
        <w:overflowPunct/>
        <w:topLinePunct w:val="0"/>
        <w:autoSpaceDE/>
        <w:autoSpaceDN/>
        <w:bidi w:val="0"/>
        <w:spacing w:line="480" w:lineRule="exact"/>
        <w:ind w:left="0" w:firstLine="560" w:firstLineChars="200"/>
        <w:jc w:val="left"/>
        <w:textAlignment w:val="auto"/>
        <w:outlineLvl w:val="9"/>
        <w:rPr>
          <w:rFonts w:hint="eastAsia" w:ascii="仿宋_GB2312" w:hAnsi="仿宋_GB2312" w:eastAsia="仿宋_GB2312" w:cs="仿宋_GB2312"/>
          <w:color w:val="auto"/>
          <w:sz w:val="28"/>
          <w:szCs w:val="30"/>
          <w:highlight w:val="none"/>
          <w:lang w:val="en-GB" w:eastAsia="zh-CN"/>
        </w:rPr>
      </w:pPr>
      <w:r>
        <w:rPr>
          <w:rFonts w:hint="eastAsia" w:ascii="仿宋_GB2312" w:hAnsi="仿宋_GB2312" w:eastAsia="仿宋_GB2312" w:cs="仿宋_GB2312"/>
          <w:color w:val="auto"/>
          <w:sz w:val="28"/>
          <w:szCs w:val="30"/>
          <w:highlight w:val="none"/>
          <w:lang w:val="en-US" w:eastAsia="zh-CN"/>
        </w:rPr>
        <w:t>估价对象为位于通道县双江镇行政街的一宗土地，</w:t>
      </w:r>
      <w:r>
        <w:rPr>
          <w:rFonts w:hint="eastAsia" w:ascii="仿宋_GB2312" w:hAnsi="仿宋_GB2312" w:eastAsia="仿宋_GB2312" w:cs="仿宋_GB2312"/>
          <w:bCs/>
          <w:color w:val="auto"/>
          <w:kern w:val="2"/>
          <w:sz w:val="28"/>
          <w:szCs w:val="28"/>
          <w:highlight w:val="none"/>
          <w:lang w:val="en-GB" w:eastAsia="zh-CN" w:bidi="ar-SA"/>
        </w:rPr>
        <w:t>东临双江镇市场，南临县政府办，西临行政街，北临县政法委</w:t>
      </w:r>
      <w:r>
        <w:rPr>
          <w:rFonts w:hint="eastAsia" w:ascii="仿宋_GB2312" w:hAnsi="仿宋_GB2312" w:eastAsia="仿宋_GB2312" w:cs="仿宋_GB2312"/>
          <w:color w:val="auto"/>
          <w:sz w:val="28"/>
          <w:szCs w:val="30"/>
          <w:highlight w:val="none"/>
          <w:lang w:val="en-US" w:eastAsia="zh-CN"/>
        </w:rPr>
        <w:t>。根据《土地资产评估委托书》，本次评估土地面积183.27平方米，估价期日2026年2月3日，土地用途为住宅用地，容积率为现状容积率4.07。</w:t>
      </w:r>
      <w:r>
        <w:rPr>
          <w:rFonts w:hint="eastAsia" w:ascii="仿宋_GB2312" w:hAnsi="仿宋_GB2312" w:eastAsia="仿宋_GB2312" w:cs="仿宋_GB2312"/>
          <w:color w:val="auto"/>
          <w:sz w:val="28"/>
          <w:szCs w:val="30"/>
          <w:highlight w:val="none"/>
          <w:lang w:val="en-GB" w:eastAsia="zh-CN"/>
        </w:rPr>
        <w:t>土地开发程度为宗地红线外“五通”（即通路、通电、供水、排水、通讯），宗地红线内场地平整。</w:t>
      </w:r>
    </w:p>
    <w:p w14:paraId="169DDAD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color w:val="auto"/>
          <w:sz w:val="28"/>
          <w:szCs w:val="30"/>
          <w:highlight w:val="none"/>
          <w:lang w:val="en-GB" w:eastAsia="zh-CN"/>
        </w:rPr>
      </w:pPr>
      <w:r>
        <w:rPr>
          <w:rFonts w:hint="eastAsia" w:ascii="仿宋_GB2312" w:hAnsi="仿宋_GB2312" w:eastAsia="仿宋_GB2312" w:cs="仿宋_GB2312"/>
          <w:color w:val="auto"/>
          <w:sz w:val="28"/>
          <w:szCs w:val="30"/>
          <w:highlight w:val="none"/>
          <w:lang w:val="en-US" w:eastAsia="zh-CN"/>
        </w:rPr>
        <w:t>估价对象仅为土地使用权，不包含地上附属物、构筑物及地下空间权</w:t>
      </w:r>
      <w:r>
        <w:rPr>
          <w:rFonts w:hint="eastAsia" w:ascii="仿宋_GB2312" w:hAnsi="仿宋_GB2312" w:eastAsia="仿宋_GB2312" w:cs="仿宋_GB2312"/>
          <w:color w:val="auto"/>
          <w:sz w:val="28"/>
          <w:szCs w:val="30"/>
          <w:highlight w:val="none"/>
          <w:lang w:val="en-GB" w:eastAsia="zh-CN"/>
        </w:rPr>
        <w:t>。</w:t>
      </w:r>
    </w:p>
    <w:p w14:paraId="505F3B7F">
      <w:pPr>
        <w:pStyle w:val="6"/>
        <w:keepLines w:val="0"/>
        <w:pageBreakBefore w:val="0"/>
        <w:widowControl w:val="0"/>
        <w:kinsoku/>
        <w:wordWrap/>
        <w:overflowPunct/>
        <w:topLinePunct w:val="0"/>
        <w:autoSpaceDE/>
        <w:autoSpaceDN/>
        <w:bidi w:val="0"/>
        <w:spacing w:line="480" w:lineRule="exact"/>
        <w:ind w:left="0" w:firstLine="562" w:firstLineChars="200"/>
        <w:jc w:val="left"/>
        <w:textAlignment w:val="auto"/>
        <w:rPr>
          <w:rFonts w:hint="eastAsia" w:ascii="仿宋_GB2312" w:hAnsi="仿宋_GB2312" w:eastAsia="仿宋_GB2312" w:cs="仿宋_GB2312"/>
          <w:b/>
          <w:bCs w:val="0"/>
          <w:color w:val="auto"/>
          <w:kern w:val="2"/>
          <w:sz w:val="28"/>
          <w:szCs w:val="28"/>
          <w:highlight w:val="none"/>
          <w:lang w:val="en-US" w:eastAsia="zh-CN" w:bidi="ar-SA"/>
        </w:rPr>
      </w:pPr>
      <w:r>
        <w:rPr>
          <w:rFonts w:hint="eastAsia" w:ascii="仿宋_GB2312" w:hAnsi="仿宋_GB2312" w:eastAsia="仿宋_GB2312" w:cs="仿宋_GB2312"/>
          <w:b/>
          <w:bCs w:val="0"/>
          <w:color w:val="auto"/>
          <w:kern w:val="2"/>
          <w:sz w:val="28"/>
          <w:szCs w:val="28"/>
          <w:highlight w:val="none"/>
          <w:lang w:val="en-US" w:eastAsia="zh-CN" w:bidi="ar-SA"/>
        </w:rPr>
        <w:t>三、估价对象</w:t>
      </w:r>
      <w:bookmarkEnd w:id="6"/>
      <w:bookmarkEnd w:id="7"/>
      <w:r>
        <w:rPr>
          <w:rFonts w:hint="eastAsia" w:ascii="仿宋_GB2312" w:hAnsi="仿宋_GB2312" w:eastAsia="仿宋_GB2312" w:cs="仿宋_GB2312"/>
          <w:b/>
          <w:bCs w:val="0"/>
          <w:color w:val="auto"/>
          <w:kern w:val="2"/>
          <w:sz w:val="28"/>
          <w:szCs w:val="28"/>
          <w:highlight w:val="none"/>
          <w:lang w:val="en-US" w:eastAsia="zh-CN" w:bidi="ar-SA"/>
        </w:rPr>
        <w:t>概况</w:t>
      </w:r>
    </w:p>
    <w:p w14:paraId="1C766798">
      <w:pPr>
        <w:pStyle w:val="7"/>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 w:hAnsi="仿宋" w:eastAsia="仿宋" w:cs="仿宋"/>
          <w:bCs/>
          <w:sz w:val="28"/>
          <w:szCs w:val="28"/>
          <w:highlight w:val="none"/>
        </w:rPr>
        <w:t>1、</w:t>
      </w:r>
      <w:r>
        <w:rPr>
          <w:rFonts w:hint="eastAsia" w:ascii="仿宋_GB2312" w:hAnsi="仿宋_GB2312" w:eastAsia="仿宋_GB2312" w:cs="仿宋_GB2312"/>
          <w:bCs/>
          <w:color w:val="auto"/>
          <w:kern w:val="2"/>
          <w:sz w:val="28"/>
          <w:szCs w:val="28"/>
          <w:highlight w:val="none"/>
          <w:lang w:val="en-GB" w:eastAsia="zh-CN" w:bidi="ar-SA"/>
        </w:rPr>
        <w:t>土地登记状况</w:t>
      </w:r>
    </w:p>
    <w:p w14:paraId="32333431">
      <w:pPr>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估价对象的权属性质、权源及权属变更情况：</w:t>
      </w:r>
      <w:r>
        <w:rPr>
          <w:rFonts w:hint="eastAsia" w:ascii="仿宋_GB2312" w:hAnsi="仿宋_GB2312" w:eastAsia="仿宋_GB2312" w:cs="仿宋_GB2312"/>
          <w:bCs/>
          <w:color w:val="auto"/>
          <w:kern w:val="2"/>
          <w:sz w:val="28"/>
          <w:szCs w:val="28"/>
          <w:highlight w:val="none"/>
          <w:lang w:val="en-US" w:eastAsia="zh-CN" w:bidi="ar-SA"/>
        </w:rPr>
        <w:t>根据《房屋所有权证》（通房权证双江字第201517109号）,估价对象位于通道县双江镇行政街331/1-2幢整栋，根据</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土地分户分摊面积明细表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分摊土地使用权面积</w:t>
      </w:r>
      <w:r>
        <w:rPr>
          <w:rFonts w:hint="eastAsia" w:ascii="仿宋_GB2312" w:hAnsi="仿宋_GB2312" w:eastAsia="仿宋_GB2312" w:cs="仿宋_GB2312"/>
          <w:bCs/>
          <w:color w:val="auto"/>
          <w:kern w:val="2"/>
          <w:sz w:val="28"/>
          <w:szCs w:val="28"/>
          <w:highlight w:val="none"/>
          <w:lang w:val="en-US" w:eastAsia="zh-CN" w:bidi="ar-SA"/>
        </w:rPr>
        <w:t>合计</w:t>
      </w:r>
      <w:r>
        <w:rPr>
          <w:rFonts w:hint="default"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183.27平方米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土地资产评估委托书</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资料，</w:t>
      </w:r>
      <w:r>
        <w:rPr>
          <w:rFonts w:hint="default" w:ascii="仿宋_GB2312" w:hAnsi="仿宋_GB2312" w:eastAsia="仿宋_GB2312" w:cs="仿宋_GB2312"/>
          <w:bCs/>
          <w:color w:val="auto"/>
          <w:kern w:val="2"/>
          <w:sz w:val="28"/>
          <w:szCs w:val="28"/>
          <w:highlight w:val="none"/>
          <w:lang w:val="en-GB" w:eastAsia="zh-CN" w:bidi="ar-SA"/>
        </w:rPr>
        <w:t>委托方拟按现状利用条件为其办理土地使用权出让手续。</w:t>
      </w:r>
      <w:r>
        <w:rPr>
          <w:rFonts w:hint="eastAsia" w:ascii="仿宋_GB2312" w:hAnsi="仿宋_GB2312" w:eastAsia="仿宋_GB2312" w:cs="仿宋_GB2312"/>
          <w:bCs/>
          <w:color w:val="auto"/>
          <w:kern w:val="2"/>
          <w:sz w:val="28"/>
          <w:szCs w:val="28"/>
          <w:highlight w:val="none"/>
          <w:lang w:val="en-US" w:eastAsia="zh-CN" w:bidi="ar-SA"/>
        </w:rPr>
        <w:t>根据</w:t>
      </w:r>
      <w:r>
        <w:rPr>
          <w:rFonts w:hint="default" w:ascii="仿宋_GB2312" w:hAnsi="仿宋_GB2312" w:eastAsia="仿宋_GB2312" w:cs="仿宋_GB2312"/>
          <w:bCs/>
          <w:color w:val="auto"/>
          <w:kern w:val="2"/>
          <w:sz w:val="28"/>
          <w:szCs w:val="28"/>
          <w:highlight w:val="none"/>
          <w:lang w:val="en-GB" w:eastAsia="zh-CN" w:bidi="ar-SA"/>
        </w:rPr>
        <w:t>委托方提供的</w:t>
      </w:r>
      <w:r>
        <w:rPr>
          <w:rFonts w:hint="eastAsia" w:ascii="仿宋_GB2312" w:hAnsi="仿宋_GB2312" w:eastAsia="仿宋_GB2312" w:cs="仿宋_GB2312"/>
          <w:bCs/>
          <w:color w:val="auto"/>
          <w:kern w:val="2"/>
          <w:sz w:val="28"/>
          <w:szCs w:val="28"/>
          <w:highlight w:val="none"/>
          <w:lang w:val="en-GB" w:eastAsia="zh-CN" w:bidi="ar-SA"/>
        </w:rPr>
        <w:t>《国有土地使用证》（通国用（2014）第000327号）</w:t>
      </w:r>
      <w:r>
        <w:rPr>
          <w:rFonts w:hint="default" w:ascii="仿宋_GB2312" w:hAnsi="仿宋_GB2312" w:eastAsia="仿宋_GB2312" w:cs="仿宋_GB2312"/>
          <w:bCs/>
          <w:color w:val="auto"/>
          <w:kern w:val="2"/>
          <w:sz w:val="28"/>
          <w:szCs w:val="28"/>
          <w:highlight w:val="none"/>
          <w:lang w:val="en-GB" w:eastAsia="zh-CN" w:bidi="ar-SA"/>
        </w:rPr>
        <w:t>，估价对象所属宗地由</w:t>
      </w:r>
      <w:r>
        <w:rPr>
          <w:rFonts w:hint="eastAsia" w:ascii="仿宋_GB2312" w:hAnsi="仿宋_GB2312" w:eastAsia="仿宋_GB2312" w:cs="仿宋_GB2312"/>
          <w:bCs/>
          <w:color w:val="auto"/>
          <w:kern w:val="2"/>
          <w:sz w:val="28"/>
          <w:szCs w:val="28"/>
          <w:highlight w:val="none"/>
          <w:lang w:val="en-US" w:eastAsia="zh-CN" w:bidi="ar-SA"/>
        </w:rPr>
        <w:t>通道侗族自治县国有资产监督管理办公室</w:t>
      </w:r>
      <w:r>
        <w:rPr>
          <w:rFonts w:hint="default" w:ascii="仿宋_GB2312" w:hAnsi="仿宋_GB2312" w:eastAsia="仿宋_GB2312" w:cs="仿宋_GB2312"/>
          <w:bCs/>
          <w:color w:val="auto"/>
          <w:kern w:val="2"/>
          <w:sz w:val="28"/>
          <w:szCs w:val="28"/>
          <w:highlight w:val="none"/>
          <w:lang w:val="en-GB" w:eastAsia="zh-CN" w:bidi="ar-SA"/>
        </w:rPr>
        <w:t>通过</w:t>
      </w:r>
      <w:r>
        <w:rPr>
          <w:rFonts w:hint="eastAsia" w:ascii="仿宋_GB2312" w:hAnsi="仿宋_GB2312" w:eastAsia="仿宋_GB2312" w:cs="仿宋_GB2312"/>
          <w:bCs/>
          <w:color w:val="auto"/>
          <w:kern w:val="2"/>
          <w:sz w:val="28"/>
          <w:szCs w:val="28"/>
          <w:highlight w:val="none"/>
          <w:lang w:val="en-US" w:eastAsia="zh-CN" w:bidi="ar-SA"/>
        </w:rPr>
        <w:t>国有</w:t>
      </w:r>
      <w:r>
        <w:rPr>
          <w:rFonts w:hint="default" w:ascii="仿宋_GB2312" w:hAnsi="仿宋_GB2312" w:eastAsia="仿宋_GB2312" w:cs="仿宋_GB2312"/>
          <w:bCs/>
          <w:color w:val="auto"/>
          <w:kern w:val="2"/>
          <w:sz w:val="28"/>
          <w:szCs w:val="28"/>
          <w:highlight w:val="none"/>
          <w:lang w:val="en-GB" w:eastAsia="zh-CN" w:bidi="ar-SA"/>
        </w:rPr>
        <w:t>划拨方式取得，并于</w:t>
      </w:r>
      <w:r>
        <w:rPr>
          <w:rFonts w:hint="eastAsia" w:ascii="仿宋_GB2312" w:hAnsi="仿宋_GB2312" w:eastAsia="仿宋_GB2312" w:cs="仿宋_GB2312"/>
          <w:bCs/>
          <w:color w:val="auto"/>
          <w:kern w:val="2"/>
          <w:sz w:val="28"/>
          <w:szCs w:val="28"/>
          <w:highlight w:val="none"/>
          <w:lang w:val="en-US" w:eastAsia="zh-CN" w:bidi="ar-SA"/>
        </w:rPr>
        <w:t>2014</w:t>
      </w:r>
      <w:r>
        <w:rPr>
          <w:rFonts w:hint="default" w:ascii="仿宋_GB2312" w:hAnsi="仿宋_GB2312" w:eastAsia="仿宋_GB2312" w:cs="仿宋_GB2312"/>
          <w:bCs/>
          <w:color w:val="auto"/>
          <w:kern w:val="2"/>
          <w:sz w:val="28"/>
          <w:szCs w:val="28"/>
          <w:highlight w:val="none"/>
          <w:lang w:val="en-GB" w:eastAsia="zh-CN" w:bidi="ar-SA"/>
        </w:rPr>
        <w:t>年</w:t>
      </w:r>
      <w:r>
        <w:rPr>
          <w:rFonts w:hint="eastAsia" w:ascii="仿宋_GB2312" w:hAnsi="仿宋_GB2312" w:eastAsia="仿宋_GB2312" w:cs="仿宋_GB2312"/>
          <w:bCs/>
          <w:color w:val="auto"/>
          <w:kern w:val="2"/>
          <w:sz w:val="28"/>
          <w:szCs w:val="28"/>
          <w:highlight w:val="none"/>
          <w:lang w:val="en-US" w:eastAsia="zh-CN" w:bidi="ar-SA"/>
        </w:rPr>
        <w:t>9</w:t>
      </w:r>
      <w:r>
        <w:rPr>
          <w:rFonts w:hint="default" w:ascii="仿宋_GB2312" w:hAnsi="仿宋_GB2312" w:eastAsia="仿宋_GB2312" w:cs="仿宋_GB2312"/>
          <w:bCs/>
          <w:color w:val="auto"/>
          <w:kern w:val="2"/>
          <w:sz w:val="28"/>
          <w:szCs w:val="28"/>
          <w:highlight w:val="none"/>
          <w:lang w:val="en-GB" w:eastAsia="zh-CN" w:bidi="ar-SA"/>
        </w:rPr>
        <w:t>月</w:t>
      </w:r>
      <w:r>
        <w:rPr>
          <w:rFonts w:hint="eastAsia" w:ascii="仿宋_GB2312" w:hAnsi="仿宋_GB2312" w:eastAsia="仿宋_GB2312" w:cs="仿宋_GB2312"/>
          <w:bCs/>
          <w:color w:val="auto"/>
          <w:kern w:val="2"/>
          <w:sz w:val="28"/>
          <w:szCs w:val="28"/>
          <w:highlight w:val="none"/>
          <w:lang w:val="en-US" w:eastAsia="zh-CN" w:bidi="ar-SA"/>
        </w:rPr>
        <w:t>18日</w:t>
      </w:r>
      <w:r>
        <w:rPr>
          <w:rFonts w:hint="default" w:ascii="仿宋_GB2312" w:hAnsi="仿宋_GB2312" w:eastAsia="仿宋_GB2312" w:cs="仿宋_GB2312"/>
          <w:bCs/>
          <w:color w:val="auto"/>
          <w:kern w:val="2"/>
          <w:sz w:val="28"/>
          <w:szCs w:val="28"/>
          <w:highlight w:val="none"/>
          <w:lang w:val="en-GB" w:eastAsia="zh-CN" w:bidi="ar-SA"/>
        </w:rPr>
        <w:t>取得</w:t>
      </w:r>
      <w:r>
        <w:rPr>
          <w:rFonts w:hint="eastAsia" w:ascii="仿宋_GB2312" w:hAnsi="仿宋_GB2312" w:eastAsia="仿宋_GB2312" w:cs="仿宋_GB2312"/>
          <w:bCs/>
          <w:color w:val="auto"/>
          <w:kern w:val="2"/>
          <w:sz w:val="28"/>
          <w:szCs w:val="28"/>
          <w:highlight w:val="none"/>
          <w:lang w:val="en-US" w:eastAsia="zh-CN" w:bidi="ar-SA"/>
        </w:rPr>
        <w:t>通道县</w:t>
      </w:r>
      <w:r>
        <w:rPr>
          <w:rFonts w:hint="default" w:ascii="仿宋_GB2312" w:hAnsi="仿宋_GB2312" w:eastAsia="仿宋_GB2312" w:cs="仿宋_GB2312"/>
          <w:bCs/>
          <w:color w:val="auto"/>
          <w:kern w:val="2"/>
          <w:sz w:val="28"/>
          <w:szCs w:val="28"/>
          <w:highlight w:val="none"/>
          <w:lang w:val="en-GB" w:eastAsia="zh-CN" w:bidi="ar-SA"/>
        </w:rPr>
        <w:t>人民政府颁发的</w:t>
      </w:r>
      <w:r>
        <w:rPr>
          <w:rFonts w:hint="eastAsia" w:ascii="仿宋_GB2312" w:hAnsi="仿宋_GB2312" w:eastAsia="仿宋_GB2312" w:cs="仿宋_GB2312"/>
          <w:bCs/>
          <w:color w:val="auto"/>
          <w:kern w:val="2"/>
          <w:sz w:val="28"/>
          <w:szCs w:val="28"/>
          <w:highlight w:val="none"/>
          <w:lang w:val="en-GB" w:eastAsia="zh-CN" w:bidi="ar-SA"/>
        </w:rPr>
        <w:t>《国有土地使用证》（通国用（2014）第000327号）详细登记状况如下：</w:t>
      </w:r>
    </w:p>
    <w:p w14:paraId="1275D1A3">
      <w:pPr>
        <w:keepLines w:val="0"/>
        <w:pageBreakBefore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国土证书登记号：NO.</w:t>
      </w:r>
      <w:r>
        <w:rPr>
          <w:rFonts w:hint="eastAsia" w:ascii="仿宋_GB2312" w:hAnsi="仿宋_GB2312" w:eastAsia="仿宋_GB2312" w:cs="仿宋_GB2312"/>
          <w:bCs/>
          <w:color w:val="auto"/>
          <w:kern w:val="2"/>
          <w:sz w:val="28"/>
          <w:szCs w:val="28"/>
          <w:highlight w:val="none"/>
          <w:lang w:val="en-US" w:eastAsia="zh-CN" w:bidi="ar-SA"/>
        </w:rPr>
        <w:t>031501685</w:t>
      </w:r>
      <w:r>
        <w:rPr>
          <w:rFonts w:hint="eastAsia" w:ascii="仿宋_GB2312" w:hAnsi="仿宋_GB2312" w:eastAsia="仿宋_GB2312" w:cs="仿宋_GB2312"/>
          <w:bCs/>
          <w:color w:val="auto"/>
          <w:kern w:val="2"/>
          <w:sz w:val="28"/>
          <w:szCs w:val="28"/>
          <w:highlight w:val="none"/>
          <w:lang w:val="en-GB" w:eastAsia="zh-CN" w:bidi="ar-SA"/>
        </w:rPr>
        <w:t>;</w:t>
      </w:r>
    </w:p>
    <w:p w14:paraId="3B2CB6F8">
      <w:pPr>
        <w:keepLines w:val="0"/>
        <w:pageBreakBefore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国有土地使用证号：通国用（2014）第000327号；</w:t>
      </w:r>
    </w:p>
    <w:p w14:paraId="4B3F4D44">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土地使用权人：</w:t>
      </w:r>
      <w:r>
        <w:rPr>
          <w:rFonts w:hint="eastAsia" w:ascii="仿宋_GB2312" w:hAnsi="仿宋_GB2312" w:eastAsia="仿宋_GB2312" w:cs="仿宋_GB2312"/>
          <w:bCs/>
          <w:color w:val="auto"/>
          <w:kern w:val="2"/>
          <w:sz w:val="28"/>
          <w:szCs w:val="28"/>
          <w:highlight w:val="none"/>
          <w:lang w:val="en-US" w:eastAsia="zh-CN" w:bidi="ar-SA"/>
        </w:rPr>
        <w:t>通道侗族自治县国有资产监督管理办公室</w:t>
      </w:r>
      <w:r>
        <w:rPr>
          <w:rFonts w:hint="default" w:ascii="仿宋_GB2312" w:hAnsi="仿宋_GB2312" w:eastAsia="仿宋_GB2312" w:cs="仿宋_GB2312"/>
          <w:bCs/>
          <w:color w:val="auto"/>
          <w:kern w:val="2"/>
          <w:sz w:val="28"/>
          <w:szCs w:val="28"/>
          <w:highlight w:val="none"/>
          <w:lang w:val="en-GB" w:eastAsia="zh-CN" w:bidi="ar-SA"/>
        </w:rPr>
        <w:t>；</w:t>
      </w:r>
    </w:p>
    <w:p w14:paraId="2EA38E81">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图号：</w:t>
      </w:r>
      <w:r>
        <w:rPr>
          <w:rFonts w:hint="eastAsia" w:ascii="仿宋_GB2312" w:hAnsi="仿宋_GB2312" w:eastAsia="仿宋_GB2312" w:cs="仿宋_GB2312"/>
          <w:bCs/>
          <w:color w:val="auto"/>
          <w:kern w:val="2"/>
          <w:sz w:val="28"/>
          <w:szCs w:val="28"/>
          <w:highlight w:val="none"/>
          <w:lang w:val="en-US" w:eastAsia="zh-CN" w:bidi="ar-SA"/>
        </w:rPr>
        <w:t>/</w:t>
      </w:r>
      <w:r>
        <w:rPr>
          <w:rFonts w:hint="default" w:ascii="仿宋_GB2312" w:hAnsi="仿宋_GB2312" w:eastAsia="仿宋_GB2312" w:cs="仿宋_GB2312"/>
          <w:bCs/>
          <w:color w:val="auto"/>
          <w:kern w:val="2"/>
          <w:sz w:val="28"/>
          <w:szCs w:val="28"/>
          <w:highlight w:val="none"/>
          <w:lang w:val="en-GB" w:eastAsia="zh-CN" w:bidi="ar-SA"/>
        </w:rPr>
        <w:t>；</w:t>
      </w:r>
    </w:p>
    <w:p w14:paraId="72FC872A">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地号：</w:t>
      </w:r>
      <w:r>
        <w:rPr>
          <w:rFonts w:hint="eastAsia" w:ascii="仿宋_GB2312" w:hAnsi="仿宋_GB2312" w:eastAsia="仿宋_GB2312" w:cs="仿宋_GB2312"/>
          <w:bCs/>
          <w:color w:val="auto"/>
          <w:kern w:val="2"/>
          <w:sz w:val="28"/>
          <w:szCs w:val="28"/>
          <w:highlight w:val="none"/>
          <w:lang w:val="en-US" w:eastAsia="zh-CN" w:bidi="ar-SA"/>
        </w:rPr>
        <w:t>/</w:t>
      </w:r>
      <w:r>
        <w:rPr>
          <w:rFonts w:hint="default" w:ascii="仿宋_GB2312" w:hAnsi="仿宋_GB2312" w:eastAsia="仿宋_GB2312" w:cs="仿宋_GB2312"/>
          <w:bCs/>
          <w:color w:val="auto"/>
          <w:kern w:val="2"/>
          <w:sz w:val="28"/>
          <w:szCs w:val="28"/>
          <w:highlight w:val="none"/>
          <w:lang w:val="en-GB" w:eastAsia="zh-CN" w:bidi="ar-SA"/>
        </w:rPr>
        <w:t>；</w:t>
      </w:r>
    </w:p>
    <w:p w14:paraId="6BD5B34A">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坐落：</w:t>
      </w:r>
      <w:r>
        <w:rPr>
          <w:rFonts w:hint="eastAsia" w:ascii="仿宋_GB2312" w:hAnsi="仿宋_GB2312" w:eastAsia="仿宋_GB2312" w:cs="仿宋_GB2312"/>
          <w:bCs/>
          <w:color w:val="auto"/>
          <w:kern w:val="2"/>
          <w:sz w:val="28"/>
          <w:szCs w:val="28"/>
          <w:highlight w:val="none"/>
          <w:lang w:val="en-US" w:eastAsia="zh-CN" w:bidi="ar-SA"/>
        </w:rPr>
        <w:t>双江镇行政街</w:t>
      </w:r>
      <w:r>
        <w:rPr>
          <w:rFonts w:hint="default" w:ascii="仿宋_GB2312" w:hAnsi="仿宋_GB2312" w:eastAsia="仿宋_GB2312" w:cs="仿宋_GB2312"/>
          <w:bCs/>
          <w:color w:val="auto"/>
          <w:kern w:val="2"/>
          <w:sz w:val="28"/>
          <w:szCs w:val="28"/>
          <w:highlight w:val="none"/>
          <w:lang w:val="en-GB" w:eastAsia="zh-CN" w:bidi="ar-SA"/>
        </w:rPr>
        <w:t>；</w:t>
      </w:r>
    </w:p>
    <w:p w14:paraId="745D9237">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土地用途：</w:t>
      </w:r>
      <w:r>
        <w:rPr>
          <w:rFonts w:hint="eastAsia" w:ascii="仿宋_GB2312" w:hAnsi="仿宋_GB2312" w:eastAsia="仿宋_GB2312" w:cs="仿宋_GB2312"/>
          <w:bCs/>
          <w:color w:val="auto"/>
          <w:kern w:val="2"/>
          <w:sz w:val="28"/>
          <w:szCs w:val="28"/>
          <w:highlight w:val="none"/>
          <w:lang w:val="en-US" w:eastAsia="zh-CN" w:bidi="ar-SA"/>
        </w:rPr>
        <w:t>机关团体用地</w:t>
      </w:r>
      <w:r>
        <w:rPr>
          <w:rFonts w:hint="default" w:ascii="仿宋_GB2312" w:hAnsi="仿宋_GB2312" w:eastAsia="仿宋_GB2312" w:cs="仿宋_GB2312"/>
          <w:bCs/>
          <w:color w:val="auto"/>
          <w:kern w:val="2"/>
          <w:sz w:val="28"/>
          <w:szCs w:val="28"/>
          <w:highlight w:val="none"/>
          <w:lang w:val="en-GB" w:eastAsia="zh-CN" w:bidi="ar-SA"/>
        </w:rPr>
        <w:t>；</w:t>
      </w:r>
    </w:p>
    <w:p w14:paraId="47828A84">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土地使用权类型：</w:t>
      </w:r>
      <w:r>
        <w:rPr>
          <w:rFonts w:hint="eastAsia" w:ascii="仿宋_GB2312" w:hAnsi="仿宋_GB2312" w:eastAsia="仿宋_GB2312" w:cs="仿宋_GB2312"/>
          <w:bCs/>
          <w:color w:val="auto"/>
          <w:kern w:val="2"/>
          <w:sz w:val="28"/>
          <w:szCs w:val="28"/>
          <w:highlight w:val="none"/>
          <w:lang w:val="en-US" w:eastAsia="zh-CN" w:bidi="ar-SA"/>
        </w:rPr>
        <w:t>国有</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w:t>
      </w:r>
    </w:p>
    <w:p w14:paraId="1B8D115E">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共</w:t>
      </w:r>
      <w:r>
        <w:rPr>
          <w:rFonts w:hint="eastAsia" w:ascii="仿宋_GB2312" w:hAnsi="仿宋_GB2312" w:eastAsia="仿宋_GB2312" w:cs="仿宋_GB2312"/>
          <w:bCs/>
          <w:color w:val="auto"/>
          <w:kern w:val="2"/>
          <w:sz w:val="28"/>
          <w:szCs w:val="28"/>
          <w:highlight w:val="none"/>
          <w:lang w:val="en-US" w:eastAsia="zh-CN" w:bidi="ar-SA"/>
        </w:rPr>
        <w:t>用</w:t>
      </w:r>
      <w:r>
        <w:rPr>
          <w:rFonts w:hint="default" w:ascii="仿宋_GB2312" w:hAnsi="仿宋_GB2312" w:eastAsia="仿宋_GB2312" w:cs="仿宋_GB2312"/>
          <w:bCs/>
          <w:color w:val="auto"/>
          <w:kern w:val="2"/>
          <w:sz w:val="28"/>
          <w:szCs w:val="28"/>
          <w:highlight w:val="none"/>
          <w:lang w:val="en-GB" w:eastAsia="zh-CN" w:bidi="ar-SA"/>
        </w:rPr>
        <w:t>使用权面积：</w:t>
      </w:r>
      <w:r>
        <w:rPr>
          <w:rFonts w:hint="eastAsia" w:ascii="仿宋_GB2312" w:hAnsi="仿宋_GB2312" w:eastAsia="仿宋_GB2312" w:cs="仿宋_GB2312"/>
          <w:bCs/>
          <w:color w:val="auto"/>
          <w:kern w:val="2"/>
          <w:sz w:val="28"/>
          <w:szCs w:val="28"/>
          <w:highlight w:val="none"/>
          <w:lang w:val="en-US" w:eastAsia="zh-CN" w:bidi="ar-SA"/>
        </w:rPr>
        <w:t>11030.64平方米</w:t>
      </w:r>
      <w:r>
        <w:rPr>
          <w:rFonts w:hint="default" w:ascii="仿宋_GB2312" w:hAnsi="仿宋_GB2312" w:eastAsia="仿宋_GB2312" w:cs="仿宋_GB2312"/>
          <w:bCs/>
          <w:color w:val="auto"/>
          <w:kern w:val="2"/>
          <w:sz w:val="28"/>
          <w:szCs w:val="28"/>
          <w:highlight w:val="none"/>
          <w:lang w:val="en-GB" w:eastAsia="zh-CN" w:bidi="ar-SA"/>
        </w:rPr>
        <w:t>；</w:t>
      </w:r>
    </w:p>
    <w:p w14:paraId="5ABCCD5D">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其中</w:t>
      </w:r>
      <w:r>
        <w:rPr>
          <w:rFonts w:hint="eastAsia" w:ascii="仿宋_GB2312" w:hAnsi="仿宋_GB2312" w:eastAsia="仿宋_GB2312" w:cs="仿宋_GB2312"/>
          <w:bCs/>
          <w:color w:val="auto"/>
          <w:kern w:val="2"/>
          <w:sz w:val="28"/>
          <w:szCs w:val="28"/>
          <w:highlight w:val="none"/>
          <w:lang w:val="en-US" w:eastAsia="zh-CN" w:bidi="ar-SA"/>
        </w:rPr>
        <w:t>共用</w:t>
      </w:r>
      <w:r>
        <w:rPr>
          <w:rFonts w:hint="default" w:ascii="仿宋_GB2312" w:hAnsi="仿宋_GB2312" w:eastAsia="仿宋_GB2312" w:cs="仿宋_GB2312"/>
          <w:bCs/>
          <w:color w:val="auto"/>
          <w:kern w:val="2"/>
          <w:sz w:val="28"/>
          <w:szCs w:val="28"/>
          <w:highlight w:val="none"/>
          <w:lang w:val="en-GB" w:eastAsia="zh-CN" w:bidi="ar-SA"/>
        </w:rPr>
        <w:t>分摊面积：</w:t>
      </w:r>
      <w:r>
        <w:rPr>
          <w:rFonts w:hint="eastAsia" w:ascii="仿宋_GB2312" w:hAnsi="仿宋_GB2312" w:eastAsia="仿宋_GB2312" w:cs="仿宋_GB2312"/>
          <w:bCs/>
          <w:color w:val="auto"/>
          <w:kern w:val="2"/>
          <w:sz w:val="28"/>
          <w:szCs w:val="28"/>
          <w:highlight w:val="none"/>
          <w:lang w:val="en-US" w:eastAsia="zh-CN" w:bidi="ar-SA"/>
        </w:rPr>
        <w:t>0</w:t>
      </w:r>
      <w:r>
        <w:rPr>
          <w:rFonts w:hint="default" w:ascii="仿宋_GB2312" w:hAnsi="仿宋_GB2312" w:eastAsia="仿宋_GB2312" w:cs="仿宋_GB2312"/>
          <w:bCs/>
          <w:color w:val="auto"/>
          <w:kern w:val="2"/>
          <w:sz w:val="28"/>
          <w:szCs w:val="28"/>
          <w:highlight w:val="none"/>
          <w:lang w:val="en-GB" w:eastAsia="zh-CN" w:bidi="ar-SA"/>
        </w:rPr>
        <w:t>；</w:t>
      </w:r>
    </w:p>
    <w:p w14:paraId="0FC1E3AC">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登记时间：</w:t>
      </w:r>
      <w:r>
        <w:rPr>
          <w:rFonts w:hint="eastAsia" w:ascii="仿宋_GB2312" w:hAnsi="仿宋_GB2312" w:eastAsia="仿宋_GB2312" w:cs="仿宋_GB2312"/>
          <w:bCs/>
          <w:color w:val="auto"/>
          <w:kern w:val="2"/>
          <w:sz w:val="28"/>
          <w:szCs w:val="28"/>
          <w:highlight w:val="none"/>
          <w:lang w:val="en-US" w:eastAsia="zh-CN" w:bidi="ar-SA"/>
        </w:rPr>
        <w:t>2014</w:t>
      </w:r>
      <w:r>
        <w:rPr>
          <w:rFonts w:hint="default" w:ascii="仿宋_GB2312" w:hAnsi="仿宋_GB2312" w:eastAsia="仿宋_GB2312" w:cs="仿宋_GB2312"/>
          <w:bCs/>
          <w:color w:val="auto"/>
          <w:kern w:val="2"/>
          <w:sz w:val="28"/>
          <w:szCs w:val="28"/>
          <w:highlight w:val="none"/>
          <w:lang w:val="en-GB" w:eastAsia="zh-CN" w:bidi="ar-SA"/>
        </w:rPr>
        <w:t>年</w:t>
      </w:r>
      <w:r>
        <w:rPr>
          <w:rFonts w:hint="eastAsia" w:ascii="仿宋_GB2312" w:hAnsi="仿宋_GB2312" w:eastAsia="仿宋_GB2312" w:cs="仿宋_GB2312"/>
          <w:bCs/>
          <w:color w:val="auto"/>
          <w:kern w:val="2"/>
          <w:sz w:val="28"/>
          <w:szCs w:val="28"/>
          <w:highlight w:val="none"/>
          <w:lang w:val="en-US" w:eastAsia="zh-CN" w:bidi="ar-SA"/>
        </w:rPr>
        <w:t>9</w:t>
      </w:r>
      <w:r>
        <w:rPr>
          <w:rFonts w:hint="default" w:ascii="仿宋_GB2312" w:hAnsi="仿宋_GB2312" w:eastAsia="仿宋_GB2312" w:cs="仿宋_GB2312"/>
          <w:bCs/>
          <w:color w:val="auto"/>
          <w:kern w:val="2"/>
          <w:sz w:val="28"/>
          <w:szCs w:val="28"/>
          <w:highlight w:val="none"/>
          <w:lang w:val="en-GB" w:eastAsia="zh-CN" w:bidi="ar-SA"/>
        </w:rPr>
        <w:t>月</w:t>
      </w:r>
      <w:r>
        <w:rPr>
          <w:rFonts w:hint="eastAsia" w:ascii="仿宋_GB2312" w:hAnsi="仿宋_GB2312" w:eastAsia="仿宋_GB2312" w:cs="仿宋_GB2312"/>
          <w:bCs/>
          <w:color w:val="auto"/>
          <w:kern w:val="2"/>
          <w:sz w:val="28"/>
          <w:szCs w:val="28"/>
          <w:highlight w:val="none"/>
          <w:lang w:val="en-US" w:eastAsia="zh-CN" w:bidi="ar-SA"/>
        </w:rPr>
        <w:t>18日</w:t>
      </w:r>
      <w:r>
        <w:rPr>
          <w:rFonts w:hint="default" w:ascii="仿宋_GB2312" w:hAnsi="仿宋_GB2312" w:eastAsia="仿宋_GB2312" w:cs="仿宋_GB2312"/>
          <w:bCs/>
          <w:color w:val="auto"/>
          <w:kern w:val="2"/>
          <w:sz w:val="28"/>
          <w:szCs w:val="28"/>
          <w:highlight w:val="none"/>
          <w:lang w:val="en-GB" w:eastAsia="zh-CN" w:bidi="ar-SA"/>
        </w:rPr>
        <w:t>；</w:t>
      </w:r>
    </w:p>
    <w:p w14:paraId="48B0D4D2">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登记机关：</w:t>
      </w:r>
      <w:r>
        <w:rPr>
          <w:rFonts w:hint="eastAsia" w:ascii="仿宋_GB2312" w:hAnsi="仿宋_GB2312" w:eastAsia="仿宋_GB2312" w:cs="仿宋_GB2312"/>
          <w:bCs/>
          <w:color w:val="auto"/>
          <w:kern w:val="2"/>
          <w:sz w:val="28"/>
          <w:szCs w:val="28"/>
          <w:highlight w:val="none"/>
          <w:lang w:val="en-US" w:eastAsia="zh-CN" w:bidi="ar-SA"/>
        </w:rPr>
        <w:t>通道侗族自治县</w:t>
      </w:r>
      <w:r>
        <w:rPr>
          <w:rFonts w:hint="default" w:ascii="仿宋_GB2312" w:hAnsi="仿宋_GB2312" w:eastAsia="仿宋_GB2312" w:cs="仿宋_GB2312"/>
          <w:bCs/>
          <w:color w:val="auto"/>
          <w:kern w:val="2"/>
          <w:sz w:val="28"/>
          <w:szCs w:val="28"/>
          <w:highlight w:val="none"/>
          <w:lang w:val="en-GB" w:eastAsia="zh-CN" w:bidi="ar-SA"/>
        </w:rPr>
        <w:t>国土</w:t>
      </w:r>
      <w:r>
        <w:rPr>
          <w:rFonts w:hint="eastAsia" w:ascii="仿宋_GB2312" w:hAnsi="仿宋_GB2312" w:eastAsia="仿宋_GB2312" w:cs="仿宋_GB2312"/>
          <w:bCs/>
          <w:color w:val="auto"/>
          <w:kern w:val="2"/>
          <w:sz w:val="28"/>
          <w:szCs w:val="28"/>
          <w:highlight w:val="none"/>
          <w:lang w:val="en-US" w:eastAsia="zh-CN" w:bidi="ar-SA"/>
        </w:rPr>
        <w:t>资源局</w:t>
      </w:r>
      <w:r>
        <w:rPr>
          <w:rFonts w:hint="default" w:ascii="仿宋_GB2312" w:hAnsi="仿宋_GB2312" w:eastAsia="仿宋_GB2312" w:cs="仿宋_GB2312"/>
          <w:bCs/>
          <w:color w:val="auto"/>
          <w:kern w:val="2"/>
          <w:sz w:val="28"/>
          <w:szCs w:val="28"/>
          <w:highlight w:val="none"/>
          <w:lang w:val="en-GB" w:eastAsia="zh-CN" w:bidi="ar-SA"/>
        </w:rPr>
        <w:t>（现为</w:t>
      </w:r>
      <w:r>
        <w:rPr>
          <w:rFonts w:hint="eastAsia" w:ascii="仿宋_GB2312" w:hAnsi="仿宋_GB2312" w:eastAsia="仿宋_GB2312" w:cs="仿宋_GB2312"/>
          <w:bCs/>
          <w:color w:val="auto"/>
          <w:kern w:val="2"/>
          <w:sz w:val="28"/>
          <w:szCs w:val="28"/>
          <w:highlight w:val="none"/>
          <w:lang w:val="en-US" w:eastAsia="zh-CN" w:bidi="ar-SA"/>
        </w:rPr>
        <w:t>通道侗族自治县</w:t>
      </w:r>
      <w:r>
        <w:rPr>
          <w:rFonts w:hint="default" w:ascii="仿宋_GB2312" w:hAnsi="仿宋_GB2312" w:eastAsia="仿宋_GB2312" w:cs="仿宋_GB2312"/>
          <w:bCs/>
          <w:color w:val="auto"/>
          <w:kern w:val="2"/>
          <w:sz w:val="28"/>
          <w:szCs w:val="28"/>
          <w:highlight w:val="none"/>
          <w:lang w:val="en-GB" w:eastAsia="zh-CN" w:bidi="ar-SA"/>
        </w:rPr>
        <w:t>自然资源）；</w:t>
      </w:r>
    </w:p>
    <w:p w14:paraId="3DAB5709">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宗地四至：</w:t>
      </w:r>
      <w:r>
        <w:rPr>
          <w:rFonts w:hint="eastAsia" w:ascii="仿宋_GB2312" w:hAnsi="仿宋_GB2312" w:eastAsia="仿宋_GB2312" w:cs="仿宋_GB2312"/>
          <w:bCs/>
          <w:color w:val="auto"/>
          <w:kern w:val="2"/>
          <w:sz w:val="28"/>
          <w:szCs w:val="28"/>
          <w:highlight w:val="none"/>
          <w:lang w:val="en-GB" w:eastAsia="zh-CN" w:bidi="ar-SA"/>
        </w:rPr>
        <w:t>东临双江镇市场，南临县政府办，西临行政街，北临县政法委</w:t>
      </w:r>
      <w:r>
        <w:rPr>
          <w:rFonts w:hint="default" w:ascii="仿宋_GB2312" w:hAnsi="仿宋_GB2312" w:eastAsia="仿宋_GB2312" w:cs="仿宋_GB2312"/>
          <w:bCs/>
          <w:color w:val="auto"/>
          <w:kern w:val="2"/>
          <w:sz w:val="28"/>
          <w:szCs w:val="28"/>
          <w:highlight w:val="none"/>
          <w:lang w:val="en-GB" w:eastAsia="zh-CN" w:bidi="ar-SA"/>
        </w:rPr>
        <w:t>；</w:t>
      </w:r>
    </w:p>
    <w:p w14:paraId="7B889639">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US" w:eastAsia="zh-CN" w:bidi="ar-SA"/>
        </w:rPr>
      </w:pPr>
      <w:r>
        <w:rPr>
          <w:rFonts w:hint="eastAsia" w:ascii="仿宋_GB2312" w:hAnsi="仿宋_GB2312" w:eastAsia="仿宋_GB2312" w:cs="仿宋_GB2312"/>
          <w:bCs/>
          <w:color w:val="auto"/>
          <w:kern w:val="2"/>
          <w:sz w:val="28"/>
          <w:szCs w:val="28"/>
          <w:highlight w:val="none"/>
          <w:lang w:val="en-US" w:eastAsia="zh-CN" w:bidi="ar-SA"/>
        </w:rPr>
        <w:t>土地级别：土地级别：通道</w:t>
      </w:r>
      <w:r>
        <w:rPr>
          <w:rFonts w:hint="eastAsia" w:ascii="仿宋_GB2312" w:hAnsi="仿宋_GB2312" w:eastAsia="仿宋_GB2312" w:cs="仿宋_GB2312"/>
          <w:bCs/>
          <w:color w:val="auto"/>
          <w:kern w:val="2"/>
          <w:sz w:val="28"/>
          <w:szCs w:val="28"/>
          <w:highlight w:val="none"/>
          <w:lang w:val="en-GB" w:eastAsia="zh-CN" w:bidi="ar-SA"/>
        </w:rPr>
        <w:t>县城镇基准地价的颁布实施时间为</w:t>
      </w:r>
      <w:r>
        <w:rPr>
          <w:rFonts w:hint="eastAsia" w:ascii="仿宋_GB2312" w:hAnsi="仿宋_GB2312" w:eastAsia="仿宋_GB2312" w:cs="仿宋_GB2312"/>
          <w:bCs/>
          <w:color w:val="auto"/>
          <w:kern w:val="2"/>
          <w:sz w:val="28"/>
          <w:szCs w:val="28"/>
          <w:highlight w:val="none"/>
          <w:lang w:val="en-US" w:eastAsia="zh-CN" w:bidi="ar-SA"/>
        </w:rPr>
        <w:t>2026</w:t>
      </w:r>
      <w:r>
        <w:rPr>
          <w:rFonts w:hint="eastAsia" w:ascii="仿宋_GB2312" w:hAnsi="仿宋_GB2312" w:eastAsia="仿宋_GB2312" w:cs="仿宋_GB2312"/>
          <w:bCs/>
          <w:color w:val="auto"/>
          <w:kern w:val="2"/>
          <w:sz w:val="28"/>
          <w:szCs w:val="28"/>
          <w:highlight w:val="none"/>
          <w:lang w:val="en-GB" w:eastAsia="zh-CN" w:bidi="ar-SA"/>
        </w:rPr>
        <w:t>年1月</w:t>
      </w:r>
      <w:r>
        <w:rPr>
          <w:rFonts w:hint="eastAsia" w:ascii="仿宋_GB2312" w:hAnsi="仿宋_GB2312" w:eastAsia="仿宋_GB2312" w:cs="仿宋_GB2312"/>
          <w:bCs/>
          <w:color w:val="auto"/>
          <w:kern w:val="2"/>
          <w:sz w:val="28"/>
          <w:szCs w:val="28"/>
          <w:highlight w:val="none"/>
          <w:lang w:val="en-US" w:eastAsia="zh-CN" w:bidi="ar-SA"/>
        </w:rPr>
        <w:t>6</w:t>
      </w:r>
      <w:r>
        <w:rPr>
          <w:rFonts w:hint="eastAsia" w:ascii="仿宋_GB2312" w:hAnsi="仿宋_GB2312" w:eastAsia="仿宋_GB2312" w:cs="仿宋_GB2312"/>
          <w:bCs/>
          <w:color w:val="auto"/>
          <w:kern w:val="2"/>
          <w:sz w:val="28"/>
          <w:szCs w:val="28"/>
          <w:highlight w:val="none"/>
          <w:lang w:val="en-GB" w:eastAsia="zh-CN" w:bidi="ar-SA"/>
        </w:rPr>
        <w:t>日，批准文号为通政发〔202</w:t>
      </w:r>
      <w:r>
        <w:rPr>
          <w:rFonts w:hint="eastAsia" w:ascii="仿宋_GB2312" w:hAnsi="仿宋_GB2312" w:eastAsia="仿宋_GB2312" w:cs="仿宋_GB2312"/>
          <w:bCs/>
          <w:color w:val="auto"/>
          <w:kern w:val="2"/>
          <w:sz w:val="28"/>
          <w:szCs w:val="28"/>
          <w:highlight w:val="none"/>
          <w:lang w:val="en-US" w:eastAsia="zh-CN" w:bidi="ar-SA"/>
        </w:rPr>
        <w:t>6</w:t>
      </w:r>
      <w:r>
        <w:rPr>
          <w:rFonts w:hint="eastAsia" w:ascii="仿宋_GB2312" w:hAnsi="仿宋_GB2312" w:eastAsia="仿宋_GB2312" w:cs="仿宋_GB2312"/>
          <w:bCs/>
          <w:color w:val="auto"/>
          <w:kern w:val="2"/>
          <w:sz w:val="28"/>
          <w:szCs w:val="28"/>
          <w:highlight w:val="none"/>
          <w:lang w:val="en-GB" w:eastAsia="zh-CN" w:bidi="ar-SA"/>
        </w:rPr>
        <w:t>〕1号,文件名称为《通道侗族自治县人民政府关于更新城镇基准地价标准和等级的通知》（通政发〔202</w:t>
      </w:r>
      <w:r>
        <w:rPr>
          <w:rFonts w:hint="eastAsia" w:ascii="仿宋_GB2312" w:hAnsi="仿宋_GB2312" w:eastAsia="仿宋_GB2312" w:cs="仿宋_GB2312"/>
          <w:bCs/>
          <w:color w:val="auto"/>
          <w:kern w:val="2"/>
          <w:sz w:val="28"/>
          <w:szCs w:val="28"/>
          <w:highlight w:val="none"/>
          <w:lang w:val="en-US" w:eastAsia="zh-CN" w:bidi="ar-SA"/>
        </w:rPr>
        <w:t>6</w:t>
      </w:r>
      <w:r>
        <w:rPr>
          <w:rFonts w:hint="eastAsia" w:ascii="仿宋_GB2312" w:hAnsi="仿宋_GB2312" w:eastAsia="仿宋_GB2312" w:cs="仿宋_GB2312"/>
          <w:bCs/>
          <w:color w:val="auto"/>
          <w:kern w:val="2"/>
          <w:sz w:val="28"/>
          <w:szCs w:val="28"/>
          <w:highlight w:val="none"/>
          <w:lang w:val="en-GB" w:eastAsia="zh-CN" w:bidi="ar-SA"/>
        </w:rPr>
        <w:t>〕1号，20</w:t>
      </w:r>
      <w:r>
        <w:rPr>
          <w:rFonts w:hint="eastAsia" w:ascii="仿宋_GB2312" w:hAnsi="仿宋_GB2312" w:eastAsia="仿宋_GB2312" w:cs="仿宋_GB2312"/>
          <w:bCs/>
          <w:color w:val="auto"/>
          <w:kern w:val="2"/>
          <w:sz w:val="28"/>
          <w:szCs w:val="28"/>
          <w:highlight w:val="none"/>
          <w:lang w:val="en-US" w:eastAsia="zh-CN" w:bidi="ar-SA"/>
        </w:rPr>
        <w:t>26</w:t>
      </w:r>
      <w:r>
        <w:rPr>
          <w:rFonts w:hint="eastAsia" w:ascii="仿宋_GB2312" w:hAnsi="仿宋_GB2312" w:eastAsia="仿宋_GB2312" w:cs="仿宋_GB2312"/>
          <w:bCs/>
          <w:color w:val="auto"/>
          <w:kern w:val="2"/>
          <w:sz w:val="28"/>
          <w:szCs w:val="28"/>
          <w:highlight w:val="none"/>
          <w:lang w:val="en-GB" w:eastAsia="zh-CN" w:bidi="ar-SA"/>
        </w:rPr>
        <w:t>年</w:t>
      </w:r>
      <w:r>
        <w:rPr>
          <w:rFonts w:hint="eastAsia" w:ascii="仿宋_GB2312" w:hAnsi="仿宋_GB2312" w:eastAsia="仿宋_GB2312" w:cs="仿宋_GB2312"/>
          <w:bCs/>
          <w:color w:val="auto"/>
          <w:kern w:val="2"/>
          <w:sz w:val="28"/>
          <w:szCs w:val="28"/>
          <w:highlight w:val="none"/>
          <w:lang w:val="en-US" w:eastAsia="zh-CN" w:bidi="ar-SA"/>
        </w:rPr>
        <w:t>1</w:t>
      </w:r>
      <w:r>
        <w:rPr>
          <w:rFonts w:hint="eastAsia" w:ascii="仿宋_GB2312" w:hAnsi="仿宋_GB2312" w:eastAsia="仿宋_GB2312" w:cs="仿宋_GB2312"/>
          <w:bCs/>
          <w:color w:val="auto"/>
          <w:kern w:val="2"/>
          <w:sz w:val="28"/>
          <w:szCs w:val="28"/>
          <w:highlight w:val="none"/>
          <w:lang w:val="en-GB" w:eastAsia="zh-CN" w:bidi="ar-SA"/>
        </w:rPr>
        <w:t>月</w:t>
      </w:r>
      <w:r>
        <w:rPr>
          <w:rFonts w:hint="eastAsia" w:ascii="仿宋_GB2312" w:hAnsi="仿宋_GB2312" w:eastAsia="仿宋_GB2312" w:cs="仿宋_GB2312"/>
          <w:bCs/>
          <w:color w:val="auto"/>
          <w:kern w:val="2"/>
          <w:sz w:val="28"/>
          <w:szCs w:val="28"/>
          <w:highlight w:val="none"/>
          <w:lang w:val="en-US" w:eastAsia="zh-CN" w:bidi="ar-SA"/>
        </w:rPr>
        <w:t>6</w:t>
      </w:r>
      <w:r>
        <w:rPr>
          <w:rFonts w:hint="eastAsia" w:ascii="仿宋_GB2312" w:hAnsi="仿宋_GB2312" w:eastAsia="仿宋_GB2312" w:cs="仿宋_GB2312"/>
          <w:bCs/>
          <w:color w:val="auto"/>
          <w:kern w:val="2"/>
          <w:sz w:val="28"/>
          <w:szCs w:val="28"/>
          <w:highlight w:val="none"/>
          <w:lang w:val="en-GB" w:eastAsia="zh-CN" w:bidi="ar-SA"/>
        </w:rPr>
        <w:t>日），批准机关为</w:t>
      </w:r>
      <w:r>
        <w:rPr>
          <w:rFonts w:hint="eastAsia" w:ascii="仿宋_GB2312" w:hAnsi="仿宋_GB2312" w:eastAsia="仿宋_GB2312" w:cs="仿宋_GB2312"/>
          <w:bCs/>
          <w:color w:val="auto"/>
          <w:kern w:val="2"/>
          <w:sz w:val="28"/>
          <w:szCs w:val="28"/>
          <w:highlight w:val="none"/>
          <w:lang w:val="en-US" w:eastAsia="zh-CN" w:bidi="ar-SA"/>
        </w:rPr>
        <w:t>通道侗族自治</w:t>
      </w:r>
      <w:r>
        <w:rPr>
          <w:rFonts w:hint="eastAsia" w:ascii="仿宋_GB2312" w:hAnsi="仿宋_GB2312" w:eastAsia="仿宋_GB2312" w:cs="仿宋_GB2312"/>
          <w:bCs/>
          <w:color w:val="auto"/>
          <w:kern w:val="2"/>
          <w:sz w:val="28"/>
          <w:szCs w:val="28"/>
          <w:highlight w:val="none"/>
          <w:lang w:val="en-GB" w:eastAsia="zh-CN" w:bidi="ar-SA"/>
        </w:rPr>
        <w:t>县人民政府，估价期日为</w:t>
      </w:r>
      <w:r>
        <w:rPr>
          <w:rFonts w:hint="eastAsia" w:ascii="仿宋_GB2312" w:hAnsi="仿宋_GB2312" w:eastAsia="仿宋_GB2312" w:cs="仿宋_GB2312"/>
          <w:bCs/>
          <w:color w:val="auto"/>
          <w:kern w:val="2"/>
          <w:sz w:val="28"/>
          <w:szCs w:val="28"/>
          <w:highlight w:val="none"/>
          <w:lang w:val="en-US" w:eastAsia="zh-CN" w:bidi="ar-SA"/>
        </w:rPr>
        <w:t>2025</w:t>
      </w:r>
      <w:r>
        <w:rPr>
          <w:rFonts w:hint="eastAsia" w:ascii="仿宋_GB2312" w:hAnsi="仿宋_GB2312" w:eastAsia="仿宋_GB2312" w:cs="仿宋_GB2312"/>
          <w:bCs/>
          <w:color w:val="auto"/>
          <w:kern w:val="2"/>
          <w:sz w:val="28"/>
          <w:szCs w:val="28"/>
          <w:highlight w:val="none"/>
          <w:lang w:val="en-GB" w:eastAsia="zh-CN" w:bidi="ar-SA"/>
        </w:rPr>
        <w:t>年</w:t>
      </w:r>
      <w:r>
        <w:rPr>
          <w:rFonts w:hint="eastAsia" w:ascii="仿宋_GB2312" w:hAnsi="仿宋_GB2312" w:eastAsia="仿宋_GB2312" w:cs="仿宋_GB2312"/>
          <w:bCs/>
          <w:color w:val="auto"/>
          <w:kern w:val="2"/>
          <w:sz w:val="28"/>
          <w:szCs w:val="28"/>
          <w:highlight w:val="none"/>
          <w:lang w:val="en-US" w:eastAsia="zh-CN" w:bidi="ar-SA"/>
        </w:rPr>
        <w:t>4</w:t>
      </w:r>
      <w:r>
        <w:rPr>
          <w:rFonts w:hint="eastAsia" w:ascii="仿宋_GB2312" w:hAnsi="仿宋_GB2312" w:eastAsia="仿宋_GB2312" w:cs="仿宋_GB2312"/>
          <w:bCs/>
          <w:color w:val="auto"/>
          <w:kern w:val="2"/>
          <w:sz w:val="28"/>
          <w:szCs w:val="28"/>
          <w:highlight w:val="none"/>
          <w:lang w:val="en-GB" w:eastAsia="zh-CN" w:bidi="ar-SA"/>
        </w:rPr>
        <w:t>月1日，</w:t>
      </w:r>
      <w:r>
        <w:rPr>
          <w:rFonts w:hint="eastAsia" w:ascii="仿宋_GB2312" w:hAnsi="仿宋_GB2312" w:eastAsia="仿宋_GB2312" w:cs="仿宋_GB2312"/>
          <w:bCs/>
          <w:color w:val="auto"/>
          <w:kern w:val="2"/>
          <w:sz w:val="28"/>
          <w:szCs w:val="28"/>
          <w:highlight w:val="none"/>
          <w:lang w:val="en-US" w:eastAsia="zh-CN" w:bidi="ar-SA"/>
        </w:rPr>
        <w:t>估价对象属于通道县商业服务业用地二级、居住用地二级。</w:t>
      </w:r>
    </w:p>
    <w:p w14:paraId="1BEC1CD3">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2、土地权利状况</w:t>
      </w:r>
    </w:p>
    <w:p w14:paraId="6A227523">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（1）估价对象的土地所有权状况：估价对象的土地所有权属国家所有。</w:t>
      </w:r>
    </w:p>
    <w:p w14:paraId="6083A2EC">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（2）估价对象的土地使用权状况：根据委托方提供的</w:t>
      </w:r>
      <w:r>
        <w:rPr>
          <w:rFonts w:hint="eastAsia" w:ascii="仿宋_GB2312" w:hAnsi="仿宋_GB2312" w:eastAsia="仿宋_GB2312" w:cs="仿宋_GB2312"/>
          <w:bCs/>
          <w:color w:val="auto"/>
          <w:kern w:val="2"/>
          <w:sz w:val="28"/>
          <w:szCs w:val="28"/>
          <w:highlight w:val="none"/>
          <w:lang w:val="en-GB" w:eastAsia="zh-CN" w:bidi="ar-SA"/>
        </w:rPr>
        <w:t>《国有土地使用证》（通国用（2014）第000327号）</w:t>
      </w:r>
      <w:r>
        <w:rPr>
          <w:rFonts w:hint="default" w:ascii="仿宋_GB2312" w:hAnsi="仿宋_GB2312" w:eastAsia="仿宋_GB2312" w:cs="仿宋_GB2312"/>
          <w:bCs/>
          <w:color w:val="auto"/>
          <w:kern w:val="2"/>
          <w:sz w:val="28"/>
          <w:szCs w:val="28"/>
          <w:highlight w:val="none"/>
          <w:lang w:val="en-GB" w:eastAsia="zh-CN" w:bidi="ar-SA"/>
        </w:rPr>
        <w:t>，估价对象现为国有</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用地；至估价期日，仍为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用地，使用年期为无年期限制。委托方拟按现状办理出让手续，根据评估目的并结合国务院第55号令《中华人民共和国城镇国有土地使用权出让和转让暂行条例》</w:t>
      </w:r>
      <w:r>
        <w:rPr>
          <w:rFonts w:hint="eastAsia" w:ascii="仿宋_GB2312" w:hAnsi="仿宋_GB2312" w:eastAsia="仿宋_GB2312" w:cs="仿宋_GB2312"/>
          <w:bCs/>
          <w:color w:val="auto"/>
          <w:kern w:val="2"/>
          <w:sz w:val="28"/>
          <w:szCs w:val="28"/>
          <w:highlight w:val="none"/>
          <w:lang w:val="en-US" w:eastAsia="zh-CN" w:bidi="ar-SA"/>
        </w:rPr>
        <w:t>和《土地资产评估委托书》</w:t>
      </w:r>
      <w:r>
        <w:rPr>
          <w:rFonts w:hint="default" w:ascii="仿宋_GB2312" w:hAnsi="仿宋_GB2312" w:eastAsia="仿宋_GB2312" w:cs="仿宋_GB2312"/>
          <w:bCs/>
          <w:color w:val="auto"/>
          <w:kern w:val="2"/>
          <w:sz w:val="28"/>
          <w:szCs w:val="28"/>
          <w:highlight w:val="none"/>
          <w:lang w:val="en-GB" w:eastAsia="zh-CN" w:bidi="ar-SA"/>
        </w:rPr>
        <w:t>，本次评估设定土地用途为</w:t>
      </w:r>
      <w:r>
        <w:rPr>
          <w:rFonts w:hint="eastAsia" w:ascii="仿宋_GB2312" w:hAnsi="仿宋_GB2312" w:eastAsia="仿宋_GB2312" w:cs="仿宋_GB2312"/>
          <w:bCs/>
          <w:color w:val="auto"/>
          <w:kern w:val="2"/>
          <w:sz w:val="28"/>
          <w:szCs w:val="28"/>
          <w:highlight w:val="none"/>
          <w:lang w:val="en-US" w:eastAsia="zh-CN" w:bidi="ar-SA"/>
        </w:rPr>
        <w:t>商服用地、</w:t>
      </w:r>
      <w:r>
        <w:rPr>
          <w:rFonts w:hint="default" w:ascii="仿宋_GB2312" w:hAnsi="仿宋_GB2312" w:eastAsia="仿宋_GB2312" w:cs="仿宋_GB2312"/>
          <w:bCs/>
          <w:color w:val="auto"/>
          <w:kern w:val="2"/>
          <w:sz w:val="28"/>
          <w:szCs w:val="28"/>
          <w:highlight w:val="none"/>
          <w:lang w:val="en-GB" w:eastAsia="zh-CN" w:bidi="ar-SA"/>
        </w:rPr>
        <w:t>住宅用地</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商住比22.03%：77.97%</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，本次评估现状利用条件下的出让土地使用权价格的土地使用权年限为</w:t>
      </w:r>
      <w:r>
        <w:rPr>
          <w:rFonts w:hint="eastAsia" w:ascii="仿宋_GB2312" w:hAnsi="仿宋_GB2312" w:eastAsia="仿宋_GB2312" w:cs="仿宋_GB2312"/>
          <w:bCs/>
          <w:color w:val="auto"/>
          <w:kern w:val="2"/>
          <w:sz w:val="28"/>
          <w:szCs w:val="28"/>
          <w:highlight w:val="none"/>
          <w:lang w:val="en-US" w:eastAsia="zh-CN" w:bidi="ar-SA"/>
        </w:rPr>
        <w:t>商服用地40年、住宅用地70年</w:t>
      </w:r>
      <w:r>
        <w:rPr>
          <w:rFonts w:hint="default" w:ascii="仿宋_GB2312" w:hAnsi="仿宋_GB2312" w:eastAsia="仿宋_GB2312" w:cs="仿宋_GB2312"/>
          <w:bCs/>
          <w:color w:val="auto"/>
          <w:kern w:val="2"/>
          <w:sz w:val="28"/>
          <w:szCs w:val="28"/>
          <w:highlight w:val="none"/>
          <w:lang w:val="en-GB" w:eastAsia="zh-CN" w:bidi="ar-SA"/>
        </w:rPr>
        <w:t>。</w:t>
      </w:r>
    </w:p>
    <w:p w14:paraId="05208CD8">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（3）根据委托方提供的资料，估价对象土地权属来源合法、界址清楚，在估价基准日，估价对象土地使用权未设置租赁、抵押权等他项权利。</w:t>
      </w:r>
    </w:p>
    <w:p w14:paraId="5BCAB484">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3、土地利用状况</w:t>
      </w:r>
    </w:p>
    <w:p w14:paraId="6542EC76">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（1）现状利用状况</w:t>
      </w:r>
    </w:p>
    <w:p w14:paraId="34EB7703">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default" w:ascii="仿宋_GB2312" w:hAnsi="仿宋_GB2312" w:eastAsia="仿宋_GB2312" w:cs="仿宋_GB2312"/>
          <w:bCs/>
          <w:color w:val="auto"/>
          <w:kern w:val="2"/>
          <w:sz w:val="28"/>
          <w:szCs w:val="28"/>
          <w:highlight w:val="none"/>
          <w:lang w:val="en-GB" w:eastAsia="zh-CN" w:bidi="ar-SA"/>
        </w:rPr>
        <w:t>。</w:t>
      </w:r>
    </w:p>
    <w:p w14:paraId="01F0FDF4">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估价对象现状使用状况如下图：</w:t>
      </w:r>
    </w:p>
    <w:tbl>
      <w:tblPr>
        <w:tblStyle w:val="12"/>
        <w:tblW w:w="475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2"/>
        <w:gridCol w:w="4026"/>
      </w:tblGrid>
      <w:tr w14:paraId="3B52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3" w:hRule="atLeast"/>
          <w:jc w:val="center"/>
        </w:trPr>
        <w:tc>
          <w:tcPr>
            <w:tcW w:w="2517" w:type="pct"/>
            <w:noWrap w:val="0"/>
            <w:vAlign w:val="top"/>
          </w:tcPr>
          <w:p w14:paraId="2A2A3172">
            <w:pPr>
              <w:spacing w:line="300" w:lineRule="auto"/>
              <w:jc w:val="center"/>
              <w:rPr>
                <w:rFonts w:hint="default" w:ascii="Times New Roman" w:hAnsi="Times New Roman" w:eastAsia="仿宋" w:cs="Times New Roman"/>
                <w:b/>
                <w:bCs/>
                <w:sz w:val="28"/>
                <w:szCs w:val="28"/>
                <w:highlight w:val="none"/>
                <w:lang w:eastAsia="zh-CN"/>
              </w:rPr>
            </w:pPr>
            <w:r>
              <w:rPr>
                <w:rFonts w:hint="default" w:ascii="Times New Roman" w:hAnsi="Times New Roman" w:eastAsia="仿宋" w:cs="Times New Roman"/>
                <w:b/>
                <w:bCs/>
                <w:sz w:val="28"/>
                <w:szCs w:val="28"/>
                <w:highlight w:val="none"/>
                <w:lang w:eastAsia="zh-CN"/>
              </w:rPr>
              <w:drawing>
                <wp:inline distT="0" distB="0" distL="114300" distR="114300">
                  <wp:extent cx="2430780" cy="1723390"/>
                  <wp:effectExtent l="0" t="0" r="7620" b="10160"/>
                  <wp:docPr id="3" name="图片 3" descr="现状7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现状7 (2)"/>
                          <pic:cNvPicPr>
                            <a:picLocks noChangeAspect="1"/>
                          </pic:cNvPicPr>
                        </pic:nvPicPr>
                        <pic:blipFill>
                          <a:blip r:embed="rId24"/>
                          <a:stretch>
                            <a:fillRect/>
                          </a:stretch>
                        </pic:blipFill>
                        <pic:spPr>
                          <a:xfrm>
                            <a:off x="0" y="0"/>
                            <a:ext cx="2430780" cy="1723390"/>
                          </a:xfrm>
                          <a:prstGeom prst="rect">
                            <a:avLst/>
                          </a:prstGeom>
                        </pic:spPr>
                      </pic:pic>
                    </a:graphicData>
                  </a:graphic>
                </wp:inline>
              </w:drawing>
            </w:r>
          </w:p>
        </w:tc>
        <w:tc>
          <w:tcPr>
            <w:tcW w:w="2482" w:type="pct"/>
            <w:noWrap w:val="0"/>
            <w:vAlign w:val="top"/>
          </w:tcPr>
          <w:p w14:paraId="7F835061">
            <w:pPr>
              <w:spacing w:line="300" w:lineRule="auto"/>
              <w:jc w:val="center"/>
              <w:rPr>
                <w:rFonts w:hint="default" w:ascii="Times New Roman" w:hAnsi="Times New Roman" w:eastAsia="仿宋" w:cs="Times New Roman"/>
                <w:sz w:val="28"/>
                <w:szCs w:val="28"/>
                <w:highlight w:val="none"/>
                <w:lang w:eastAsia="zh-CN"/>
              </w:rPr>
            </w:pPr>
            <w:r>
              <w:rPr>
                <w:rFonts w:hint="default" w:ascii="Times New Roman" w:hAnsi="Times New Roman" w:eastAsia="仿宋" w:cs="Times New Roman"/>
                <w:sz w:val="28"/>
                <w:szCs w:val="28"/>
                <w:highlight w:val="none"/>
                <w:lang w:eastAsia="zh-CN"/>
              </w:rPr>
              <w:drawing>
                <wp:inline distT="0" distB="0" distL="114300" distR="114300">
                  <wp:extent cx="2413000" cy="1750060"/>
                  <wp:effectExtent l="0" t="0" r="6350" b="2540"/>
                  <wp:docPr id="2" name="图片 2" descr="现状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现状1"/>
                          <pic:cNvPicPr>
                            <a:picLocks noChangeAspect="1"/>
                          </pic:cNvPicPr>
                        </pic:nvPicPr>
                        <pic:blipFill>
                          <a:blip r:embed="rId25"/>
                          <a:stretch>
                            <a:fillRect/>
                          </a:stretch>
                        </pic:blipFill>
                        <pic:spPr>
                          <a:xfrm>
                            <a:off x="0" y="0"/>
                            <a:ext cx="2413000" cy="1750060"/>
                          </a:xfrm>
                          <a:prstGeom prst="rect">
                            <a:avLst/>
                          </a:prstGeom>
                        </pic:spPr>
                      </pic:pic>
                    </a:graphicData>
                  </a:graphic>
                </wp:inline>
              </w:drawing>
            </w:r>
          </w:p>
        </w:tc>
      </w:tr>
    </w:tbl>
    <w:p w14:paraId="41FA5CDB">
      <w:pPr>
        <w:keepLines w:val="0"/>
        <w:pageBreakBefore w:val="0"/>
        <w:kinsoku/>
        <w:wordWrap/>
        <w:overflowPunct/>
        <w:topLinePunct w:val="0"/>
        <w:autoSpaceDE/>
        <w:autoSpaceDN/>
        <w:bidi w:val="0"/>
        <w:spacing w:line="480" w:lineRule="exact"/>
        <w:ind w:firstLine="560" w:firstLineChars="200"/>
        <w:jc w:val="center"/>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图2-1  估价对象现状利用照片</w:t>
      </w:r>
    </w:p>
    <w:p w14:paraId="25BCD0D1">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对象位于通道县双江镇行政街331/1-2幢整栋</w:t>
      </w:r>
      <w:r>
        <w:rPr>
          <w:rFonts w:hint="default" w:ascii="仿宋_GB2312" w:hAnsi="仿宋_GB2312" w:eastAsia="仿宋_GB2312" w:cs="仿宋_GB2312"/>
          <w:bCs/>
          <w:color w:val="auto"/>
          <w:kern w:val="2"/>
          <w:sz w:val="28"/>
          <w:szCs w:val="28"/>
          <w:highlight w:val="none"/>
          <w:lang w:val="en-GB" w:eastAsia="zh-CN" w:bidi="ar-SA"/>
        </w:rPr>
        <w:t>，所在宗地上有独栋建筑物，建成年份为</w:t>
      </w:r>
      <w:r>
        <w:rPr>
          <w:rFonts w:hint="eastAsia" w:ascii="仿宋_GB2312" w:hAnsi="仿宋_GB2312" w:eastAsia="仿宋_GB2312" w:cs="仿宋_GB2312"/>
          <w:bCs/>
          <w:color w:val="auto"/>
          <w:kern w:val="2"/>
          <w:sz w:val="28"/>
          <w:szCs w:val="28"/>
          <w:highlight w:val="none"/>
          <w:lang w:val="en-US" w:eastAsia="zh-CN" w:bidi="ar-SA"/>
        </w:rPr>
        <w:t>2015</w:t>
      </w:r>
      <w:r>
        <w:rPr>
          <w:rFonts w:hint="default" w:ascii="仿宋_GB2312" w:hAnsi="仿宋_GB2312" w:eastAsia="仿宋_GB2312" w:cs="仿宋_GB2312"/>
          <w:bCs/>
          <w:color w:val="auto"/>
          <w:kern w:val="2"/>
          <w:sz w:val="28"/>
          <w:szCs w:val="28"/>
          <w:highlight w:val="none"/>
          <w:lang w:val="en-GB" w:eastAsia="zh-CN" w:bidi="ar-SA"/>
        </w:rPr>
        <w:t>年，总层数为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，建筑物为混合结构，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不锈钢及木质入户门，塑钢窗户，铁艺防盗网，外墙贴瓷砖，屋内地贴瓷砖，顶棚木质装饰吊顶，简单装修，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八成新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10年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40</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hAnsi="仿宋_GB2312" w:eastAsia="仿宋_GB2312" w:cs="仿宋_GB2312"/>
          <w:bCs/>
          <w:color w:val="auto"/>
          <w:kern w:val="2"/>
          <w:sz w:val="28"/>
          <w:szCs w:val="28"/>
          <w:highlight w:val="none"/>
          <w:lang w:val="en-GB" w:eastAsia="zh-CN" w:bidi="ar-SA"/>
        </w:rPr>
        <w:t>《房屋所有权证》（通房权证双江字第201517109号）</w:t>
      </w:r>
      <w:r>
        <w:rPr>
          <w:rFonts w:hint="eastAsia" w:ascii="仿宋_GB2312" w:hAnsi="仿宋_GB2312" w:eastAsia="仿宋_GB2312" w:cs="仿宋_GB2312"/>
          <w:bCs/>
          <w:color w:val="auto"/>
          <w:kern w:val="2"/>
          <w:sz w:val="28"/>
          <w:szCs w:val="28"/>
          <w:highlight w:val="none"/>
          <w:lang w:val="en-US" w:eastAsia="zh-CN" w:bidi="ar-SA"/>
        </w:rPr>
        <w:t>及</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土地分户分摊面积明细表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w:t>
      </w:r>
      <w:r>
        <w:rPr>
          <w:rFonts w:hint="eastAsia" w:ascii="仿宋_GB2312" w:hAnsi="仿宋_GB2312" w:eastAsia="仿宋_GB2312" w:cs="仿宋_GB2312"/>
          <w:bCs/>
          <w:color w:val="auto"/>
          <w:kern w:val="2"/>
          <w:sz w:val="28"/>
          <w:szCs w:val="28"/>
          <w:highlight w:val="none"/>
          <w:lang w:val="en-US" w:eastAsia="zh-CN" w:bidi="ar-SA"/>
        </w:rPr>
        <w:t>总</w:t>
      </w:r>
      <w:r>
        <w:rPr>
          <w:rFonts w:hint="default" w:ascii="仿宋_GB2312" w:hAnsi="仿宋_GB2312" w:eastAsia="仿宋_GB2312" w:cs="仿宋_GB2312"/>
          <w:bCs/>
          <w:color w:val="auto"/>
          <w:kern w:val="2"/>
          <w:sz w:val="28"/>
          <w:szCs w:val="28"/>
          <w:highlight w:val="none"/>
          <w:lang w:val="en-GB" w:eastAsia="zh-CN" w:bidi="ar-SA"/>
        </w:rPr>
        <w:t>建筑面积为</w:t>
      </w:r>
      <w:r>
        <w:rPr>
          <w:rFonts w:hint="eastAsia" w:ascii="仿宋_GB2312" w:hAnsi="仿宋_GB2312" w:eastAsia="仿宋_GB2312" w:cs="仿宋_GB2312"/>
          <w:bCs/>
          <w:color w:val="auto"/>
          <w:kern w:val="2"/>
          <w:sz w:val="28"/>
          <w:szCs w:val="28"/>
          <w:highlight w:val="none"/>
          <w:lang w:val="en-US" w:eastAsia="zh-CN" w:bidi="ar-SA"/>
        </w:rPr>
        <w:t>745.47平方米，分摊土地面积总计183.27平方米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根据《土地资产评估委托书》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估价对象分摊土地面积为</w:t>
      </w:r>
      <w:r>
        <w:rPr>
          <w:rFonts w:hint="eastAsia" w:ascii="仿宋_GB2312" w:hAnsi="仿宋_GB2312" w:eastAsia="仿宋_GB2312" w:cs="仿宋_GB2312"/>
          <w:bCs/>
          <w:color w:val="auto"/>
          <w:kern w:val="2"/>
          <w:sz w:val="28"/>
          <w:szCs w:val="28"/>
          <w:highlight w:val="none"/>
          <w:lang w:val="en-US" w:eastAsia="zh-CN" w:bidi="ar-SA"/>
        </w:rPr>
        <w:t>183.27平方米</w:t>
      </w:r>
      <w:r>
        <w:rPr>
          <w:rFonts w:hint="default" w:ascii="仿宋_GB2312" w:hAnsi="仿宋_GB2312" w:eastAsia="仿宋_GB2312" w:cs="仿宋_GB2312"/>
          <w:bCs/>
          <w:color w:val="auto"/>
          <w:kern w:val="2"/>
          <w:sz w:val="28"/>
          <w:szCs w:val="28"/>
          <w:highlight w:val="none"/>
          <w:lang w:val="en-GB" w:eastAsia="zh-CN" w:bidi="ar-SA"/>
        </w:rPr>
        <w:t>，则估价对象现状</w:t>
      </w:r>
      <w:r>
        <w:rPr>
          <w:rFonts w:hint="eastAsia" w:ascii="仿宋_GB2312" w:hAnsi="仿宋_GB2312" w:eastAsia="仿宋_GB2312" w:cs="仿宋_GB2312"/>
          <w:bCs/>
          <w:color w:val="auto"/>
          <w:kern w:val="2"/>
          <w:sz w:val="28"/>
          <w:szCs w:val="28"/>
          <w:highlight w:val="none"/>
          <w:lang w:val="en-GB" w:eastAsia="zh-CN" w:bidi="ar-SA"/>
        </w:rPr>
        <w:t>容积率为4.07</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w:t>
      </w:r>
      <w:r>
        <w:rPr>
          <w:rFonts w:hint="eastAsia" w:ascii="仿宋_GB2312" w:hAnsi="仿宋_GB2312" w:eastAsia="仿宋_GB2312" w:cs="仿宋_GB2312"/>
          <w:bCs/>
          <w:color w:val="auto"/>
          <w:kern w:val="2"/>
          <w:sz w:val="28"/>
          <w:szCs w:val="28"/>
          <w:highlight w:val="none"/>
          <w:lang w:val="en-GB" w:eastAsia="zh-CN" w:bidi="ar-SA"/>
        </w:rPr>
        <w:t>容积率为4.07</w:t>
      </w:r>
      <w:r>
        <w:rPr>
          <w:rFonts w:hint="default" w:ascii="仿宋_GB2312" w:hAnsi="仿宋_GB2312" w:eastAsia="仿宋_GB2312" w:cs="仿宋_GB2312"/>
          <w:bCs/>
          <w:color w:val="auto"/>
          <w:kern w:val="2"/>
          <w:sz w:val="28"/>
          <w:szCs w:val="28"/>
          <w:highlight w:val="none"/>
          <w:lang w:val="en-GB" w:eastAsia="zh-CN" w:bidi="ar-SA"/>
        </w:rPr>
        <w:t>。</w:t>
      </w:r>
    </w:p>
    <w:p w14:paraId="5CDB71C5">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US" w:eastAsia="zh-CN" w:bidi="ar-SA"/>
        </w:rPr>
        <w:t>2</w:t>
      </w:r>
      <w:r>
        <w:rPr>
          <w:rFonts w:hint="default" w:ascii="仿宋_GB2312" w:hAnsi="仿宋_GB2312" w:eastAsia="仿宋_GB2312" w:cs="仿宋_GB2312"/>
          <w:bCs/>
          <w:color w:val="auto"/>
          <w:kern w:val="2"/>
          <w:sz w:val="28"/>
          <w:szCs w:val="28"/>
          <w:highlight w:val="none"/>
          <w:lang w:val="en-GB" w:eastAsia="zh-CN" w:bidi="ar-SA"/>
        </w:rPr>
        <w:t>）规划利用条件</w:t>
      </w:r>
    </w:p>
    <w:p w14:paraId="5B594067">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745.47平方米</w:t>
      </w:r>
      <w:r>
        <w:rPr>
          <w:rFonts w:hint="default" w:ascii="仿宋_GB2312" w:hAnsi="仿宋_GB2312" w:eastAsia="仿宋_GB2312" w:cs="仿宋_GB2312"/>
          <w:bCs/>
          <w:color w:val="auto"/>
          <w:kern w:val="2"/>
          <w:sz w:val="28"/>
          <w:szCs w:val="28"/>
          <w:highlight w:val="none"/>
          <w:lang w:val="en-GB" w:eastAsia="zh-CN" w:bidi="ar-SA"/>
        </w:rPr>
        <w:t>，估价对象分摊土地面积为</w:t>
      </w:r>
      <w:r>
        <w:rPr>
          <w:rFonts w:hint="eastAsia" w:ascii="仿宋_GB2312" w:hAnsi="仿宋_GB2312" w:eastAsia="仿宋_GB2312" w:cs="仿宋_GB2312"/>
          <w:bCs/>
          <w:color w:val="auto"/>
          <w:kern w:val="2"/>
          <w:sz w:val="28"/>
          <w:szCs w:val="28"/>
          <w:highlight w:val="none"/>
          <w:lang w:val="en-US" w:eastAsia="zh-CN" w:bidi="ar-SA"/>
        </w:rPr>
        <w:t>183.27平方米</w:t>
      </w:r>
      <w:r>
        <w:rPr>
          <w:rFonts w:hint="default" w:ascii="仿宋_GB2312" w:hAnsi="仿宋_GB2312" w:eastAsia="仿宋_GB2312" w:cs="仿宋_GB2312"/>
          <w:bCs/>
          <w:color w:val="auto"/>
          <w:kern w:val="2"/>
          <w:sz w:val="28"/>
          <w:szCs w:val="28"/>
          <w:highlight w:val="none"/>
          <w:lang w:val="en-GB" w:eastAsia="zh-CN" w:bidi="ar-SA"/>
        </w:rPr>
        <w:t>，则估价对象现状</w:t>
      </w:r>
      <w:r>
        <w:rPr>
          <w:rFonts w:hint="eastAsia" w:ascii="仿宋_GB2312" w:hAnsi="仿宋_GB2312" w:eastAsia="仿宋_GB2312" w:cs="仿宋_GB2312"/>
          <w:bCs/>
          <w:color w:val="auto"/>
          <w:kern w:val="2"/>
          <w:sz w:val="28"/>
          <w:szCs w:val="28"/>
          <w:highlight w:val="none"/>
          <w:lang w:val="en-GB" w:eastAsia="zh-CN" w:bidi="ar-SA"/>
        </w:rPr>
        <w:t>容积率为4.07</w:t>
      </w:r>
      <w:r>
        <w:rPr>
          <w:rFonts w:hint="eastAsia" w:ascii="仿宋_GB2312" w:hAnsi="仿宋_GB2312" w:eastAsia="仿宋_GB2312" w:cs="仿宋_GB2312"/>
          <w:bCs/>
          <w:color w:val="auto"/>
          <w:kern w:val="2"/>
          <w:sz w:val="28"/>
          <w:szCs w:val="28"/>
          <w:highlight w:val="none"/>
          <w:lang w:val="en-US" w:eastAsia="zh-CN" w:bidi="ar-SA"/>
        </w:rPr>
        <w:t>。</w:t>
      </w:r>
      <w:r>
        <w:rPr>
          <w:rFonts w:hint="default" w:ascii="仿宋_GB2312" w:hAnsi="仿宋_GB2312" w:eastAsia="仿宋_GB2312" w:cs="仿宋_GB2312"/>
          <w:bCs/>
          <w:color w:val="auto"/>
          <w:kern w:val="2"/>
          <w:sz w:val="28"/>
          <w:szCs w:val="28"/>
          <w:highlight w:val="none"/>
          <w:lang w:val="en-GB" w:eastAsia="zh-CN" w:bidi="ar-SA"/>
        </w:rPr>
        <w:t>按照现状利用条件不变。</w:t>
      </w:r>
    </w:p>
    <w:p w14:paraId="26215A4A">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3</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最佳利用方式</w:t>
      </w:r>
    </w:p>
    <w:p w14:paraId="316E31BD">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根据最有效利用原则，本次评估设定估价对象</w:t>
      </w:r>
      <w:r>
        <w:rPr>
          <w:rFonts w:hint="eastAsia" w:ascii="仿宋_GB2312" w:hAnsi="仿宋_GB2312" w:eastAsia="仿宋_GB2312" w:cs="仿宋_GB2312"/>
          <w:bCs/>
          <w:color w:val="auto"/>
          <w:kern w:val="2"/>
          <w:sz w:val="28"/>
          <w:szCs w:val="28"/>
          <w:highlight w:val="none"/>
          <w:lang w:val="en-GB" w:eastAsia="zh-CN" w:bidi="ar-SA"/>
        </w:rPr>
        <w:t>容积率为4.07</w:t>
      </w:r>
      <w:r>
        <w:rPr>
          <w:rFonts w:hint="default" w:ascii="仿宋_GB2312" w:hAnsi="仿宋_GB2312" w:eastAsia="仿宋_GB2312" w:cs="仿宋_GB2312"/>
          <w:bCs/>
          <w:color w:val="auto"/>
          <w:kern w:val="2"/>
          <w:sz w:val="28"/>
          <w:szCs w:val="28"/>
          <w:highlight w:val="none"/>
          <w:lang w:val="en-GB" w:eastAsia="zh-CN" w:bidi="ar-SA"/>
        </w:rPr>
        <w:t>，设定土地用途为</w:t>
      </w:r>
      <w:r>
        <w:rPr>
          <w:rFonts w:hint="eastAsia" w:ascii="仿宋_GB2312" w:hAnsi="仿宋_GB2312" w:eastAsia="仿宋_GB2312" w:cs="仿宋_GB2312"/>
          <w:bCs/>
          <w:color w:val="auto"/>
          <w:kern w:val="2"/>
          <w:sz w:val="28"/>
          <w:szCs w:val="28"/>
          <w:highlight w:val="none"/>
          <w:lang w:val="en-US" w:eastAsia="zh-CN" w:bidi="ar-SA"/>
        </w:rPr>
        <w:t>商服用地、</w:t>
      </w:r>
      <w:r>
        <w:rPr>
          <w:rFonts w:hint="default" w:ascii="仿宋_GB2312" w:hAnsi="仿宋_GB2312" w:eastAsia="仿宋_GB2312" w:cs="仿宋_GB2312"/>
          <w:bCs/>
          <w:color w:val="auto"/>
          <w:kern w:val="2"/>
          <w:sz w:val="28"/>
          <w:szCs w:val="28"/>
          <w:highlight w:val="none"/>
          <w:lang w:val="en-GB" w:eastAsia="zh-CN" w:bidi="ar-SA"/>
        </w:rPr>
        <w:t>住宅用地</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商住比22.03%：77.97%</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w:t>
      </w:r>
    </w:p>
    <w:p w14:paraId="26FB8097">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4</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土地闲置状况</w:t>
      </w:r>
    </w:p>
    <w:p w14:paraId="061A9999">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估价对象为已开发用地，于估价期日属于已供土地，不属于闲置土地。</w:t>
      </w:r>
    </w:p>
    <w:p w14:paraId="4CB5C3BD">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5</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规划限制</w:t>
      </w:r>
    </w:p>
    <w:p w14:paraId="1E68F02E">
      <w:pPr>
        <w:keepLines w:val="0"/>
        <w:pageBreakBefore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bookmarkStart w:id="8" w:name="_Toc7099"/>
      <w:bookmarkStart w:id="9" w:name="_Toc3816"/>
      <w:r>
        <w:rPr>
          <w:rFonts w:hint="eastAsia" w:ascii="仿宋_GB2312" w:hAnsi="仿宋_GB2312" w:eastAsia="仿宋_GB2312" w:cs="仿宋_GB2312"/>
          <w:bCs/>
          <w:color w:val="auto"/>
          <w:kern w:val="2"/>
          <w:sz w:val="28"/>
          <w:szCs w:val="28"/>
          <w:highlight w:val="none"/>
          <w:lang w:val="en-GB" w:eastAsia="zh-CN" w:bidi="ar-SA"/>
        </w:rPr>
        <w:t>根据委托方提供的资料及估价人员了解，宗地无明显利用限制和缺陷。</w:t>
      </w:r>
    </w:p>
    <w:p w14:paraId="3604DB1F">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四</w:t>
      </w:r>
      <w:r>
        <w:rPr>
          <w:rFonts w:hint="default" w:ascii="仿宋_GB2312" w:hAnsi="仿宋_GB2312" w:eastAsia="仿宋_GB2312" w:cs="仿宋_GB2312"/>
          <w:b/>
          <w:bCs w:val="0"/>
          <w:color w:val="auto"/>
          <w:sz w:val="28"/>
          <w:szCs w:val="28"/>
          <w:highlight w:val="none"/>
          <w:lang w:val="en-US" w:eastAsia="zh-CN"/>
        </w:rPr>
        <w:t>、地价影响因素分析</w:t>
      </w:r>
      <w:bookmarkEnd w:id="8"/>
      <w:bookmarkEnd w:id="9"/>
    </w:p>
    <w:p w14:paraId="2DB1394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2"/>
        <w:rPr>
          <w:rFonts w:hint="default" w:ascii="仿宋_GB2312" w:hAnsi="仿宋_GB2312" w:eastAsia="仿宋_GB2312" w:cs="仿宋_GB2312"/>
          <w:bCs/>
          <w:color w:val="auto"/>
          <w:sz w:val="28"/>
          <w:szCs w:val="28"/>
          <w:highlight w:val="none"/>
          <w:lang w:val="en-US" w:eastAsia="zh-CN"/>
        </w:rPr>
      </w:pPr>
      <w:bookmarkStart w:id="10" w:name="_Toc102987873"/>
      <w:bookmarkStart w:id="11" w:name="_Toc25578"/>
      <w:r>
        <w:rPr>
          <w:rFonts w:hint="default" w:ascii="仿宋_GB2312" w:hAnsi="仿宋_GB2312" w:eastAsia="仿宋_GB2312" w:cs="仿宋_GB2312"/>
          <w:bCs/>
          <w:color w:val="auto"/>
          <w:sz w:val="28"/>
          <w:szCs w:val="28"/>
          <w:highlight w:val="none"/>
          <w:lang w:val="en-US" w:eastAsia="zh-CN"/>
        </w:rPr>
        <w:t>（一）一般因素</w:t>
      </w:r>
    </w:p>
    <w:p w14:paraId="61F5A7E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GB" w:eastAsia="zh-CN"/>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16D1C94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1、城市概况</w:t>
      </w:r>
    </w:p>
    <w:p w14:paraId="3ED0D3B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通道侗族自治县位于湖南省西部、怀化市最南端，是湖南、广西、贵州三省（区）交界处，通往中国大西南的要道，地处云贵高原东缘向南岭山脉过渡地带，雪峰山西南余脉延伸境内，分属长江、珠江两大水系。东邻湖南省绥宁县、城步苗族自治县，北接靖州苗族侗族自治县，南毗广西壮族自治区三江侗族自治县、龙胜各族自治县，西连贵州省黔东南苗族侗族自治州黎平县。全境东西宽58千米，南北长68千米，总面积2224平方公里，总人口19.67万人。辖坪坦乡、大高坪苗族乡，两个乡，双江镇、县溪镇、万佛山镇、溪口镇、独坡镇、菁芜洲镇、牙屯堡镇、播阳镇、陇城镇9个镇，县人民政府驻双江镇1954年5月7日，经中央人民政府政务院批准成立通道侗族自治县，是湖南省成立最早的少数民族自治县。</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38B93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93" w:hRule="atLeast"/>
          <w:jc w:val="center"/>
        </w:trPr>
        <w:tc>
          <w:tcPr>
            <w:tcW w:w="4261" w:type="dxa"/>
          </w:tcPr>
          <w:p w14:paraId="6088D6F8">
            <w:pPr>
              <w:pStyle w:val="2"/>
              <w:ind w:left="0" w:leftChars="0" w:firstLine="0" w:firstLineChars="0"/>
              <w:jc w:val="center"/>
              <w:rPr>
                <w:rFonts w:hint="default"/>
                <w:highlight w:val="none"/>
                <w:vertAlign w:val="baseline"/>
                <w:lang w:val="en-US" w:eastAsia="zh-CN"/>
              </w:rPr>
            </w:pPr>
            <w:r>
              <w:rPr>
                <w:rFonts w:hint="eastAsia" w:ascii="仿宋_GB2312" w:hAnsi="仿宋_GB2312" w:eastAsia="仿宋_GB2312" w:cs="仿宋_GB2312"/>
                <w:bCs/>
                <w:color w:val="auto"/>
                <w:sz w:val="28"/>
                <w:szCs w:val="28"/>
                <w:highlight w:val="none"/>
                <w:lang w:val="en-US" w:eastAsia="zh-CN"/>
              </w:rPr>
              <w:drawing>
                <wp:anchor distT="0" distB="0" distL="114300" distR="114300" simplePos="0" relativeHeight="251660288" behindDoc="0" locked="0" layoutInCell="1" allowOverlap="1">
                  <wp:simplePos x="0" y="0"/>
                  <wp:positionH relativeFrom="column">
                    <wp:posOffset>-20955</wp:posOffset>
                  </wp:positionH>
                  <wp:positionV relativeFrom="paragraph">
                    <wp:posOffset>147955</wp:posOffset>
                  </wp:positionV>
                  <wp:extent cx="2520315" cy="3599815"/>
                  <wp:effectExtent l="0" t="0" r="13335" b="635"/>
                  <wp:wrapTopAndBottom/>
                  <wp:docPr id="23" name="图片 23" descr="td"/>
                  <wp:cNvGraphicFramePr/>
                  <a:graphic xmlns:a="http://schemas.openxmlformats.org/drawingml/2006/main">
                    <a:graphicData uri="http://schemas.openxmlformats.org/drawingml/2006/picture">
                      <pic:pic xmlns:pic="http://schemas.openxmlformats.org/drawingml/2006/picture">
                        <pic:nvPicPr>
                          <pic:cNvPr id="23" name="图片 23" descr="td"/>
                          <pic:cNvPicPr/>
                        </pic:nvPicPr>
                        <pic:blipFill>
                          <a:blip r:embed="rId26"/>
                          <a:srcRect l="3736" t="5538" r="3832" b="5215"/>
                          <a:stretch>
                            <a:fillRect/>
                          </a:stretch>
                        </pic:blipFill>
                        <pic:spPr>
                          <a:xfrm>
                            <a:off x="0" y="0"/>
                            <a:ext cx="2520315" cy="3599815"/>
                          </a:xfrm>
                          <a:prstGeom prst="rect">
                            <a:avLst/>
                          </a:prstGeom>
                        </pic:spPr>
                      </pic:pic>
                    </a:graphicData>
                  </a:graphic>
                </wp:anchor>
              </w:drawing>
            </w:r>
            <w:r>
              <w:rPr>
                <w:rFonts w:hint="default" w:ascii="仿宋_GB2312" w:hAnsi="仿宋_GB2312" w:eastAsia="仿宋_GB2312" w:cs="仿宋_GB2312"/>
                <w:bCs/>
                <w:color w:val="auto"/>
                <w:sz w:val="28"/>
                <w:szCs w:val="28"/>
                <w:highlight w:val="none"/>
                <w:lang w:val="en-US" w:eastAsia="zh-CN"/>
              </w:rPr>
              <w:t xml:space="preserve">图2-2 </w:t>
            </w:r>
            <w:r>
              <w:rPr>
                <w:rFonts w:hint="eastAsia" w:ascii="仿宋_GB2312" w:hAnsi="仿宋_GB2312" w:eastAsia="仿宋_GB2312" w:cs="仿宋_GB2312"/>
                <w:bCs/>
                <w:color w:val="auto"/>
                <w:sz w:val="28"/>
                <w:szCs w:val="28"/>
                <w:highlight w:val="none"/>
                <w:lang w:val="en-US" w:eastAsia="zh-CN"/>
              </w:rPr>
              <w:t>通道县地理区位</w:t>
            </w:r>
            <w:r>
              <w:rPr>
                <w:rFonts w:hint="default" w:ascii="仿宋_GB2312" w:hAnsi="仿宋_GB2312" w:eastAsia="仿宋_GB2312" w:cs="仿宋_GB2312"/>
                <w:bCs/>
                <w:color w:val="auto"/>
                <w:sz w:val="28"/>
                <w:szCs w:val="28"/>
                <w:highlight w:val="none"/>
                <w:lang w:val="en-US" w:eastAsia="zh-CN"/>
              </w:rPr>
              <w:t>图</w:t>
            </w:r>
          </w:p>
        </w:tc>
        <w:tc>
          <w:tcPr>
            <w:tcW w:w="4261" w:type="dxa"/>
          </w:tcPr>
          <w:p w14:paraId="656F6C8B">
            <w:pPr>
              <w:pStyle w:val="2"/>
              <w:ind w:left="0" w:leftChars="0" w:firstLine="0" w:firstLineChars="0"/>
              <w:jc w:val="center"/>
              <w:rPr>
                <w:rFonts w:hint="default"/>
                <w:highlight w:val="none"/>
                <w:vertAlign w:val="baseline"/>
                <w:lang w:val="en-US" w:eastAsia="zh-CN"/>
              </w:rPr>
            </w:pPr>
            <w:r>
              <w:rPr>
                <w:rFonts w:hint="default" w:ascii="仿宋_GB2312" w:hAnsi="仿宋_GB2312" w:eastAsia="仿宋_GB2312" w:cs="仿宋_GB2312"/>
                <w:bCs/>
                <w:color w:val="auto"/>
                <w:sz w:val="28"/>
                <w:szCs w:val="28"/>
                <w:highlight w:val="none"/>
                <w:lang w:val="en-US" w:eastAsia="zh-CN"/>
              </w:rPr>
              <w:drawing>
                <wp:anchor distT="0" distB="0" distL="114300" distR="114300" simplePos="0" relativeHeight="251661312" behindDoc="0" locked="0" layoutInCell="1" allowOverlap="1">
                  <wp:simplePos x="0" y="0"/>
                  <wp:positionH relativeFrom="column">
                    <wp:posOffset>0</wp:posOffset>
                  </wp:positionH>
                  <wp:positionV relativeFrom="paragraph">
                    <wp:posOffset>156210</wp:posOffset>
                  </wp:positionV>
                  <wp:extent cx="2520315" cy="3599815"/>
                  <wp:effectExtent l="0" t="0" r="13335" b="635"/>
                  <wp:wrapTopAndBottom/>
                  <wp:docPr id="14" name="图片 14" descr="通道位置图"/>
                  <wp:cNvGraphicFramePr/>
                  <a:graphic xmlns:a="http://schemas.openxmlformats.org/drawingml/2006/main">
                    <a:graphicData uri="http://schemas.openxmlformats.org/drawingml/2006/picture">
                      <pic:pic xmlns:pic="http://schemas.openxmlformats.org/drawingml/2006/picture">
                        <pic:nvPicPr>
                          <pic:cNvPr id="14" name="图片 14" descr="通道位置图"/>
                          <pic:cNvPicPr/>
                        </pic:nvPicPr>
                        <pic:blipFill>
                          <a:blip r:embed="rId27"/>
                          <a:srcRect l="2326" t="5641" r="2483"/>
                          <a:stretch>
                            <a:fillRect/>
                          </a:stretch>
                        </pic:blipFill>
                        <pic:spPr>
                          <a:xfrm>
                            <a:off x="0" y="0"/>
                            <a:ext cx="2520315" cy="3599815"/>
                          </a:xfrm>
                          <a:prstGeom prst="rect">
                            <a:avLst/>
                          </a:prstGeom>
                        </pic:spPr>
                      </pic:pic>
                    </a:graphicData>
                  </a:graphic>
                </wp:anchor>
              </w:drawing>
            </w:r>
            <w:r>
              <w:rPr>
                <w:rFonts w:hint="default" w:ascii="仿宋_GB2312" w:hAnsi="仿宋_GB2312" w:eastAsia="仿宋_GB2312" w:cs="仿宋_GB2312"/>
                <w:bCs/>
                <w:color w:val="auto"/>
                <w:sz w:val="28"/>
                <w:szCs w:val="28"/>
                <w:highlight w:val="none"/>
                <w:lang w:val="en-US" w:eastAsia="zh-CN"/>
              </w:rPr>
              <w:t xml:space="preserve">图2-3 </w:t>
            </w:r>
            <w:r>
              <w:rPr>
                <w:rFonts w:hint="eastAsia" w:ascii="仿宋_GB2312" w:hAnsi="仿宋_GB2312" w:eastAsia="仿宋_GB2312" w:cs="仿宋_GB2312"/>
                <w:bCs/>
                <w:color w:val="auto"/>
                <w:sz w:val="28"/>
                <w:szCs w:val="28"/>
                <w:highlight w:val="none"/>
                <w:lang w:val="en-US" w:eastAsia="zh-CN"/>
              </w:rPr>
              <w:t>通道县</w:t>
            </w:r>
            <w:r>
              <w:rPr>
                <w:rFonts w:hint="default" w:ascii="仿宋_GB2312" w:hAnsi="仿宋_GB2312" w:eastAsia="仿宋_GB2312" w:cs="仿宋_GB2312"/>
                <w:bCs/>
                <w:color w:val="auto"/>
                <w:sz w:val="28"/>
                <w:szCs w:val="28"/>
                <w:highlight w:val="none"/>
                <w:lang w:val="en-US" w:eastAsia="zh-CN"/>
              </w:rPr>
              <w:t>行政区域示意图</w:t>
            </w:r>
          </w:p>
        </w:tc>
      </w:tr>
    </w:tbl>
    <w:p w14:paraId="3BFBCA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通道是一方红色圣地。红色侗乡，好运通道。1934年12月12日，中共中央领导人在县溪恭城书院召开的“通道会议”，采纳毛泽东同志的正确主张，作出“放弃原定计划、转兵西进贵州”的正确抉择。中央红军过境通道期间，留下“一盏马灯”“一担皮箩”等红色故事，诠释着浓浓的军民鱼水之情。“通道转兵”是实现红军长征伟大转折的历史开端，这一历史地位得到党中央肯定。</w:t>
      </w:r>
    </w:p>
    <w:p w14:paraId="60DCD1D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通道是生态宜居绿地。绿色侗乡，美丽通道。全县森林覆盖率达79．54％，年平均气温16．6℃，空气质量平均优良天数比例100％以上，是国家生态文明示范县，被联合国教科文组织誉为“未被污染的神奇绿洲”。2019年被国家气象部门授予“中国天然氧吧”称号，连续四年入列“全国百佳深呼吸小城”，入列全国文明城市提名城市名单。</w:t>
      </w:r>
    </w:p>
    <w:p w14:paraId="6115FDE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通道是侗族集聚福地。古色侗乡，神奇通道。全县侗族人口占77．9％，是侗族群众核心聚居区。侗族建筑、歌舞、服饰、习俗保存完整，被誉为“侗族文化活态博物馆”，有全国唯一侗锦织造技艺国家生产性保护示范基地，是文化和旅游部命名中国民间文化艺术之乡。通道侗族村寨入列中国世界文化遗产预备名录，芋头古侗寨、恭城书院、马田鼓楼等6处14个单位被列为国家级重点文物保护单位。</w:t>
      </w:r>
    </w:p>
    <w:p w14:paraId="741EA57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通道是全域旅游胜地。这里红色、绿色、古色资源丰富，“三色”资源交相辉映，集生态旅游、民俗旅游、红色旅游于一地，境内有万佛山、皇都侗文化村、通道转兵纪念地、芋头侗寨等4个4A级景区，横岭侗寨等3个3A级景区，是首批国家全域旅游示范区创建县、湖南省旅游强县、湖南省特色县域经济（文化旅游）重点县，2019年获批湖南省全域旅游示范区。</w:t>
      </w:r>
    </w:p>
    <w:p w14:paraId="0BE8406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通道是三省交融要地。通道位于湘、桂、黔三省（区）交界处，自古为楚越分界的走廊地带、中原通往西南的通衢要地，素有“南楚极地，百越襟喉”之称。先后建立湘桂跨省基层党组织—将王屯党支部、湘黔桂三省坡联合人民调解委员会，实现了组织共建、党员共管、产业共兴、纠纷共调、和谐共创、发展共谋。</w:t>
      </w:r>
    </w:p>
    <w:p w14:paraId="498768F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2、</w:t>
      </w:r>
      <w:r>
        <w:rPr>
          <w:rFonts w:hint="default" w:ascii="仿宋_GB2312" w:hAnsi="仿宋_GB2312" w:eastAsia="仿宋_GB2312" w:cs="仿宋_GB2312"/>
          <w:bCs/>
          <w:color w:val="auto"/>
          <w:sz w:val="28"/>
          <w:szCs w:val="28"/>
          <w:highlight w:val="none"/>
          <w:lang w:val="en-US" w:eastAsia="zh-CN"/>
        </w:rPr>
        <w:t>不动产制度与不动产市场状况</w:t>
      </w:r>
    </w:p>
    <w:p w14:paraId="7694583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default" w:ascii="仿宋_GB2312" w:hAnsi="仿宋_GB2312" w:eastAsia="仿宋_GB2312" w:cs="仿宋_GB2312"/>
          <w:bCs/>
          <w:color w:val="auto"/>
          <w:sz w:val="28"/>
          <w:szCs w:val="28"/>
          <w:highlight w:val="none"/>
          <w:lang w:val="en-US" w:eastAsia="zh-CN"/>
        </w:rPr>
        <w:t>（1）不动产制度</w:t>
      </w:r>
    </w:p>
    <w:p w14:paraId="38D4670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1）</w:t>
      </w:r>
      <w:r>
        <w:rPr>
          <w:rFonts w:hint="default" w:ascii="仿宋_GB2312" w:hAnsi="仿宋_GB2312" w:eastAsia="仿宋_GB2312" w:cs="仿宋_GB2312"/>
          <w:bCs/>
          <w:color w:val="auto"/>
          <w:sz w:val="28"/>
          <w:szCs w:val="28"/>
          <w:highlight w:val="none"/>
          <w:lang w:val="en-US" w:eastAsia="zh-CN"/>
        </w:rPr>
        <w:t>土地使用制度与土地管理制度</w:t>
      </w:r>
    </w:p>
    <w:p w14:paraId="287CCD8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通道县土地</w:t>
      </w:r>
      <w:r>
        <w:rPr>
          <w:rFonts w:hint="default" w:ascii="仿宋_GB2312" w:hAnsi="仿宋_GB2312" w:eastAsia="仿宋_GB2312" w:cs="仿宋_GB2312"/>
          <w:bCs/>
          <w:color w:val="auto"/>
          <w:sz w:val="28"/>
          <w:szCs w:val="28"/>
          <w:highlight w:val="none"/>
          <w:lang w:val="en-US" w:eastAsia="zh-CN"/>
        </w:rPr>
        <w:t>市场经过多年发展，在规范管理经营方面取得较大成绩，土地资产管理已经纳入法制化的轨道。建立健全了土地收购、储备及供应等制度，特别是出让土地使用权过程中采用的招拍挂方式，更加增加了土地市场的透明度，规范了土地市场交易行为，使土地资产价值能较好的体现。</w:t>
      </w:r>
      <w:r>
        <w:rPr>
          <w:rFonts w:hint="eastAsia" w:ascii="仿宋_GB2312" w:hAnsi="仿宋_GB2312" w:eastAsia="仿宋_GB2312" w:cs="仿宋_GB2312"/>
          <w:bCs/>
          <w:color w:val="auto"/>
          <w:sz w:val="28"/>
          <w:szCs w:val="28"/>
          <w:highlight w:val="none"/>
          <w:lang w:val="en-US" w:eastAsia="zh-CN"/>
        </w:rPr>
        <w:t>通道县</w:t>
      </w:r>
      <w:r>
        <w:rPr>
          <w:rFonts w:hint="default" w:ascii="仿宋_GB2312" w:hAnsi="仿宋_GB2312" w:eastAsia="仿宋_GB2312" w:cs="仿宋_GB2312"/>
          <w:bCs/>
          <w:color w:val="auto"/>
          <w:sz w:val="28"/>
          <w:szCs w:val="28"/>
          <w:highlight w:val="none"/>
          <w:lang w:val="en-US" w:eastAsia="zh-CN"/>
        </w:rPr>
        <w:t>制定了大开放、大招商、大发展的政策，外来投资的房地产开发、工业、基础设施投资等项目不断增加，刺激了土地需求。并制定了合理的土地供应制度。完善建设用地审批制度，简化程序，保障重点工程建设项目用地，优先安排符合条件的产业项目用地。根据《不动产登记暂行条例》（国务院令第656号）规定，</w:t>
      </w:r>
      <w:r>
        <w:rPr>
          <w:rFonts w:hint="eastAsia" w:ascii="仿宋_GB2312" w:hAnsi="仿宋_GB2312" w:eastAsia="仿宋_GB2312" w:cs="仿宋_GB2312"/>
          <w:bCs/>
          <w:color w:val="auto"/>
          <w:sz w:val="28"/>
          <w:szCs w:val="28"/>
          <w:highlight w:val="none"/>
          <w:lang w:val="en-US" w:eastAsia="zh-CN"/>
        </w:rPr>
        <w:t>通道县</w:t>
      </w:r>
      <w:r>
        <w:rPr>
          <w:rFonts w:hint="default" w:ascii="仿宋_GB2312" w:hAnsi="仿宋_GB2312" w:eastAsia="仿宋_GB2312" w:cs="仿宋_GB2312"/>
          <w:bCs/>
          <w:color w:val="auto"/>
          <w:sz w:val="28"/>
          <w:szCs w:val="28"/>
          <w:highlight w:val="none"/>
          <w:lang w:val="en-US" w:eastAsia="zh-CN"/>
        </w:rPr>
        <w:t>已实施不动产统一登记。</w:t>
      </w:r>
    </w:p>
    <w:p w14:paraId="7FEF4BD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2）住房制度</w:t>
      </w:r>
    </w:p>
    <w:p w14:paraId="6917D36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自1998年7月《国务院关于进一步深化城镇住房制度改革加快住房建设的通知》(国发[1998]23号)颁布以来，我国住房制度实行住房市场化改革，停止了住房的实物分配，逐步实现了住房分配货币化。中国住房制度由其进入了全新的市场化时代，住房供应机制与体系为之发生翻天覆地的变化。与全国相统一，通道县住房制度已经进入市场化时代，政府的住房政策着眼点已经从微观的住房实物生产与分配转到宏观的市场调控。通道县着眼于住房供求关系，建立了具有地方特色的住房保障制度，明确了住房保障是政府公共服务的一项重要职责，将廉租房、经济适用房等保障性住房作为政府提供的重要公共产品</w:t>
      </w:r>
    </w:p>
    <w:p w14:paraId="1682EEE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（2）不动产市场状况</w:t>
      </w:r>
    </w:p>
    <w:p w14:paraId="4D64B1D0">
      <w:pPr>
        <w:keepNext w:val="0"/>
        <w:keepLines w:val="0"/>
        <w:pageBreakBefore w:val="0"/>
        <w:widowControl w:val="0"/>
        <w:kinsoku/>
        <w:wordWrap/>
        <w:overflowPunct/>
        <w:topLinePunct w:val="0"/>
        <w:autoSpaceDE/>
        <w:autoSpaceDN/>
        <w:bidi w:val="0"/>
        <w:adjustRightInd w:val="0"/>
        <w:snapToGrid w:val="0"/>
        <w:spacing w:line="480" w:lineRule="exact"/>
        <w:ind w:firstLine="840" w:firstLineChars="3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1）土地市场状况</w:t>
      </w:r>
    </w:p>
    <w:p w14:paraId="3B0B59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①土地供应总量</w:t>
      </w:r>
    </w:p>
    <w:p w14:paraId="79E5363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根据表2-1，通道县城区2020-2024年土地出让总量出现波动变化，整体上2024年相较于2020年供应总量略有增长，年平均增幅约4.12%；其中，商业服务业用地供应量年均下降约10.5%，居住用地年均下降2.17%，商住综合用地年均下降约34.44%。</w:t>
      </w:r>
    </w:p>
    <w:p w14:paraId="13BE2C2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从用地类型上看，通道县近五年工矿、仓储、公共管理与公共服务、公用设施用地市场需求较低，土地供应情况不稳定。工矿用地出现集中整体供应现象，2022年通道产业开发区以挂牌出让方式取得74633.67平方米工业用地使用权，双江镇209国道塘冲段塘冲屠宰场项目供应15223.83平方米工业用地，使该年工矿用地供应量呈爆发式增长，2023年工矿用地供应量迅速跌落至0。仓储用地在2020-2023年无项目建设需求，2024年通道县在转兵北路商贸物流中心东侧打造农产品现代化智慧物流仓储基地，共供应22102.1平方米仓储用地。公用设施用地和公共管理与公共服务用地以行政划拨供应为主，土地需求受政策影响较大，规律性不强。</w:t>
      </w:r>
    </w:p>
    <w:p w14:paraId="3C0DA4A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从房地产开发用地上看，通道县房地产用地整体上呈下降趋势。其中商业服务业用地供应量较少，主要为加油站用地和城区临街门面协议出让，房地产开发用地供应量受居住用地和商住综合用地主导。居住用地供应量峰值出现在2020年，2021-2023年供应量较少，2024年出现反弹式增长，但较2020年仍有差距，根据台账，2020年通道县城区共出让五宗房地产开发项目土地，其中面积较大的为湖南楚置业有限公司取得位于双江镇转兵中路西北侧（原种牛场）27572.81平方米居住用地土地使用权，2024年山水民居二期和礼雅新城楼盘项目分别供应居住用地7636.93平方米、36568.24平方米，新楼盘的用地需求导致居住用地供应增长。商住综合用地供应峰值出现在2021年，2022年出现下滑，2023年跌至谷底。根据台账，怀化九州房地产开发有限公司2021年在双江镇萨岁广场东北片区取得67326.7平方米土地使用权用于建设公园世家楼盘，该年商住综合用地供应量大幅上升。</w:t>
      </w:r>
    </w:p>
    <w:p w14:paraId="0727745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从土地供应总量上看，通道县近五年土地出让供应总面积出现波动变化，其中2022年为土地供应高峰，根据上文分析，该年为工矿用地供应量高峰期，同时商住综合用地虽有下滑但幅度不大。2023年为土地出让低谷期，受疫情影响，无开发商拿地，同时工业发展滞缓。根据图2-4，居住用地和商住综合用地年供应总量在近五年出现此长彼消的形态，这也导致2020和2021年在居住用地和商住综合用地分别大幅下跌情况下土地供应总量依然维持在稳定水平。2024年各类用地有复苏迹象，通道县城区土地市场回温，与2020年基本持平。</w:t>
      </w:r>
    </w:p>
    <w:p w14:paraId="220C8E89">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ab/>
      </w:r>
      <w:r>
        <w:rPr>
          <w:rFonts w:hint="eastAsia" w:ascii="仿宋_GB2312" w:hAnsi="仿宋_GB2312" w:eastAsia="仿宋_GB2312" w:cs="仿宋_GB2312"/>
          <w:bCs/>
          <w:color w:val="auto"/>
          <w:sz w:val="28"/>
          <w:szCs w:val="28"/>
          <w:highlight w:val="none"/>
          <w:lang w:val="en-US" w:eastAsia="zh-CN"/>
        </w:rPr>
        <w:t>表2-1 通道县城区2020-2024年土地招拍挂出让总量</w:t>
      </w:r>
    </w:p>
    <w:p w14:paraId="5967E3C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jc w:val="righ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单位：平方米</w:t>
      </w:r>
    </w:p>
    <w:tbl>
      <w:tblPr>
        <w:tblStyle w:val="11"/>
        <w:tblW w:w="487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41"/>
        <w:gridCol w:w="1451"/>
        <w:gridCol w:w="1384"/>
        <w:gridCol w:w="1303"/>
        <w:gridCol w:w="1170"/>
        <w:gridCol w:w="1368"/>
      </w:tblGrid>
      <w:tr w14:paraId="6D146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3" w:hRule="atLeast"/>
        </w:trPr>
        <w:tc>
          <w:tcPr>
            <w:tcW w:w="9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A0F441">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用地类型</w:t>
            </w:r>
          </w:p>
        </w:tc>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E1AB6B">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2020</w:t>
            </w:r>
          </w:p>
        </w:tc>
        <w:tc>
          <w:tcPr>
            <w:tcW w:w="8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1B3914">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2021</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EA4421">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2022</w:t>
            </w:r>
          </w:p>
        </w:tc>
        <w:tc>
          <w:tcPr>
            <w:tcW w:w="7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806F8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2023</w:t>
            </w:r>
          </w:p>
        </w:tc>
        <w:tc>
          <w:tcPr>
            <w:tcW w:w="8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B780F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2024</w:t>
            </w:r>
          </w:p>
        </w:tc>
      </w:tr>
      <w:tr w14:paraId="0EE55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3" w:hRule="atLeast"/>
        </w:trPr>
        <w:tc>
          <w:tcPr>
            <w:tcW w:w="9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B2B3D0">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商业服务业用地</w:t>
            </w:r>
          </w:p>
        </w:tc>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03F56">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2352.68</w:t>
            </w:r>
          </w:p>
        </w:tc>
        <w:tc>
          <w:tcPr>
            <w:tcW w:w="8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4E97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5477.69</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358CB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7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3E68D3">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8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51D11">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1509.36</w:t>
            </w:r>
          </w:p>
        </w:tc>
      </w:tr>
      <w:tr w14:paraId="2B35A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3" w:hRule="atLeast"/>
        </w:trPr>
        <w:tc>
          <w:tcPr>
            <w:tcW w:w="9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5A42F">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商住用地</w:t>
            </w:r>
          </w:p>
        </w:tc>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B0DC00">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12396.72</w:t>
            </w:r>
          </w:p>
        </w:tc>
        <w:tc>
          <w:tcPr>
            <w:tcW w:w="8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6ACC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68336.07</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E4EAEF">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52339.5</w:t>
            </w:r>
          </w:p>
        </w:tc>
        <w:tc>
          <w:tcPr>
            <w:tcW w:w="7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255333">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1080</w:t>
            </w:r>
          </w:p>
        </w:tc>
        <w:tc>
          <w:tcPr>
            <w:tcW w:w="8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57FD8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2289.57</w:t>
            </w:r>
          </w:p>
        </w:tc>
      </w:tr>
      <w:tr w14:paraId="1B287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trPr>
        <w:tc>
          <w:tcPr>
            <w:tcW w:w="9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E1DE12">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居住用地</w:t>
            </w:r>
          </w:p>
        </w:tc>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32A00A">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48253.9</w:t>
            </w:r>
          </w:p>
        </w:tc>
        <w:tc>
          <w:tcPr>
            <w:tcW w:w="8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C3FA7">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300.77</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B01E3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2256.12</w:t>
            </w:r>
          </w:p>
        </w:tc>
        <w:tc>
          <w:tcPr>
            <w:tcW w:w="7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2E24F">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8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F3729">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44205.17</w:t>
            </w:r>
          </w:p>
        </w:tc>
      </w:tr>
      <w:tr w14:paraId="36633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trPr>
        <w:tc>
          <w:tcPr>
            <w:tcW w:w="9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65AB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工矿用地</w:t>
            </w:r>
          </w:p>
        </w:tc>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656968">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8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E7F31F">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025FB7">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89857.5</w:t>
            </w:r>
          </w:p>
        </w:tc>
        <w:tc>
          <w:tcPr>
            <w:tcW w:w="7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93850">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8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6AC547">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14914.88</w:t>
            </w:r>
          </w:p>
        </w:tc>
      </w:tr>
      <w:tr w14:paraId="2D6A9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trPr>
        <w:tc>
          <w:tcPr>
            <w:tcW w:w="9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B27D88">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仓储用地</w:t>
            </w:r>
          </w:p>
        </w:tc>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094A3">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8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FC051F">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ED37A7">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7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C0FA8E">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8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00A2B">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22102.1</w:t>
            </w:r>
          </w:p>
        </w:tc>
      </w:tr>
      <w:tr w14:paraId="4BC2E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3" w:hRule="atLeast"/>
        </w:trPr>
        <w:tc>
          <w:tcPr>
            <w:tcW w:w="9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964EE4">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公共管理与公共服务用地</w:t>
            </w:r>
          </w:p>
        </w:tc>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D7B8">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9350</w:t>
            </w:r>
          </w:p>
        </w:tc>
        <w:tc>
          <w:tcPr>
            <w:tcW w:w="8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BD7842">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103E50">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7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D4BEB7">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8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065980">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r>
      <w:tr w14:paraId="4DFA2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trPr>
        <w:tc>
          <w:tcPr>
            <w:tcW w:w="9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9A2891">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公用设施用地</w:t>
            </w:r>
          </w:p>
        </w:tc>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797BF">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8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2E8F8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4D01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19068</w:t>
            </w:r>
          </w:p>
        </w:tc>
        <w:tc>
          <w:tcPr>
            <w:tcW w:w="7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25080">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4251.86</w:t>
            </w:r>
          </w:p>
        </w:tc>
        <w:tc>
          <w:tcPr>
            <w:tcW w:w="8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AD225">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r>
      <w:tr w14:paraId="7983C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2" w:hRule="atLeast"/>
        </w:trPr>
        <w:tc>
          <w:tcPr>
            <w:tcW w:w="9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9C787E">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合计</w:t>
            </w:r>
          </w:p>
        </w:tc>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9F88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72353.3</w:t>
            </w:r>
          </w:p>
        </w:tc>
        <w:tc>
          <w:tcPr>
            <w:tcW w:w="8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A4ABE">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74114.53</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DCCF4">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163521.12</w:t>
            </w:r>
          </w:p>
        </w:tc>
        <w:tc>
          <w:tcPr>
            <w:tcW w:w="7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BEE1D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5331.86</w:t>
            </w:r>
          </w:p>
        </w:tc>
        <w:tc>
          <w:tcPr>
            <w:tcW w:w="8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0DB7A">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85021.08</w:t>
            </w:r>
          </w:p>
        </w:tc>
      </w:tr>
    </w:tbl>
    <w:p w14:paraId="60DBF9CB">
      <w:pPr>
        <w:widowControl w:val="0"/>
        <w:kinsoku/>
        <w:autoSpaceDE/>
        <w:autoSpaceDN/>
        <w:adjustRightInd/>
        <w:snapToGrid/>
        <w:jc w:val="center"/>
        <w:textAlignment w:val="auto"/>
        <w:rPr>
          <w:rFonts w:hint="eastAsia"/>
          <w:highlight w:val="none"/>
          <w:lang w:val="en-US" w:eastAsia="zh-CN"/>
        </w:rPr>
      </w:pPr>
      <w:r>
        <w:rPr>
          <w:highlight w:val="none"/>
        </w:rPr>
        <w:drawing>
          <wp:anchor distT="0" distB="0" distL="114300" distR="114300" simplePos="0" relativeHeight="251659264" behindDoc="0" locked="0" layoutInCell="1" allowOverlap="1">
            <wp:simplePos x="0" y="0"/>
            <wp:positionH relativeFrom="column">
              <wp:posOffset>574675</wp:posOffset>
            </wp:positionH>
            <wp:positionV relativeFrom="paragraph">
              <wp:posOffset>95885</wp:posOffset>
            </wp:positionV>
            <wp:extent cx="4114800" cy="2577465"/>
            <wp:effectExtent l="4445" t="4445" r="14605" b="8890"/>
            <wp:wrapTopAndBottom/>
            <wp:docPr id="1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anchor>
        </w:drawing>
      </w:r>
      <w:r>
        <w:rPr>
          <w:rFonts w:hint="eastAsia" w:ascii="仿宋_GB2312" w:hAnsi="仿宋_GB2312" w:eastAsia="仿宋_GB2312" w:cs="仿宋_GB2312"/>
          <w:bCs/>
          <w:color w:val="auto"/>
          <w:sz w:val="28"/>
          <w:szCs w:val="28"/>
          <w:highlight w:val="none"/>
          <w:lang w:val="en-US" w:eastAsia="zh-CN"/>
        </w:rPr>
        <w:t>图2-4 通道县城区2020-2024年土地招拍挂出让总量</w:t>
      </w:r>
    </w:p>
    <w:p w14:paraId="426C741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②土地供应收入</w:t>
      </w:r>
    </w:p>
    <w:p w14:paraId="3C611CE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从图2-5看，通道县城区土地招拍挂收入主要受房地产用地影响，近五年城区土地供应年收入出现较大波动，其中变化幅度最大的为2021年和2023年。根据前文对土地供应面积的分析，2021年公园世家项目收取土地出让金13000万元，该年土地出让收入一跃成为近几年土地出让最高收入。2022年房地产项目用地规模减小，但是工矿用地供应出现小高峰，因此土地供应总收入降幅较缓。2023年房地产开发滞缓，城区土地收入跌至谷值，2024年山水民居二期、礼雅新城和通道县农产品现代化智慧物流仓储基地项目供地使城区土地供应收入反弹增长，土地出让总收入与2020年基本持平。</w:t>
      </w:r>
    </w:p>
    <w:p w14:paraId="0019CE71">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表2-2  通道县城区2020-2024年土地招拍挂出让总收入情况</w:t>
      </w:r>
    </w:p>
    <w:p w14:paraId="05B4D885">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righ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单位：万元</w:t>
      </w:r>
    </w:p>
    <w:tbl>
      <w:tblPr>
        <w:tblStyle w:val="11"/>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31"/>
        <w:gridCol w:w="1052"/>
        <w:gridCol w:w="1212"/>
        <w:gridCol w:w="1212"/>
        <w:gridCol w:w="1098"/>
        <w:gridCol w:w="1214"/>
      </w:tblGrid>
      <w:tr w14:paraId="09F45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Header/>
        </w:trPr>
        <w:tc>
          <w:tcPr>
            <w:tcW w:w="16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1E0CEB">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用地类型</w:t>
            </w:r>
          </w:p>
        </w:tc>
        <w:tc>
          <w:tcPr>
            <w:tcW w:w="6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2BCDF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2020</w:t>
            </w:r>
          </w:p>
        </w:tc>
        <w:tc>
          <w:tcPr>
            <w:tcW w:w="7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02DE18">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2021</w:t>
            </w:r>
          </w:p>
        </w:tc>
        <w:tc>
          <w:tcPr>
            <w:tcW w:w="7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D4A3E5">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2022</w:t>
            </w:r>
          </w:p>
        </w:tc>
        <w:tc>
          <w:tcPr>
            <w:tcW w:w="6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048C8">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2023</w:t>
            </w:r>
          </w:p>
        </w:tc>
        <w:tc>
          <w:tcPr>
            <w:tcW w:w="7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3CE59">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2024</w:t>
            </w:r>
          </w:p>
        </w:tc>
      </w:tr>
      <w:tr w14:paraId="06646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4E56F3">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商业服务业用地</w:t>
            </w:r>
          </w:p>
        </w:tc>
        <w:tc>
          <w:tcPr>
            <w:tcW w:w="10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2A4D3A">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150</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AB3FA">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529</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131A38">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753AF6">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7E187A">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554</w:t>
            </w:r>
          </w:p>
        </w:tc>
      </w:tr>
      <w:tr w14:paraId="62D2B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D2F10">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商住用地</w:t>
            </w:r>
          </w:p>
        </w:tc>
        <w:tc>
          <w:tcPr>
            <w:tcW w:w="10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DB3F53">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1624.9</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0845B4">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13114</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9AAB70">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7337</w:t>
            </w: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E1F213">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145</w:t>
            </w:r>
          </w:p>
        </w:tc>
        <w:tc>
          <w:tcPr>
            <w:tcW w:w="1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873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176</w:t>
            </w:r>
          </w:p>
        </w:tc>
      </w:tr>
      <w:tr w14:paraId="3E0D4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ADE2F">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居住用地</w:t>
            </w:r>
          </w:p>
        </w:tc>
        <w:tc>
          <w:tcPr>
            <w:tcW w:w="10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C389B4">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3188</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ED60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25</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65AEA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266</w:t>
            </w: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0DAC3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1D6AEA">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4024</w:t>
            </w:r>
          </w:p>
        </w:tc>
      </w:tr>
      <w:tr w14:paraId="6B3D6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5A9A8E">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工矿用地</w:t>
            </w:r>
          </w:p>
        </w:tc>
        <w:tc>
          <w:tcPr>
            <w:tcW w:w="10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0DAC29">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914278">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4DE2D1">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2761</w:t>
            </w: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D49DD2">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25D6AA">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423</w:t>
            </w:r>
          </w:p>
        </w:tc>
      </w:tr>
      <w:tr w14:paraId="705436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213E53">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仓储用地</w:t>
            </w:r>
          </w:p>
        </w:tc>
        <w:tc>
          <w:tcPr>
            <w:tcW w:w="10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366AB">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2CB60A">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37DDBB">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32B84A">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6B2571">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1649</w:t>
            </w:r>
          </w:p>
        </w:tc>
      </w:tr>
      <w:tr w14:paraId="5BDB5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7B2B04">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公共管理与公共服务用地</w:t>
            </w:r>
          </w:p>
        </w:tc>
        <w:tc>
          <w:tcPr>
            <w:tcW w:w="10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BC6A64">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550</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8EAD87">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847F05">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5B2AE">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9E7E78">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r>
      <w:tr w14:paraId="593DB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D622DF">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公用设施用地</w:t>
            </w:r>
          </w:p>
        </w:tc>
        <w:tc>
          <w:tcPr>
            <w:tcW w:w="10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F4FC6B">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0D2E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5085CB">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842</w:t>
            </w: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1B8D8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190</w:t>
            </w:r>
          </w:p>
        </w:tc>
        <w:tc>
          <w:tcPr>
            <w:tcW w:w="1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E1F76">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r>
      <w:tr w14:paraId="7B024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A0B6C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合计</w:t>
            </w:r>
          </w:p>
        </w:tc>
        <w:tc>
          <w:tcPr>
            <w:tcW w:w="10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A3232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5514.07</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7987C7">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13668</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67CE9">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11206</w:t>
            </w: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FA986">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335</w:t>
            </w:r>
          </w:p>
        </w:tc>
        <w:tc>
          <w:tcPr>
            <w:tcW w:w="1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7292E5">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6826</w:t>
            </w:r>
          </w:p>
        </w:tc>
      </w:tr>
    </w:tbl>
    <w:p w14:paraId="64F80BE7">
      <w:pPr>
        <w:kinsoku/>
        <w:spacing w:line="360" w:lineRule="auto"/>
        <w:jc w:val="center"/>
        <w:rPr>
          <w:rFonts w:hint="eastAsia" w:ascii="仿宋" w:hAnsi="仿宋" w:eastAsia="仿宋" w:cs="仿宋"/>
          <w:highlight w:val="none"/>
        </w:rPr>
      </w:pPr>
      <w:r>
        <w:rPr>
          <w:rFonts w:hint="eastAsia" w:ascii="仿宋" w:hAnsi="仿宋" w:eastAsia="仿宋" w:cs="仿宋"/>
          <w:highlight w:val="none"/>
        </w:rPr>
        <w:drawing>
          <wp:inline distT="0" distB="0" distL="114300" distR="114300">
            <wp:extent cx="4403090" cy="2632075"/>
            <wp:effectExtent l="4445" t="4445" r="12065" b="11430"/>
            <wp:docPr id="26"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F904932">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jc w:val="center"/>
        <w:textAlignment w:val="auto"/>
        <w:rPr>
          <w:rFonts w:hint="eastAsia" w:ascii="仿宋" w:hAnsi="仿宋" w:eastAsia="仿宋" w:cs="仿宋"/>
          <w:highlight w:val="none"/>
        </w:rPr>
      </w:pPr>
      <w:r>
        <w:rPr>
          <w:rFonts w:hint="eastAsia" w:ascii="仿宋_GB2312" w:hAnsi="仿宋_GB2312" w:eastAsia="仿宋_GB2312" w:cs="仿宋_GB2312"/>
          <w:bCs/>
          <w:color w:val="auto"/>
          <w:sz w:val="28"/>
          <w:szCs w:val="28"/>
          <w:highlight w:val="none"/>
          <w:lang w:val="en-US" w:eastAsia="zh-CN"/>
        </w:rPr>
        <w:t>图2-5 通道县城区2020-2024年土地招拍挂出让收入</w:t>
      </w:r>
    </w:p>
    <w:p w14:paraId="71471694">
      <w:pPr>
        <w:keepNext w:val="0"/>
        <w:keepLines w:val="0"/>
        <w:pageBreakBefore w:val="0"/>
        <w:widowControl w:val="0"/>
        <w:kinsoku/>
        <w:wordWrap/>
        <w:overflowPunct/>
        <w:topLinePunct w:val="0"/>
        <w:autoSpaceDE/>
        <w:autoSpaceDN/>
        <w:bidi w:val="0"/>
        <w:adjustRightInd w:val="0"/>
        <w:snapToGrid w:val="0"/>
        <w:spacing w:line="480" w:lineRule="exact"/>
        <w:ind w:firstLine="840" w:firstLineChars="3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2）房地产市场状况</w:t>
      </w:r>
    </w:p>
    <w:p w14:paraId="071356AF">
      <w:pPr>
        <w:keepNext w:val="0"/>
        <w:keepLines w:val="0"/>
        <w:pageBreakBefore w:val="0"/>
        <w:widowControl w:val="0"/>
        <w:kinsoku/>
        <w:wordWrap/>
        <w:overflowPunct/>
        <w:topLinePunct w:val="0"/>
        <w:autoSpaceDE/>
        <w:autoSpaceDN/>
        <w:bidi w:val="0"/>
        <w:adjustRightInd w:val="0"/>
        <w:snapToGrid w:val="0"/>
        <w:spacing w:line="480" w:lineRule="exact"/>
        <w:ind w:firstLine="840" w:firstLineChars="3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根据通道县住建部门提供的通道县2020-2024年房地产交易数据，结合项目组实地调查城区23个在售楼盘的买卖和租赁情况，通道县楼盘多位于城区中部片区，城区南部和北部片区有少量分布，老城区和城东工业园片区暂无在售楼盘。</w:t>
      </w:r>
    </w:p>
    <w:p w14:paraId="63BDAD6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通道县城区居住生活区主要分布在城北、城中等环境、设施配套完善区域；商业商务区主要分布在城东大桥东段、城东开发规划区域等重点区域；综合服务区主要分布在城区行政管理设施较集中区域。</w:t>
      </w:r>
    </w:p>
    <w:p w14:paraId="6B6227B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城中片区作为规划的居住生活区和商业商务区，城市主干道交通路网密集、分布有大型公园广场、商业综合体和对外交通枢纽，生活便利，环境优美，交通便捷，汇集了城区大部分中高档楼盘，城北受规划引导，有少量楼盘建成在售；老城区主要是建成年代较久老旧建筑，建筑楼层低，装修档次、绿化率、建筑密度等较落后，逐渐由商住聚集地转换成为行政管理集中的综合服务区，居民从老旧住房和商铺中迁移至装修档次更高的城中片区，老城区无中高档在售楼盘。城南依托独岩公园，规划建设为山地康养文旅风貌区，分布有盛世侗乡、礼雅新城等楼盘。</w:t>
      </w:r>
    </w:p>
    <w:p w14:paraId="7B148A5C">
      <w:pPr>
        <w:widowControl w:val="0"/>
        <w:kinsoku/>
        <w:autoSpaceDE/>
        <w:autoSpaceDN/>
        <w:adjustRightInd/>
        <w:snapToGrid/>
        <w:spacing w:line="360" w:lineRule="auto"/>
        <w:jc w:val="center"/>
        <w:textAlignment w:val="auto"/>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drawing>
          <wp:inline distT="0" distB="0" distL="114300" distR="114300">
            <wp:extent cx="2555875" cy="3032125"/>
            <wp:effectExtent l="9525" t="9525" r="25400" b="25400"/>
            <wp:docPr id="18" name="图片 18" descr="在售楼盘分布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在售楼盘分布图2"/>
                    <pic:cNvPicPr>
                      <a:picLocks noChangeAspect="1"/>
                    </pic:cNvPicPr>
                  </pic:nvPicPr>
                  <pic:blipFill>
                    <a:blip r:embed="rId30"/>
                    <a:srcRect l="7938" t="13865" r="8010" b="15662"/>
                    <a:stretch>
                      <a:fillRect/>
                    </a:stretch>
                  </pic:blipFill>
                  <pic:spPr>
                    <a:xfrm>
                      <a:off x="0" y="0"/>
                      <a:ext cx="2555875" cy="3032125"/>
                    </a:xfrm>
                    <a:prstGeom prst="rect">
                      <a:avLst/>
                    </a:prstGeom>
                    <a:ln>
                      <a:solidFill>
                        <a:schemeClr val="tx1"/>
                      </a:solidFill>
                    </a:ln>
                  </pic:spPr>
                </pic:pic>
              </a:graphicData>
            </a:graphic>
          </wp:inline>
        </w:drawing>
      </w:r>
    </w:p>
    <w:p w14:paraId="0587A992">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center"/>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图2-6通道县楼盘分布图</w:t>
      </w:r>
    </w:p>
    <w:p w14:paraId="2601F514">
      <w:pPr>
        <w:pStyle w:val="2"/>
        <w:keepNext w:val="0"/>
        <w:keepLines w:val="0"/>
        <w:pageBreakBefore w:val="0"/>
        <w:widowControl w:val="0"/>
        <w:numPr>
          <w:ilvl w:val="0"/>
          <w:numId w:val="0"/>
        </w:numPr>
        <w:kinsoku/>
        <w:wordWrap/>
        <w:overflowPunct/>
        <w:topLinePunct w:val="0"/>
        <w:autoSpaceDE/>
        <w:autoSpaceDN/>
        <w:bidi w:val="0"/>
        <w:adjustRightInd/>
        <w:snapToGrid/>
        <w:spacing w:line="480" w:lineRule="exact"/>
        <w:ind w:left="75" w:leftChars="0" w:firstLine="555" w:firstLineChars="0"/>
        <w:textAlignment w:val="auto"/>
        <w:rPr>
          <w:rFonts w:hint="default" w:ascii="Times New Roman" w:hAnsi="Times New Roman" w:eastAsia="仿宋" w:cs="Times New Roman"/>
          <w:bCs/>
          <w:color w:val="auto"/>
          <w:sz w:val="28"/>
          <w:szCs w:val="28"/>
          <w:highlight w:val="none"/>
        </w:rPr>
      </w:pPr>
      <w:r>
        <w:rPr>
          <w:rFonts w:hint="eastAsia" w:eastAsia="仿宋" w:cs="Times New Roman"/>
          <w:bCs/>
          <w:color w:val="auto"/>
          <w:kern w:val="2"/>
          <w:sz w:val="28"/>
          <w:szCs w:val="28"/>
          <w:highlight w:val="none"/>
          <w:lang w:val="en-US" w:eastAsia="zh-CN" w:bidi="ar-SA"/>
        </w:rPr>
        <w:t>3</w:t>
      </w:r>
      <w:r>
        <w:rPr>
          <w:rFonts w:hint="default" w:ascii="Times New Roman" w:hAnsi="Times New Roman" w:eastAsia="仿宋" w:cs="Times New Roman"/>
          <w:bCs/>
          <w:color w:val="auto"/>
          <w:kern w:val="2"/>
          <w:sz w:val="28"/>
          <w:szCs w:val="28"/>
          <w:highlight w:val="none"/>
          <w:lang w:val="en-US" w:eastAsia="zh-CN" w:bidi="ar-SA"/>
        </w:rPr>
        <w:t>、</w:t>
      </w:r>
      <w:r>
        <w:rPr>
          <w:rFonts w:hint="default" w:ascii="Times New Roman" w:hAnsi="Times New Roman" w:eastAsia="仿宋" w:cs="Times New Roman"/>
          <w:bCs/>
          <w:color w:val="auto"/>
          <w:sz w:val="28"/>
          <w:szCs w:val="28"/>
          <w:highlight w:val="none"/>
        </w:rPr>
        <w:t>产业政策</w:t>
      </w:r>
      <w:r>
        <w:rPr>
          <w:rFonts w:hint="eastAsia" w:ascii="Times New Roman" w:hAnsi="Times New Roman" w:eastAsia="仿宋" w:cs="Times New Roman"/>
          <w:bCs/>
          <w:color w:val="auto"/>
          <w:sz w:val="28"/>
          <w:szCs w:val="28"/>
          <w:highlight w:val="none"/>
          <w:lang w:eastAsia="zh-CN"/>
        </w:rPr>
        <w:t>、</w:t>
      </w:r>
      <w:r>
        <w:rPr>
          <w:rFonts w:hint="eastAsia" w:ascii="Times New Roman" w:hAnsi="Times New Roman" w:eastAsia="仿宋" w:cs="Times New Roman"/>
          <w:bCs/>
          <w:color w:val="auto"/>
          <w:sz w:val="28"/>
          <w:szCs w:val="28"/>
          <w:highlight w:val="none"/>
          <w:lang w:val="en-US" w:eastAsia="zh-CN"/>
        </w:rPr>
        <w:t>税收政策</w:t>
      </w:r>
    </w:p>
    <w:p w14:paraId="38A198FE">
      <w:pPr>
        <w:keepNext w:val="0"/>
        <w:keepLines w:val="0"/>
        <w:pageBreakBefore w:val="0"/>
        <w:widowControl w:val="0"/>
        <w:kinsoku/>
        <w:wordWrap/>
        <w:overflowPunct/>
        <w:topLinePunct w:val="0"/>
        <w:autoSpaceDE/>
        <w:autoSpaceDN/>
        <w:bidi w:val="0"/>
        <w:adjustRightInd w:val="0"/>
        <w:snapToGrid w:val="0"/>
        <w:spacing w:line="480" w:lineRule="exact"/>
        <w:ind w:firstLine="840" w:firstLineChars="3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（1）产业政策</w:t>
      </w:r>
    </w:p>
    <w:p w14:paraId="4A663E02">
      <w:pPr>
        <w:keepNext w:val="0"/>
        <w:keepLines w:val="0"/>
        <w:pageBreakBefore w:val="0"/>
        <w:widowControl w:val="0"/>
        <w:kinsoku/>
        <w:wordWrap/>
        <w:overflowPunct/>
        <w:topLinePunct w:val="0"/>
        <w:autoSpaceDE/>
        <w:autoSpaceDN/>
        <w:bidi w:val="0"/>
        <w:adjustRightInd w:val="0"/>
        <w:snapToGrid w:val="0"/>
        <w:spacing w:line="480" w:lineRule="exact"/>
        <w:ind w:firstLine="840" w:firstLineChars="3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近年来，通道县委、县政府高度重视产业发展工作，先后出台了《通道侗族自治县工业集中区招商引资若干优惠政策》、《通道侗族自治县促进生态文化旅游产业高质量发展奖励办法》等多项激励政策措施，大幅度增加了产业发展投入。同时积极发展优势产业，县委做出大力发展油茶产业的决策，相继出台了《关于加快油茶产业发展的意见》等一系列政策，把发展油茶产业作为现代农业的一个支柱产业。立足稳增长，坚持高质量发展理念，全面落实产业及产业园区三年提升行动，着力调结构、促转型，推动一二三产业融合发展，实现产业层次新提升。强力推进项目建设。围绕强基础补短板，聚焦关键领域和薄弱环节，谋划一批符合国家产业政策导向、引领产业转型升级和增强长远发展后劲的大项目、好项目。</w:t>
      </w:r>
    </w:p>
    <w:p w14:paraId="5433F27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（2）税收政策</w:t>
      </w:r>
    </w:p>
    <w:p w14:paraId="581B61D3">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自2016年5月1日起，中国全面推开营改增试点，将建筑业、房地产业、金融业、生活服务业全部纳入营改增试点，至此，营业税退出历史舞台，增值税制度将更加规范。这是自1994年分税制改革以来，财税体制的又一次深刻变革。财政部、税务总局发布《关于调整增值税税率的通知》（财税〔2018〕32号）后，规定纳税人发生增值税应税销售行为或者进口货物，原适用17%和11%税率的，税率分别调整为16%、10%，所以销售不动产，转让土地使用权，税率由11%调整为10%。</w:t>
      </w:r>
    </w:p>
    <w:p w14:paraId="72A01F84">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财政部、税务总局、海关总署《关于深化增值税改革有关政策的公告》（财政部 税务总局 海关总署公告2019年第39号）相关规定，自2019年4月1日起：增值税一般纳税人（以下称纳税人）发生增值税应税销售行为或者进口货物，原适用16%税率的，税率调整为13%；原适用10%税率的，税率调整为9%。</w:t>
      </w:r>
    </w:p>
    <w:p w14:paraId="2C143C5B">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营改增有助于房企减轻税负，相对企业的利润率也会因为税负的降低而提升，同时，营改增后将所有企业新增不动产所含增值税纳入抵扣，对于楼市而言也有积极影响。</w:t>
      </w:r>
    </w:p>
    <w:p w14:paraId="61FA2DD4">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4</w:t>
      </w:r>
      <w:r>
        <w:rPr>
          <w:rFonts w:hint="default" w:ascii="仿宋_GB2312" w:hAnsi="仿宋_GB2312" w:eastAsia="仿宋_GB2312" w:cs="仿宋_GB2312"/>
          <w:bCs/>
          <w:color w:val="auto"/>
          <w:sz w:val="28"/>
          <w:szCs w:val="28"/>
          <w:highlight w:val="none"/>
          <w:lang w:val="en-US" w:eastAsia="zh-CN"/>
        </w:rPr>
        <w:t>、城市规划与发展目标</w:t>
      </w:r>
    </w:p>
    <w:p w14:paraId="1AEC9920">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根据《通道侗族自治县国土空间总体规划（2021-2035年）》，通道县需与国家建设社会主义现代化国家新征程的新时代、新阶段相适应，依据全省全面建设社会主义现代化新湖南目标任务和“一圈一群三轴多点”的区域城镇空间格局，按照“生态立县、旅游兴县、产业强县”发展思路，奋力实施“一堡三区”战略：怀化国际陆港向南开放桥头堡、文化旅游示范区、绿色发展示范区、侗族民俗保护示范区。</w:t>
      </w:r>
    </w:p>
    <w:p w14:paraId="25D039BA">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基于通道县生态、农业、城镇三大空间本底特征，推动形成生态文明导向下的高质量国土空间，围绕“一堡三区”的目标愿景，应对未来的空间风险与挑战，优化主体功能区战略格局，最终在空间结构上构建“一核三带，一屏多廊，三区五特”的县域空间开发保护总体格局。</w:t>
      </w:r>
    </w:p>
    <w:p w14:paraId="42948970">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构建“一核三带”的高质量城镇发展格局。推动以县城为中心的县域经济核心统筹发展，实现城市功能扩容提质，成为县域高质量发展和城乡现代化发展的核心引擎。打造包茂高速沿线、G209沿线以及国际铁海联运大通道（焦柳铁路沿线）为主体的三大经济示范带，形成对外开放和区域融合的发展轴，加强县域片区化主题分工协同，全面提升通道县区域联动能力。统筹全域区域协调和城乡融合发展，健全市场一体化发展、区域合作互助等机制，更好促进全县共同发展。</w:t>
      </w:r>
    </w:p>
    <w:p w14:paraId="5CCC9011">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筑牢“一屏多廊”的高水平生态保护格局。牢固县域东北部生态保护红线集中分布的万佛山生态屏障区，打造以玉带河湿地生态景观廊道和县域河流干线为主、公路网体系作为补充的多条生态廊道，促进完善生态网络空间，依托通道县自然保护区、森林公园、湿地公园、风景名胜区、大型水库等多个生态保护核心节点，发挥涵养水源、保持水土、调蓄洪水、维护生物多样性等生态功能和保护作用，构建通道县“一屏多廊”全域高水平生态保护格局。</w:t>
      </w:r>
    </w:p>
    <w:p w14:paraId="43225299">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夯实“三区五特”的现代农业发展格局。立足通道县特色生物资源和生态环境资源，加快建设通道县万佛山生态农业科技示范园区，打造东部休闲观光农业区、中部高质高效农业区及西部生态特色农业区三大农业发展片区。以特色基地为依托，加大对通道县黑老虎、生姜、优质油茶、优质茶叶、优质中药材等五个特色产业的扶持力度，打响通道县农产品品牌，推动连片乡村振兴，从而实现通道县现代农业、生态农业和高效农业的发展，构建通道县特色鲜明、高质高效的现代农业发展格局。</w:t>
      </w:r>
    </w:p>
    <w:p w14:paraId="6FD04E40">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5、城市社会经济发展状况</w:t>
      </w:r>
    </w:p>
    <w:p w14:paraId="37ACF697">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初步核算，2024年全县地区生产总值75．11亿元，比上年增长5．0％。其中：第一产业增加值11．17亿元，增长3．4％；第二产业增加值25．41亿元，增长7．6％，第三产业增加值38．53亿元，增长3．6％。三次产业结构比为14．9：33．8：51．3。第一、二、三产业对经济增长的贡献率分别为11．4％、52．3％和36．3％。按常住人口计算，人均地区生产总值38470元，比上年增长6．3％。全县城镇新增就业1770人，失业人员再就业933人。</w:t>
      </w:r>
    </w:p>
    <w:bookmarkEnd w:id="10"/>
    <w:bookmarkEnd w:id="11"/>
    <w:p w14:paraId="4ED6AF59">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outlineLvl w:val="2"/>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（二）区域因素</w:t>
      </w:r>
    </w:p>
    <w:p w14:paraId="74C55E2A">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区域因素指宗地所在城镇对地价有影响的内部区域条件，即影响因素主要有：区域概况、交通条件、基础设施条件、环境条件、商服繁华情况、规划限制利等。</w:t>
      </w:r>
    </w:p>
    <w:p w14:paraId="41C6D4D2">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1.区域概况</w:t>
      </w:r>
    </w:p>
    <w:p w14:paraId="2E83946A">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（1）区域位置</w:t>
      </w:r>
    </w:p>
    <w:p w14:paraId="16061270">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①区域位置、级别及人口：估价对象位于通道县双江镇行政街，通道县辖9个镇、2个乡。县政府驻双江镇行政街17号。县城总人口19.67万人</w:t>
      </w:r>
    </w:p>
    <w:p w14:paraId="7119F37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sz w:val="28"/>
          <w:szCs w:val="30"/>
          <w:highlight w:val="none"/>
        </w:rPr>
      </w:pPr>
      <w:r>
        <w:rPr>
          <w:rFonts w:hint="eastAsia" w:ascii="仿宋_GB2312" w:hAnsi="仿宋_GB2312" w:eastAsia="仿宋_GB2312" w:cs="仿宋_GB2312"/>
          <w:sz w:val="28"/>
          <w:szCs w:val="28"/>
          <w:highlight w:val="none"/>
          <w:lang w:val="en-US" w:eastAsia="zh-CN"/>
        </w:rPr>
        <w:t>②土地级别：</w:t>
      </w:r>
      <w:r>
        <w:rPr>
          <w:rFonts w:hint="eastAsia" w:ascii="仿宋_GB2312" w:hAnsi="仿宋_GB2312" w:eastAsia="仿宋_GB2312" w:cs="仿宋_GB2312"/>
          <w:snapToGrid w:val="0"/>
          <w:kern w:val="0"/>
          <w:sz w:val="28"/>
          <w:szCs w:val="28"/>
          <w:highlight w:val="none"/>
          <w:lang w:val="en-US" w:eastAsia="zh-CN"/>
        </w:rPr>
        <w:t>通道</w:t>
      </w:r>
      <w:r>
        <w:rPr>
          <w:rFonts w:hint="eastAsia" w:ascii="仿宋_GB2312" w:hAnsi="仿宋_GB2312" w:eastAsia="仿宋_GB2312" w:cs="仿宋_GB2312"/>
          <w:snapToGrid w:val="0"/>
          <w:kern w:val="0"/>
          <w:sz w:val="28"/>
          <w:szCs w:val="28"/>
          <w:highlight w:val="none"/>
        </w:rPr>
        <w:t>县城镇基准地价的颁布实施时间为</w:t>
      </w:r>
      <w:r>
        <w:rPr>
          <w:rFonts w:hint="eastAsia" w:ascii="仿宋_GB2312" w:hAnsi="仿宋_GB2312" w:eastAsia="仿宋_GB2312" w:cs="仿宋_GB2312"/>
          <w:snapToGrid w:val="0"/>
          <w:kern w:val="0"/>
          <w:sz w:val="28"/>
          <w:szCs w:val="28"/>
          <w:highlight w:val="none"/>
          <w:lang w:val="en-US" w:eastAsia="zh-CN"/>
        </w:rPr>
        <w:t>2026</w:t>
      </w:r>
      <w:r>
        <w:rPr>
          <w:rFonts w:hint="eastAsia" w:ascii="仿宋_GB2312" w:hAnsi="仿宋_GB2312" w:eastAsia="仿宋_GB2312" w:cs="仿宋_GB2312"/>
          <w:snapToGrid w:val="0"/>
          <w:kern w:val="0"/>
          <w:sz w:val="28"/>
          <w:szCs w:val="28"/>
          <w:highlight w:val="none"/>
        </w:rPr>
        <w:t>年1月</w:t>
      </w:r>
      <w:r>
        <w:rPr>
          <w:rFonts w:hint="eastAsia" w:ascii="仿宋_GB2312" w:hAnsi="仿宋_GB2312" w:eastAsia="仿宋_GB2312" w:cs="仿宋_GB2312"/>
          <w:snapToGrid w:val="0"/>
          <w:kern w:val="0"/>
          <w:sz w:val="28"/>
          <w:szCs w:val="28"/>
          <w:highlight w:val="none"/>
          <w:lang w:val="en-US" w:eastAsia="zh-CN"/>
        </w:rPr>
        <w:t>6</w:t>
      </w:r>
      <w:r>
        <w:rPr>
          <w:rFonts w:hint="eastAsia" w:ascii="仿宋_GB2312" w:hAnsi="仿宋_GB2312" w:eastAsia="仿宋_GB2312" w:cs="仿宋_GB2312"/>
          <w:snapToGrid w:val="0"/>
          <w:kern w:val="0"/>
          <w:sz w:val="28"/>
          <w:szCs w:val="28"/>
          <w:highlight w:val="none"/>
        </w:rPr>
        <w:t>日，批准文号为通政发〔202</w:t>
      </w:r>
      <w:r>
        <w:rPr>
          <w:rFonts w:hint="eastAsia" w:ascii="仿宋_GB2312" w:hAnsi="仿宋_GB2312" w:eastAsia="仿宋_GB2312" w:cs="仿宋_GB2312"/>
          <w:snapToGrid w:val="0"/>
          <w:kern w:val="0"/>
          <w:sz w:val="28"/>
          <w:szCs w:val="28"/>
          <w:highlight w:val="none"/>
          <w:lang w:val="en-US" w:eastAsia="zh-CN"/>
        </w:rPr>
        <w:t>6</w:t>
      </w:r>
      <w:r>
        <w:rPr>
          <w:rFonts w:hint="eastAsia" w:ascii="仿宋_GB2312" w:hAnsi="仿宋_GB2312" w:eastAsia="仿宋_GB2312" w:cs="仿宋_GB2312"/>
          <w:snapToGrid w:val="0"/>
          <w:kern w:val="0"/>
          <w:sz w:val="28"/>
          <w:szCs w:val="28"/>
          <w:highlight w:val="none"/>
        </w:rPr>
        <w:t>〕1号,文件名称为《通道侗族自治县人民政府关于更新城镇基准地价标准和等级的通知》（通政发〔202</w:t>
      </w:r>
      <w:r>
        <w:rPr>
          <w:rFonts w:hint="eastAsia" w:ascii="仿宋_GB2312" w:hAnsi="仿宋_GB2312" w:eastAsia="仿宋_GB2312" w:cs="仿宋_GB2312"/>
          <w:snapToGrid w:val="0"/>
          <w:kern w:val="0"/>
          <w:sz w:val="28"/>
          <w:szCs w:val="28"/>
          <w:highlight w:val="none"/>
          <w:lang w:val="en-US" w:eastAsia="zh-CN"/>
        </w:rPr>
        <w:t>6</w:t>
      </w:r>
      <w:r>
        <w:rPr>
          <w:rFonts w:hint="eastAsia" w:ascii="仿宋_GB2312" w:hAnsi="仿宋_GB2312" w:eastAsia="仿宋_GB2312" w:cs="仿宋_GB2312"/>
          <w:snapToGrid w:val="0"/>
          <w:kern w:val="0"/>
          <w:sz w:val="28"/>
          <w:szCs w:val="28"/>
          <w:highlight w:val="none"/>
        </w:rPr>
        <w:t>〕1号，20</w:t>
      </w:r>
      <w:r>
        <w:rPr>
          <w:rFonts w:hint="eastAsia" w:ascii="仿宋_GB2312" w:hAnsi="仿宋_GB2312" w:eastAsia="仿宋_GB2312" w:cs="仿宋_GB2312"/>
          <w:snapToGrid w:val="0"/>
          <w:kern w:val="0"/>
          <w:sz w:val="28"/>
          <w:szCs w:val="28"/>
          <w:highlight w:val="none"/>
          <w:lang w:val="en-US" w:eastAsia="zh-CN"/>
        </w:rPr>
        <w:t>26</w:t>
      </w:r>
      <w:r>
        <w:rPr>
          <w:rFonts w:hint="eastAsia" w:ascii="仿宋_GB2312" w:hAnsi="仿宋_GB2312" w:eastAsia="仿宋_GB2312" w:cs="仿宋_GB2312"/>
          <w:snapToGrid w:val="0"/>
          <w:kern w:val="0"/>
          <w:sz w:val="28"/>
          <w:szCs w:val="28"/>
          <w:highlight w:val="none"/>
        </w:rPr>
        <w:t>年</w:t>
      </w:r>
      <w:r>
        <w:rPr>
          <w:rFonts w:hint="eastAsia" w:ascii="仿宋_GB2312" w:hAnsi="仿宋_GB2312" w:eastAsia="仿宋_GB2312" w:cs="仿宋_GB2312"/>
          <w:snapToGrid w:val="0"/>
          <w:kern w:val="0"/>
          <w:sz w:val="28"/>
          <w:szCs w:val="28"/>
          <w:highlight w:val="none"/>
          <w:lang w:val="en-US" w:eastAsia="zh-CN"/>
        </w:rPr>
        <w:t>1</w:t>
      </w:r>
      <w:r>
        <w:rPr>
          <w:rFonts w:hint="eastAsia" w:ascii="仿宋_GB2312" w:hAnsi="仿宋_GB2312" w:eastAsia="仿宋_GB2312" w:cs="仿宋_GB2312"/>
          <w:snapToGrid w:val="0"/>
          <w:kern w:val="0"/>
          <w:sz w:val="28"/>
          <w:szCs w:val="28"/>
          <w:highlight w:val="none"/>
        </w:rPr>
        <w:t>月</w:t>
      </w:r>
      <w:r>
        <w:rPr>
          <w:rFonts w:hint="eastAsia" w:ascii="仿宋_GB2312" w:hAnsi="仿宋_GB2312" w:eastAsia="仿宋_GB2312" w:cs="仿宋_GB2312"/>
          <w:snapToGrid w:val="0"/>
          <w:kern w:val="0"/>
          <w:sz w:val="28"/>
          <w:szCs w:val="28"/>
          <w:highlight w:val="none"/>
          <w:lang w:val="en-US" w:eastAsia="zh-CN"/>
        </w:rPr>
        <w:t>6</w:t>
      </w:r>
      <w:r>
        <w:rPr>
          <w:rFonts w:hint="eastAsia" w:ascii="仿宋_GB2312" w:hAnsi="仿宋_GB2312" w:eastAsia="仿宋_GB2312" w:cs="仿宋_GB2312"/>
          <w:snapToGrid w:val="0"/>
          <w:kern w:val="0"/>
          <w:sz w:val="28"/>
          <w:szCs w:val="28"/>
          <w:highlight w:val="none"/>
        </w:rPr>
        <w:t>日），批准机关为</w:t>
      </w:r>
      <w:r>
        <w:rPr>
          <w:rFonts w:hint="eastAsia" w:ascii="仿宋_GB2312" w:hAnsi="仿宋_GB2312" w:eastAsia="仿宋_GB2312" w:cs="仿宋_GB2312"/>
          <w:snapToGrid w:val="0"/>
          <w:kern w:val="0"/>
          <w:sz w:val="28"/>
          <w:szCs w:val="28"/>
          <w:highlight w:val="none"/>
          <w:lang w:val="en-US" w:eastAsia="zh-CN"/>
        </w:rPr>
        <w:t>通道侗族自治</w:t>
      </w:r>
      <w:r>
        <w:rPr>
          <w:rFonts w:hint="eastAsia" w:ascii="仿宋_GB2312" w:hAnsi="仿宋_GB2312" w:eastAsia="仿宋_GB2312" w:cs="仿宋_GB2312"/>
          <w:snapToGrid w:val="0"/>
          <w:kern w:val="0"/>
          <w:sz w:val="28"/>
          <w:szCs w:val="28"/>
          <w:highlight w:val="none"/>
        </w:rPr>
        <w:t>县人民政府</w:t>
      </w:r>
      <w:r>
        <w:rPr>
          <w:rFonts w:hint="eastAsia" w:ascii="仿宋_GB2312" w:hAnsi="仿宋_GB2312" w:eastAsia="仿宋_GB2312" w:cs="仿宋_GB2312"/>
          <w:snapToGrid w:val="0"/>
          <w:kern w:val="0"/>
          <w:sz w:val="28"/>
          <w:szCs w:val="28"/>
          <w:highlight w:val="none"/>
          <w:lang w:eastAsia="zh-CN"/>
        </w:rPr>
        <w:t>，估价期日为</w:t>
      </w:r>
      <w:r>
        <w:rPr>
          <w:rFonts w:hint="eastAsia" w:ascii="仿宋_GB2312" w:hAnsi="仿宋_GB2312" w:eastAsia="仿宋_GB2312" w:cs="仿宋_GB2312"/>
          <w:snapToGrid w:val="0"/>
          <w:kern w:val="0"/>
          <w:sz w:val="28"/>
          <w:szCs w:val="28"/>
          <w:highlight w:val="none"/>
          <w:lang w:val="en-US" w:eastAsia="zh-CN"/>
        </w:rPr>
        <w:t>2025</w:t>
      </w:r>
      <w:r>
        <w:rPr>
          <w:rFonts w:hint="eastAsia" w:ascii="仿宋_GB2312" w:hAnsi="仿宋_GB2312" w:eastAsia="仿宋_GB2312" w:cs="仿宋_GB2312"/>
          <w:snapToGrid w:val="0"/>
          <w:kern w:val="0"/>
          <w:sz w:val="28"/>
          <w:szCs w:val="28"/>
          <w:highlight w:val="none"/>
          <w:lang w:eastAsia="zh-CN"/>
        </w:rPr>
        <w:t>年</w:t>
      </w:r>
      <w:r>
        <w:rPr>
          <w:rFonts w:hint="eastAsia" w:ascii="仿宋_GB2312" w:hAnsi="仿宋_GB2312" w:eastAsia="仿宋_GB2312" w:cs="仿宋_GB2312"/>
          <w:snapToGrid w:val="0"/>
          <w:kern w:val="0"/>
          <w:sz w:val="28"/>
          <w:szCs w:val="28"/>
          <w:highlight w:val="none"/>
          <w:lang w:val="en-US" w:eastAsia="zh-CN"/>
        </w:rPr>
        <w:t>4</w:t>
      </w:r>
      <w:r>
        <w:rPr>
          <w:rFonts w:hint="eastAsia" w:ascii="仿宋_GB2312" w:hAnsi="仿宋_GB2312" w:eastAsia="仿宋_GB2312" w:cs="仿宋_GB2312"/>
          <w:snapToGrid w:val="0"/>
          <w:kern w:val="0"/>
          <w:sz w:val="28"/>
          <w:szCs w:val="28"/>
          <w:highlight w:val="none"/>
          <w:lang w:eastAsia="zh-CN"/>
        </w:rPr>
        <w:t>月1日，</w:t>
      </w:r>
      <w:r>
        <w:rPr>
          <w:rFonts w:hint="eastAsia" w:ascii="仿宋_GB2312" w:hAnsi="仿宋_GB2312" w:eastAsia="仿宋_GB2312" w:cs="仿宋_GB2312"/>
          <w:snapToGrid w:val="0"/>
          <w:kern w:val="0"/>
          <w:sz w:val="28"/>
          <w:szCs w:val="28"/>
          <w:highlight w:val="none"/>
          <w:lang w:val="en-US" w:eastAsia="zh-CN"/>
        </w:rPr>
        <w:t>估价对象属于通道县商业服务业用地二级、居住用地二级</w:t>
      </w:r>
      <w:r>
        <w:rPr>
          <w:rFonts w:hint="eastAsia" w:ascii="仿宋_GB2312" w:hAnsi="仿宋_GB2312" w:eastAsia="仿宋_GB2312" w:cs="仿宋_GB2312"/>
          <w:sz w:val="28"/>
          <w:szCs w:val="30"/>
          <w:highlight w:val="none"/>
          <w:lang w:val="en-US" w:eastAsia="zh-CN"/>
        </w:rPr>
        <w:t>。</w:t>
      </w:r>
    </w:p>
    <w:p w14:paraId="5FB0B03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30"/>
          <w:highlight w:val="none"/>
          <w:lang w:val="en-US" w:eastAsia="zh-CN"/>
        </w:rPr>
        <w:t>③</w:t>
      </w:r>
      <w:r>
        <w:rPr>
          <w:rFonts w:hint="eastAsia" w:ascii="仿宋_GB2312" w:hAnsi="仿宋_GB2312" w:eastAsia="仿宋_GB2312" w:cs="仿宋_GB2312"/>
          <w:sz w:val="28"/>
          <w:szCs w:val="30"/>
          <w:highlight w:val="none"/>
        </w:rPr>
        <w:t>经济发展：</w:t>
      </w:r>
      <w:r>
        <w:rPr>
          <w:rFonts w:hint="eastAsia" w:ascii="仿宋_GB2312" w:hAnsi="仿宋_GB2312" w:eastAsia="仿宋_GB2312" w:cs="仿宋_GB2312"/>
          <w:sz w:val="28"/>
          <w:szCs w:val="28"/>
          <w:highlight w:val="none"/>
          <w:lang w:val="en-US" w:eastAsia="zh-CN"/>
        </w:rPr>
        <w:t>根据《</w:t>
      </w:r>
      <w:r>
        <w:rPr>
          <w:rFonts w:hint="eastAsia" w:ascii="仿宋_GB2312" w:hAnsi="仿宋_GB2312" w:eastAsia="仿宋_GB2312" w:cs="仿宋_GB2312"/>
          <w:sz w:val="28"/>
          <w:szCs w:val="28"/>
          <w:highlight w:val="none"/>
          <w:lang w:eastAsia="zh-CN"/>
        </w:rPr>
        <w:t>2024年通道侗族自治县国民经济和社会发展统计公报》，</w:t>
      </w:r>
      <w:r>
        <w:rPr>
          <w:rFonts w:hint="eastAsia" w:ascii="仿宋_GB2312" w:hAnsi="仿宋_GB2312" w:eastAsia="仿宋_GB2312" w:cs="仿宋_GB2312"/>
          <w:sz w:val="28"/>
          <w:szCs w:val="28"/>
          <w:highlight w:val="none"/>
          <w:lang w:val="en-US" w:eastAsia="zh-CN"/>
        </w:rPr>
        <w:t>2024年全县地区生产总值75.11亿元，比上年增长5.0%。其中：第一产业增加值11.17亿元，增长3.4%；第二产业增加值25.41亿元，增长7.6%，第三产业增加值38.53亿元，增长3.6%。三次产业结构比为14.9:33.8:51.3。第一、二、三产业对经济增长的贡献率分别为11.4%、52.3%和36.3%。按常住人口计算，人均地区生产总值38470元，比上年增长6.3%</w:t>
      </w:r>
      <w:r>
        <w:rPr>
          <w:rFonts w:hint="eastAsia" w:ascii="仿宋_GB2312" w:hAnsi="仿宋_GB2312" w:eastAsia="仿宋_GB2312" w:cs="仿宋_GB2312"/>
          <w:sz w:val="28"/>
          <w:szCs w:val="28"/>
          <w:highlight w:val="none"/>
        </w:rPr>
        <w:t>。</w:t>
      </w:r>
    </w:p>
    <w:p w14:paraId="5C82C8A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根据通道县2020-2024年统计数据，通道县近五年地区生产总值呈稳步增长趋势，从增速上看，2020至2021年间地区生产总值增长较快，2021至2023年间增长逐渐放缓。</w:t>
      </w:r>
    </w:p>
    <w:p w14:paraId="63CC7F8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sz w:val="28"/>
          <w:szCs w:val="30"/>
          <w:highlight w:val="none"/>
          <w:lang w:eastAsia="zh-CN"/>
        </w:rPr>
      </w:pPr>
      <w:r>
        <w:rPr>
          <w:rFonts w:hint="eastAsia" w:ascii="仿宋_GB2312" w:hAnsi="仿宋_GB2312" w:eastAsia="仿宋_GB2312" w:cs="仿宋_GB2312"/>
          <w:sz w:val="28"/>
          <w:szCs w:val="30"/>
          <w:highlight w:val="none"/>
          <w:lang w:val="en-US" w:eastAsia="zh-CN"/>
        </w:rPr>
        <w:t>④</w:t>
      </w:r>
      <w:r>
        <w:rPr>
          <w:rFonts w:hint="eastAsia" w:ascii="仿宋_GB2312" w:hAnsi="仿宋_GB2312" w:eastAsia="仿宋_GB2312" w:cs="仿宋_GB2312"/>
          <w:sz w:val="28"/>
          <w:szCs w:val="30"/>
          <w:highlight w:val="none"/>
        </w:rPr>
        <w:t>区位优势：通道侗族自治县地处湘、桂、黔三省交汇处，是湖南对接大西南的重要门户，素有“南楚极地、北越襟喉”之称。地理上，位于云贵高原向岭南过渡地带，分属长江与珠江水系，兼具高原与丘陵地貌特征，连接湖南绥宁、城步，北接靖州，南邻广西三江、龙胜，西连贵州黎平，区位独特。209国道、221省道、焦柳铁路、包茂高速构成“四纵四横”主干路网，周边辐射桂林、黎平、芷江三座机场，并衔接贵广高铁、沪昆高铁及多条高速，形成铁路、公路、航空“三位一体”的立体交通格局，实现“南下两广、西进云贵、北通中原”的便捷联系。通道县位于湘桂黔渝文化旅游黄金走廊的关键节点，属桂林旅游经济辐射范围，是西南地区通往沿海的重要枢纽，具有承接多区域经济协作与文化旅游发展的突出优势。</w:t>
      </w:r>
    </w:p>
    <w:p w14:paraId="1E559FD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sz w:val="28"/>
          <w:szCs w:val="30"/>
          <w:highlight w:val="none"/>
          <w:lang w:val="en-US" w:eastAsia="zh-CN"/>
        </w:rPr>
      </w:pPr>
      <w:r>
        <w:rPr>
          <w:rFonts w:hint="eastAsia" w:ascii="仿宋_GB2312" w:hAnsi="仿宋_GB2312" w:eastAsia="仿宋_GB2312" w:cs="仿宋_GB2312"/>
          <w:sz w:val="28"/>
          <w:szCs w:val="30"/>
          <w:highlight w:val="none"/>
          <w:lang w:val="en-US" w:eastAsia="zh-CN"/>
        </w:rPr>
        <w:t>2.交通条件</w:t>
      </w:r>
    </w:p>
    <w:p w14:paraId="7A4AE30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sz w:val="28"/>
          <w:szCs w:val="30"/>
          <w:highlight w:val="none"/>
        </w:rPr>
      </w:pPr>
      <w:r>
        <w:rPr>
          <w:rFonts w:hint="eastAsia" w:ascii="仿宋_GB2312" w:hAnsi="仿宋_GB2312" w:eastAsia="仿宋_GB2312" w:cs="仿宋_GB2312"/>
          <w:sz w:val="28"/>
          <w:szCs w:val="30"/>
          <w:highlight w:val="none"/>
        </w:rPr>
        <w:t>（1）区域内公共交通状况</w:t>
      </w:r>
    </w:p>
    <w:p w14:paraId="23E979CF">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ascii="仿宋_GB2312" w:eastAsia="仿宋_GB2312"/>
          <w:sz w:val="28"/>
          <w:szCs w:val="30"/>
          <w:highlight w:val="none"/>
        </w:rPr>
      </w:pPr>
      <w:r>
        <w:rPr>
          <w:rFonts w:hint="eastAsia" w:ascii="仿宋_GB2312" w:hAnsi="仿宋_GB2312" w:eastAsia="仿宋_GB2312" w:cs="仿宋_GB2312"/>
          <w:snapToGrid w:val="0"/>
          <w:color w:val="auto"/>
          <w:sz w:val="28"/>
          <w:szCs w:val="28"/>
          <w:highlight w:val="none"/>
        </w:rPr>
        <w:t>估价对象</w:t>
      </w:r>
      <w:r>
        <w:rPr>
          <w:rFonts w:hint="eastAsia" w:ascii="仿宋_GB2312" w:hAnsi="仿宋_GB2312" w:eastAsia="仿宋_GB2312" w:cs="仿宋_GB2312"/>
          <w:snapToGrid w:val="0"/>
          <w:color w:val="auto"/>
          <w:sz w:val="28"/>
          <w:szCs w:val="28"/>
          <w:highlight w:val="none"/>
          <w:lang w:val="en-US" w:eastAsia="zh-CN"/>
        </w:rPr>
        <w:t>西临行政街，</w:t>
      </w:r>
      <w:r>
        <w:rPr>
          <w:rFonts w:hint="eastAsia" w:ascii="仿宋_GB2312" w:hAnsi="仿宋_GB2312" w:eastAsia="仿宋_GB2312" w:cs="仿宋_GB2312"/>
          <w:snapToGrid w:val="0"/>
          <w:color w:val="auto"/>
          <w:sz w:val="28"/>
          <w:szCs w:val="28"/>
          <w:highlight w:val="none"/>
        </w:rPr>
        <w:t>区域内有</w:t>
      </w:r>
      <w:r>
        <w:rPr>
          <w:rFonts w:hint="eastAsia" w:ascii="仿宋_GB2312" w:hAnsi="仿宋_GB2312" w:eastAsia="仿宋_GB2312" w:cs="仿宋_GB2312"/>
          <w:snapToGrid w:val="0"/>
          <w:color w:val="auto"/>
          <w:sz w:val="28"/>
          <w:szCs w:val="28"/>
          <w:highlight w:val="none"/>
          <w:lang w:val="en-US" w:eastAsia="zh-CN"/>
        </w:rPr>
        <w:t>长征中路、友谊街、迎宾街街</w:t>
      </w:r>
      <w:r>
        <w:rPr>
          <w:rFonts w:hint="eastAsia" w:ascii="仿宋_GB2312" w:hAnsi="仿宋_GB2312" w:eastAsia="仿宋_GB2312" w:cs="仿宋_GB2312"/>
          <w:snapToGrid w:val="0"/>
          <w:color w:val="auto"/>
          <w:sz w:val="28"/>
          <w:szCs w:val="28"/>
          <w:highlight w:val="none"/>
        </w:rPr>
        <w:t>等城市主、次干道，</w:t>
      </w:r>
      <w:r>
        <w:rPr>
          <w:rFonts w:hint="eastAsia" w:ascii="仿宋_GB2312" w:hAnsi="仿宋_GB2312" w:eastAsia="仿宋_GB2312" w:cs="仿宋_GB2312"/>
          <w:snapToGrid w:val="0"/>
          <w:color w:val="auto"/>
          <w:sz w:val="28"/>
          <w:szCs w:val="28"/>
          <w:highlight w:val="none"/>
          <w:lang w:val="en-US" w:eastAsia="zh-CN"/>
        </w:rPr>
        <w:t>距文化馆公交站约100</w:t>
      </w:r>
      <w:r>
        <w:rPr>
          <w:rFonts w:hint="eastAsia" w:ascii="仿宋_GB2312" w:hAnsi="仿宋_GB2312" w:eastAsia="仿宋_GB2312" w:cs="仿宋_GB2312"/>
          <w:snapToGrid w:val="0"/>
          <w:color w:val="auto"/>
          <w:sz w:val="28"/>
          <w:szCs w:val="28"/>
          <w:highlight w:val="none"/>
        </w:rPr>
        <w:t>米</w:t>
      </w:r>
      <w:r>
        <w:rPr>
          <w:rFonts w:hint="eastAsia" w:ascii="仿宋_GB2312" w:hAnsi="仿宋_GB2312" w:eastAsia="仿宋_GB2312" w:cs="仿宋_GB2312"/>
          <w:snapToGrid w:val="0"/>
          <w:color w:val="auto"/>
          <w:sz w:val="28"/>
          <w:szCs w:val="28"/>
          <w:highlight w:val="none"/>
          <w:lang w:eastAsia="zh-CN"/>
        </w:rPr>
        <w:t>，</w:t>
      </w:r>
      <w:r>
        <w:rPr>
          <w:rFonts w:hint="eastAsia" w:ascii="仿宋_GB2312" w:hAnsi="仿宋_GB2312" w:eastAsia="仿宋_GB2312" w:cs="仿宋_GB2312"/>
          <w:snapToGrid w:val="0"/>
          <w:color w:val="auto"/>
          <w:sz w:val="28"/>
          <w:szCs w:val="28"/>
          <w:highlight w:val="none"/>
        </w:rPr>
        <w:t>距离</w:t>
      </w:r>
      <w:r>
        <w:rPr>
          <w:rFonts w:hint="eastAsia" w:ascii="仿宋_GB2312" w:hAnsi="仿宋_GB2312" w:eastAsia="仿宋_GB2312" w:cs="仿宋_GB2312"/>
          <w:snapToGrid w:val="0"/>
          <w:color w:val="auto"/>
          <w:sz w:val="28"/>
          <w:szCs w:val="28"/>
          <w:highlight w:val="none"/>
          <w:lang w:val="en-US" w:eastAsia="zh-CN"/>
        </w:rPr>
        <w:t>通道汽车站</w:t>
      </w:r>
      <w:r>
        <w:rPr>
          <w:rFonts w:hint="eastAsia" w:ascii="仿宋_GB2312" w:hAnsi="仿宋_GB2312" w:eastAsia="仿宋_GB2312" w:cs="仿宋_GB2312"/>
          <w:snapToGrid w:val="0"/>
          <w:color w:val="auto"/>
          <w:sz w:val="28"/>
          <w:szCs w:val="28"/>
          <w:highlight w:val="none"/>
        </w:rPr>
        <w:t>约</w:t>
      </w:r>
      <w:r>
        <w:rPr>
          <w:rFonts w:hint="eastAsia" w:ascii="仿宋_GB2312" w:hAnsi="仿宋_GB2312" w:eastAsia="仿宋_GB2312" w:cs="仿宋_GB2312"/>
          <w:snapToGrid w:val="0"/>
          <w:color w:val="auto"/>
          <w:sz w:val="28"/>
          <w:szCs w:val="28"/>
          <w:highlight w:val="none"/>
          <w:lang w:val="en-US" w:eastAsia="zh-CN"/>
        </w:rPr>
        <w:t>650</w:t>
      </w:r>
      <w:r>
        <w:rPr>
          <w:rFonts w:hint="eastAsia" w:ascii="仿宋_GB2312" w:hAnsi="仿宋_GB2312" w:eastAsia="仿宋_GB2312" w:cs="仿宋_GB2312"/>
          <w:snapToGrid w:val="0"/>
          <w:color w:val="auto"/>
          <w:sz w:val="28"/>
          <w:szCs w:val="28"/>
          <w:highlight w:val="none"/>
        </w:rPr>
        <w:t>米，区域内交通便捷度</w:t>
      </w:r>
      <w:r>
        <w:rPr>
          <w:rFonts w:hint="eastAsia" w:ascii="仿宋_GB2312" w:hAnsi="仿宋_GB2312" w:eastAsia="仿宋_GB2312" w:cs="仿宋_GB2312"/>
          <w:snapToGrid w:val="0"/>
          <w:color w:val="auto"/>
          <w:sz w:val="28"/>
          <w:szCs w:val="28"/>
          <w:highlight w:val="none"/>
          <w:lang w:val="en-US" w:eastAsia="zh-CN"/>
        </w:rPr>
        <w:t>较优</w:t>
      </w:r>
      <w:r>
        <w:rPr>
          <w:rFonts w:hint="eastAsia" w:ascii="仿宋_GB2312" w:eastAsia="仿宋_GB2312"/>
          <w:sz w:val="28"/>
          <w:szCs w:val="30"/>
          <w:highlight w:val="none"/>
        </w:rPr>
        <w:t>。</w:t>
      </w:r>
    </w:p>
    <w:p w14:paraId="236C484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（2）对外交通条件</w:t>
      </w:r>
    </w:p>
    <w:p w14:paraId="4CB1DDB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hAnsi="仿宋_GB2312" w:eastAsia="仿宋_GB2312" w:cs="仿宋_GB2312"/>
          <w:bCs/>
          <w:sz w:val="28"/>
          <w:szCs w:val="28"/>
          <w:highlight w:val="none"/>
          <w:lang w:val="en-US" w:eastAsia="zh-CN"/>
        </w:rPr>
        <w:t>①公路：</w:t>
      </w:r>
      <w:r>
        <w:rPr>
          <w:rFonts w:hint="eastAsia" w:ascii="仿宋_GB2312" w:hAnsi="仿宋_GB2312" w:eastAsia="仿宋_GB2312" w:cs="仿宋_GB2312"/>
          <w:snapToGrid w:val="0"/>
          <w:color w:val="auto"/>
          <w:sz w:val="28"/>
          <w:szCs w:val="28"/>
          <w:highlight w:val="none"/>
          <w:lang w:val="en-US" w:eastAsia="zh-CN"/>
        </w:rPr>
        <w:t>估价对象</w:t>
      </w:r>
      <w:r>
        <w:rPr>
          <w:rFonts w:hint="eastAsia" w:ascii="仿宋_GB2312" w:hAnsi="仿宋_GB2312" w:eastAsia="仿宋_GB2312" w:cs="仿宋_GB2312"/>
          <w:snapToGrid w:val="0"/>
          <w:color w:val="auto"/>
          <w:sz w:val="28"/>
          <w:szCs w:val="28"/>
          <w:highlight w:val="none"/>
        </w:rPr>
        <w:t>距离</w:t>
      </w:r>
      <w:r>
        <w:rPr>
          <w:rFonts w:hint="eastAsia" w:ascii="仿宋_GB2312" w:hAnsi="仿宋_GB2312" w:eastAsia="仿宋_GB2312" w:cs="仿宋_GB2312"/>
          <w:snapToGrid w:val="0"/>
          <w:color w:val="auto"/>
          <w:sz w:val="28"/>
          <w:szCs w:val="28"/>
          <w:highlight w:val="none"/>
          <w:lang w:val="en-US" w:eastAsia="zh-CN"/>
        </w:rPr>
        <w:t>包茂高速出入口</w:t>
      </w:r>
      <w:r>
        <w:rPr>
          <w:rFonts w:hint="eastAsia" w:ascii="仿宋_GB2312" w:hAnsi="仿宋_GB2312" w:eastAsia="仿宋_GB2312" w:cs="仿宋_GB2312"/>
          <w:snapToGrid w:val="0"/>
          <w:color w:val="auto"/>
          <w:sz w:val="28"/>
          <w:szCs w:val="28"/>
          <w:highlight w:val="none"/>
        </w:rPr>
        <w:t>约</w:t>
      </w:r>
      <w:r>
        <w:rPr>
          <w:rFonts w:hint="eastAsia" w:ascii="仿宋_GB2312" w:hAnsi="仿宋_GB2312" w:eastAsia="仿宋_GB2312" w:cs="仿宋_GB2312"/>
          <w:snapToGrid w:val="0"/>
          <w:color w:val="auto"/>
          <w:sz w:val="28"/>
          <w:szCs w:val="28"/>
          <w:highlight w:val="none"/>
          <w:lang w:val="en-US" w:eastAsia="zh-CN"/>
        </w:rPr>
        <w:t>2700</w:t>
      </w:r>
      <w:r>
        <w:rPr>
          <w:rFonts w:hint="eastAsia" w:ascii="仿宋_GB2312" w:hAnsi="仿宋_GB2312" w:eastAsia="仿宋_GB2312" w:cs="仿宋_GB2312"/>
          <w:snapToGrid w:val="0"/>
          <w:color w:val="auto"/>
          <w:sz w:val="28"/>
          <w:szCs w:val="28"/>
          <w:highlight w:val="none"/>
        </w:rPr>
        <w:t>米</w:t>
      </w:r>
      <w:r>
        <w:rPr>
          <w:rFonts w:hint="eastAsia" w:ascii="仿宋_GB2312" w:hAnsi="仿宋_GB2312" w:eastAsia="仿宋_GB2312" w:cs="仿宋_GB2312"/>
          <w:snapToGrid w:val="0"/>
          <w:color w:val="auto"/>
          <w:sz w:val="28"/>
          <w:szCs w:val="28"/>
          <w:highlight w:val="none"/>
          <w:lang w:eastAsia="zh-CN"/>
        </w:rPr>
        <w:t>，</w:t>
      </w:r>
      <w:r>
        <w:rPr>
          <w:rFonts w:hint="eastAsia" w:ascii="仿宋_GB2312" w:eastAsia="仿宋_GB2312"/>
          <w:sz w:val="28"/>
          <w:szCs w:val="30"/>
          <w:highlight w:val="none"/>
        </w:rPr>
        <w:t>区域的外联道路主要有</w:t>
      </w:r>
      <w:r>
        <w:rPr>
          <w:rFonts w:hint="eastAsia" w:ascii="仿宋_GB2312" w:eastAsia="仿宋_GB2312"/>
          <w:sz w:val="28"/>
          <w:szCs w:val="30"/>
          <w:highlight w:val="none"/>
          <w:lang w:val="en-US" w:eastAsia="zh-CN"/>
        </w:rPr>
        <w:t>G209、S241、S252</w:t>
      </w:r>
      <w:r>
        <w:rPr>
          <w:rFonts w:hint="eastAsia" w:ascii="仿宋_GB2312" w:eastAsia="仿宋_GB2312"/>
          <w:sz w:val="28"/>
          <w:szCs w:val="30"/>
          <w:highlight w:val="none"/>
        </w:rPr>
        <w:t>等干线交会，为区域内对外开放奠定了良好的基础，区位优势明显，交通十分便利。</w:t>
      </w:r>
    </w:p>
    <w:p w14:paraId="043F7D6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②铁路：通道火车站主要线路为焦柳线铁路，估价对象所在区域中心距离最近火车站牙屯堡站约16.5公里。</w:t>
      </w:r>
    </w:p>
    <w:p w14:paraId="433AF8B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③高铁：估价对象区域距怀化高铁站约152公里。</w:t>
      </w:r>
    </w:p>
    <w:p w14:paraId="674C6C3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④航空：估价对象区域距离最近的机场为怀化芷江机场约143公里。</w:t>
      </w:r>
    </w:p>
    <w:p w14:paraId="132EDE0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⑤水运：通道县区域境内主要河流为双江河，水位较浅，未形成水运条件，水运主要依托长沙湘江流域。</w:t>
      </w:r>
    </w:p>
    <w:p w14:paraId="568C706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3.基础设施和市政公用设施</w:t>
      </w:r>
    </w:p>
    <w:p w14:paraId="18D6ACF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（1）供电：区域内接市政双回路110KV供电管网，供电保证率高。</w:t>
      </w:r>
    </w:p>
    <w:p w14:paraId="42C6417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（2）通讯：区域内通讯与市政通讯网相联，通讯线路以地下管道为主，辅以架空线路，通讯线路畅通，区内已实现移动电话全国漫游，区内全面铺设了高速宽带通讯光缆。</w:t>
      </w:r>
    </w:p>
    <w:p w14:paraId="53868C0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（3）给水：区域内供水主要来自区内的市政供水。自来水供应管道标准φ1000mm、φ800mm、φ600mm，供水保证率高。</w:t>
      </w:r>
    </w:p>
    <w:p w14:paraId="3D69AAB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（4）排水：区内排水为雨污分流方式，排污管沿主要道路铺设，以污水处理厂为终结，市政排水体系完备。</w:t>
      </w:r>
    </w:p>
    <w:p w14:paraId="00AE400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（5）通气：/。</w:t>
      </w:r>
    </w:p>
    <w:p w14:paraId="08F328E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（6）供暖：/。</w:t>
      </w:r>
    </w:p>
    <w:p w14:paraId="36CEA29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4.环境条件</w:t>
      </w:r>
    </w:p>
    <w:p w14:paraId="69624A9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（1）人文环境</w:t>
      </w:r>
    </w:p>
    <w:p w14:paraId="17B857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hAnsi="仿宋_GB2312" w:eastAsia="仿宋_GB2312" w:cs="仿宋_GB2312"/>
          <w:snapToGrid w:val="0"/>
          <w:sz w:val="28"/>
          <w:szCs w:val="28"/>
          <w:highlight w:val="none"/>
        </w:rPr>
        <w:t>区域内有居民受教育程度较好，人文环境较好</w:t>
      </w:r>
      <w:r>
        <w:rPr>
          <w:rFonts w:hint="eastAsia" w:ascii="仿宋_GB2312" w:eastAsia="仿宋_GB2312"/>
          <w:sz w:val="28"/>
          <w:szCs w:val="30"/>
          <w:highlight w:val="none"/>
        </w:rPr>
        <w:t>。</w:t>
      </w:r>
    </w:p>
    <w:p w14:paraId="24205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（2）自然环境</w:t>
      </w:r>
    </w:p>
    <w:p w14:paraId="75F5257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eastAsia="仿宋_GB2312"/>
          <w:sz w:val="28"/>
          <w:szCs w:val="30"/>
          <w:highlight w:val="none"/>
          <w:lang w:val="en-US" w:eastAsia="zh-CN"/>
        </w:rPr>
      </w:pPr>
      <w:r>
        <w:rPr>
          <w:rFonts w:hint="eastAsia" w:ascii="仿宋_GB2312" w:eastAsia="仿宋_GB2312"/>
          <w:sz w:val="28"/>
          <w:szCs w:val="30"/>
          <w:highlight w:val="none"/>
        </w:rPr>
        <w:t>宗地所在区域，地质条件较好，宗地无异常地质现象，地基承载力</w:t>
      </w:r>
      <w:r>
        <w:rPr>
          <w:rFonts w:hint="eastAsia" w:ascii="仿宋_GB2312" w:eastAsia="仿宋_GB2312"/>
          <w:sz w:val="28"/>
          <w:szCs w:val="30"/>
          <w:highlight w:val="none"/>
          <w:lang w:val="en-US" w:eastAsia="zh-CN"/>
        </w:rPr>
        <w:t>大于25</w:t>
      </w:r>
      <w:r>
        <w:rPr>
          <w:rFonts w:hint="eastAsia" w:ascii="仿宋_GB2312" w:eastAsia="仿宋_GB2312"/>
          <w:sz w:val="28"/>
          <w:szCs w:val="30"/>
          <w:highlight w:val="none"/>
        </w:rPr>
        <w:t>吨/平方米，地势平坦。区域内无大型污染性企业，据史料记载，区域内自然灾害率大于100年一遇</w:t>
      </w:r>
      <w:r>
        <w:rPr>
          <w:rFonts w:hint="eastAsia" w:ascii="仿宋_GB2312" w:eastAsia="仿宋_GB2312"/>
          <w:sz w:val="28"/>
          <w:szCs w:val="30"/>
          <w:highlight w:val="none"/>
          <w:lang w:eastAsia="zh-CN"/>
        </w:rPr>
        <w:t>，</w:t>
      </w:r>
      <w:r>
        <w:rPr>
          <w:rFonts w:hint="eastAsia" w:ascii="仿宋_GB2312" w:eastAsia="仿宋_GB2312"/>
          <w:sz w:val="28"/>
          <w:szCs w:val="30"/>
          <w:highlight w:val="none"/>
          <w:lang w:val="en-US" w:eastAsia="zh-CN"/>
        </w:rPr>
        <w:t>自然环境较好。</w:t>
      </w:r>
    </w:p>
    <w:p w14:paraId="0441B5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5.商服繁华程度</w:t>
      </w:r>
    </w:p>
    <w:p w14:paraId="7D292CC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color w:val="auto"/>
          <w:sz w:val="28"/>
          <w:szCs w:val="28"/>
          <w:highlight w:val="none"/>
        </w:rPr>
        <w:t>宗地所在区域</w:t>
      </w:r>
      <w:r>
        <w:rPr>
          <w:rFonts w:hint="eastAsia" w:ascii="仿宋_GB2312" w:hAnsi="仿宋_GB2312" w:eastAsia="仿宋_GB2312" w:cs="仿宋_GB2312"/>
          <w:color w:val="auto"/>
          <w:sz w:val="28"/>
          <w:szCs w:val="28"/>
          <w:highlight w:val="none"/>
          <w:lang w:val="en-US" w:eastAsia="zh-CN"/>
        </w:rPr>
        <w:t>距商服中心大统发购物广场650米</w:t>
      </w:r>
      <w:r>
        <w:rPr>
          <w:rFonts w:hint="eastAsia" w:ascii="仿宋_GB2312" w:hAnsi="仿宋_GB2312" w:eastAsia="仿宋_GB2312" w:cs="仿宋_GB2312"/>
          <w:color w:val="auto"/>
          <w:sz w:val="28"/>
          <w:szCs w:val="28"/>
          <w:highlight w:val="none"/>
        </w:rPr>
        <w:t>，商服繁华影响度</w:t>
      </w:r>
      <w:r>
        <w:rPr>
          <w:rFonts w:hint="eastAsia" w:ascii="仿宋_GB2312" w:hAnsi="仿宋_GB2312" w:eastAsia="仿宋_GB2312" w:cs="仿宋_GB2312"/>
          <w:color w:val="auto"/>
          <w:sz w:val="28"/>
          <w:szCs w:val="28"/>
          <w:highlight w:val="none"/>
          <w:lang w:val="en-US" w:eastAsia="zh-CN"/>
        </w:rPr>
        <w:t>较优</w:t>
      </w:r>
      <w:r>
        <w:rPr>
          <w:rFonts w:hint="eastAsia" w:ascii="仿宋_GB2312" w:hAnsi="仿宋_GB2312" w:eastAsia="仿宋_GB2312" w:cs="仿宋_GB2312"/>
          <w:bCs/>
          <w:sz w:val="28"/>
          <w:szCs w:val="28"/>
          <w:highlight w:val="none"/>
          <w:lang w:val="en-US" w:eastAsia="zh-CN"/>
        </w:rPr>
        <w:t>。</w:t>
      </w:r>
    </w:p>
    <w:p w14:paraId="5515F05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6.规划限制</w:t>
      </w:r>
    </w:p>
    <w:p w14:paraId="0A8F0F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sz w:val="28"/>
          <w:highlight w:val="none"/>
          <w:lang w:val="en-US" w:eastAsia="zh-CN"/>
        </w:rPr>
        <w:t>估价对象所在区域周边土地利用类型主要规划为商业服务业用地、居住用地，具体的开发建设必须符合规划管理部门的控制性详细规划</w:t>
      </w:r>
      <w:r>
        <w:rPr>
          <w:rFonts w:hint="eastAsia" w:ascii="仿宋_GB2312" w:hAnsi="仿宋_GB2312" w:eastAsia="仿宋_GB2312" w:cs="仿宋_GB2312"/>
          <w:bCs/>
          <w:sz w:val="28"/>
          <w:szCs w:val="28"/>
          <w:highlight w:val="none"/>
          <w:lang w:val="en-US" w:eastAsia="zh-CN"/>
        </w:rPr>
        <w:t>。</w:t>
      </w:r>
    </w:p>
    <w:p w14:paraId="2820F9C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7.微观区域因素</w:t>
      </w:r>
    </w:p>
    <w:p w14:paraId="0DBDB3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估价对象位于通道县行政街以东，估价对象交通由长征中路、行政街、友谊街、迎宾街构成路网，汇入各条主干道，区域交通条件较好。距最近公交站点文化馆100米，公交便捷度优；距最近汽车站（通道汽</w:t>
      </w:r>
      <w:r>
        <w:rPr>
          <w:rFonts w:hint="eastAsia" w:ascii="仿宋_GB2312" w:eastAsia="仿宋_GB2312"/>
          <w:sz w:val="28"/>
          <w:szCs w:val="30"/>
          <w:highlight w:val="none"/>
          <w:lang w:val="en-US" w:eastAsia="zh-CN"/>
        </w:rPr>
        <w:t>车站）约650米</w:t>
      </w:r>
      <w:r>
        <w:rPr>
          <w:rFonts w:hint="eastAsia" w:ascii="仿宋_GB2312" w:hAnsi="仿宋_GB2312" w:eastAsia="仿宋_GB2312" w:cs="仿宋_GB2312"/>
          <w:bCs/>
          <w:sz w:val="28"/>
          <w:szCs w:val="28"/>
          <w:highlight w:val="none"/>
          <w:lang w:val="en-US" w:eastAsia="zh-CN"/>
        </w:rPr>
        <w:t xml:space="preserve">，距汽车站距离较优，距离最近火车站（牙屯堡站）约16.5公里，距火车站距离劣；区域基础设施状况好，水电综合保障率达95%以上。  </w:t>
      </w:r>
    </w:p>
    <w:p w14:paraId="08C6F23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综合考虑以上影响地价区域因素，评估分析：估价对象所在区域公交便捷度优，道路通达度较优，对外交通便利度较优，基础设施齐全，商业繁华影响度较优，地质条件好，区域无特殊规划限制。</w:t>
      </w:r>
    </w:p>
    <w:p w14:paraId="0A87B098">
      <w:pPr>
        <w:keepNext w:val="0"/>
        <w:keepLines w:val="0"/>
        <w:pageBreakBefore w:val="0"/>
        <w:widowControl w:val="0"/>
        <w:numPr>
          <w:ilvl w:val="0"/>
          <w:numId w:val="0"/>
        </w:numPr>
        <w:kinsoku/>
        <w:wordWrap/>
        <w:overflowPunct/>
        <w:topLinePunct w:val="0"/>
        <w:autoSpaceDE/>
        <w:autoSpaceDN/>
        <w:bidi w:val="0"/>
        <w:spacing w:line="480" w:lineRule="exact"/>
        <w:ind w:firstLine="560" w:firstLineChars="200"/>
        <w:textAlignment w:val="auto"/>
        <w:outlineLvl w:val="2"/>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kern w:val="2"/>
          <w:sz w:val="28"/>
          <w:szCs w:val="28"/>
          <w:highlight w:val="none"/>
          <w:lang w:val="en-US" w:eastAsia="zh-CN" w:bidi="ar-SA"/>
        </w:rPr>
        <w:t>（三）</w:t>
      </w:r>
      <w:r>
        <w:rPr>
          <w:rFonts w:hint="default" w:ascii="仿宋_GB2312" w:hAnsi="仿宋_GB2312" w:eastAsia="仿宋_GB2312" w:cs="仿宋_GB2312"/>
          <w:bCs/>
          <w:sz w:val="28"/>
          <w:szCs w:val="28"/>
          <w:highlight w:val="none"/>
          <w:lang w:val="en-US" w:eastAsia="zh-CN"/>
        </w:rPr>
        <w:t>个别因素</w:t>
      </w:r>
    </w:p>
    <w:p w14:paraId="1F6D8943">
      <w:pPr>
        <w:keepNext w:val="0"/>
        <w:keepLines w:val="0"/>
        <w:pageBreakBefore w:val="0"/>
        <w:widowControl w:val="0"/>
        <w:numPr>
          <w:ilvl w:val="0"/>
          <w:numId w:val="0"/>
        </w:numPr>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影响地价的个别因素主要是指宗地自身的地价影响因素，即宗地本身的条件和特征，是决定同一均质地域内地块差异和地价差异的重要因素。包括估价对象位置、面积、用途、土地利用现状、临街状况、宗地形状、地质条件、地势、容积率、宗地基础设施条件等。个别因素状况描述如下：</w:t>
      </w:r>
    </w:p>
    <w:p w14:paraId="0008DEBB">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w:t>
      </w:r>
      <w:r>
        <w:rPr>
          <w:rFonts w:hint="default" w:ascii="仿宋_GB2312" w:hAnsi="仿宋_GB2312" w:eastAsia="仿宋_GB2312" w:cs="仿宋_GB2312"/>
          <w:bCs/>
          <w:sz w:val="28"/>
          <w:szCs w:val="28"/>
          <w:highlight w:val="none"/>
          <w:lang w:val="en-US" w:eastAsia="zh-CN"/>
        </w:rPr>
        <w:t>估价期日土地使用者：</w:t>
      </w:r>
      <w:r>
        <w:rPr>
          <w:rFonts w:hint="eastAsia" w:ascii="仿宋_GB2312" w:hAnsi="仿宋_GB2312" w:eastAsia="仿宋_GB2312" w:cs="仿宋_GB2312"/>
          <w:bCs/>
          <w:sz w:val="28"/>
          <w:szCs w:val="28"/>
          <w:highlight w:val="none"/>
          <w:lang w:val="en-US" w:eastAsia="zh-CN"/>
        </w:rPr>
        <w:t>通道侗族自治县国有资产监督管理办公室</w:t>
      </w:r>
      <w:r>
        <w:rPr>
          <w:rFonts w:hint="default" w:ascii="仿宋_GB2312" w:hAnsi="仿宋_GB2312" w:eastAsia="仿宋_GB2312" w:cs="仿宋_GB2312"/>
          <w:bCs/>
          <w:sz w:val="28"/>
          <w:szCs w:val="28"/>
          <w:highlight w:val="none"/>
          <w:lang w:val="en-US" w:eastAsia="zh-CN"/>
        </w:rPr>
        <w:t>；</w:t>
      </w:r>
    </w:p>
    <w:p w14:paraId="117C3440">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w:t>
      </w:r>
      <w:r>
        <w:rPr>
          <w:rFonts w:hint="default" w:ascii="仿宋_GB2312" w:hAnsi="仿宋_GB2312" w:eastAsia="仿宋_GB2312" w:cs="仿宋_GB2312"/>
          <w:bCs/>
          <w:sz w:val="28"/>
          <w:szCs w:val="28"/>
          <w:highlight w:val="none"/>
          <w:lang w:val="en-US" w:eastAsia="zh-CN"/>
        </w:rPr>
        <w:t>宗地位置：</w:t>
      </w:r>
      <w:r>
        <w:rPr>
          <w:rFonts w:hint="eastAsia" w:ascii="仿宋_GB2312" w:hAnsi="仿宋_GB2312" w:eastAsia="仿宋_GB2312" w:cs="仿宋_GB2312"/>
          <w:bCs/>
          <w:sz w:val="28"/>
          <w:szCs w:val="28"/>
          <w:highlight w:val="none"/>
          <w:lang w:val="en-US" w:eastAsia="zh-CN"/>
        </w:rPr>
        <w:t>通道县双江镇行政街331/1-2幢整栋</w:t>
      </w:r>
      <w:r>
        <w:rPr>
          <w:rFonts w:hint="default" w:ascii="仿宋_GB2312" w:hAnsi="仿宋_GB2312" w:eastAsia="仿宋_GB2312" w:cs="仿宋_GB2312"/>
          <w:bCs/>
          <w:sz w:val="28"/>
          <w:szCs w:val="28"/>
          <w:highlight w:val="none"/>
          <w:lang w:val="en-US" w:eastAsia="zh-CN"/>
        </w:rPr>
        <w:t>；</w:t>
      </w:r>
    </w:p>
    <w:p w14:paraId="0B4CED2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w:t>
      </w:r>
      <w:r>
        <w:rPr>
          <w:rFonts w:hint="default" w:ascii="仿宋_GB2312" w:hAnsi="仿宋_GB2312" w:eastAsia="仿宋_GB2312" w:cs="仿宋_GB2312"/>
          <w:bCs/>
          <w:sz w:val="28"/>
          <w:szCs w:val="28"/>
          <w:highlight w:val="none"/>
          <w:lang w:val="en-US" w:eastAsia="zh-CN"/>
        </w:rPr>
        <w:t>宗地面积：根据委托方提供的</w:t>
      </w:r>
      <w:r>
        <w:rPr>
          <w:rFonts w:hint="eastAsia" w:ascii="仿宋_GB2312" w:hAnsi="仿宋_GB2312" w:eastAsia="仿宋_GB2312" w:cs="仿宋_GB2312"/>
          <w:bCs/>
          <w:sz w:val="28"/>
          <w:szCs w:val="28"/>
          <w:highlight w:val="none"/>
          <w:lang w:val="en-US" w:eastAsia="zh-CN"/>
        </w:rPr>
        <w:t>《土地资产评估委托书》，</w:t>
      </w:r>
      <w:r>
        <w:rPr>
          <w:rFonts w:hint="default" w:ascii="仿宋_GB2312" w:hAnsi="仿宋_GB2312" w:eastAsia="仿宋_GB2312" w:cs="仿宋_GB2312"/>
          <w:bCs/>
          <w:sz w:val="28"/>
          <w:szCs w:val="28"/>
          <w:highlight w:val="none"/>
          <w:lang w:val="en-US" w:eastAsia="zh-CN"/>
        </w:rPr>
        <w:t>估价对象分摊土地使用权面积为</w:t>
      </w:r>
      <w:r>
        <w:rPr>
          <w:rFonts w:hint="eastAsia" w:ascii="仿宋_GB2312" w:hAnsi="仿宋_GB2312" w:eastAsia="仿宋_GB2312" w:cs="仿宋_GB2312"/>
          <w:bCs/>
          <w:sz w:val="28"/>
          <w:szCs w:val="28"/>
          <w:highlight w:val="none"/>
          <w:lang w:val="en-US" w:eastAsia="zh-CN"/>
        </w:rPr>
        <w:t>183.27平方米，面积过小，对土地利用产生严重的影响</w:t>
      </w:r>
      <w:r>
        <w:rPr>
          <w:rFonts w:hint="default" w:ascii="仿宋_GB2312" w:hAnsi="仿宋_GB2312" w:eastAsia="仿宋_GB2312" w:cs="仿宋_GB2312"/>
          <w:bCs/>
          <w:sz w:val="28"/>
          <w:szCs w:val="28"/>
          <w:highlight w:val="none"/>
          <w:lang w:val="en-US" w:eastAsia="zh-CN"/>
        </w:rPr>
        <w:t>；</w:t>
      </w:r>
    </w:p>
    <w:p w14:paraId="3ED1D3E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w:t>
      </w:r>
      <w:r>
        <w:rPr>
          <w:rFonts w:hint="default" w:ascii="仿宋_GB2312" w:hAnsi="仿宋_GB2312" w:eastAsia="仿宋_GB2312" w:cs="仿宋_GB2312"/>
          <w:bCs/>
          <w:sz w:val="28"/>
          <w:szCs w:val="28"/>
          <w:highlight w:val="none"/>
          <w:lang w:val="en-US" w:eastAsia="zh-CN"/>
        </w:rPr>
        <w:t>土地用途</w:t>
      </w:r>
      <w:r>
        <w:rPr>
          <w:rFonts w:hint="eastAsia" w:ascii="仿宋_GB2312" w:hAnsi="仿宋_GB2312" w:eastAsia="仿宋_GB2312" w:cs="仿宋_GB2312"/>
          <w:bCs/>
          <w:sz w:val="28"/>
          <w:szCs w:val="28"/>
          <w:highlight w:val="none"/>
          <w:lang w:val="en-US" w:eastAsia="zh-CN"/>
        </w:rPr>
        <w:t>：</w:t>
      </w:r>
      <w:r>
        <w:rPr>
          <w:rFonts w:hint="eastAsia" w:ascii="仿宋_GB2312" w:hAnsi="仿宋_GB2312" w:eastAsia="仿宋_GB2312" w:cs="仿宋_GB2312"/>
          <w:bCs/>
          <w:color w:val="auto"/>
          <w:sz w:val="28"/>
          <w:szCs w:val="28"/>
          <w:highlight w:val="none"/>
          <w:lang w:val="en-US" w:eastAsia="zh-CN"/>
        </w:rPr>
        <w:t>商服用地、</w:t>
      </w:r>
      <w:r>
        <w:rPr>
          <w:rFonts w:hint="eastAsia" w:ascii="仿宋_GB2312" w:hAnsi="仿宋_GB2312" w:eastAsia="仿宋_GB2312" w:cs="仿宋_GB2312"/>
          <w:bCs/>
          <w:color w:val="auto"/>
          <w:sz w:val="28"/>
          <w:szCs w:val="28"/>
          <w:highlight w:val="none"/>
          <w:lang w:val="en-GB" w:eastAsia="zh-CN"/>
        </w:rPr>
        <w:t>住宅用地（</w:t>
      </w:r>
      <w:r>
        <w:rPr>
          <w:rFonts w:hint="eastAsia" w:ascii="仿宋_GB2312" w:hAnsi="仿宋_GB2312" w:eastAsia="仿宋_GB2312" w:cs="仿宋_GB2312"/>
          <w:bCs/>
          <w:color w:val="auto"/>
          <w:sz w:val="28"/>
          <w:szCs w:val="28"/>
          <w:highlight w:val="none"/>
          <w:lang w:val="en-US" w:eastAsia="zh-CN"/>
        </w:rPr>
        <w:t>商住比22.03%：77.97%</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sz w:val="28"/>
          <w:szCs w:val="28"/>
          <w:highlight w:val="none"/>
          <w:lang w:val="en-US" w:eastAsia="zh-CN"/>
        </w:rPr>
        <w:t>；</w:t>
      </w:r>
    </w:p>
    <w:p w14:paraId="09BD07C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highlight w:val="none"/>
          <w:lang w:val="en-US" w:eastAsia="zh-CN"/>
        </w:rPr>
      </w:pPr>
      <w:r>
        <w:rPr>
          <w:rFonts w:hint="eastAsia" w:ascii="仿宋_GB2312" w:hAnsi="仿宋_GB2312" w:eastAsia="仿宋_GB2312" w:cs="仿宋_GB2312"/>
          <w:bCs/>
          <w:sz w:val="28"/>
          <w:szCs w:val="28"/>
          <w:highlight w:val="none"/>
          <w:lang w:val="en-US" w:eastAsia="zh-CN"/>
        </w:rPr>
        <w:t>5.</w:t>
      </w:r>
      <w:r>
        <w:rPr>
          <w:rFonts w:hint="default" w:ascii="仿宋_GB2312" w:hAnsi="仿宋_GB2312" w:eastAsia="仿宋_GB2312" w:cs="仿宋_GB2312"/>
          <w:bCs/>
          <w:sz w:val="28"/>
          <w:szCs w:val="28"/>
          <w:highlight w:val="none"/>
          <w:lang w:val="en-US" w:eastAsia="zh-CN"/>
        </w:rPr>
        <w:t>宗地临街状况：</w:t>
      </w:r>
      <w:r>
        <w:rPr>
          <w:rFonts w:hint="eastAsia" w:ascii="仿宋_GB2312" w:hAnsi="仿宋_GB2312" w:eastAsia="仿宋_GB2312" w:cs="仿宋_GB2312"/>
          <w:bCs/>
          <w:sz w:val="28"/>
          <w:szCs w:val="28"/>
          <w:highlight w:val="none"/>
          <w:lang w:val="en-US" w:eastAsia="zh-CN"/>
        </w:rPr>
        <w:t>西临行政街；</w:t>
      </w:r>
    </w:p>
    <w:p w14:paraId="11FC7BA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w:t>
      </w:r>
      <w:r>
        <w:rPr>
          <w:rFonts w:hint="default" w:ascii="仿宋_GB2312" w:hAnsi="仿宋_GB2312" w:eastAsia="仿宋_GB2312" w:cs="仿宋_GB2312"/>
          <w:bCs/>
          <w:sz w:val="28"/>
          <w:szCs w:val="28"/>
          <w:highlight w:val="none"/>
          <w:lang w:val="en-US" w:eastAsia="zh-CN"/>
        </w:rPr>
        <w:t>宗地形状：形状</w:t>
      </w:r>
      <w:r>
        <w:rPr>
          <w:rFonts w:hint="eastAsia" w:ascii="仿宋_GB2312" w:hAnsi="仿宋_GB2312" w:eastAsia="仿宋_GB2312" w:cs="仿宋_GB2312"/>
          <w:bCs/>
          <w:sz w:val="28"/>
          <w:szCs w:val="28"/>
          <w:highlight w:val="none"/>
          <w:lang w:val="en-US" w:eastAsia="zh-CN"/>
        </w:rPr>
        <w:t>基本</w:t>
      </w:r>
      <w:r>
        <w:rPr>
          <w:rFonts w:hint="default" w:ascii="仿宋_GB2312" w:hAnsi="仿宋_GB2312" w:eastAsia="仿宋_GB2312" w:cs="仿宋_GB2312"/>
          <w:bCs/>
          <w:sz w:val="28"/>
          <w:szCs w:val="28"/>
          <w:highlight w:val="none"/>
          <w:lang w:val="en-US" w:eastAsia="zh-CN"/>
        </w:rPr>
        <w:t>规则，不影响宗地利用；</w:t>
      </w:r>
    </w:p>
    <w:p w14:paraId="552388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7.</w:t>
      </w:r>
      <w:r>
        <w:rPr>
          <w:rFonts w:hint="default" w:ascii="仿宋_GB2312" w:hAnsi="仿宋_GB2312" w:eastAsia="仿宋_GB2312" w:cs="仿宋_GB2312"/>
          <w:bCs/>
          <w:sz w:val="28"/>
          <w:szCs w:val="28"/>
          <w:highlight w:val="none"/>
          <w:lang w:val="en-US" w:eastAsia="zh-CN"/>
        </w:rPr>
        <w:t>地质条件：宗地所在区域地质条件优，承载力大于等于25吨/平方米；</w:t>
      </w:r>
    </w:p>
    <w:p w14:paraId="13A29B3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8.</w:t>
      </w:r>
      <w:r>
        <w:rPr>
          <w:rFonts w:hint="default" w:ascii="仿宋_GB2312" w:hAnsi="仿宋_GB2312" w:eastAsia="仿宋_GB2312" w:cs="仿宋_GB2312"/>
          <w:bCs/>
          <w:sz w:val="28"/>
          <w:szCs w:val="28"/>
          <w:highlight w:val="none"/>
          <w:lang w:val="en-US" w:eastAsia="zh-CN"/>
        </w:rPr>
        <w:t>地形地势条件：地势平坦；</w:t>
      </w:r>
    </w:p>
    <w:p w14:paraId="7FED09F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9.</w:t>
      </w:r>
      <w:r>
        <w:rPr>
          <w:rFonts w:hint="default" w:ascii="仿宋_GB2312" w:hAnsi="仿宋_GB2312" w:eastAsia="仿宋_GB2312" w:cs="仿宋_GB2312"/>
          <w:bCs/>
          <w:sz w:val="28"/>
          <w:szCs w:val="28"/>
          <w:highlight w:val="none"/>
          <w:lang w:val="en-US" w:eastAsia="zh-CN"/>
        </w:rPr>
        <w:t>通风采光条件：估价对象地上住宅建筑物朝向为</w:t>
      </w:r>
      <w:r>
        <w:rPr>
          <w:rFonts w:hint="eastAsia" w:ascii="仿宋_GB2312" w:hAnsi="仿宋_GB2312" w:eastAsia="仿宋_GB2312" w:cs="仿宋_GB2312"/>
          <w:bCs/>
          <w:sz w:val="28"/>
          <w:szCs w:val="28"/>
          <w:highlight w:val="none"/>
          <w:lang w:val="en-US" w:eastAsia="zh-CN"/>
        </w:rPr>
        <w:t>东</w:t>
      </w:r>
      <w:r>
        <w:rPr>
          <w:rFonts w:hint="default" w:ascii="仿宋_GB2312" w:hAnsi="仿宋_GB2312" w:eastAsia="仿宋_GB2312" w:cs="仿宋_GB2312"/>
          <w:bCs/>
          <w:sz w:val="28"/>
          <w:szCs w:val="28"/>
          <w:highlight w:val="none"/>
          <w:lang w:val="en-US" w:eastAsia="zh-CN"/>
        </w:rPr>
        <w:t>南，通风采光条件</w:t>
      </w:r>
      <w:r>
        <w:rPr>
          <w:rFonts w:hint="eastAsia" w:ascii="仿宋_GB2312" w:hAnsi="仿宋_GB2312" w:eastAsia="仿宋_GB2312" w:cs="仿宋_GB2312"/>
          <w:bCs/>
          <w:sz w:val="28"/>
          <w:szCs w:val="28"/>
          <w:highlight w:val="none"/>
          <w:lang w:val="en-US" w:eastAsia="zh-CN"/>
        </w:rPr>
        <w:t>较好</w:t>
      </w:r>
      <w:r>
        <w:rPr>
          <w:rFonts w:hint="default" w:ascii="仿宋_GB2312" w:hAnsi="仿宋_GB2312" w:eastAsia="仿宋_GB2312" w:cs="仿宋_GB2312"/>
          <w:bCs/>
          <w:sz w:val="28"/>
          <w:szCs w:val="28"/>
          <w:highlight w:val="none"/>
          <w:lang w:val="en-US" w:eastAsia="zh-CN"/>
        </w:rPr>
        <w:t>；</w:t>
      </w:r>
    </w:p>
    <w:p w14:paraId="1621E72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10.</w:t>
      </w:r>
      <w:r>
        <w:rPr>
          <w:rFonts w:hint="default" w:ascii="仿宋_GB2312" w:hAnsi="仿宋_GB2312" w:eastAsia="仿宋_GB2312" w:cs="仿宋_GB2312"/>
          <w:bCs/>
          <w:sz w:val="28"/>
          <w:szCs w:val="28"/>
          <w:highlight w:val="none"/>
          <w:lang w:val="en-US" w:eastAsia="zh-CN"/>
        </w:rPr>
        <w:t>景观条件：</w:t>
      </w:r>
      <w:r>
        <w:rPr>
          <w:rFonts w:hint="eastAsia" w:ascii="仿宋_GB2312" w:hAnsi="仿宋_GB2312" w:eastAsia="仿宋_GB2312" w:cs="仿宋_GB2312"/>
          <w:bCs/>
          <w:sz w:val="28"/>
          <w:szCs w:val="28"/>
          <w:highlight w:val="none"/>
          <w:lang w:val="en-US" w:eastAsia="zh-CN"/>
        </w:rPr>
        <w:t>临近双江河，</w:t>
      </w:r>
      <w:r>
        <w:rPr>
          <w:rFonts w:hint="default" w:ascii="仿宋_GB2312" w:hAnsi="仿宋_GB2312" w:eastAsia="仿宋_GB2312" w:cs="仿宋_GB2312"/>
          <w:bCs/>
          <w:sz w:val="28"/>
          <w:szCs w:val="28"/>
          <w:highlight w:val="none"/>
          <w:lang w:val="en-US" w:eastAsia="zh-CN"/>
        </w:rPr>
        <w:t>有地物阻隔，自然景观较好；</w:t>
      </w:r>
    </w:p>
    <w:p w14:paraId="186C4AB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土地利用条件设定：委托方拟按估价对象现状使用条件进行出让，估价对象现状</w:t>
      </w:r>
      <w:r>
        <w:rPr>
          <w:rFonts w:hint="eastAsia" w:ascii="仿宋_GB2312" w:hAnsi="仿宋_GB2312" w:eastAsia="仿宋_GB2312" w:cs="仿宋_GB2312"/>
          <w:bCs/>
          <w:sz w:val="28"/>
          <w:szCs w:val="28"/>
          <w:highlight w:val="none"/>
          <w:lang w:val="en-US" w:eastAsia="zh-CN"/>
        </w:rPr>
        <w:t>容积率为4.07</w:t>
      </w:r>
      <w:r>
        <w:rPr>
          <w:rFonts w:hint="default" w:ascii="仿宋_GB2312" w:hAnsi="仿宋_GB2312" w:eastAsia="仿宋_GB2312" w:cs="仿宋_GB2312"/>
          <w:bCs/>
          <w:sz w:val="28"/>
          <w:szCs w:val="28"/>
          <w:highlight w:val="none"/>
          <w:lang w:val="en-US" w:eastAsia="zh-CN"/>
        </w:rPr>
        <w:t>，本次评估设定</w:t>
      </w:r>
      <w:r>
        <w:rPr>
          <w:rFonts w:hint="eastAsia" w:ascii="仿宋_GB2312" w:hAnsi="仿宋_GB2312" w:eastAsia="仿宋_GB2312" w:cs="仿宋_GB2312"/>
          <w:bCs/>
          <w:sz w:val="28"/>
          <w:szCs w:val="28"/>
          <w:highlight w:val="none"/>
          <w:lang w:val="en-US" w:eastAsia="zh-CN"/>
        </w:rPr>
        <w:t>容积率为4.07</w:t>
      </w:r>
      <w:r>
        <w:rPr>
          <w:rFonts w:hint="default" w:ascii="仿宋_GB2312" w:hAnsi="仿宋_GB2312" w:eastAsia="仿宋_GB2312" w:cs="仿宋_GB2312"/>
          <w:bCs/>
          <w:sz w:val="28"/>
          <w:szCs w:val="28"/>
          <w:highlight w:val="none"/>
          <w:lang w:val="en-US" w:eastAsia="zh-CN"/>
        </w:rPr>
        <w:t>；</w:t>
      </w:r>
    </w:p>
    <w:p w14:paraId="6BE603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11.</w:t>
      </w:r>
      <w:r>
        <w:rPr>
          <w:rFonts w:hint="default" w:ascii="仿宋_GB2312" w:hAnsi="仿宋_GB2312" w:eastAsia="仿宋_GB2312" w:cs="仿宋_GB2312"/>
          <w:bCs/>
          <w:sz w:val="28"/>
          <w:szCs w:val="28"/>
          <w:highlight w:val="none"/>
          <w:lang w:val="en-US" w:eastAsia="zh-CN"/>
        </w:rPr>
        <w:t>规划限制：城市规划无特殊限制；</w:t>
      </w:r>
    </w:p>
    <w:p w14:paraId="20184C6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土地开发程度：估价对象于估价期日实际开发程度为宗地红线内外“</w:t>
      </w:r>
      <w:r>
        <w:rPr>
          <w:rFonts w:hint="eastAsia" w:ascii="仿宋_GB2312" w:hAnsi="仿宋_GB2312" w:eastAsia="仿宋_GB2312" w:cs="仿宋_GB2312"/>
          <w:bCs/>
          <w:sz w:val="28"/>
          <w:szCs w:val="28"/>
          <w:highlight w:val="none"/>
          <w:lang w:val="en-US" w:eastAsia="zh-CN"/>
        </w:rPr>
        <w:t>五</w:t>
      </w:r>
      <w:r>
        <w:rPr>
          <w:rFonts w:hint="default" w:ascii="仿宋_GB2312" w:hAnsi="仿宋_GB2312" w:eastAsia="仿宋_GB2312" w:cs="仿宋_GB2312"/>
          <w:bCs/>
          <w:sz w:val="28"/>
          <w:szCs w:val="28"/>
          <w:highlight w:val="none"/>
          <w:lang w:val="en-US" w:eastAsia="zh-CN"/>
        </w:rPr>
        <w:t>通”（通路、通电、供水、排水、通讯、通燃）和红线内场地平整，本次评估设定待估宗地开发程度为宗地红线外“</w:t>
      </w:r>
      <w:r>
        <w:rPr>
          <w:rFonts w:hint="eastAsia" w:ascii="仿宋_GB2312" w:hAnsi="仿宋_GB2312" w:eastAsia="仿宋_GB2312" w:cs="仿宋_GB2312"/>
          <w:bCs/>
          <w:sz w:val="28"/>
          <w:szCs w:val="28"/>
          <w:highlight w:val="none"/>
          <w:lang w:val="en-US" w:eastAsia="zh-CN"/>
        </w:rPr>
        <w:t>五</w:t>
      </w:r>
      <w:r>
        <w:rPr>
          <w:rFonts w:hint="default" w:ascii="仿宋_GB2312" w:hAnsi="仿宋_GB2312" w:eastAsia="仿宋_GB2312" w:cs="仿宋_GB2312"/>
          <w:bCs/>
          <w:sz w:val="28"/>
          <w:szCs w:val="28"/>
          <w:highlight w:val="none"/>
          <w:lang w:val="en-US" w:eastAsia="zh-CN"/>
        </w:rPr>
        <w:t>通”（通路、通电、供水、排水、通讯）和红线内场地平整；</w:t>
      </w:r>
    </w:p>
    <w:p w14:paraId="07AA8F2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12.</w:t>
      </w:r>
      <w:r>
        <w:rPr>
          <w:rFonts w:hint="default" w:ascii="仿宋_GB2312" w:hAnsi="仿宋_GB2312" w:eastAsia="仿宋_GB2312" w:cs="仿宋_GB2312"/>
          <w:bCs/>
          <w:sz w:val="28"/>
          <w:szCs w:val="28"/>
          <w:highlight w:val="none"/>
          <w:lang w:val="en-US" w:eastAsia="zh-CN"/>
        </w:rPr>
        <w:t>宗地基础设施条件为：</w:t>
      </w:r>
    </w:p>
    <w:p w14:paraId="1131C72D">
      <w:pPr>
        <w:numPr>
          <w:ilvl w:val="0"/>
          <w:numId w:val="1"/>
        </w:numPr>
        <w:adjustRightInd w:val="0"/>
        <w:snapToGrid w:val="0"/>
        <w:spacing w:line="480" w:lineRule="exact"/>
        <w:ind w:firstLine="560" w:firstLineChars="200"/>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通路：待估宗地所在整体宗地</w:t>
      </w:r>
      <w:r>
        <w:rPr>
          <w:rFonts w:hint="eastAsia" w:ascii="仿宋_GB2312" w:hAnsi="仿宋_GB2312" w:eastAsia="仿宋_GB2312" w:cs="仿宋_GB2312"/>
          <w:bCs/>
          <w:sz w:val="28"/>
          <w:szCs w:val="28"/>
          <w:highlight w:val="none"/>
          <w:lang w:val="en-US" w:eastAsia="zh-CN"/>
        </w:rPr>
        <w:t>通过次干道行政街连接城市主干道长征中路，柏油路面，质量较好</w:t>
      </w:r>
      <w:r>
        <w:rPr>
          <w:rFonts w:hint="default" w:ascii="仿宋_GB2312" w:hAnsi="仿宋_GB2312" w:eastAsia="仿宋_GB2312" w:cs="仿宋_GB2312"/>
          <w:bCs/>
          <w:sz w:val="28"/>
          <w:szCs w:val="28"/>
          <w:highlight w:val="none"/>
          <w:lang w:val="en-US" w:eastAsia="zh-CN"/>
        </w:rPr>
        <w:t>；</w:t>
      </w:r>
    </w:p>
    <w:p w14:paraId="3227D944">
      <w:pPr>
        <w:numPr>
          <w:ilvl w:val="0"/>
          <w:numId w:val="1"/>
        </w:numPr>
        <w:adjustRightInd w:val="0"/>
        <w:snapToGrid w:val="0"/>
        <w:spacing w:line="480" w:lineRule="exact"/>
        <w:ind w:firstLine="560" w:firstLineChars="200"/>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通电：宗地外已接通市政供电管网，由</w:t>
      </w:r>
      <w:r>
        <w:rPr>
          <w:rFonts w:hint="eastAsia" w:ascii="仿宋_GB2312" w:hAnsi="仿宋_GB2312" w:eastAsia="仿宋_GB2312" w:cs="仿宋_GB2312"/>
          <w:bCs/>
          <w:sz w:val="28"/>
          <w:szCs w:val="28"/>
          <w:highlight w:val="none"/>
          <w:lang w:val="en-US" w:eastAsia="zh-CN"/>
        </w:rPr>
        <w:t>通道供电</w:t>
      </w:r>
      <w:r>
        <w:rPr>
          <w:rFonts w:hint="default" w:ascii="仿宋_GB2312" w:hAnsi="仿宋_GB2312" w:eastAsia="仿宋_GB2312" w:cs="仿宋_GB2312"/>
          <w:bCs/>
          <w:sz w:val="28"/>
          <w:szCs w:val="28"/>
          <w:highlight w:val="none"/>
          <w:lang w:val="en-US" w:eastAsia="zh-CN"/>
        </w:rPr>
        <w:t>公司供电，保证率在9</w:t>
      </w:r>
      <w:r>
        <w:rPr>
          <w:rFonts w:hint="eastAsia" w:ascii="仿宋_GB2312" w:hAnsi="仿宋_GB2312" w:eastAsia="仿宋_GB2312" w:cs="仿宋_GB2312"/>
          <w:bCs/>
          <w:sz w:val="28"/>
          <w:szCs w:val="28"/>
          <w:highlight w:val="none"/>
          <w:lang w:val="en-US" w:eastAsia="zh-CN"/>
        </w:rPr>
        <w:t>5</w:t>
      </w:r>
      <w:r>
        <w:rPr>
          <w:rFonts w:hint="default" w:ascii="仿宋_GB2312" w:hAnsi="仿宋_GB2312" w:eastAsia="仿宋_GB2312" w:cs="仿宋_GB2312"/>
          <w:bCs/>
          <w:sz w:val="28"/>
          <w:szCs w:val="28"/>
          <w:highlight w:val="none"/>
          <w:lang w:val="en-US" w:eastAsia="zh-CN"/>
        </w:rPr>
        <w:t>%以上；</w:t>
      </w:r>
    </w:p>
    <w:p w14:paraId="6A27F2C3">
      <w:pPr>
        <w:numPr>
          <w:ilvl w:val="0"/>
          <w:numId w:val="1"/>
        </w:numPr>
        <w:adjustRightInd w:val="0"/>
        <w:snapToGrid w:val="0"/>
        <w:spacing w:line="480" w:lineRule="exact"/>
        <w:ind w:firstLine="560" w:firstLineChars="200"/>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通讯：电讯服务由三大电讯运营商即联通、移动、电信提供，有线通讯由电信提供，线路畅通，无线通讯信号良好；</w:t>
      </w:r>
    </w:p>
    <w:p w14:paraId="776F1F68">
      <w:pPr>
        <w:numPr>
          <w:ilvl w:val="0"/>
          <w:numId w:val="1"/>
        </w:numPr>
        <w:adjustRightInd w:val="0"/>
        <w:snapToGrid w:val="0"/>
        <w:spacing w:line="480" w:lineRule="exact"/>
        <w:ind w:firstLine="560" w:firstLineChars="200"/>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通水：宗地外已接通市政供水管网，由</w:t>
      </w:r>
      <w:r>
        <w:rPr>
          <w:rFonts w:hint="eastAsia" w:ascii="仿宋_GB2312" w:hAnsi="仿宋_GB2312" w:eastAsia="仿宋_GB2312" w:cs="仿宋_GB2312"/>
          <w:bCs/>
          <w:sz w:val="28"/>
          <w:szCs w:val="28"/>
          <w:highlight w:val="none"/>
          <w:lang w:val="en-US" w:eastAsia="zh-CN"/>
        </w:rPr>
        <w:t>通道县</w:t>
      </w:r>
      <w:r>
        <w:rPr>
          <w:rFonts w:hint="default" w:ascii="仿宋_GB2312" w:hAnsi="仿宋_GB2312" w:eastAsia="仿宋_GB2312" w:cs="仿宋_GB2312"/>
          <w:bCs/>
          <w:sz w:val="28"/>
          <w:szCs w:val="28"/>
          <w:highlight w:val="none"/>
          <w:lang w:val="en-US" w:eastAsia="zh-CN"/>
        </w:rPr>
        <w:t>自来水公司供水，保证率在9</w:t>
      </w:r>
      <w:r>
        <w:rPr>
          <w:rFonts w:hint="eastAsia" w:ascii="仿宋_GB2312" w:hAnsi="仿宋_GB2312" w:eastAsia="仿宋_GB2312" w:cs="仿宋_GB2312"/>
          <w:bCs/>
          <w:sz w:val="28"/>
          <w:szCs w:val="28"/>
          <w:highlight w:val="none"/>
          <w:lang w:val="en-US" w:eastAsia="zh-CN"/>
        </w:rPr>
        <w:t>5</w:t>
      </w:r>
      <w:r>
        <w:rPr>
          <w:rFonts w:hint="default" w:ascii="仿宋_GB2312" w:hAnsi="仿宋_GB2312" w:eastAsia="仿宋_GB2312" w:cs="仿宋_GB2312"/>
          <w:bCs/>
          <w:sz w:val="28"/>
          <w:szCs w:val="28"/>
          <w:highlight w:val="none"/>
          <w:lang w:val="en-US" w:eastAsia="zh-CN"/>
        </w:rPr>
        <w:t>%以上；</w:t>
      </w:r>
    </w:p>
    <w:p w14:paraId="689F34D4">
      <w:pPr>
        <w:numPr>
          <w:ilvl w:val="0"/>
          <w:numId w:val="1"/>
        </w:numPr>
        <w:adjustRightInd w:val="0"/>
        <w:snapToGrid w:val="0"/>
        <w:spacing w:line="480" w:lineRule="exact"/>
        <w:ind w:firstLine="560" w:firstLineChars="200"/>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排水：宗地外已接通市政排水管网，排水通畅；</w:t>
      </w:r>
    </w:p>
    <w:p w14:paraId="7528DB6F">
      <w:pPr>
        <w:numPr>
          <w:ilvl w:val="0"/>
          <w:numId w:val="1"/>
        </w:numPr>
        <w:adjustRightInd w:val="0"/>
        <w:snapToGrid w:val="0"/>
        <w:spacing w:line="480" w:lineRule="exact"/>
        <w:ind w:firstLine="560" w:firstLineChars="200"/>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场地平整状况：宗地红线内场地平整。</w:t>
      </w:r>
    </w:p>
    <w:p w14:paraId="010F8E38">
      <w:pPr>
        <w:numPr>
          <w:ilvl w:val="0"/>
          <w:numId w:val="0"/>
        </w:numPr>
        <w:adjustRightInd w:val="0"/>
        <w:snapToGrid w:val="0"/>
        <w:spacing w:line="480" w:lineRule="exact"/>
        <w:ind w:firstLine="560" w:firstLineChars="200"/>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综合考虑以上影响地价个别因素，评估分析：宗地</w:t>
      </w:r>
      <w:r>
        <w:rPr>
          <w:rFonts w:hint="eastAsia" w:ascii="仿宋_GB2312" w:hAnsi="仿宋_GB2312" w:eastAsia="仿宋_GB2312" w:cs="仿宋_GB2312"/>
          <w:bCs/>
          <w:sz w:val="28"/>
          <w:szCs w:val="28"/>
          <w:highlight w:val="none"/>
          <w:lang w:val="en-US" w:eastAsia="zh-CN"/>
        </w:rPr>
        <w:t>临次干道行政街，</w:t>
      </w:r>
      <w:r>
        <w:rPr>
          <w:rFonts w:hint="default" w:ascii="仿宋_GB2312" w:hAnsi="仿宋_GB2312" w:eastAsia="仿宋_GB2312" w:cs="仿宋_GB2312"/>
          <w:bCs/>
          <w:sz w:val="28"/>
          <w:szCs w:val="28"/>
          <w:highlight w:val="none"/>
          <w:lang w:val="en-US" w:eastAsia="zh-CN"/>
        </w:rPr>
        <w:t>对估价对象地价产生一定</w:t>
      </w:r>
      <w:r>
        <w:rPr>
          <w:rFonts w:hint="eastAsia" w:ascii="仿宋_GB2312" w:hAnsi="仿宋_GB2312" w:eastAsia="仿宋_GB2312" w:cs="仿宋_GB2312"/>
          <w:bCs/>
          <w:sz w:val="28"/>
          <w:szCs w:val="28"/>
          <w:highlight w:val="none"/>
          <w:lang w:val="en-US" w:eastAsia="zh-CN"/>
        </w:rPr>
        <w:t>有利</w:t>
      </w:r>
      <w:r>
        <w:rPr>
          <w:rFonts w:hint="default" w:ascii="仿宋_GB2312" w:hAnsi="仿宋_GB2312" w:eastAsia="仿宋_GB2312" w:cs="仿宋_GB2312"/>
          <w:bCs/>
          <w:sz w:val="28"/>
          <w:szCs w:val="28"/>
          <w:highlight w:val="none"/>
          <w:lang w:val="en-US" w:eastAsia="zh-CN"/>
        </w:rPr>
        <w:t>影响</w:t>
      </w:r>
      <w:r>
        <w:rPr>
          <w:rFonts w:hint="eastAsia" w:ascii="仿宋_GB2312" w:hAnsi="仿宋_GB2312" w:eastAsia="仿宋_GB2312" w:cs="仿宋_GB2312"/>
          <w:bCs/>
          <w:sz w:val="28"/>
          <w:szCs w:val="28"/>
          <w:highlight w:val="none"/>
          <w:lang w:val="en-US" w:eastAsia="zh-CN"/>
        </w:rPr>
        <w:t>；面积过小，对土地利用产生严重的影响，宗地临近双江河，</w:t>
      </w:r>
      <w:r>
        <w:rPr>
          <w:rFonts w:hint="default" w:ascii="仿宋_GB2312" w:hAnsi="仿宋_GB2312" w:eastAsia="仿宋_GB2312" w:cs="仿宋_GB2312"/>
          <w:bCs/>
          <w:sz w:val="28"/>
          <w:szCs w:val="28"/>
          <w:highlight w:val="none"/>
          <w:lang w:val="en-US" w:eastAsia="zh-CN"/>
        </w:rPr>
        <w:t>有地物阻隔，自然景观较好</w:t>
      </w:r>
      <w:r>
        <w:rPr>
          <w:rFonts w:hint="eastAsia" w:ascii="仿宋_GB2312" w:hAnsi="仿宋_GB2312" w:eastAsia="仿宋_GB2312" w:cs="仿宋_GB2312"/>
          <w:bCs/>
          <w:sz w:val="28"/>
          <w:szCs w:val="28"/>
          <w:highlight w:val="none"/>
          <w:lang w:val="en-US" w:eastAsia="zh-CN"/>
        </w:rPr>
        <w:t>；</w:t>
      </w:r>
      <w:r>
        <w:rPr>
          <w:rFonts w:hint="default" w:ascii="仿宋_GB2312" w:hAnsi="仿宋_GB2312" w:eastAsia="仿宋_GB2312" w:cs="仿宋_GB2312"/>
          <w:bCs/>
          <w:sz w:val="28"/>
          <w:szCs w:val="28"/>
          <w:highlight w:val="none"/>
          <w:lang w:val="en-US" w:eastAsia="zh-CN"/>
        </w:rPr>
        <w:t>宗地形状</w:t>
      </w:r>
      <w:r>
        <w:rPr>
          <w:rFonts w:hint="eastAsia" w:ascii="仿宋_GB2312" w:hAnsi="仿宋_GB2312" w:eastAsia="仿宋_GB2312" w:cs="仿宋_GB2312"/>
          <w:bCs/>
          <w:sz w:val="28"/>
          <w:szCs w:val="28"/>
          <w:highlight w:val="none"/>
          <w:lang w:val="en-US" w:eastAsia="zh-CN"/>
        </w:rPr>
        <w:t>基本</w:t>
      </w:r>
      <w:r>
        <w:rPr>
          <w:rFonts w:hint="default" w:ascii="仿宋_GB2312" w:hAnsi="仿宋_GB2312" w:eastAsia="仿宋_GB2312" w:cs="仿宋_GB2312"/>
          <w:bCs/>
          <w:sz w:val="28"/>
          <w:szCs w:val="28"/>
          <w:highlight w:val="none"/>
          <w:lang w:val="en-US" w:eastAsia="zh-CN"/>
        </w:rPr>
        <w:t>规则，</w:t>
      </w:r>
      <w:r>
        <w:rPr>
          <w:rFonts w:hint="eastAsia" w:ascii="仿宋_GB2312" w:hAnsi="仿宋_GB2312" w:eastAsia="仿宋_GB2312" w:cs="仿宋_GB2312"/>
          <w:bCs/>
          <w:sz w:val="28"/>
          <w:szCs w:val="28"/>
          <w:highlight w:val="none"/>
          <w:lang w:val="en-US" w:eastAsia="zh-CN"/>
        </w:rPr>
        <w:t>不影响</w:t>
      </w:r>
      <w:r>
        <w:rPr>
          <w:rFonts w:hint="default" w:ascii="仿宋_GB2312" w:hAnsi="仿宋_GB2312" w:eastAsia="仿宋_GB2312" w:cs="仿宋_GB2312"/>
          <w:bCs/>
          <w:sz w:val="28"/>
          <w:szCs w:val="28"/>
          <w:highlight w:val="none"/>
          <w:lang w:val="en-US" w:eastAsia="zh-CN"/>
        </w:rPr>
        <w:t>宗地利用</w:t>
      </w:r>
      <w:r>
        <w:rPr>
          <w:rFonts w:hint="eastAsia" w:ascii="仿宋_GB2312" w:hAnsi="仿宋_GB2312" w:eastAsia="仿宋_GB2312" w:cs="仿宋_GB2312"/>
          <w:bCs/>
          <w:sz w:val="28"/>
          <w:szCs w:val="28"/>
          <w:highlight w:val="none"/>
          <w:lang w:val="en-US" w:eastAsia="zh-CN"/>
        </w:rPr>
        <w:t>，</w:t>
      </w:r>
      <w:r>
        <w:rPr>
          <w:rFonts w:hint="default" w:ascii="仿宋_GB2312" w:hAnsi="仿宋_GB2312" w:eastAsia="仿宋_GB2312" w:cs="仿宋_GB2312"/>
          <w:bCs/>
          <w:sz w:val="28"/>
          <w:szCs w:val="28"/>
          <w:highlight w:val="none"/>
          <w:lang w:val="en-US" w:eastAsia="zh-CN"/>
        </w:rPr>
        <w:t>地势平坦，地质条件好，通风采光条件</w:t>
      </w:r>
      <w:r>
        <w:rPr>
          <w:rFonts w:hint="eastAsia" w:ascii="仿宋_GB2312" w:hAnsi="仿宋_GB2312" w:eastAsia="仿宋_GB2312" w:cs="仿宋_GB2312"/>
          <w:bCs/>
          <w:sz w:val="28"/>
          <w:szCs w:val="28"/>
          <w:highlight w:val="none"/>
          <w:lang w:val="en-US" w:eastAsia="zh-CN"/>
        </w:rPr>
        <w:t>较好，</w:t>
      </w:r>
      <w:r>
        <w:rPr>
          <w:rFonts w:hint="default" w:ascii="仿宋_GB2312" w:hAnsi="仿宋_GB2312" w:eastAsia="仿宋_GB2312" w:cs="仿宋_GB2312"/>
          <w:bCs/>
          <w:sz w:val="28"/>
          <w:szCs w:val="28"/>
          <w:highlight w:val="none"/>
          <w:lang w:val="en-US" w:eastAsia="zh-CN"/>
        </w:rPr>
        <w:t>综合这些个别因素对估价对象地价产生一定有利影响。根据城市规划与估价对象所在区域的区位条件及宗地自身条件，作为设定用途较符合最有效利用原则。</w:t>
      </w:r>
    </w:p>
    <w:p w14:paraId="753CFBDA">
      <w:pPr>
        <w:pStyle w:val="16"/>
        <w:spacing w:before="120" w:beforeLines="50" w:after="240" w:afterLines="100" w:line="440" w:lineRule="exact"/>
        <w:ind w:firstLine="0" w:firstLineChars="0"/>
        <w:jc w:val="center"/>
        <w:outlineLvl w:val="0"/>
        <w:rPr>
          <w:rFonts w:hint="eastAsia" w:ascii="宋体" w:hAnsi="宋体" w:eastAsia="宋体" w:cs="宋体"/>
          <w:b/>
          <w:color w:val="auto"/>
          <w:sz w:val="32"/>
          <w:szCs w:val="32"/>
          <w:highlight w:val="none"/>
        </w:rPr>
        <w:sectPr>
          <w:headerReference r:id="rId14" w:type="first"/>
          <w:footerReference r:id="rId16" w:type="first"/>
          <w:footerReference r:id="rId15" w:type="default"/>
          <w:pgSz w:w="11906" w:h="16838"/>
          <w:pgMar w:top="1440" w:right="1800" w:bottom="1440" w:left="1800" w:header="851" w:footer="850" w:gutter="0"/>
          <w:pgNumType w:fmt="decimal"/>
          <w:cols w:space="0" w:num="1"/>
          <w:rtlGutter w:val="0"/>
          <w:docGrid w:type="lines" w:linePitch="312" w:charSpace="0"/>
        </w:sectPr>
      </w:pPr>
      <w:bookmarkStart w:id="12" w:name="_Toc30245"/>
      <w:bookmarkStart w:id="13" w:name="_Toc8419"/>
    </w:p>
    <w:p w14:paraId="53E53173">
      <w:pPr>
        <w:pStyle w:val="16"/>
        <w:spacing w:before="120" w:beforeLines="50" w:after="240" w:afterLines="100" w:line="440" w:lineRule="exact"/>
        <w:ind w:firstLine="0" w:firstLineChars="0"/>
        <w:jc w:val="center"/>
        <w:outlineLvl w:val="0"/>
        <w:rPr>
          <w:rFonts w:hint="default" w:ascii="宋体" w:hAnsi="宋体" w:eastAsia="宋体" w:cs="宋体"/>
          <w:b/>
          <w:color w:val="auto"/>
          <w:sz w:val="32"/>
          <w:szCs w:val="32"/>
          <w:highlight w:val="none"/>
        </w:rPr>
      </w:pPr>
      <w:r>
        <w:rPr>
          <w:rFonts w:hint="eastAsia" w:ascii="宋体" w:hAnsi="宋体" w:eastAsia="宋体" w:cs="宋体"/>
          <w:b/>
          <w:color w:val="auto"/>
          <w:sz w:val="32"/>
          <w:szCs w:val="32"/>
          <w:highlight w:val="none"/>
        </w:rPr>
        <w:t>第三部分  土地估价</w:t>
      </w:r>
      <w:bookmarkEnd w:id="12"/>
      <w:bookmarkEnd w:id="13"/>
    </w:p>
    <w:p w14:paraId="792465F3">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hint="eastAsia" w:ascii="仿宋_GB2312" w:hAnsi="仿宋_GB2312" w:eastAsia="仿宋_GB2312" w:cs="仿宋_GB2312"/>
          <w:b/>
          <w:sz w:val="28"/>
          <w:szCs w:val="28"/>
          <w:highlight w:val="none"/>
          <w:lang w:val="en-US" w:eastAsia="zh-CN"/>
        </w:rPr>
      </w:pPr>
      <w:bookmarkStart w:id="14" w:name="_Toc12507"/>
      <w:bookmarkStart w:id="15" w:name="_Toc26449"/>
      <w:r>
        <w:rPr>
          <w:rFonts w:hint="eastAsia" w:ascii="仿宋_GB2312" w:hAnsi="仿宋_GB2312" w:eastAsia="仿宋_GB2312" w:cs="仿宋_GB2312"/>
          <w:b/>
          <w:sz w:val="28"/>
          <w:szCs w:val="28"/>
          <w:highlight w:val="none"/>
          <w:lang w:val="en-US" w:eastAsia="zh-CN"/>
        </w:rPr>
        <w:t>一、估价依据</w:t>
      </w:r>
    </w:p>
    <w:p w14:paraId="77576DEB">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（一）国家有关部门颁布的法律法规及相关文件</w:t>
      </w:r>
      <w:bookmarkStart w:id="16" w:name="_Hlk513795172"/>
    </w:p>
    <w:bookmarkEnd w:id="16"/>
    <w:p w14:paraId="5D561414">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1、《中华人民共和国民法典》（2020年5月28日第十三届全国人民代表大会第三次会议通过，2020年5月28日中华人民共和国主席令第四十五号公布，自2021年1月1日起施行）；</w:t>
      </w:r>
    </w:p>
    <w:p w14:paraId="6FC5B32E">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2、《中华人民共和国资产评估法》（2016年7月2日第十二届全国人民代表大会常务委员会第二十一次会议通过，2016年7月2日中华人民共和国主席令第四十六号公布，自2016年12月1日起施行）；</w:t>
      </w:r>
    </w:p>
    <w:p w14:paraId="16B586BD">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3、《中华人民共和国土地管理法》（1986年6月25日第六届全国人民代表大会常务委员会第十六次会议通过，中华人民共和国主席令第四十一号公布；根据2019年8月26日《全国人民代表大会常务委员会关于修改&lt;中华人民共和国土地管理法&gt;、&lt;中华人民共和国城市房地产管理法&gt;的决定》第三次修正，2019年8月26日中华人民共和国主席令第三十二号公布，自2020年1月1日起施行）；</w:t>
      </w:r>
    </w:p>
    <w:p w14:paraId="6B913362">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4、《中华人民共和国城市房地产管理法》（1994年7月5日第八届全国人民代表大会常务委员会第八次会议通过，中华人民共和国主席令第二十九号公布；根据2019年8月26日第十三届全国人民代表大会常务委员会第十二次会议《关于修改〈中华人民共和国土地管理法〉、〈中华人民共和国城市房地产管理法〉的决定》第三次修正，2019年8月26日中华人民共和国主席令第三十二号公布，自2020年1月1日起施行）；</w:t>
      </w:r>
    </w:p>
    <w:p w14:paraId="4A613EED">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5、《中华人民共和国城乡规划法》（2007年10月28日第十届全国人民代表大会常务委员会第三十次会通过，中华人民共和国主席令第二十九号公布；根据2019年4月23日第十三届全国人民代表大会常务委员会第十次会议《关于修改&lt;中华人民共和国建筑法&gt;等八部法律的决定》第二次修正，2019年4月23日中华人民共和国主席令第二十九号公布，自本决定公布之日起施行）；</w:t>
      </w:r>
    </w:p>
    <w:p w14:paraId="6D8EEDC0">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6</w:t>
      </w:r>
      <w:r>
        <w:rPr>
          <w:rFonts w:hint="eastAsia" w:ascii="仿宋_GB2312" w:hAnsi="仿宋_GB2312" w:eastAsia="仿宋_GB2312" w:cs="仿宋_GB2312"/>
          <w:sz w:val="28"/>
          <w:szCs w:val="28"/>
          <w:highlight w:val="none"/>
        </w:rPr>
        <w:t>、《中华人民共和国契税法》（2020年8月11日第十三届全国人民代表大会常务委员会第二十一次会议通过，中华人民共和国主席令第52号公布，自2021年9月1日起施行）；</w:t>
      </w:r>
    </w:p>
    <w:p w14:paraId="102871FD">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7</w:t>
      </w:r>
      <w:r>
        <w:rPr>
          <w:rFonts w:hint="eastAsia" w:ascii="仿宋_GB2312" w:hAnsi="仿宋_GB2312" w:eastAsia="仿宋_GB2312" w:cs="仿宋_GB2312"/>
          <w:sz w:val="28"/>
          <w:szCs w:val="28"/>
          <w:highlight w:val="none"/>
        </w:rPr>
        <w:t>、《中华人民共和国城市维护建设税法》（2020年8月11日第十三届全国人民代表大会常务委员会第二十一次会议通过，中华人民共和国主席令第51号公布，自2021年9月1日起施行）；</w:t>
      </w:r>
    </w:p>
    <w:p w14:paraId="4BB2F6C8">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val="en-US" w:eastAsia="zh-CN"/>
        </w:rPr>
        <w:t>8</w:t>
      </w:r>
      <w:r>
        <w:rPr>
          <w:rFonts w:hint="eastAsia" w:ascii="仿宋_GB2312" w:hAnsi="仿宋_GB2312" w:eastAsia="仿宋_GB2312" w:cs="仿宋_GB2312"/>
          <w:sz w:val="28"/>
          <w:szCs w:val="28"/>
          <w:highlight w:val="none"/>
        </w:rPr>
        <w:t>、《中华人民共和国印花税法》（2021年6月10日第十三届全国人民代表大会常务委员会第二十九次会议通过，自2022年7月1日起施行）</w:t>
      </w:r>
      <w:r>
        <w:rPr>
          <w:rFonts w:hint="eastAsia" w:ascii="仿宋_GB2312" w:hAnsi="仿宋_GB2312" w:eastAsia="仿宋_GB2312" w:cs="仿宋_GB2312"/>
          <w:sz w:val="28"/>
          <w:szCs w:val="28"/>
          <w:highlight w:val="none"/>
          <w:lang w:eastAsia="zh-CN"/>
        </w:rPr>
        <w:t>；</w:t>
      </w:r>
    </w:p>
    <w:p w14:paraId="3D169DBB">
      <w:pPr>
        <w:keepNext w:val="0"/>
        <w:keepLines w:val="0"/>
        <w:pageBreakBefore w:val="0"/>
        <w:widowControl/>
        <w:kinsoku/>
        <w:wordWrap/>
        <w:overflowPunct/>
        <w:topLinePunct w:val="0"/>
        <w:autoSpaceDE/>
        <w:autoSpaceDN/>
        <w:bidi w:val="0"/>
        <w:spacing w:line="480" w:lineRule="exact"/>
        <w:ind w:right="0" w:firstLine="560" w:firstLineChars="200"/>
        <w:jc w:val="left"/>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9</w:t>
      </w:r>
      <w:r>
        <w:rPr>
          <w:rFonts w:hint="eastAsia" w:ascii="仿宋_GB2312" w:hAnsi="仿宋_GB2312" w:eastAsia="仿宋_GB2312" w:cs="仿宋_GB2312"/>
          <w:bCs/>
          <w:iCs/>
          <w:sz w:val="28"/>
          <w:szCs w:val="28"/>
          <w:highlight w:val="none"/>
        </w:rPr>
        <w:t>、《城市房地产开发经营管理条例》（1998年7月20日中华人民共和国国务院令第248号发布</w:t>
      </w:r>
      <w:r>
        <w:rPr>
          <w:rFonts w:hint="eastAsia" w:ascii="仿宋_GB2312" w:hAnsi="仿宋_GB2312" w:eastAsia="仿宋_GB2312" w:cs="仿宋_GB2312"/>
          <w:bCs/>
          <w:iCs/>
          <w:sz w:val="28"/>
          <w:szCs w:val="28"/>
          <w:highlight w:val="none"/>
          <w:lang w:eastAsia="zh-CN"/>
        </w:rPr>
        <w:t>；</w:t>
      </w:r>
      <w:r>
        <w:rPr>
          <w:rFonts w:hint="eastAsia" w:ascii="仿宋_GB2312" w:hAnsi="仿宋_GB2312" w:eastAsia="仿宋_GB2312" w:cs="仿宋_GB2312"/>
          <w:bCs/>
          <w:iCs/>
          <w:sz w:val="28"/>
          <w:szCs w:val="28"/>
          <w:highlight w:val="none"/>
        </w:rPr>
        <w:t>根据2020年11月29日《国务院关于修改和废止部分行政法规的决定》第五次修订）；</w:t>
      </w:r>
    </w:p>
    <w:p w14:paraId="2FCAC05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、《中华人民共和国城镇国有土地使用权出让和转让暂行条例》（1990年5月19日中华人民共和国国务院令第55号发布，自发布之日起施行；根据2020年11月29日中华人民共和国国务院令第732号修订）；</w:t>
      </w:r>
    </w:p>
    <w:p w14:paraId="4C1772EB">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11</w:t>
      </w:r>
      <w:r>
        <w:rPr>
          <w:rFonts w:hint="eastAsia" w:ascii="仿宋_GB2312" w:hAnsi="仿宋_GB2312" w:eastAsia="仿宋_GB2312" w:cs="仿宋_GB2312"/>
          <w:sz w:val="28"/>
          <w:szCs w:val="28"/>
          <w:highlight w:val="none"/>
        </w:rPr>
        <w:t>、《中华人民共和国土地管理法实施条例》（中华人民共和国国务院令第256号，2021年7月2日中华人民共和国国务院令第743号第三次修订）；</w:t>
      </w:r>
    </w:p>
    <w:p w14:paraId="66EA684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12</w:t>
      </w:r>
      <w:r>
        <w:rPr>
          <w:rFonts w:hint="eastAsia" w:ascii="仿宋_GB2312" w:hAnsi="仿宋_GB2312" w:eastAsia="仿宋_GB2312" w:cs="仿宋_GB2312"/>
          <w:sz w:val="28"/>
          <w:szCs w:val="28"/>
          <w:highlight w:val="none"/>
        </w:rPr>
        <w:t>、《不动产登记暂行条例》（2014年11月24日中华人民共和国国务院令第656号公布，自2015年3月1日起施行；根据20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年3月</w:t>
      </w: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日中华人民共和国国务院令第7</w:t>
      </w:r>
      <w:r>
        <w:rPr>
          <w:rFonts w:hint="eastAsia" w:ascii="仿宋_GB2312" w:hAnsi="仿宋_GB2312" w:eastAsia="仿宋_GB2312" w:cs="仿宋_GB2312"/>
          <w:sz w:val="28"/>
          <w:szCs w:val="28"/>
          <w:highlight w:val="none"/>
          <w:lang w:val="en-US" w:eastAsia="zh-CN"/>
        </w:rPr>
        <w:t>77</w:t>
      </w:r>
      <w:r>
        <w:rPr>
          <w:rFonts w:hint="eastAsia" w:ascii="仿宋_GB2312" w:hAnsi="仿宋_GB2312" w:eastAsia="仿宋_GB2312" w:cs="仿宋_GB2312"/>
          <w:sz w:val="28"/>
          <w:szCs w:val="28"/>
          <w:highlight w:val="none"/>
        </w:rPr>
        <w:t>号《国务院关于修改和废止部分行政法规的决定》第</w:t>
      </w:r>
      <w:r>
        <w:rPr>
          <w:rFonts w:hint="eastAsia" w:ascii="仿宋_GB2312" w:hAnsi="仿宋_GB2312" w:eastAsia="仿宋_GB2312" w:cs="仿宋_GB2312"/>
          <w:sz w:val="28"/>
          <w:szCs w:val="28"/>
          <w:highlight w:val="none"/>
          <w:lang w:val="en-US" w:eastAsia="zh-CN"/>
        </w:rPr>
        <w:t>二</w:t>
      </w:r>
      <w:r>
        <w:rPr>
          <w:rFonts w:hint="eastAsia" w:ascii="仿宋_GB2312" w:hAnsi="仿宋_GB2312" w:eastAsia="仿宋_GB2312" w:cs="仿宋_GB2312"/>
          <w:sz w:val="28"/>
          <w:szCs w:val="28"/>
          <w:highlight w:val="none"/>
        </w:rPr>
        <w:t>次修订）；</w:t>
      </w:r>
    </w:p>
    <w:p w14:paraId="39D10E3E">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13</w:t>
      </w:r>
      <w:r>
        <w:rPr>
          <w:rFonts w:hint="eastAsia" w:ascii="仿宋_GB2312" w:hAnsi="仿宋_GB2312" w:eastAsia="仿宋_GB2312" w:cs="仿宋_GB2312"/>
          <w:sz w:val="28"/>
          <w:szCs w:val="28"/>
          <w:highlight w:val="none"/>
        </w:rPr>
        <w:t>、《国务院关于深化改革严格土地管理的决定》（国发〔2004〕28号，2004年10月21日）；</w:t>
      </w:r>
    </w:p>
    <w:p w14:paraId="0FF0BD31">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14</w:t>
      </w:r>
      <w:r>
        <w:rPr>
          <w:rFonts w:hint="eastAsia" w:ascii="仿宋_GB2312" w:hAnsi="仿宋_GB2312" w:eastAsia="仿宋_GB2312" w:cs="仿宋_GB2312"/>
          <w:sz w:val="28"/>
          <w:szCs w:val="28"/>
          <w:highlight w:val="none"/>
        </w:rPr>
        <w:t>、《国务院关于加强土地调控有关问题的通知》（国发〔2006〕31号，2006年8月31日）；</w:t>
      </w:r>
    </w:p>
    <w:p w14:paraId="27E120A0">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15</w:t>
      </w:r>
      <w:r>
        <w:rPr>
          <w:rFonts w:hint="eastAsia" w:ascii="仿宋_GB2312" w:hAnsi="仿宋_GB2312" w:eastAsia="仿宋_GB2312" w:cs="仿宋_GB2312"/>
          <w:sz w:val="28"/>
          <w:szCs w:val="28"/>
          <w:highlight w:val="none"/>
        </w:rPr>
        <w:t>、《国务院办公厅关于完善建设用地使用权转让、出租、抵押二级市场的指导意见》（国办发〔2019〕34号，2019年07月19日）；</w:t>
      </w:r>
    </w:p>
    <w:p w14:paraId="79ADCF5D">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16</w:t>
      </w:r>
      <w:r>
        <w:rPr>
          <w:rFonts w:hint="eastAsia" w:ascii="仿宋_GB2312" w:hAnsi="仿宋_GB2312" w:eastAsia="仿宋_GB2312" w:cs="仿宋_GB2312"/>
          <w:sz w:val="28"/>
          <w:szCs w:val="28"/>
          <w:highlight w:val="none"/>
        </w:rPr>
        <w:t>、《协议出让国有土地使用权规定》（国土资源部令第21号，2003年8月1号）；</w:t>
      </w:r>
    </w:p>
    <w:p w14:paraId="198CA1E6">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17</w:t>
      </w:r>
      <w:r>
        <w:rPr>
          <w:rFonts w:hint="eastAsia" w:ascii="仿宋_GB2312" w:hAnsi="仿宋_GB2312" w:eastAsia="仿宋_GB2312" w:cs="仿宋_GB2312"/>
          <w:sz w:val="28"/>
          <w:szCs w:val="28"/>
          <w:highlight w:val="none"/>
        </w:rPr>
        <w:t>、《协议出让国有土地使用权规范》（试行）（国土资发〔2006〕114号，2006年5月31号）；</w:t>
      </w:r>
    </w:p>
    <w:p w14:paraId="32849A46">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18</w:t>
      </w:r>
      <w:r>
        <w:rPr>
          <w:rFonts w:hint="eastAsia" w:ascii="仿宋_GB2312" w:hAnsi="仿宋_GB2312" w:eastAsia="仿宋_GB2312" w:cs="仿宋_GB2312"/>
          <w:sz w:val="28"/>
          <w:szCs w:val="28"/>
          <w:highlight w:val="none"/>
        </w:rPr>
        <w:t>、《国土资源部关于进一步加强城市地价动态监测工作的通知》（国土资发[2008]51号，2008年3月11日）；</w:t>
      </w:r>
    </w:p>
    <w:p w14:paraId="2B274B24">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19</w:t>
      </w:r>
      <w:r>
        <w:rPr>
          <w:rFonts w:hint="eastAsia" w:ascii="仿宋_GB2312" w:hAnsi="仿宋_GB2312" w:eastAsia="仿宋_GB2312" w:cs="仿宋_GB2312"/>
          <w:sz w:val="28"/>
          <w:szCs w:val="28"/>
          <w:highlight w:val="none"/>
        </w:rPr>
        <w:t>、《国土资源部关于坚持和完善土地招标拍卖挂牌出让制度的意见》（国土资发〔2011〕63号，2011年5月13日）；</w:t>
      </w:r>
    </w:p>
    <w:p w14:paraId="6CE937C8">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20</w:t>
      </w:r>
      <w:r>
        <w:rPr>
          <w:rFonts w:hint="eastAsia" w:ascii="仿宋_GB2312" w:hAnsi="仿宋_GB2312" w:eastAsia="仿宋_GB2312" w:cs="仿宋_GB2312"/>
          <w:sz w:val="28"/>
          <w:szCs w:val="28"/>
          <w:highlight w:val="none"/>
        </w:rPr>
        <w:t>、《国土资源部办公厅关于实施电子化备案完善土地估价报告备案制度的通知》（国土资厅发[2012]35号，2012年6月14日）；</w:t>
      </w:r>
    </w:p>
    <w:p w14:paraId="10C7CF5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21</w:t>
      </w:r>
      <w:r>
        <w:rPr>
          <w:rFonts w:hint="eastAsia" w:ascii="仿宋_GB2312" w:hAnsi="仿宋_GB2312" w:eastAsia="仿宋_GB2312" w:cs="仿宋_GB2312"/>
          <w:sz w:val="28"/>
          <w:szCs w:val="28"/>
          <w:highlight w:val="none"/>
        </w:rPr>
        <w:t>、《节约集约利用土地规定》（2014年5月22日国土资源部第61号令公布，根据2019年7月16日自然资源部第2次部务会议《自然资源部第一批废止和修改的部门规章的决定》修正）；</w:t>
      </w:r>
    </w:p>
    <w:p w14:paraId="3DC052C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22</w:t>
      </w:r>
      <w:r>
        <w:rPr>
          <w:rFonts w:hint="eastAsia" w:ascii="仿宋_GB2312" w:hAnsi="仿宋_GB2312" w:eastAsia="仿宋_GB2312" w:cs="仿宋_GB2312"/>
          <w:sz w:val="28"/>
          <w:szCs w:val="28"/>
          <w:highlight w:val="none"/>
        </w:rPr>
        <w:t>、《不动产登记暂行条例实施细则》（2016年1月1日国土资源部令第63号公布，根据20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w:t>
      </w:r>
      <w:r>
        <w:rPr>
          <w:rFonts w:hint="eastAsia" w:ascii="仿宋_GB2312" w:hAnsi="仿宋_GB2312" w:eastAsia="仿宋_GB2312" w:cs="仿宋_GB2312"/>
          <w:sz w:val="28"/>
          <w:szCs w:val="28"/>
          <w:highlight w:val="none"/>
          <w:lang w:val="en-US" w:eastAsia="zh-CN"/>
        </w:rPr>
        <w:t>5</w:t>
      </w:r>
      <w:r>
        <w:rPr>
          <w:rFonts w:hint="eastAsia" w:ascii="仿宋_GB2312" w:hAnsi="仿宋_GB2312" w:eastAsia="仿宋_GB2312" w:cs="仿宋_GB2312"/>
          <w:sz w:val="28"/>
          <w:szCs w:val="28"/>
          <w:highlight w:val="none"/>
        </w:rPr>
        <w:t>月</w:t>
      </w:r>
      <w:r>
        <w:rPr>
          <w:rFonts w:hint="eastAsia" w:ascii="仿宋_GB2312" w:hAnsi="仿宋_GB2312" w:eastAsia="仿宋_GB2312" w:cs="仿宋_GB2312"/>
          <w:sz w:val="28"/>
          <w:szCs w:val="28"/>
          <w:highlight w:val="none"/>
          <w:lang w:val="en-US" w:eastAsia="zh-CN"/>
        </w:rPr>
        <w:t>9</w:t>
      </w:r>
      <w:r>
        <w:rPr>
          <w:rFonts w:hint="eastAsia" w:ascii="仿宋_GB2312" w:hAnsi="仿宋_GB2312" w:eastAsia="仿宋_GB2312" w:cs="仿宋_GB2312"/>
          <w:sz w:val="28"/>
          <w:szCs w:val="28"/>
          <w:highlight w:val="none"/>
        </w:rPr>
        <w:t>日自然资源部第2次部务会议《自然资源部关于第六批修改的部门规章的决定》修正）；</w:t>
      </w:r>
    </w:p>
    <w:p w14:paraId="7F6523B0">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kern w:val="0"/>
          <w:sz w:val="28"/>
          <w:szCs w:val="28"/>
          <w:highlight w:val="none"/>
        </w:rPr>
      </w:pPr>
      <w:r>
        <w:rPr>
          <w:rFonts w:hint="eastAsia" w:ascii="仿宋_GB2312" w:hAnsi="仿宋_GB2312" w:eastAsia="仿宋_GB2312" w:cs="仿宋_GB2312"/>
          <w:sz w:val="28"/>
          <w:szCs w:val="28"/>
          <w:highlight w:val="none"/>
          <w:lang w:val="en-US" w:eastAsia="zh-CN"/>
        </w:rPr>
        <w:t>23</w:t>
      </w:r>
      <w:r>
        <w:rPr>
          <w:rFonts w:hint="eastAsia" w:ascii="仿宋_GB2312" w:hAnsi="仿宋_GB2312" w:eastAsia="仿宋_GB2312" w:cs="仿宋_GB2312"/>
          <w:sz w:val="28"/>
          <w:szCs w:val="28"/>
          <w:highlight w:val="none"/>
        </w:rPr>
        <w:t>、《国土资源部关于贯彻实施&lt;中华人民共和国资产评估法&gt;的通知》（国土资发[2016]181号，2016年11月25日）；</w:t>
      </w:r>
    </w:p>
    <w:p w14:paraId="78890DAB">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24</w:t>
      </w:r>
      <w:r>
        <w:rPr>
          <w:rFonts w:hint="eastAsia" w:ascii="仿宋_GB2312" w:hAnsi="仿宋_GB2312" w:eastAsia="仿宋_GB2312" w:cs="仿宋_GB2312"/>
          <w:color w:val="000000"/>
          <w:sz w:val="28"/>
          <w:szCs w:val="28"/>
          <w:highlight w:val="none"/>
        </w:rPr>
        <w:t>、《国土资源部 国家发展和改革委员会 财政部 住房和城乡建设部 农业部 中国人民银行 国家林业局 中国银行业监督管理委员会关于扩大国有土地有偿使用范围的意见》（国土资规[2016]20号，2016年12月31日）；</w:t>
      </w:r>
    </w:p>
    <w:p w14:paraId="1C0DD353">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25</w:t>
      </w:r>
      <w:r>
        <w:rPr>
          <w:rFonts w:hint="eastAsia" w:ascii="仿宋_GB2312" w:hAnsi="仿宋_GB2312" w:eastAsia="仿宋_GB2312" w:cs="仿宋_GB2312"/>
          <w:color w:val="000000"/>
          <w:sz w:val="28"/>
          <w:szCs w:val="28"/>
          <w:highlight w:val="none"/>
        </w:rPr>
        <w:t>、《国土资源部办公厅关于发布&lt;国有建设用地使用权出让地价评估技术规范&gt;的通知》（国土资厅发[2018]4号，2018年4月9日）；</w:t>
      </w:r>
    </w:p>
    <w:p w14:paraId="3647C4C3">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26</w:t>
      </w:r>
      <w:r>
        <w:rPr>
          <w:rFonts w:hint="eastAsia" w:ascii="仿宋_GB2312" w:hAnsi="仿宋_GB2312" w:eastAsia="仿宋_GB2312" w:cs="仿宋_GB2312"/>
          <w:color w:val="000000"/>
          <w:sz w:val="28"/>
          <w:szCs w:val="28"/>
          <w:highlight w:val="none"/>
        </w:rPr>
        <w:t>、《自然资源部办公厅关于印发&lt;产业用地政策实施工作指引（2019年版）&gt;的通知》（自然资办发[2019]31号，2019年4月24日）；</w:t>
      </w:r>
    </w:p>
    <w:p w14:paraId="4E97D9B4">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27、</w:t>
      </w:r>
      <w:r>
        <w:rPr>
          <w:rFonts w:hint="eastAsia" w:ascii="仿宋_GB2312" w:hAnsi="仿宋_GB2312" w:eastAsia="仿宋_GB2312" w:cs="仿宋_GB2312"/>
          <w:color w:val="000000"/>
          <w:sz w:val="28"/>
          <w:szCs w:val="28"/>
          <w:highlight w:val="none"/>
        </w:rPr>
        <w:t>《自然资源部办公厅关于做好2021年度自然资源评价评估有关工作的通知》（自然资办发〔2021〕39号，2021年5月12日）；</w:t>
      </w:r>
    </w:p>
    <w:p w14:paraId="178A2E09">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28</w:t>
      </w:r>
      <w:r>
        <w:rPr>
          <w:rFonts w:hint="eastAsia" w:ascii="仿宋_GB2312" w:hAnsi="仿宋_GB2312" w:eastAsia="仿宋_GB2312" w:cs="仿宋_GB2312"/>
          <w:color w:val="000000"/>
          <w:sz w:val="28"/>
          <w:szCs w:val="28"/>
          <w:highlight w:val="none"/>
        </w:rPr>
        <w:t>、《自然资源部办公厅关于做好2022年度自然资源评价评估有工作的通知》（自然资办发〔2022〕13号，2022年4月13日）；</w:t>
      </w:r>
    </w:p>
    <w:p w14:paraId="0F2655ED">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29</w:t>
      </w:r>
      <w:r>
        <w:rPr>
          <w:rFonts w:hint="eastAsia" w:ascii="仿宋_GB2312" w:hAnsi="仿宋_GB2312" w:eastAsia="仿宋_GB2312" w:cs="仿宋_GB2312"/>
          <w:color w:val="000000"/>
          <w:sz w:val="28"/>
          <w:szCs w:val="28"/>
          <w:highlight w:val="none"/>
        </w:rPr>
        <w:t xml:space="preserve">、《自然资源部办公厅关于土地估价机构备案工作的通知》（自然资办发〔2022〕42号，2022年9月27日）； </w:t>
      </w:r>
    </w:p>
    <w:p w14:paraId="08A01AA4">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lang w:val="en-US" w:eastAsia="zh-CN"/>
        </w:rPr>
      </w:pPr>
      <w:r>
        <w:rPr>
          <w:rFonts w:hint="eastAsia" w:ascii="仿宋_GB2312" w:hAnsi="仿宋_GB2312" w:eastAsia="仿宋_GB2312" w:cs="仿宋_GB2312"/>
          <w:color w:val="000000"/>
          <w:sz w:val="28"/>
          <w:szCs w:val="28"/>
          <w:highlight w:val="none"/>
          <w:lang w:val="en-US" w:eastAsia="zh-CN"/>
        </w:rPr>
        <w:t>30、《自然资源部办公厅关于做好2024年住宅用地供应有关工作的通知》（自然资办函〔2024〕918号，2024年4月29日）；</w:t>
      </w:r>
    </w:p>
    <w:p w14:paraId="0F3F7599">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31</w:t>
      </w:r>
      <w:r>
        <w:rPr>
          <w:rFonts w:hint="eastAsia" w:ascii="仿宋_GB2312" w:hAnsi="仿宋_GB2312" w:eastAsia="仿宋_GB2312" w:cs="仿宋_GB2312"/>
          <w:bCs/>
          <w:iCs/>
          <w:sz w:val="28"/>
          <w:szCs w:val="28"/>
          <w:highlight w:val="none"/>
        </w:rPr>
        <w:t>、《关于全面推开营业税改征增值税试点的通知》（财税〔2016〕36号，2016年3月23日）；</w:t>
      </w:r>
    </w:p>
    <w:p w14:paraId="7577FDE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32</w:t>
      </w:r>
      <w:r>
        <w:rPr>
          <w:rFonts w:hint="eastAsia" w:ascii="仿宋_GB2312" w:hAnsi="仿宋_GB2312" w:eastAsia="仿宋_GB2312" w:cs="仿宋_GB2312"/>
          <w:bCs/>
          <w:iCs/>
          <w:sz w:val="28"/>
          <w:szCs w:val="28"/>
          <w:highlight w:val="none"/>
        </w:rPr>
        <w:t>、《关于全面推开营业税改征增值税试点有关税收征收管理事项的公告》（国家税务总局公告2016年第23号，2016年4月19日）；</w:t>
      </w:r>
    </w:p>
    <w:p w14:paraId="2B5FF943">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33</w:t>
      </w:r>
      <w:r>
        <w:rPr>
          <w:rFonts w:hint="eastAsia" w:ascii="仿宋_GB2312" w:hAnsi="仿宋_GB2312" w:eastAsia="仿宋_GB2312" w:cs="仿宋_GB2312"/>
          <w:bCs/>
          <w:iCs/>
          <w:sz w:val="28"/>
          <w:szCs w:val="28"/>
          <w:highlight w:val="none"/>
        </w:rPr>
        <w:t>、《关于营改增后契税、房产税、土地增值税、个人所得税计税依据问题的通知》（财税[2016]43号，2016年4月25日）；</w:t>
      </w:r>
    </w:p>
    <w:p w14:paraId="3EA704D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34</w:t>
      </w:r>
      <w:r>
        <w:rPr>
          <w:rFonts w:hint="eastAsia" w:ascii="仿宋_GB2312" w:hAnsi="仿宋_GB2312" w:eastAsia="仿宋_GB2312" w:cs="仿宋_GB2312"/>
          <w:bCs/>
          <w:iCs/>
          <w:sz w:val="28"/>
          <w:szCs w:val="28"/>
          <w:highlight w:val="none"/>
        </w:rPr>
        <w:t>、《财政部税务总局关于调整增值税税率的通知》[财税（2018）32号，2018年5月1日]；</w:t>
      </w:r>
    </w:p>
    <w:p w14:paraId="6A710176">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35</w:t>
      </w:r>
      <w:r>
        <w:rPr>
          <w:rFonts w:hint="eastAsia" w:ascii="仿宋_GB2312" w:hAnsi="仿宋_GB2312" w:eastAsia="仿宋_GB2312" w:cs="仿宋_GB2312"/>
          <w:bCs/>
          <w:iCs/>
          <w:sz w:val="28"/>
          <w:szCs w:val="28"/>
          <w:highlight w:val="none"/>
        </w:rPr>
        <w:t>、《财政部税务总局 海关总署关于深化增值税改革有关政策的公告》（财政部 税务总局 海关总署公告2019年第39号，2019年3月20日）</w:t>
      </w:r>
      <w:r>
        <w:rPr>
          <w:rFonts w:hint="eastAsia" w:ascii="仿宋_GB2312" w:hAnsi="仿宋_GB2312" w:eastAsia="仿宋_GB2312" w:cs="仿宋_GB2312"/>
          <w:bCs/>
          <w:iCs/>
          <w:sz w:val="28"/>
          <w:szCs w:val="28"/>
          <w:highlight w:val="none"/>
          <w:lang w:eastAsia="zh-CN"/>
        </w:rPr>
        <w:t>。</w:t>
      </w:r>
    </w:p>
    <w:p w14:paraId="34B35800">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36、</w:t>
      </w:r>
      <w:r>
        <w:rPr>
          <w:rFonts w:hint="eastAsia" w:ascii="仿宋_GB2312" w:hAnsi="仿宋_GB2312" w:eastAsia="仿宋_GB2312" w:cs="仿宋_GB2312"/>
          <w:bCs/>
          <w:iCs/>
          <w:sz w:val="28"/>
          <w:szCs w:val="28"/>
          <w:highlight w:val="none"/>
          <w:lang w:eastAsia="zh-CN"/>
        </w:rPr>
        <w:t>《</w:t>
      </w:r>
      <w:r>
        <w:rPr>
          <w:rFonts w:hint="eastAsia" w:ascii="仿宋_GB2312" w:hAnsi="仿宋_GB2312" w:eastAsia="仿宋_GB2312" w:cs="仿宋_GB2312"/>
          <w:bCs/>
          <w:iCs/>
          <w:sz w:val="28"/>
          <w:szCs w:val="28"/>
          <w:highlight w:val="none"/>
        </w:rPr>
        <w:t>财政部税务总局关于进一步支持小微企业和个体工商户发展有关税费政策的公告</w:t>
      </w:r>
      <w:r>
        <w:rPr>
          <w:rFonts w:hint="eastAsia" w:ascii="仿宋_GB2312" w:hAnsi="仿宋_GB2312" w:eastAsia="仿宋_GB2312" w:cs="仿宋_GB2312"/>
          <w:bCs/>
          <w:iCs/>
          <w:sz w:val="28"/>
          <w:szCs w:val="28"/>
          <w:highlight w:val="none"/>
          <w:lang w:eastAsia="zh-CN"/>
        </w:rPr>
        <w:t>》（财政部 税务总局公告2023年第12号，</w:t>
      </w:r>
      <w:r>
        <w:rPr>
          <w:rFonts w:hint="eastAsia" w:ascii="仿宋_GB2312" w:hAnsi="仿宋_GB2312" w:eastAsia="仿宋_GB2312" w:cs="仿宋_GB2312"/>
          <w:bCs/>
          <w:iCs/>
          <w:sz w:val="28"/>
          <w:szCs w:val="28"/>
          <w:highlight w:val="none"/>
          <w:lang w:val="en-US" w:eastAsia="zh-CN"/>
        </w:rPr>
        <w:t>2023年8月2日</w:t>
      </w:r>
      <w:r>
        <w:rPr>
          <w:rFonts w:hint="eastAsia" w:ascii="仿宋_GB2312" w:hAnsi="仿宋_GB2312" w:eastAsia="仿宋_GB2312" w:cs="仿宋_GB2312"/>
          <w:bCs/>
          <w:iCs/>
          <w:sz w:val="28"/>
          <w:szCs w:val="28"/>
          <w:highlight w:val="none"/>
          <w:lang w:eastAsia="zh-CN"/>
        </w:rPr>
        <w:t>）；</w:t>
      </w:r>
    </w:p>
    <w:p w14:paraId="796B35D0">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37、</w:t>
      </w:r>
      <w:r>
        <w:rPr>
          <w:rFonts w:hint="eastAsia" w:ascii="仿宋_GB2312" w:hAnsi="仿宋_GB2312" w:eastAsia="仿宋_GB2312" w:cs="仿宋_GB2312"/>
          <w:bCs/>
          <w:iCs/>
          <w:sz w:val="28"/>
          <w:szCs w:val="28"/>
          <w:highlight w:val="none"/>
          <w:lang w:eastAsia="zh-CN"/>
        </w:rPr>
        <w:t>《中华人民共和国增值税法》（2024年12月25日第十四届全国人民代表大会常务委员会第十三次会议通过，</w:t>
      </w:r>
      <w:r>
        <w:rPr>
          <w:rFonts w:hint="eastAsia" w:ascii="仿宋_GB2312" w:hAnsi="仿宋_GB2312" w:eastAsia="仿宋_GB2312" w:cs="仿宋_GB2312"/>
          <w:bCs/>
          <w:iCs/>
          <w:sz w:val="28"/>
          <w:szCs w:val="28"/>
          <w:highlight w:val="none"/>
        </w:rPr>
        <w:t>2024年12月25日</w:t>
      </w:r>
      <w:r>
        <w:rPr>
          <w:rFonts w:hint="eastAsia" w:ascii="仿宋_GB2312" w:hAnsi="仿宋_GB2312" w:eastAsia="仿宋_GB2312" w:cs="仿宋_GB2312"/>
          <w:bCs/>
          <w:iCs/>
          <w:sz w:val="28"/>
          <w:szCs w:val="28"/>
          <w:highlight w:val="none"/>
          <w:lang w:eastAsia="zh-CN"/>
        </w:rPr>
        <w:t>）；</w:t>
      </w:r>
    </w:p>
    <w:p w14:paraId="458E9CC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38、</w:t>
      </w:r>
      <w:r>
        <w:rPr>
          <w:rFonts w:hint="eastAsia" w:ascii="仿宋_GB2312" w:hAnsi="仿宋_GB2312" w:eastAsia="仿宋_GB2312" w:cs="仿宋_GB2312"/>
          <w:bCs/>
          <w:iCs/>
          <w:sz w:val="28"/>
          <w:szCs w:val="28"/>
          <w:highlight w:val="none"/>
          <w:lang w:eastAsia="zh-CN"/>
        </w:rPr>
        <w:t>《财政部税务总局关于增值税法施行后增值税优惠政策衔接事项的公告》（财政部 税务总局公告2026年第10号，</w:t>
      </w:r>
      <w:r>
        <w:rPr>
          <w:rFonts w:hint="eastAsia" w:ascii="仿宋_GB2312" w:hAnsi="仿宋_GB2312" w:eastAsia="仿宋_GB2312" w:cs="仿宋_GB2312"/>
          <w:bCs/>
          <w:iCs/>
          <w:sz w:val="28"/>
          <w:szCs w:val="28"/>
          <w:highlight w:val="none"/>
          <w:lang w:val="en-US" w:eastAsia="zh-CN"/>
        </w:rPr>
        <w:t>2026年1月30日</w:t>
      </w:r>
      <w:r>
        <w:rPr>
          <w:rFonts w:hint="eastAsia" w:ascii="仿宋_GB2312" w:hAnsi="仿宋_GB2312" w:eastAsia="仿宋_GB2312" w:cs="仿宋_GB2312"/>
          <w:bCs/>
          <w:iCs/>
          <w:sz w:val="28"/>
          <w:szCs w:val="28"/>
          <w:highlight w:val="none"/>
          <w:lang w:eastAsia="zh-CN"/>
        </w:rPr>
        <w:t>）；</w:t>
      </w:r>
    </w:p>
    <w:p w14:paraId="1B898F44">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（二）地方有关部门颁布的法规及相关文件</w:t>
      </w:r>
    </w:p>
    <w:p w14:paraId="6D095C83">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1、《湖南省实施&lt;中华人民共和国土地管理法&gt;办法》（2022年1月19日湖南省第十三届人民代表大会第五次会议通过）；</w:t>
      </w:r>
    </w:p>
    <w:p w14:paraId="503F02E2">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2、《湖南省实施&lt;中华人民共和国城乡规划法&gt;办法》（2015年12月4日湖南省第十二届人民代表大会常务委员会第十九次会议通过，自2016年5月1日起施行）；</w:t>
      </w:r>
    </w:p>
    <w:p w14:paraId="2144F1C4">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3、《湖南省城镇划拨土地使用权管理条例》（1997年1月24日湖南省第八届人民代表大会常务委员会第二十六次会议通过  根据2002年6月3日湖南省第九届人民代表大会常务委员会第二十九次会议《关于修改&lt;湖南省城镇划拨土地使用权管理条例&gt;的决定》第一次修正  根据2020年7月30日湖南省第十三届人民代表大会常务委员会第十九次会议《关于修改&lt;湖南省燃气管理条例&gt;等十件地方性法规的决定》第二次修正）；</w:t>
      </w:r>
    </w:p>
    <w:p w14:paraId="22619DDD">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lang w:val="en-US" w:eastAsia="zh-CN"/>
        </w:rPr>
        <w:t>4</w:t>
      </w:r>
      <w:r>
        <w:rPr>
          <w:rFonts w:hint="eastAsia" w:ascii="仿宋_GB2312" w:hAnsi="仿宋_GB2312" w:eastAsia="仿宋_GB2312" w:cs="仿宋_GB2312"/>
          <w:sz w:val="28"/>
          <w:highlight w:val="none"/>
        </w:rPr>
        <w:t xml:space="preserve">、《湖南省人民代表大会常务委员会关于契税具体适用税率等事项的决定》（2021年5月27日湖南省第十三届人民代表大会常务委员会第二十四次会议通过）； </w:t>
      </w:r>
    </w:p>
    <w:p w14:paraId="59B93F8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5</w:t>
      </w:r>
      <w:r>
        <w:rPr>
          <w:rFonts w:hint="eastAsia" w:ascii="仿宋_GB2312" w:hAnsi="仿宋_GB2312" w:eastAsia="仿宋_GB2312" w:cs="仿宋_GB2312"/>
          <w:sz w:val="28"/>
          <w:szCs w:val="24"/>
          <w:highlight w:val="none"/>
        </w:rPr>
        <w:t>、《湖南省城镇国有土地使用权出让和转让实施办法》（1994年11月19日湖南省人民政府发布；根据1997年12月30日《湖南省人民政府关于修改〈湖南省城镇国有土地使用权出让和转让实施办法〉的决定》修正；根据2002年3月7日《湖南省人民政府关于修改2001年底以前发布的部分规章的决定》第二次修正）；</w:t>
      </w:r>
    </w:p>
    <w:p w14:paraId="6D6AABE5">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6</w:t>
      </w:r>
      <w:r>
        <w:rPr>
          <w:rFonts w:hint="eastAsia" w:ascii="仿宋_GB2312" w:hAnsi="仿宋_GB2312" w:eastAsia="仿宋_GB2312" w:cs="仿宋_GB2312"/>
          <w:sz w:val="28"/>
          <w:szCs w:val="24"/>
          <w:highlight w:val="none"/>
        </w:rPr>
        <w:t>、《湖南省土地市场管理办法》（2004年12月31日湖南省人民政府第48次常务会议审议通过，2005年1月20日湖南省人民政府令第195号公布，自2005年3月1日起施行；根据2011年1月30日《湖南省人民政府关于废止和修改部分省政府规章的决定》修正）；</w:t>
      </w:r>
    </w:p>
    <w:p w14:paraId="52DACBF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7</w:t>
      </w:r>
      <w:r>
        <w:rPr>
          <w:rFonts w:hint="eastAsia" w:ascii="仿宋_GB2312" w:hAnsi="仿宋_GB2312" w:eastAsia="仿宋_GB2312" w:cs="仿宋_GB2312"/>
          <w:sz w:val="28"/>
          <w:szCs w:val="24"/>
          <w:highlight w:val="none"/>
        </w:rPr>
        <w:t>、《湖南省人民政府关于深化改革严格土地管理的意见》（湘政发[2005]4号，2005年2月19日）；</w:t>
      </w:r>
    </w:p>
    <w:p w14:paraId="6B680C12">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8</w:t>
      </w:r>
      <w:r>
        <w:rPr>
          <w:rFonts w:hint="eastAsia" w:ascii="仿宋_GB2312" w:hAnsi="仿宋_GB2312" w:eastAsia="仿宋_GB2312" w:cs="仿宋_GB2312"/>
          <w:sz w:val="28"/>
          <w:szCs w:val="24"/>
          <w:highlight w:val="none"/>
        </w:rPr>
        <w:t>、《湖南省教育费附加和地方教育附加征收管理办法》（湖南省人民政府令第218号，2007年12月31日）；</w:t>
      </w:r>
    </w:p>
    <w:p w14:paraId="057F5538">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9</w:t>
      </w:r>
      <w:r>
        <w:rPr>
          <w:rFonts w:hint="eastAsia" w:ascii="仿宋_GB2312" w:hAnsi="仿宋_GB2312" w:eastAsia="仿宋_GB2312" w:cs="仿宋_GB2312"/>
          <w:sz w:val="28"/>
          <w:szCs w:val="28"/>
          <w:highlight w:val="none"/>
        </w:rPr>
        <w:t>、《湖南省人民政府办公厅关于印发&lt;湖南省国有土地使用权出让收支管理办法&gt;的通知》（湘政办发[2015]1号，2015年3月12日）；</w:t>
      </w:r>
    </w:p>
    <w:p w14:paraId="2FD7B61C">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 xml:space="preserve">、《关于转发&lt;国土资源部 国家发展和改革委员会 财政部 住房和城乡建设部 农业部 中国人民银行 国家林业局 中国银行业监督管理委员会关于扩大国有土地有偿使用范围的意见&gt;的通知》（湘国土资发[2018]2号，2018年1月15日）； </w:t>
      </w:r>
    </w:p>
    <w:p w14:paraId="3D5884AD">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lang w:val="en-US" w:eastAsia="zh-CN"/>
        </w:rPr>
        <w:t>11</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szCs w:val="28"/>
          <w:highlight w:val="none"/>
        </w:rPr>
        <w:t>《湖南省财政厅 国家税务总局湖南省税务局关于明确地方教育附加征收标准的通知》（湘财综〔2018〕35号，2018年11月5日）</w:t>
      </w:r>
      <w:r>
        <w:rPr>
          <w:rFonts w:hint="eastAsia" w:ascii="仿宋_GB2312" w:hAnsi="仿宋_GB2312" w:eastAsia="仿宋_GB2312" w:cs="仿宋_GB2312"/>
          <w:sz w:val="28"/>
          <w:highlight w:val="none"/>
        </w:rPr>
        <w:t>；</w:t>
      </w:r>
    </w:p>
    <w:p w14:paraId="6EBE8D32">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12</w:t>
      </w:r>
      <w:r>
        <w:rPr>
          <w:rFonts w:hint="eastAsia" w:ascii="仿宋_GB2312" w:hAnsi="仿宋_GB2312" w:eastAsia="仿宋_GB2312" w:cs="仿宋_GB2312"/>
          <w:sz w:val="28"/>
          <w:szCs w:val="28"/>
          <w:highlight w:val="none"/>
        </w:rPr>
        <w:t xml:space="preserve">、《湖南省自然资源厅关于进一步规范土地出让管理工作的通知》（湘自然资发〔2019〕33号，2019年11月28日）； </w:t>
      </w:r>
    </w:p>
    <w:p w14:paraId="5F3E7AA0">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13</w:t>
      </w:r>
      <w:r>
        <w:rPr>
          <w:rFonts w:hint="eastAsia" w:ascii="仿宋_GB2312" w:hAnsi="仿宋_GB2312" w:eastAsia="仿宋_GB2312" w:cs="仿宋_GB2312"/>
          <w:sz w:val="28"/>
          <w:szCs w:val="28"/>
          <w:highlight w:val="none"/>
        </w:rPr>
        <w:t>、《湖南省自然资源厅办公室关于转发&lt;自然资源部办公厅关于做好2022年度自然资源评价评估有工作的通知&gt;的通知》（湘自资办发[2022]40号，2022年5月15日）；</w:t>
      </w:r>
    </w:p>
    <w:p w14:paraId="6CBE17D5">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val="en-US" w:eastAsia="zh-CN"/>
        </w:rPr>
        <w:t>14</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sz w:val="28"/>
          <w:szCs w:val="28"/>
          <w:highlight w:val="none"/>
          <w:lang w:eastAsia="zh-CN"/>
        </w:rPr>
        <w:t>《湖南省发展和改革委员会关于我省公共资源交易服务收费的通知》（湘发改价费规〔2024〕292号，</w:t>
      </w:r>
      <w:r>
        <w:rPr>
          <w:rFonts w:hint="eastAsia" w:ascii="仿宋_GB2312" w:hAnsi="仿宋_GB2312" w:eastAsia="仿宋_GB2312" w:cs="仿宋_GB2312"/>
          <w:sz w:val="28"/>
          <w:szCs w:val="28"/>
          <w:highlight w:val="none"/>
          <w:lang w:val="en-US" w:eastAsia="zh-CN"/>
        </w:rPr>
        <w:t>2024年5月11日</w:t>
      </w:r>
      <w:r>
        <w:rPr>
          <w:rFonts w:hint="eastAsia" w:ascii="仿宋_GB2312" w:hAnsi="仿宋_GB2312" w:eastAsia="仿宋_GB2312" w:cs="仿宋_GB2312"/>
          <w:sz w:val="28"/>
          <w:szCs w:val="28"/>
          <w:highlight w:val="none"/>
          <w:lang w:eastAsia="zh-CN"/>
        </w:rPr>
        <w:t>）；</w:t>
      </w:r>
    </w:p>
    <w:p w14:paraId="4219F787">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color w:val="000000"/>
          <w:sz w:val="28"/>
          <w:szCs w:val="28"/>
          <w:highlight w:val="none"/>
        </w:rPr>
      </w:pPr>
      <w:r>
        <w:rPr>
          <w:rFonts w:hint="eastAsia" w:ascii="仿宋_GB2312" w:hAnsi="仿宋_GB2312" w:eastAsia="仿宋_GB2312" w:cs="仿宋_GB2312"/>
          <w:sz w:val="28"/>
          <w:szCs w:val="28"/>
          <w:highlight w:val="none"/>
          <w:lang w:val="en-US" w:eastAsia="zh-CN"/>
        </w:rPr>
        <w:t>15</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bCs/>
          <w:color w:val="auto"/>
          <w:kern w:val="2"/>
          <w:sz w:val="28"/>
          <w:szCs w:val="28"/>
          <w:highlight w:val="none"/>
          <w:lang w:val="en-GB" w:eastAsia="zh-CN" w:bidi="ar-SA"/>
        </w:rPr>
        <w:t>《通道侗族自治县人民政府关于更新城镇基准地价标准和等级的通知》（通政发〔202</w:t>
      </w:r>
      <w:r>
        <w:rPr>
          <w:rFonts w:hint="eastAsia" w:ascii="仿宋_GB2312" w:hAnsi="仿宋_GB2312" w:eastAsia="仿宋_GB2312" w:cs="仿宋_GB2312"/>
          <w:bCs/>
          <w:color w:val="auto"/>
          <w:kern w:val="2"/>
          <w:sz w:val="28"/>
          <w:szCs w:val="28"/>
          <w:highlight w:val="none"/>
          <w:lang w:val="en-US" w:eastAsia="zh-CN" w:bidi="ar-SA"/>
        </w:rPr>
        <w:t>6</w:t>
      </w:r>
      <w:r>
        <w:rPr>
          <w:rFonts w:hint="eastAsia" w:ascii="仿宋_GB2312" w:hAnsi="仿宋_GB2312" w:eastAsia="仿宋_GB2312" w:cs="仿宋_GB2312"/>
          <w:bCs/>
          <w:color w:val="auto"/>
          <w:kern w:val="2"/>
          <w:sz w:val="28"/>
          <w:szCs w:val="28"/>
          <w:highlight w:val="none"/>
          <w:lang w:val="en-GB" w:eastAsia="zh-CN" w:bidi="ar-SA"/>
        </w:rPr>
        <w:t>〕1号，20</w:t>
      </w:r>
      <w:r>
        <w:rPr>
          <w:rFonts w:hint="eastAsia" w:ascii="仿宋_GB2312" w:hAnsi="仿宋_GB2312" w:eastAsia="仿宋_GB2312" w:cs="仿宋_GB2312"/>
          <w:bCs/>
          <w:color w:val="auto"/>
          <w:kern w:val="2"/>
          <w:sz w:val="28"/>
          <w:szCs w:val="28"/>
          <w:highlight w:val="none"/>
          <w:lang w:val="en-US" w:eastAsia="zh-CN" w:bidi="ar-SA"/>
        </w:rPr>
        <w:t>26</w:t>
      </w:r>
      <w:r>
        <w:rPr>
          <w:rFonts w:hint="eastAsia" w:ascii="仿宋_GB2312" w:hAnsi="仿宋_GB2312" w:eastAsia="仿宋_GB2312" w:cs="仿宋_GB2312"/>
          <w:bCs/>
          <w:color w:val="auto"/>
          <w:kern w:val="2"/>
          <w:sz w:val="28"/>
          <w:szCs w:val="28"/>
          <w:highlight w:val="none"/>
          <w:lang w:val="en-GB" w:eastAsia="zh-CN" w:bidi="ar-SA"/>
        </w:rPr>
        <w:t>年</w:t>
      </w:r>
      <w:r>
        <w:rPr>
          <w:rFonts w:hint="eastAsia" w:ascii="仿宋_GB2312" w:hAnsi="仿宋_GB2312" w:eastAsia="仿宋_GB2312" w:cs="仿宋_GB2312"/>
          <w:bCs/>
          <w:color w:val="auto"/>
          <w:kern w:val="2"/>
          <w:sz w:val="28"/>
          <w:szCs w:val="28"/>
          <w:highlight w:val="none"/>
          <w:lang w:val="en-US" w:eastAsia="zh-CN" w:bidi="ar-SA"/>
        </w:rPr>
        <w:t>1</w:t>
      </w:r>
      <w:r>
        <w:rPr>
          <w:rFonts w:hint="eastAsia" w:ascii="仿宋_GB2312" w:hAnsi="仿宋_GB2312" w:eastAsia="仿宋_GB2312" w:cs="仿宋_GB2312"/>
          <w:bCs/>
          <w:color w:val="auto"/>
          <w:kern w:val="2"/>
          <w:sz w:val="28"/>
          <w:szCs w:val="28"/>
          <w:highlight w:val="none"/>
          <w:lang w:val="en-GB" w:eastAsia="zh-CN" w:bidi="ar-SA"/>
        </w:rPr>
        <w:t>月</w:t>
      </w:r>
      <w:r>
        <w:rPr>
          <w:rFonts w:hint="eastAsia" w:ascii="仿宋_GB2312" w:hAnsi="仿宋_GB2312" w:eastAsia="仿宋_GB2312" w:cs="仿宋_GB2312"/>
          <w:bCs/>
          <w:color w:val="auto"/>
          <w:kern w:val="2"/>
          <w:sz w:val="28"/>
          <w:szCs w:val="28"/>
          <w:highlight w:val="none"/>
          <w:lang w:val="en-US" w:eastAsia="zh-CN" w:bidi="ar-SA"/>
        </w:rPr>
        <w:t>6</w:t>
      </w:r>
      <w:r>
        <w:rPr>
          <w:rFonts w:hint="eastAsia" w:ascii="仿宋_GB2312" w:hAnsi="仿宋_GB2312" w:eastAsia="仿宋_GB2312" w:cs="仿宋_GB2312"/>
          <w:bCs/>
          <w:color w:val="auto"/>
          <w:kern w:val="2"/>
          <w:sz w:val="28"/>
          <w:szCs w:val="28"/>
          <w:highlight w:val="none"/>
          <w:lang w:val="en-GB" w:eastAsia="zh-CN" w:bidi="ar-SA"/>
        </w:rPr>
        <w:t>日）</w:t>
      </w:r>
      <w:r>
        <w:rPr>
          <w:rFonts w:hint="eastAsia" w:ascii="仿宋_GB2312" w:hAnsi="仿宋_GB2312" w:eastAsia="仿宋_GB2312" w:cs="仿宋_GB2312"/>
          <w:bCs/>
          <w:color w:val="000000"/>
          <w:sz w:val="28"/>
          <w:szCs w:val="28"/>
          <w:highlight w:val="none"/>
        </w:rPr>
        <w:t>。</w:t>
      </w:r>
    </w:p>
    <w:p w14:paraId="118A71F1">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（三）有关技术标准</w:t>
      </w:r>
    </w:p>
    <w:p w14:paraId="746EF8F2">
      <w:pPr>
        <w:keepNext w:val="0"/>
        <w:keepLines w:val="0"/>
        <w:pageBreakBefore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bookmarkStart w:id="17" w:name="_Hlk513795195"/>
      <w:r>
        <w:rPr>
          <w:rFonts w:hint="eastAsia" w:ascii="仿宋_GB2312" w:hAnsi="仿宋_GB2312" w:eastAsia="仿宋_GB2312" w:cs="仿宋_GB2312"/>
          <w:bCs/>
          <w:iCs/>
          <w:sz w:val="28"/>
          <w:szCs w:val="28"/>
          <w:highlight w:val="none"/>
        </w:rPr>
        <w:t>1、中华人民共和国国家标准《城镇土地估价规程》（GB/T 18508-2014，2014年7月24日）</w:t>
      </w:r>
      <w:r>
        <w:rPr>
          <w:rFonts w:hint="eastAsia" w:ascii="仿宋_GB2312" w:hAnsi="仿宋_GB2312" w:eastAsia="仿宋_GB2312" w:cs="仿宋_GB2312"/>
          <w:bCs/>
          <w:iCs/>
          <w:sz w:val="28"/>
          <w:szCs w:val="28"/>
          <w:highlight w:val="none"/>
          <w:lang w:eastAsia="zh-CN"/>
        </w:rPr>
        <w:t>；</w:t>
      </w:r>
    </w:p>
    <w:p w14:paraId="2ED7EBC9">
      <w:pPr>
        <w:keepNext w:val="0"/>
        <w:keepLines w:val="0"/>
        <w:pageBreakBefore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2、中华人民共和国国家标准《城镇土地分等定级规程》（GB/T 18507-2014，2014年7月24日）</w:t>
      </w:r>
      <w:r>
        <w:rPr>
          <w:rFonts w:hint="eastAsia" w:ascii="仿宋_GB2312" w:hAnsi="仿宋_GB2312" w:eastAsia="仿宋_GB2312" w:cs="仿宋_GB2312"/>
          <w:bCs/>
          <w:iCs/>
          <w:sz w:val="28"/>
          <w:szCs w:val="28"/>
          <w:highlight w:val="none"/>
          <w:lang w:eastAsia="zh-CN"/>
        </w:rPr>
        <w:t>；</w:t>
      </w:r>
    </w:p>
    <w:p w14:paraId="54269956">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3、中华人民共和国国家标准《土地利用现状分类》（GB/T 21010-2017，2017年11月1日）；</w:t>
      </w:r>
    </w:p>
    <w:p w14:paraId="35112933">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4、中华人民共和国国家标准《城市用地分类与规划建设用地标准》（GB50137-2011，2011年1月1日）</w:t>
      </w:r>
      <w:bookmarkEnd w:id="17"/>
      <w:r>
        <w:rPr>
          <w:rFonts w:hint="eastAsia" w:ascii="仿宋_GB2312" w:hAnsi="仿宋_GB2312" w:eastAsia="仿宋_GB2312" w:cs="仿宋_GB2312"/>
          <w:bCs/>
          <w:iCs/>
          <w:sz w:val="28"/>
          <w:szCs w:val="28"/>
          <w:highlight w:val="none"/>
        </w:rPr>
        <w:t>；</w:t>
      </w:r>
    </w:p>
    <w:p w14:paraId="1DFF7E51">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5、《自然资源部关于印发&lt;国土空间调查、规划、用途管制用地用海分类指南&gt;的通知》（自然资发〔2023〕234号）；</w:t>
      </w:r>
    </w:p>
    <w:p w14:paraId="29CA9639">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6、《自然资源分等定级通则》（TD/T1060-2021）；</w:t>
      </w:r>
    </w:p>
    <w:p w14:paraId="45AF65BC">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7、《自然资源价格评估通则》（TD/T1061-2021）</w:t>
      </w:r>
      <w:r>
        <w:rPr>
          <w:rFonts w:hint="eastAsia" w:ascii="仿宋_GB2312" w:hAnsi="仿宋_GB2312" w:eastAsia="仿宋_GB2312" w:cs="仿宋_GB2312"/>
          <w:bCs/>
          <w:iCs/>
          <w:sz w:val="28"/>
          <w:szCs w:val="28"/>
          <w:highlight w:val="none"/>
          <w:lang w:eastAsia="zh-CN"/>
        </w:rPr>
        <w:t>；</w:t>
      </w:r>
    </w:p>
    <w:p w14:paraId="01BEC891">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8、《土地估价参数调查测算指引》（T/CREVA 1101-2023）；</w:t>
      </w:r>
    </w:p>
    <w:p w14:paraId="0D4CBFF5">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9</w:t>
      </w:r>
      <w:r>
        <w:rPr>
          <w:rFonts w:hint="eastAsia" w:ascii="仿宋_GB2312" w:hAnsi="仿宋_GB2312" w:eastAsia="仿宋_GB2312" w:cs="仿宋_GB2312"/>
          <w:bCs/>
          <w:iCs/>
          <w:sz w:val="28"/>
          <w:szCs w:val="28"/>
          <w:highlight w:val="none"/>
        </w:rPr>
        <w:t>、《土地估价报告审查技术规范》（DB43T 1693-2019）</w:t>
      </w:r>
      <w:r>
        <w:rPr>
          <w:rFonts w:hint="eastAsia" w:ascii="仿宋_GB2312" w:hAnsi="仿宋_GB2312" w:eastAsia="仿宋_GB2312" w:cs="仿宋_GB2312"/>
          <w:bCs/>
          <w:iCs/>
          <w:sz w:val="28"/>
          <w:szCs w:val="28"/>
          <w:highlight w:val="none"/>
          <w:lang w:eastAsia="zh-CN"/>
        </w:rPr>
        <w:t>；</w:t>
      </w:r>
    </w:p>
    <w:p w14:paraId="5738F39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bCs/>
          <w:color w:val="000000"/>
          <w:sz w:val="28"/>
          <w:szCs w:val="28"/>
          <w:highlight w:val="none"/>
        </w:rPr>
        <w:t>《</w:t>
      </w:r>
      <w:r>
        <w:rPr>
          <w:rFonts w:hint="eastAsia" w:ascii="仿宋_GB2312" w:hAnsi="仿宋_GB2312" w:eastAsia="仿宋_GB2312" w:cs="仿宋_GB2312"/>
          <w:bCs/>
          <w:color w:val="000000"/>
          <w:sz w:val="28"/>
          <w:szCs w:val="28"/>
          <w:highlight w:val="none"/>
          <w:lang w:val="en-US" w:eastAsia="zh-CN"/>
        </w:rPr>
        <w:t>通道侗族自治县城镇基准地价</w:t>
      </w:r>
      <w:r>
        <w:rPr>
          <w:rFonts w:hint="eastAsia" w:ascii="仿宋_GB2312" w:hAnsi="仿宋_GB2312" w:eastAsia="仿宋_GB2312" w:cs="仿宋_GB2312"/>
          <w:bCs/>
          <w:color w:val="000000"/>
          <w:sz w:val="28"/>
          <w:szCs w:val="28"/>
          <w:highlight w:val="none"/>
        </w:rPr>
        <w:t>更新技术报告》（</w:t>
      </w:r>
      <w:r>
        <w:rPr>
          <w:rFonts w:hint="eastAsia" w:ascii="仿宋_GB2312" w:hAnsi="仿宋_GB2312" w:eastAsia="仿宋_GB2312" w:cs="仿宋_GB2312"/>
          <w:bCs/>
          <w:color w:val="000000"/>
          <w:sz w:val="28"/>
          <w:szCs w:val="28"/>
          <w:highlight w:val="none"/>
          <w:lang w:val="en-US" w:eastAsia="zh-CN"/>
        </w:rPr>
        <w:t>2025</w:t>
      </w:r>
      <w:r>
        <w:rPr>
          <w:rFonts w:hint="eastAsia" w:ascii="仿宋_GB2312" w:hAnsi="仿宋_GB2312" w:eastAsia="仿宋_GB2312" w:cs="仿宋_GB2312"/>
          <w:bCs/>
          <w:color w:val="000000"/>
          <w:sz w:val="28"/>
          <w:szCs w:val="28"/>
          <w:highlight w:val="none"/>
        </w:rPr>
        <w:t>年</w:t>
      </w:r>
      <w:r>
        <w:rPr>
          <w:rFonts w:hint="eastAsia" w:ascii="仿宋_GB2312" w:hAnsi="仿宋_GB2312" w:eastAsia="仿宋_GB2312" w:cs="仿宋_GB2312"/>
          <w:bCs/>
          <w:color w:val="000000"/>
          <w:sz w:val="28"/>
          <w:szCs w:val="28"/>
          <w:highlight w:val="none"/>
          <w:lang w:val="en-US" w:eastAsia="zh-CN"/>
        </w:rPr>
        <w:t>11</w:t>
      </w:r>
      <w:r>
        <w:rPr>
          <w:rFonts w:hint="eastAsia" w:ascii="仿宋_GB2312" w:hAnsi="仿宋_GB2312" w:eastAsia="仿宋_GB2312" w:cs="仿宋_GB2312"/>
          <w:bCs/>
          <w:color w:val="000000"/>
          <w:sz w:val="28"/>
          <w:szCs w:val="28"/>
          <w:highlight w:val="none"/>
        </w:rPr>
        <w:t>月）。</w:t>
      </w:r>
    </w:p>
    <w:p w14:paraId="4846593A">
      <w:pPr>
        <w:keepNext w:val="0"/>
        <w:keepLines w:val="0"/>
        <w:pageBreakBefore w:val="0"/>
        <w:widowControl w:val="0"/>
        <w:kinsoku/>
        <w:wordWrap/>
        <w:overflowPunct/>
        <w:topLinePunct w:val="0"/>
        <w:autoSpaceDE/>
        <w:autoSpaceDN/>
        <w:bidi w:val="0"/>
        <w:spacing w:line="480" w:lineRule="exact"/>
        <w:ind w:left="0" w:leftChars="0" w:right="0"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（四）其他资料</w:t>
      </w:r>
    </w:p>
    <w:p w14:paraId="31ADE0E4">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right="0" w:firstLine="560" w:firstLineChars="200"/>
        <w:textAlignment w:val="bottom"/>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1、委托方提供的有关资料</w:t>
      </w:r>
    </w:p>
    <w:p w14:paraId="69FA16BF">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（1）估价对象《土地资产评估委托书》；</w:t>
      </w:r>
    </w:p>
    <w:p w14:paraId="2B9CDFC4">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（2）估价对象《国有土地使用证》（通国用（2014）第000327号）；</w:t>
      </w:r>
    </w:p>
    <w:p w14:paraId="32C73893">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（3）估价对象《房屋所有权证》（通房权证双江字第201517109号）；</w:t>
      </w:r>
    </w:p>
    <w:p w14:paraId="6DB6E3B6">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（4）《通道侗族自治县自然资源局关于通道县政府大院内各建筑性质的认定》（2026年1月28日）；</w:t>
      </w:r>
    </w:p>
    <w:p w14:paraId="05D28F44">
      <w:pPr>
        <w:pStyle w:val="2"/>
        <w:rPr>
          <w:rFonts w:hint="eastAsia"/>
          <w:highlight w:val="none"/>
          <w:lang w:val="en-US" w:eastAsia="zh-CN"/>
        </w:rPr>
      </w:pPr>
      <w:r>
        <w:rPr>
          <w:rFonts w:hint="eastAsia" w:ascii="仿宋_GB2312" w:hAnsi="仿宋_GB2312" w:cs="仿宋_GB2312"/>
          <w:bCs/>
          <w:iCs/>
          <w:sz w:val="28"/>
          <w:szCs w:val="28"/>
          <w:highlight w:val="none"/>
          <w:lang w:val="en-US" w:eastAsia="zh-CN"/>
        </w:rPr>
        <w:t>（5）《通道县自然资源局行政许可申请受理决定书》（2026年1月22日）；</w:t>
      </w:r>
    </w:p>
    <w:p w14:paraId="7A0055E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（6）估价对象《土地分户分摊面积明细表》。</w:t>
      </w:r>
    </w:p>
    <w:p w14:paraId="124C7B5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color w:val="auto"/>
          <w:sz w:val="28"/>
          <w:highlight w:val="none"/>
        </w:rPr>
      </w:pPr>
      <w:r>
        <w:rPr>
          <w:rFonts w:hint="eastAsia" w:ascii="仿宋_GB2312" w:hAnsi="仿宋_GB2312" w:eastAsia="仿宋_GB2312" w:cs="仿宋_GB2312"/>
          <w:bCs/>
          <w:iCs/>
          <w:sz w:val="28"/>
          <w:szCs w:val="28"/>
          <w:highlight w:val="none"/>
          <w:lang w:val="en-US" w:eastAsia="zh-CN"/>
        </w:rPr>
        <w:t>2、估价人员现场勘察、调查、收集的相关资料</w:t>
      </w:r>
      <w:r>
        <w:rPr>
          <w:rFonts w:hint="eastAsia" w:ascii="仿宋_GB2312" w:hAnsi="仿宋_GB2312" w:eastAsia="仿宋_GB2312" w:cs="仿宋_GB2312"/>
          <w:color w:val="auto"/>
          <w:sz w:val="28"/>
          <w:highlight w:val="none"/>
        </w:rPr>
        <w:t>。</w:t>
      </w:r>
    </w:p>
    <w:p w14:paraId="4AB20231">
      <w:pPr>
        <w:keepNext w:val="0"/>
        <w:keepLines w:val="0"/>
        <w:pageBreakBefore w:val="0"/>
        <w:widowControl w:val="0"/>
        <w:kinsoku/>
        <w:wordWrap/>
        <w:overflowPunct/>
        <w:topLinePunct w:val="0"/>
        <w:bidi w:val="0"/>
        <w:snapToGrid w:val="0"/>
        <w:spacing w:line="480" w:lineRule="exact"/>
        <w:ind w:right="0" w:firstLine="560" w:firstLineChars="200"/>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（1）估价对象位置情况；</w:t>
      </w:r>
    </w:p>
    <w:p w14:paraId="4EE2CD82">
      <w:pPr>
        <w:keepNext w:val="0"/>
        <w:keepLines w:val="0"/>
        <w:pageBreakBefore w:val="0"/>
        <w:widowControl w:val="0"/>
        <w:kinsoku/>
        <w:wordWrap/>
        <w:overflowPunct/>
        <w:topLinePunct w:val="0"/>
        <w:bidi w:val="0"/>
        <w:snapToGrid w:val="0"/>
        <w:spacing w:line="480" w:lineRule="exact"/>
        <w:ind w:right="0" w:firstLine="560" w:firstLineChars="200"/>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（2）估价对象现状利用情况；</w:t>
      </w:r>
    </w:p>
    <w:p w14:paraId="5F8A386F">
      <w:pPr>
        <w:keepNext w:val="0"/>
        <w:keepLines w:val="0"/>
        <w:pageBreakBefore w:val="0"/>
        <w:widowControl w:val="0"/>
        <w:kinsoku/>
        <w:wordWrap/>
        <w:overflowPunct/>
        <w:topLinePunct w:val="0"/>
        <w:bidi w:val="0"/>
        <w:snapToGrid w:val="0"/>
        <w:spacing w:line="480" w:lineRule="exact"/>
        <w:ind w:right="0" w:firstLine="560" w:firstLineChars="200"/>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（3）宗地外基础设施调查情况；</w:t>
      </w:r>
    </w:p>
    <w:p w14:paraId="5935FF04">
      <w:pPr>
        <w:keepNext w:val="0"/>
        <w:keepLines w:val="0"/>
        <w:pageBreakBefore w:val="0"/>
        <w:widowControl w:val="0"/>
        <w:kinsoku/>
        <w:wordWrap/>
        <w:overflowPunct/>
        <w:topLinePunct w:val="0"/>
        <w:bidi w:val="0"/>
        <w:snapToGrid w:val="0"/>
        <w:spacing w:line="480" w:lineRule="exact"/>
        <w:ind w:right="0" w:firstLine="560" w:firstLineChars="200"/>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（4）宗地所在区域情况；</w:t>
      </w:r>
    </w:p>
    <w:p w14:paraId="3D6E8F3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color w:val="auto"/>
          <w:sz w:val="28"/>
          <w:szCs w:val="28"/>
          <w:highlight w:val="none"/>
        </w:rPr>
        <w:t>（5）估价人员现场调查收集的其它相关资料。</w:t>
      </w:r>
    </w:p>
    <w:p w14:paraId="614632D5">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二、</w:t>
      </w:r>
      <w:bookmarkEnd w:id="14"/>
      <w:bookmarkEnd w:id="15"/>
      <w:r>
        <w:rPr>
          <w:rFonts w:hint="eastAsia" w:ascii="仿宋_GB2312" w:hAnsi="仿宋_GB2312" w:eastAsia="仿宋_GB2312" w:cs="仿宋_GB2312"/>
          <w:b/>
          <w:bCs w:val="0"/>
          <w:color w:val="auto"/>
          <w:sz w:val="28"/>
          <w:szCs w:val="28"/>
          <w:highlight w:val="none"/>
          <w:lang w:val="en-US" w:eastAsia="zh-CN"/>
        </w:rPr>
        <w:t>土地估价</w:t>
      </w:r>
    </w:p>
    <w:p w14:paraId="45A1490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2"/>
        <w:rPr>
          <w:rFonts w:hint="eastAsia"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GB" w:eastAsia="zh-CN"/>
        </w:rPr>
        <w:t>（</w:t>
      </w:r>
      <w:r>
        <w:rPr>
          <w:rFonts w:hint="eastAsia" w:ascii="仿宋_GB2312" w:hAnsi="仿宋_GB2312" w:eastAsia="仿宋_GB2312" w:cs="仿宋_GB2312"/>
          <w:b w:val="0"/>
          <w:bCs/>
          <w:color w:val="auto"/>
          <w:sz w:val="28"/>
          <w:szCs w:val="28"/>
          <w:highlight w:val="none"/>
          <w:lang w:val="en-US" w:eastAsia="zh-CN"/>
        </w:rPr>
        <w:t>一</w:t>
      </w:r>
      <w:r>
        <w:rPr>
          <w:rFonts w:hint="eastAsia" w:ascii="仿宋_GB2312" w:hAnsi="仿宋_GB2312" w:eastAsia="仿宋_GB2312" w:cs="仿宋_GB2312"/>
          <w:b w:val="0"/>
          <w:bCs/>
          <w:color w:val="auto"/>
          <w:sz w:val="28"/>
          <w:szCs w:val="28"/>
          <w:highlight w:val="none"/>
          <w:lang w:val="en-GB" w:eastAsia="zh-CN"/>
        </w:rPr>
        <w:t>）</w:t>
      </w:r>
      <w:r>
        <w:rPr>
          <w:rFonts w:hint="eastAsia" w:ascii="仿宋_GB2312" w:hAnsi="仿宋_GB2312" w:eastAsia="仿宋_GB2312" w:cs="仿宋_GB2312"/>
          <w:b w:val="0"/>
          <w:bCs/>
          <w:color w:val="auto"/>
          <w:sz w:val="28"/>
          <w:szCs w:val="28"/>
          <w:highlight w:val="none"/>
          <w:lang w:val="en-US" w:eastAsia="zh-CN"/>
        </w:rPr>
        <w:t>估价原则</w:t>
      </w:r>
    </w:p>
    <w:p w14:paraId="57E795E8">
      <w:pPr>
        <w:spacing w:line="480" w:lineRule="exact"/>
        <w:ind w:right="62" w:firstLine="560" w:firstLineChars="200"/>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rPr>
        <w:t>地价是由其效用、相对稀缺性及有效需求三者相互作用、相互影响所形成的。而这些因素又经常处于变动之中，土地估价必须要对此做细致分析并正确判断其变动趋向，了解土地价格组成的各项因素及各因素之间的相互作用，才能做出正确的估价。我们在本次估价过程中，根据《城镇土地估价规程》及估价对象的具体情况和对应的估价方法，主要遵循以下原则：</w:t>
      </w:r>
    </w:p>
    <w:p w14:paraId="46026353">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1、合法性原则</w:t>
      </w:r>
    </w:p>
    <w:p w14:paraId="5653676A">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土地估价应以估价对象的合法权益为前提进行。合法权益包括：合法产权、合法使用、合法处分等方面。在合法产权方面，应以国有土地使用证、权属登记和其他合法证件为依据。在合法使用方面，应以使用管制（城市规划、土地用途管制等）为依据。在合法处分方面，应以法律法规和国有土地使用证等容许的处分方式为依据。</w:t>
      </w:r>
    </w:p>
    <w:p w14:paraId="34338A68">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根据</w:t>
      </w:r>
      <w:r>
        <w:rPr>
          <w:rFonts w:hint="eastAsia" w:ascii="仿宋_GB2312" w:hAnsi="仿宋_GB2312" w:eastAsia="仿宋_GB2312" w:cs="仿宋_GB2312"/>
          <w:bCs/>
          <w:color w:val="000000"/>
          <w:sz w:val="28"/>
          <w:szCs w:val="28"/>
          <w:highlight w:val="none"/>
          <w:lang w:eastAsia="zh-CN"/>
        </w:rPr>
        <w:t>《国有土地使用证》（通国用（2014）第000327号）</w:t>
      </w:r>
      <w:r>
        <w:rPr>
          <w:rFonts w:hint="eastAsia" w:ascii="仿宋_GB2312" w:hAnsi="仿宋_GB2312" w:eastAsia="仿宋_GB2312" w:cs="仿宋_GB2312"/>
          <w:bCs/>
          <w:color w:val="000000"/>
          <w:sz w:val="28"/>
          <w:szCs w:val="28"/>
          <w:highlight w:val="none"/>
          <w:lang w:val="en-US" w:eastAsia="zh-CN"/>
        </w:rPr>
        <w:t>等资料</w:t>
      </w:r>
      <w:r>
        <w:rPr>
          <w:rFonts w:hint="eastAsia" w:ascii="仿宋_GB2312" w:hAnsi="仿宋_GB2312" w:eastAsia="仿宋_GB2312" w:cs="仿宋_GB2312"/>
          <w:sz w:val="28"/>
          <w:szCs w:val="28"/>
          <w:highlight w:val="none"/>
        </w:rPr>
        <w:t>，估价对象通过划拨方式合法取得，估价对象现状用途为商服用地、住宅用地（商住比22.03%：77.97%），</w:t>
      </w:r>
      <w:r>
        <w:rPr>
          <w:rFonts w:hint="eastAsia" w:ascii="仿宋_GB2312" w:hAnsi="仿宋_GB2312" w:eastAsia="仿宋_GB2312" w:cs="仿宋_GB2312"/>
          <w:sz w:val="28"/>
          <w:szCs w:val="28"/>
          <w:highlight w:val="none"/>
          <w:lang w:val="en-US" w:eastAsia="zh-CN"/>
        </w:rPr>
        <w:t>已办理《房屋所有权证》（通房权证双江字第201517109号），</w:t>
      </w:r>
      <w:r>
        <w:rPr>
          <w:rFonts w:hint="eastAsia" w:ascii="仿宋_GB2312" w:hAnsi="仿宋_GB2312" w:eastAsia="仿宋_GB2312" w:cs="仿宋_GB2312"/>
          <w:bCs/>
          <w:color w:val="000000"/>
          <w:sz w:val="28"/>
          <w:szCs w:val="28"/>
          <w:highlight w:val="none"/>
        </w:rPr>
        <w:t>使用合法</w:t>
      </w:r>
      <w:r>
        <w:rPr>
          <w:rFonts w:hint="eastAsia" w:ascii="仿宋_GB2312" w:hAnsi="仿宋_GB2312" w:eastAsia="仿宋_GB2312" w:cs="仿宋_GB2312"/>
          <w:sz w:val="28"/>
          <w:szCs w:val="28"/>
          <w:highlight w:val="none"/>
        </w:rPr>
        <w:t>。</w:t>
      </w:r>
    </w:p>
    <w:p w14:paraId="52DB8063">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2、替代原则</w:t>
      </w:r>
    </w:p>
    <w:p w14:paraId="59B3FDD4">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根据市场运行规律，在同一商品市场中，商品或提供服务的效用相同或大致相似时，价格低者吸引需求，即有两个以上互有替代性的商品或服务同时存在时，商品或服务的价格是经过相互影响与比较之后来决定的。土地价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399DCFF1">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本次采用的收益还原法、基准地价系数修正法以该原则为基础，本次收益还原法中选取的3个案例均处于估价对象所处区域范围，相互之间存在替代性，基准地价系数修正法中对区域平均级别价进行修正也体现了替代原则。</w:t>
      </w:r>
    </w:p>
    <w:p w14:paraId="645C6417">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3、需求与供给原则</w:t>
      </w:r>
    </w:p>
    <w:p w14:paraId="08142D54">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在完全的市场竞争中，一般商品的价格都取决于供求的均衡点。供小于求，价格就会提高，否则，价格就会降低。由于土地与一般商品相比，具有独特的人文和自然特性，因此在进行土地估价时既要考虑到所假设的公平市场，又要考虑土地供应的垄断性特征。</w:t>
      </w:r>
    </w:p>
    <w:p w14:paraId="7C57B4EC">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4、预期收益原则</w:t>
      </w:r>
    </w:p>
    <w:p w14:paraId="7B5AA44C">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遵循预期收益原则，是指土地估价应以估价对象在正常利用条件下的未来客观有效的预期收益为依据。收益还原法和剩余法等评估方法以及还原利率的确定、交易实例价格的检查等技术过程都会应用本原则。</w:t>
      </w:r>
    </w:p>
    <w:p w14:paraId="3FA9FBE2">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本次评估采用了收益还原法，符合预期收益原则。</w:t>
      </w:r>
    </w:p>
    <w:p w14:paraId="7FD2C9BB">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5、合理有效利用原则</w:t>
      </w:r>
    </w:p>
    <w:p w14:paraId="6B67EDB0">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不同的土地利用方式能为权利人带来不同的收益，土地权利人都期望从其所占有的土地上获取更多的收益，故土地评估应以估价对象在一定的社会经济条件下，最为合理有效的利用方式为前提。首先判断估价对象的土地利用方式是否符合法律法规政策规定、规划限制条件、生态保护要求、市场需求等，再结合估价对象的自身利用条件设定最合理有效的土地利用方式。</w:t>
      </w:r>
    </w:p>
    <w:p w14:paraId="45E3BA3F">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6、价值主导原则</w:t>
      </w:r>
    </w:p>
    <w:p w14:paraId="0E22F5BE">
      <w:pPr>
        <w:spacing w:line="480" w:lineRule="exact"/>
        <w:ind w:firstLine="560" w:firstLineChars="20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土地综合质量优劣是对土地价格产生影响的主要因素。</w:t>
      </w:r>
    </w:p>
    <w:p w14:paraId="02A4C015">
      <w:pPr>
        <w:spacing w:line="480" w:lineRule="exact"/>
        <w:ind w:firstLine="560" w:firstLineChars="20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本次评估综合考虑了影响估价对象土地价格的自然、社会、经济状况，符合价值主导原则。</w:t>
      </w:r>
    </w:p>
    <w:p w14:paraId="3153D0E7">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7、审慎原则</w:t>
      </w:r>
    </w:p>
    <w:p w14:paraId="70447D73">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在评估中确定相关参数和结果时，应分析并充分考虑市场运行状况、有关行业发展状况，以及存在的风险。</w:t>
      </w:r>
    </w:p>
    <w:p w14:paraId="31200E53">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8、贡献原则</w:t>
      </w:r>
    </w:p>
    <w:p w14:paraId="2DD9F4CC">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土地总收益是土地及其他生产要素共同作用的结果，土地的价格由土地对总收益的贡献大小来决定。</w:t>
      </w:r>
    </w:p>
    <w:p w14:paraId="4B5914BC">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本次在采用收益还原法时，通过扣除相关成本及其他税费来测算土地价格，体现了贡献原则。</w:t>
      </w:r>
    </w:p>
    <w:p w14:paraId="76E8B47D">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9、公开市场原则</w:t>
      </w:r>
    </w:p>
    <w:p w14:paraId="1BB6FD8D">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评估结果在公平、公正、公开的土地市场上可实现。</w:t>
      </w:r>
    </w:p>
    <w:p w14:paraId="555BB0ED">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待估宗地按照地价评估的基本原则和估价程序，选择合适的评估方法，评估得到估价对象在设定用途、设定土地使用权类型及土地使用权年限、设定开发程度条件、规划条件下、正常市场条件下的国有出让土地使用权价格，并且评估结果在公平、公正、公开的土地市场上可实现。</w:t>
      </w:r>
    </w:p>
    <w:p w14:paraId="56AEA6C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总之，在评估过程中，要按国家、地方的有关规定，遵守客观、公正、科学、合法的总原则进行土地价格评估，做到评估过程合理，评估方法科学，评估结果准确，严格保守评估秘密。</w:t>
      </w:r>
    </w:p>
    <w:p w14:paraId="57314AD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2"/>
        <w:rPr>
          <w:rFonts w:hint="default"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US" w:eastAsia="zh-CN"/>
        </w:rPr>
        <w:t>（二）估价方法</w:t>
      </w:r>
    </w:p>
    <w:p w14:paraId="337B312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根据《城镇土地估价规程》</w:t>
      </w:r>
      <w:r>
        <w:rPr>
          <w:rFonts w:hint="eastAsia" w:ascii="仿宋_GB2312" w:hAnsi="仿宋_GB2312" w:eastAsia="仿宋_GB2312" w:cs="仿宋_GB2312"/>
          <w:snapToGrid w:val="0"/>
          <w:kern w:val="0"/>
          <w:sz w:val="28"/>
          <w:szCs w:val="28"/>
          <w:highlight w:val="none"/>
        </w:rPr>
        <w:t>（GB/T18508-2014,2014年12月01日实施）</w:t>
      </w:r>
      <w:r>
        <w:rPr>
          <w:rFonts w:hint="default" w:ascii="仿宋_GB2312" w:hAnsi="仿宋_GB2312" w:eastAsia="仿宋_GB2312" w:cs="仿宋_GB2312"/>
          <w:b w:val="0"/>
          <w:bCs/>
          <w:color w:val="auto"/>
          <w:sz w:val="28"/>
          <w:szCs w:val="28"/>
          <w:highlight w:val="none"/>
          <w:lang w:val="en-US" w:eastAsia="zh-CN"/>
        </w:rPr>
        <w:t>，通常的估价方法有市场比较法、收益还原法、剩余法、成本逼近法、基准地价系数修正法等。估价方法的选择应按照地价评估的技术《规程》，根据当地地产市场发育情况并结合估价对象的具体特点及估价目的等，选择适当的估价方法。估价人员根据现场勘查情况，按照《城镇土地估价规程》及国土资源部办公厅关于发布《国有建设用地使用权出让地价评估技术规范》的通知（国土资厅发〔2018〕4号）的要求，结合估价对象的区位、用地性质、利用条件及当地土地市场状况，确定本次评估采用的方法。</w:t>
      </w:r>
    </w:p>
    <w:p w14:paraId="110432F9">
      <w:pPr>
        <w:pStyle w:val="16"/>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1.估价方法介绍</w:t>
      </w:r>
    </w:p>
    <w:p w14:paraId="06CFA6CD">
      <w:pPr>
        <w:pStyle w:val="16"/>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（1）市场比较法：将估价对象与在估价期日近期有过交易的类似土地进行比较，对这些类似土地的已知价格作适当的修正，以此估算估价对象的客观合理价格或价值的方法；</w:t>
      </w:r>
    </w:p>
    <w:p w14:paraId="6AD99EED">
      <w:pPr>
        <w:pStyle w:val="16"/>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（2）收益还原法：为预计估价对象未来的正常收益，选用适当的资本化率将其折现到估价期日后累加，以此估算估价对象的客观合理价格或价值的方法；</w:t>
      </w:r>
    </w:p>
    <w:p w14:paraId="626F0649">
      <w:pPr>
        <w:pStyle w:val="16"/>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（3）剩余法：是在估算开发完成后不动产正常交易价格的基础上，扣除建筑物建造费用和与建筑物建造、买卖有关的专业费、利息、利润、税收等费用后，以价格余额来估算土地价格的方法；</w:t>
      </w:r>
    </w:p>
    <w:p w14:paraId="25CD2EA0">
      <w:pPr>
        <w:pStyle w:val="16"/>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（4）成本逼近法：是以土地取得费、土地开发所耗各项费用之和为主要依据，再加上一定的利润、利息、应缴纳的税金和土地增值收益来确定土地价格的估价方法；</w:t>
      </w:r>
    </w:p>
    <w:p w14:paraId="168E2655">
      <w:pPr>
        <w:pStyle w:val="2"/>
        <w:keepNext w:val="0"/>
        <w:keepLines w:val="0"/>
        <w:pageBreakBefore w:val="0"/>
        <w:widowControl w:val="0"/>
        <w:kinsoku/>
        <w:wordWrap/>
        <w:overflowPunct/>
        <w:topLinePunct w:val="0"/>
        <w:autoSpaceDE/>
        <w:autoSpaceDN/>
        <w:bidi w:val="0"/>
        <w:spacing w:line="480" w:lineRule="exact"/>
        <w:textAlignment w:val="auto"/>
        <w:rPr>
          <w:rFonts w:hint="eastAsia" w:ascii="仿宋_GB2312" w:hAnsi="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5）公示地价系数修正法：指在求取一宗土地的价格时，依据估价对象所处地区的土地级别基准地价水平，参照估价对象所处土地级别的各种修正因素说明，确定区域因素、个别因素、估价期日、容积率与建筑密度、使用年期、开发程度等修正系数，最后修正得出估价对象地价的一种方</w:t>
      </w:r>
      <w:r>
        <w:rPr>
          <w:rFonts w:hint="eastAsia" w:ascii="仿宋_GB2312" w:hAnsi="仿宋_GB2312" w:cs="仿宋_GB2312"/>
          <w:color w:val="auto"/>
          <w:szCs w:val="28"/>
          <w:highlight w:val="none"/>
          <w:lang w:val="en-US" w:eastAsia="zh-CN"/>
        </w:rPr>
        <w:t>法。</w:t>
      </w:r>
    </w:p>
    <w:p w14:paraId="12C450E7">
      <w:pPr>
        <w:pStyle w:val="2"/>
        <w:keepNext w:val="0"/>
        <w:keepLines w:val="0"/>
        <w:pageBreakBefore w:val="0"/>
        <w:widowControl w:val="0"/>
        <w:kinsoku/>
        <w:wordWrap/>
        <w:overflowPunct/>
        <w:topLinePunct w:val="0"/>
        <w:autoSpaceDE/>
        <w:autoSpaceDN/>
        <w:bidi w:val="0"/>
        <w:spacing w:line="480" w:lineRule="exact"/>
        <w:textAlignment w:val="auto"/>
        <w:rPr>
          <w:rFonts w:hint="default" w:ascii="仿宋_GB2312" w:hAnsi="仿宋_GB2312" w:cs="仿宋_GB2312"/>
          <w:color w:val="auto"/>
          <w:szCs w:val="28"/>
          <w:highlight w:val="none"/>
          <w:lang w:val="en-US" w:eastAsia="zh-CN"/>
        </w:rPr>
      </w:pPr>
      <w:r>
        <w:rPr>
          <w:rFonts w:hint="eastAsia" w:ascii="仿宋_GB2312" w:hAnsi="仿宋_GB2312" w:cs="仿宋_GB2312"/>
          <w:color w:val="auto"/>
          <w:szCs w:val="28"/>
          <w:highlight w:val="none"/>
          <w:lang w:val="en-US" w:eastAsia="zh-CN"/>
        </w:rPr>
        <w:t>2.估价方法选择</w:t>
      </w:r>
    </w:p>
    <w:p w14:paraId="7968F48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（1）</w:t>
      </w:r>
      <w:r>
        <w:rPr>
          <w:rFonts w:hint="eastAsia" w:ascii="仿宋_GB2312" w:hAnsi="仿宋_GB2312" w:eastAsia="仿宋_GB2312" w:cs="仿宋_GB2312"/>
          <w:b w:val="0"/>
          <w:bCs/>
          <w:color w:val="auto"/>
          <w:sz w:val="28"/>
          <w:szCs w:val="28"/>
          <w:highlight w:val="none"/>
          <w:lang w:val="en-US" w:eastAsia="zh-CN"/>
        </w:rPr>
        <w:t>采用方法及采用方法</w:t>
      </w:r>
      <w:r>
        <w:rPr>
          <w:rFonts w:hint="default" w:ascii="仿宋_GB2312" w:hAnsi="仿宋_GB2312" w:eastAsia="仿宋_GB2312" w:cs="仿宋_GB2312"/>
          <w:b w:val="0"/>
          <w:bCs/>
          <w:color w:val="auto"/>
          <w:sz w:val="28"/>
          <w:szCs w:val="28"/>
          <w:highlight w:val="none"/>
          <w:lang w:val="en-US" w:eastAsia="zh-CN"/>
        </w:rPr>
        <w:t>的理由：</w:t>
      </w:r>
    </w:p>
    <w:p w14:paraId="5A9F979C">
      <w:pPr>
        <w:spacing w:line="480" w:lineRule="exact"/>
        <w:ind w:firstLine="560" w:firstLineChars="200"/>
        <w:rPr>
          <w:rFonts w:hint="eastAsia" w:ascii="仿宋_GB2312" w:hAnsi="仿宋_GB2312" w:eastAsia="仿宋_GB2312" w:cs="仿宋_GB2312"/>
          <w:sz w:val="28"/>
          <w:szCs w:val="28"/>
          <w:highlight w:val="none"/>
        </w:rPr>
      </w:pPr>
      <w:r>
        <w:rPr>
          <w:rFonts w:hint="eastAsia" w:ascii="仿宋_GB2312" w:hAnsi="仿宋_GB2312" w:eastAsia="仿宋_GB2312" w:cs="仿宋_GB2312"/>
          <w:b w:val="0"/>
          <w:bCs/>
          <w:color w:val="auto"/>
          <w:sz w:val="28"/>
          <w:szCs w:val="28"/>
          <w:highlight w:val="none"/>
          <w:lang w:val="en-US" w:eastAsia="zh-CN"/>
        </w:rPr>
        <w:fldChar w:fldCharType="begin"/>
      </w:r>
      <w:r>
        <w:rPr>
          <w:rFonts w:hint="eastAsia" w:ascii="仿宋_GB2312" w:hAnsi="仿宋_GB2312" w:eastAsia="仿宋_GB2312" w:cs="仿宋_GB2312"/>
          <w:b w:val="0"/>
          <w:bCs/>
          <w:color w:val="auto"/>
          <w:sz w:val="28"/>
          <w:szCs w:val="28"/>
          <w:highlight w:val="none"/>
          <w:lang w:val="en-US" w:eastAsia="zh-CN"/>
        </w:rPr>
        <w:instrText xml:space="preserve"> = 1 \* GB3 </w:instrText>
      </w:r>
      <w:r>
        <w:rPr>
          <w:rFonts w:hint="eastAsia" w:ascii="仿宋_GB2312" w:hAnsi="仿宋_GB2312" w:eastAsia="仿宋_GB2312" w:cs="仿宋_GB2312"/>
          <w:b w:val="0"/>
          <w:bCs/>
          <w:color w:val="auto"/>
          <w:sz w:val="28"/>
          <w:szCs w:val="28"/>
          <w:highlight w:val="none"/>
          <w:lang w:val="en-US" w:eastAsia="zh-CN"/>
        </w:rPr>
        <w:fldChar w:fldCharType="separate"/>
      </w:r>
      <w:r>
        <w:rPr>
          <w:rFonts w:hint="eastAsia" w:ascii="仿宋_GB2312" w:hAnsi="仿宋_GB2312" w:eastAsia="仿宋_GB2312" w:cs="仿宋_GB2312"/>
          <w:b w:val="0"/>
          <w:bCs/>
          <w:color w:val="auto"/>
          <w:sz w:val="28"/>
          <w:szCs w:val="28"/>
          <w:highlight w:val="none"/>
          <w:lang w:val="en-US" w:eastAsia="zh-CN"/>
        </w:rPr>
        <w:t>①</w:t>
      </w:r>
      <w:r>
        <w:rPr>
          <w:rFonts w:hint="eastAsia" w:ascii="仿宋_GB2312" w:hAnsi="仿宋_GB2312" w:eastAsia="仿宋_GB2312" w:cs="仿宋_GB2312"/>
          <w:b w:val="0"/>
          <w:bCs/>
          <w:color w:val="auto"/>
          <w:sz w:val="28"/>
          <w:szCs w:val="28"/>
          <w:highlight w:val="none"/>
          <w:lang w:val="en-US" w:eastAsia="zh-CN"/>
        </w:rPr>
        <w:fldChar w:fldCharType="end"/>
      </w:r>
      <w:r>
        <w:rPr>
          <w:rFonts w:hint="eastAsia" w:ascii="仿宋_GB2312" w:hAnsi="仿宋_GB2312" w:eastAsia="仿宋_GB2312" w:cs="仿宋_GB2312"/>
          <w:sz w:val="28"/>
          <w:szCs w:val="28"/>
          <w:highlight w:val="none"/>
        </w:rPr>
        <w:t>公示地价系数修正法</w:t>
      </w:r>
    </w:p>
    <w:p w14:paraId="67B8E1D5">
      <w:pPr>
        <w:spacing w:line="480" w:lineRule="exact"/>
        <w:ind w:firstLine="560" w:firstLineChars="200"/>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kern w:val="0"/>
          <w:sz w:val="28"/>
          <w:szCs w:val="28"/>
          <w:highlight w:val="none"/>
        </w:rPr>
        <w:t>评估宗地</w:t>
      </w:r>
      <w:r>
        <w:rPr>
          <w:rFonts w:hint="eastAsia" w:ascii="仿宋_GB2312" w:hAnsi="仿宋_GB2312" w:eastAsia="仿宋_GB2312" w:cs="仿宋_GB2312"/>
          <w:color w:val="000000"/>
          <w:sz w:val="28"/>
          <w:szCs w:val="28"/>
          <w:highlight w:val="none"/>
        </w:rPr>
        <w:t>位于</w:t>
      </w:r>
      <w:r>
        <w:rPr>
          <w:rFonts w:hint="eastAsia" w:ascii="仿宋_GB2312" w:hAnsi="仿宋_GB2312" w:eastAsia="仿宋_GB2312" w:cs="仿宋_GB2312"/>
          <w:color w:val="000000"/>
          <w:sz w:val="28"/>
          <w:szCs w:val="28"/>
          <w:highlight w:val="none"/>
          <w:lang w:val="en-US" w:eastAsia="zh-CN"/>
        </w:rPr>
        <w:t>通道县双江镇行政街331/1-2幢整栋</w:t>
      </w:r>
      <w:r>
        <w:rPr>
          <w:rFonts w:hint="eastAsia" w:ascii="仿宋_GB2312" w:hAnsi="仿宋_GB2312" w:eastAsia="仿宋_GB2312" w:cs="仿宋_GB2312"/>
          <w:kern w:val="0"/>
          <w:sz w:val="28"/>
          <w:szCs w:val="28"/>
          <w:highlight w:val="none"/>
        </w:rPr>
        <w:t>，</w:t>
      </w:r>
      <w:r>
        <w:rPr>
          <w:rFonts w:hint="eastAsia" w:ascii="仿宋_GB2312" w:hAnsi="仿宋_GB2312" w:eastAsia="仿宋_GB2312" w:cs="仿宋_GB2312"/>
          <w:bCs/>
          <w:color w:val="000000"/>
          <w:sz w:val="28"/>
          <w:szCs w:val="28"/>
          <w:highlight w:val="none"/>
        </w:rPr>
        <w:t>属于</w:t>
      </w:r>
      <w:r>
        <w:rPr>
          <w:rFonts w:hint="eastAsia" w:ascii="仿宋_GB2312" w:hAnsi="仿宋_GB2312" w:eastAsia="仿宋_GB2312" w:cs="仿宋_GB2312"/>
          <w:bCs/>
          <w:color w:val="000000"/>
          <w:sz w:val="28"/>
          <w:szCs w:val="28"/>
          <w:highlight w:val="none"/>
          <w:lang w:val="en-US" w:eastAsia="zh-CN"/>
        </w:rPr>
        <w:t>通道县城区商业服务业用地二级、居住用地二</w:t>
      </w:r>
      <w:r>
        <w:rPr>
          <w:rFonts w:hint="eastAsia" w:ascii="仿宋_GB2312" w:hAnsi="仿宋_GB2312" w:eastAsia="仿宋_GB2312" w:cs="仿宋_GB2312"/>
          <w:bCs/>
          <w:color w:val="000000"/>
          <w:sz w:val="28"/>
          <w:szCs w:val="28"/>
          <w:highlight w:val="none"/>
          <w:lang w:eastAsia="zh-CN"/>
        </w:rPr>
        <w:t>级用地</w:t>
      </w:r>
      <w:r>
        <w:rPr>
          <w:rFonts w:hint="eastAsia" w:ascii="仿宋_GB2312" w:hAnsi="仿宋_GB2312" w:eastAsia="仿宋_GB2312" w:cs="仿宋_GB2312"/>
          <w:bCs/>
          <w:color w:val="000000"/>
          <w:sz w:val="28"/>
          <w:szCs w:val="28"/>
          <w:highlight w:val="none"/>
        </w:rPr>
        <w:t>范围，</w:t>
      </w:r>
      <w:r>
        <w:rPr>
          <w:rFonts w:hint="eastAsia" w:ascii="仿宋_GB2312" w:hAnsi="仿宋_GB2312" w:eastAsia="仿宋_GB2312" w:cs="仿宋_GB2312"/>
          <w:sz w:val="28"/>
          <w:szCs w:val="28"/>
          <w:highlight w:val="none"/>
        </w:rPr>
        <w:t>根据</w:t>
      </w:r>
      <w:r>
        <w:rPr>
          <w:rFonts w:hint="eastAsia" w:ascii="仿宋_GB2312" w:hAnsi="仿宋_GB2312" w:eastAsia="仿宋_GB2312" w:cs="仿宋_GB2312"/>
          <w:snapToGrid w:val="0"/>
          <w:kern w:val="0"/>
          <w:sz w:val="28"/>
          <w:szCs w:val="28"/>
          <w:highlight w:val="none"/>
        </w:rPr>
        <w:t>《通道侗族自治县人民政府关于更新城镇基准地价标准和等级的通知》（通政发〔202</w:t>
      </w:r>
      <w:r>
        <w:rPr>
          <w:rFonts w:hint="eastAsia" w:ascii="仿宋_GB2312" w:hAnsi="仿宋_GB2312" w:eastAsia="仿宋_GB2312" w:cs="仿宋_GB2312"/>
          <w:snapToGrid w:val="0"/>
          <w:kern w:val="0"/>
          <w:sz w:val="28"/>
          <w:szCs w:val="28"/>
          <w:highlight w:val="none"/>
          <w:lang w:val="en-US" w:eastAsia="zh-CN"/>
        </w:rPr>
        <w:t>6</w:t>
      </w:r>
      <w:r>
        <w:rPr>
          <w:rFonts w:hint="eastAsia" w:ascii="仿宋_GB2312" w:hAnsi="仿宋_GB2312" w:eastAsia="仿宋_GB2312" w:cs="仿宋_GB2312"/>
          <w:snapToGrid w:val="0"/>
          <w:kern w:val="0"/>
          <w:sz w:val="28"/>
          <w:szCs w:val="28"/>
          <w:highlight w:val="none"/>
        </w:rPr>
        <w:t>〕1号，20</w:t>
      </w:r>
      <w:r>
        <w:rPr>
          <w:rFonts w:hint="eastAsia" w:ascii="仿宋_GB2312" w:hAnsi="仿宋_GB2312" w:eastAsia="仿宋_GB2312" w:cs="仿宋_GB2312"/>
          <w:snapToGrid w:val="0"/>
          <w:kern w:val="0"/>
          <w:sz w:val="28"/>
          <w:szCs w:val="28"/>
          <w:highlight w:val="none"/>
          <w:lang w:val="en-US" w:eastAsia="zh-CN"/>
        </w:rPr>
        <w:t>26</w:t>
      </w:r>
      <w:r>
        <w:rPr>
          <w:rFonts w:hint="eastAsia" w:ascii="仿宋_GB2312" w:hAnsi="仿宋_GB2312" w:eastAsia="仿宋_GB2312" w:cs="仿宋_GB2312"/>
          <w:snapToGrid w:val="0"/>
          <w:kern w:val="0"/>
          <w:sz w:val="28"/>
          <w:szCs w:val="28"/>
          <w:highlight w:val="none"/>
        </w:rPr>
        <w:t>年</w:t>
      </w:r>
      <w:r>
        <w:rPr>
          <w:rFonts w:hint="eastAsia" w:ascii="仿宋_GB2312" w:hAnsi="仿宋_GB2312" w:eastAsia="仿宋_GB2312" w:cs="仿宋_GB2312"/>
          <w:snapToGrid w:val="0"/>
          <w:kern w:val="0"/>
          <w:sz w:val="28"/>
          <w:szCs w:val="28"/>
          <w:highlight w:val="none"/>
          <w:lang w:val="en-US" w:eastAsia="zh-CN"/>
        </w:rPr>
        <w:t>1</w:t>
      </w:r>
      <w:r>
        <w:rPr>
          <w:rFonts w:hint="eastAsia" w:ascii="仿宋_GB2312" w:hAnsi="仿宋_GB2312" w:eastAsia="仿宋_GB2312" w:cs="仿宋_GB2312"/>
          <w:snapToGrid w:val="0"/>
          <w:kern w:val="0"/>
          <w:sz w:val="28"/>
          <w:szCs w:val="28"/>
          <w:highlight w:val="none"/>
        </w:rPr>
        <w:t>月</w:t>
      </w:r>
      <w:r>
        <w:rPr>
          <w:rFonts w:hint="eastAsia" w:ascii="仿宋_GB2312" w:hAnsi="仿宋_GB2312" w:eastAsia="仿宋_GB2312" w:cs="仿宋_GB2312"/>
          <w:snapToGrid w:val="0"/>
          <w:kern w:val="0"/>
          <w:sz w:val="28"/>
          <w:szCs w:val="28"/>
          <w:highlight w:val="none"/>
          <w:lang w:val="en-US" w:eastAsia="zh-CN"/>
        </w:rPr>
        <w:t>6</w:t>
      </w:r>
      <w:r>
        <w:rPr>
          <w:rFonts w:hint="eastAsia" w:ascii="仿宋_GB2312" w:hAnsi="仿宋_GB2312" w:eastAsia="仿宋_GB2312" w:cs="仿宋_GB2312"/>
          <w:snapToGrid w:val="0"/>
          <w:kern w:val="0"/>
          <w:sz w:val="28"/>
          <w:szCs w:val="28"/>
          <w:highlight w:val="none"/>
        </w:rPr>
        <w:t>日）</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sz w:val="28"/>
          <w:szCs w:val="28"/>
          <w:highlight w:val="none"/>
          <w:lang w:val="en-US" w:eastAsia="zh-CN"/>
        </w:rPr>
        <w:t>通道县城镇</w:t>
      </w:r>
      <w:r>
        <w:rPr>
          <w:rFonts w:hint="eastAsia" w:ascii="仿宋_GB2312" w:hAnsi="仿宋_GB2312" w:eastAsia="仿宋_GB2312" w:cs="仿宋_GB2312"/>
          <w:sz w:val="28"/>
          <w:szCs w:val="28"/>
          <w:highlight w:val="none"/>
        </w:rPr>
        <w:t>基准地价从</w:t>
      </w:r>
      <w:r>
        <w:rPr>
          <w:rFonts w:hint="eastAsia" w:ascii="仿宋_GB2312" w:hAnsi="仿宋_GB2312" w:eastAsia="仿宋_GB2312" w:cs="仿宋_GB2312"/>
          <w:sz w:val="28"/>
          <w:szCs w:val="28"/>
          <w:highlight w:val="none"/>
          <w:lang w:val="en-US" w:eastAsia="zh-CN"/>
        </w:rPr>
        <w:t>2026年1月6日</w:t>
      </w:r>
      <w:r>
        <w:rPr>
          <w:rFonts w:hint="eastAsia" w:ascii="仿宋_GB2312" w:hAnsi="仿宋_GB2312" w:eastAsia="仿宋_GB2312" w:cs="仿宋_GB2312"/>
          <w:sz w:val="28"/>
          <w:szCs w:val="28"/>
          <w:highlight w:val="none"/>
        </w:rPr>
        <w:t>起公布执行，基准日为202</w:t>
      </w:r>
      <w:r>
        <w:rPr>
          <w:rFonts w:hint="eastAsia" w:ascii="仿宋_GB2312" w:hAnsi="仿宋_GB2312" w:eastAsia="仿宋_GB2312" w:cs="仿宋_GB2312"/>
          <w:sz w:val="28"/>
          <w:szCs w:val="28"/>
          <w:highlight w:val="none"/>
          <w:lang w:val="en-US" w:eastAsia="zh-CN"/>
        </w:rPr>
        <w:t>5年4月1日</w:t>
      </w:r>
      <w:r>
        <w:rPr>
          <w:rFonts w:hint="eastAsia" w:ascii="仿宋_GB2312" w:hAnsi="仿宋_GB2312" w:eastAsia="仿宋_GB2312" w:cs="仿宋_GB2312"/>
          <w:sz w:val="28"/>
          <w:szCs w:val="28"/>
          <w:highlight w:val="none"/>
        </w:rPr>
        <w:t>，估价对象位于基准地价覆盖范围内，</w:t>
      </w:r>
      <w:r>
        <w:rPr>
          <w:rFonts w:hint="eastAsia" w:ascii="仿宋_GB2312" w:hAnsi="仿宋_GB2312" w:eastAsia="仿宋_GB2312" w:cs="仿宋_GB2312"/>
          <w:kern w:val="0"/>
          <w:sz w:val="28"/>
          <w:szCs w:val="28"/>
          <w:highlight w:val="none"/>
        </w:rPr>
        <w:t>有科学的</w:t>
      </w:r>
      <w:r>
        <w:rPr>
          <w:rFonts w:hint="eastAsia" w:ascii="仿宋_GB2312" w:hAnsi="仿宋_GB2312" w:eastAsia="仿宋_GB2312" w:cs="仿宋_GB2312"/>
          <w:kern w:val="0"/>
          <w:sz w:val="28"/>
          <w:szCs w:val="28"/>
          <w:highlight w:val="none"/>
          <w:lang w:val="en-US" w:eastAsia="zh-CN"/>
        </w:rPr>
        <w:t>商业服务业用地和居住</w:t>
      </w:r>
      <w:r>
        <w:rPr>
          <w:rFonts w:hint="eastAsia" w:ascii="仿宋_GB2312" w:hAnsi="仿宋_GB2312" w:eastAsia="仿宋_GB2312" w:cs="仿宋_GB2312"/>
          <w:kern w:val="0"/>
          <w:sz w:val="28"/>
          <w:szCs w:val="28"/>
          <w:highlight w:val="none"/>
        </w:rPr>
        <w:t>用地修正体系可以采用，</w:t>
      </w:r>
      <w:r>
        <w:rPr>
          <w:rFonts w:hint="eastAsia" w:ascii="仿宋_GB2312" w:hAnsi="仿宋_GB2312" w:eastAsia="仿宋_GB2312" w:cs="仿宋_GB2312"/>
          <w:color w:val="000000"/>
          <w:sz w:val="28"/>
          <w:szCs w:val="28"/>
          <w:highlight w:val="none"/>
        </w:rPr>
        <w:t>故采用公示地价系数修正法作为评估方法。</w:t>
      </w:r>
    </w:p>
    <w:p w14:paraId="4315F336">
      <w:pPr>
        <w:spacing w:line="480" w:lineRule="exact"/>
        <w:ind w:firstLine="560" w:firstLineChars="200"/>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2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②</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收益还原法</w:t>
      </w:r>
    </w:p>
    <w:p w14:paraId="06CF791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由于估价对象地上房屋建筑物有</w:t>
      </w:r>
      <w:r>
        <w:rPr>
          <w:rFonts w:hint="eastAsia" w:ascii="仿宋_GB2312" w:hAnsi="仿宋_GB2312" w:eastAsia="仿宋_GB2312" w:cs="仿宋_GB2312"/>
          <w:b w:val="0"/>
          <w:bCs/>
          <w:color w:val="auto"/>
          <w:sz w:val="28"/>
          <w:szCs w:val="28"/>
          <w:highlight w:val="none"/>
          <w:lang w:val="en-US" w:eastAsia="zh-CN"/>
        </w:rPr>
        <w:t>潜在</w:t>
      </w:r>
      <w:r>
        <w:rPr>
          <w:rFonts w:hint="default" w:ascii="仿宋_GB2312" w:hAnsi="仿宋_GB2312" w:eastAsia="仿宋_GB2312" w:cs="仿宋_GB2312"/>
          <w:b w:val="0"/>
          <w:bCs/>
          <w:color w:val="auto"/>
          <w:sz w:val="28"/>
          <w:szCs w:val="28"/>
          <w:highlight w:val="none"/>
          <w:lang w:val="en-US" w:eastAsia="zh-CN"/>
        </w:rPr>
        <w:t>收益，所在区域内同类型用房租赁情况较多，不动产总收益较易确定，故可采用收益还原法作为评估方法之一。</w:t>
      </w:r>
    </w:p>
    <w:p w14:paraId="64EF4FD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最后综合分析宗地所在区域地产市场行情，确定土地价格。</w:t>
      </w:r>
    </w:p>
    <w:p w14:paraId="6DAE6A49">
      <w:pPr>
        <w:pStyle w:val="16"/>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（2）不采用的方法及不采用方法理由</w:t>
      </w:r>
      <w:r>
        <w:rPr>
          <w:rFonts w:hint="eastAsia" w:hAnsi="仿宋_GB2312" w:cs="仿宋_GB2312"/>
          <w:color w:val="auto"/>
          <w:szCs w:val="28"/>
          <w:highlight w:val="none"/>
          <w:lang w:val="en-US" w:eastAsia="zh-CN"/>
        </w:rPr>
        <w:t>：</w:t>
      </w:r>
    </w:p>
    <w:p w14:paraId="43915A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1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①</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不选择市场比较法</w:t>
      </w:r>
    </w:p>
    <w:p w14:paraId="493193D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估价对象使用权</w:t>
      </w:r>
      <w:r>
        <w:rPr>
          <w:rFonts w:hint="eastAsia" w:ascii="仿宋_GB2312" w:hAnsi="仿宋_GB2312" w:eastAsia="仿宋_GB2312" w:cs="仿宋_GB2312"/>
          <w:b w:val="0"/>
          <w:bCs/>
          <w:color w:val="auto"/>
          <w:sz w:val="28"/>
          <w:szCs w:val="28"/>
          <w:highlight w:val="none"/>
          <w:lang w:val="en-US" w:eastAsia="zh-CN"/>
        </w:rPr>
        <w:t>性质</w:t>
      </w:r>
      <w:r>
        <w:rPr>
          <w:rFonts w:hint="default" w:ascii="仿宋_GB2312" w:hAnsi="仿宋_GB2312" w:eastAsia="仿宋_GB2312" w:cs="仿宋_GB2312"/>
          <w:b w:val="0"/>
          <w:bCs/>
          <w:color w:val="auto"/>
          <w:sz w:val="28"/>
          <w:szCs w:val="28"/>
          <w:highlight w:val="none"/>
          <w:lang w:val="en-US" w:eastAsia="zh-CN"/>
        </w:rPr>
        <w:t>为</w:t>
      </w:r>
      <w:r>
        <w:rPr>
          <w:rFonts w:hint="eastAsia" w:ascii="仿宋_GB2312" w:hAnsi="仿宋_GB2312" w:eastAsia="仿宋_GB2312" w:cs="仿宋_GB2312"/>
          <w:b w:val="0"/>
          <w:bCs/>
          <w:color w:val="auto"/>
          <w:sz w:val="28"/>
          <w:szCs w:val="28"/>
          <w:highlight w:val="none"/>
          <w:lang w:val="en-US" w:eastAsia="zh-CN"/>
        </w:rPr>
        <w:t>国有划拨</w:t>
      </w:r>
      <w:r>
        <w:rPr>
          <w:rFonts w:hint="default" w:ascii="仿宋_GB2312" w:hAnsi="仿宋_GB2312" w:eastAsia="仿宋_GB2312" w:cs="仿宋_GB2312"/>
          <w:b w:val="0"/>
          <w:bCs/>
          <w:color w:val="auto"/>
          <w:sz w:val="28"/>
          <w:szCs w:val="28"/>
          <w:highlight w:val="none"/>
          <w:lang w:val="en-US" w:eastAsia="zh-CN"/>
        </w:rPr>
        <w:t>，登记用途为</w:t>
      </w:r>
      <w:r>
        <w:rPr>
          <w:rFonts w:hint="eastAsia" w:ascii="仿宋_GB2312" w:hAnsi="仿宋_GB2312" w:eastAsia="仿宋_GB2312" w:cs="仿宋_GB2312"/>
          <w:b w:val="0"/>
          <w:bCs/>
          <w:color w:val="auto"/>
          <w:sz w:val="28"/>
          <w:szCs w:val="28"/>
          <w:highlight w:val="none"/>
          <w:lang w:val="en-US" w:eastAsia="zh-CN"/>
        </w:rPr>
        <w:t>机关团体用地</w:t>
      </w:r>
      <w:r>
        <w:rPr>
          <w:rFonts w:hint="default" w:ascii="仿宋_GB2312" w:hAnsi="仿宋_GB2312" w:eastAsia="仿宋_GB2312" w:cs="仿宋_GB2312"/>
          <w:b w:val="0"/>
          <w:bCs/>
          <w:color w:val="auto"/>
          <w:sz w:val="28"/>
          <w:szCs w:val="28"/>
          <w:highlight w:val="none"/>
          <w:lang w:val="en-US" w:eastAsia="zh-CN"/>
        </w:rPr>
        <w:t>，设定土地用途为住宅用地，区域内较难收集到三个及以上的相同或类似用途的土地成交案例，故不适宜采用市场比较法进行评估。</w:t>
      </w:r>
    </w:p>
    <w:p w14:paraId="459339E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2 \* GB3 \* MERGEFORMAT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②</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不选择剩余法（增值收益扣减法）</w:t>
      </w:r>
    </w:p>
    <w:p w14:paraId="7D1991D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US" w:eastAsia="zh-CN"/>
        </w:rPr>
        <w:t>剩余法适用于具有投资开发或再开发潜力的土地估价。估价对象周边房地产交易案例较少，难以合理确定房地产开发价值，此次评估已优选两种评估方法，因而不采用剩余法进行评估。</w:t>
      </w:r>
    </w:p>
    <w:p w14:paraId="4C6A6C6A">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b w:val="0"/>
          <w:bCs/>
          <w:color w:val="auto"/>
          <w:sz w:val="28"/>
          <w:szCs w:val="28"/>
          <w:highlight w:val="none"/>
          <w:lang w:val="en-US" w:eastAsia="zh-CN"/>
        </w:rPr>
        <w:t>③</w:t>
      </w:r>
      <w:r>
        <w:rPr>
          <w:rFonts w:hint="eastAsia" w:ascii="仿宋_GB2312" w:hAnsi="仿宋_GB2312" w:eastAsia="仿宋_GB2312" w:cs="仿宋_GB2312"/>
          <w:sz w:val="28"/>
          <w:szCs w:val="28"/>
          <w:highlight w:val="none"/>
        </w:rPr>
        <w:t>不选择成本逼近法</w:t>
      </w:r>
    </w:p>
    <w:p w14:paraId="3E0D5284">
      <w:pPr>
        <w:pStyle w:val="19"/>
        <w:keepNext w:val="0"/>
        <w:keepLines w:val="0"/>
        <w:pageBreakBefore w:val="0"/>
        <w:widowControl w:val="0"/>
        <w:kinsoku/>
        <w:wordWrap/>
        <w:overflowPunct/>
        <w:topLinePunct w:val="0"/>
        <w:autoSpaceDE/>
        <w:autoSpaceDN/>
        <w:bidi w:val="0"/>
        <w:snapToGrid w:val="0"/>
        <w:spacing w:line="480" w:lineRule="exact"/>
        <w:textAlignment w:val="auto"/>
        <w:rPr>
          <w:rFonts w:hint="eastAsia" w:ascii="仿宋_GB2312" w:hAnsi="仿宋_GB2312" w:eastAsia="仿宋_GB2312" w:cs="仿宋_GB2312"/>
          <w:bCs/>
          <w:sz w:val="28"/>
          <w:szCs w:val="28"/>
          <w:highlight w:val="none"/>
        </w:rPr>
      </w:pPr>
      <w:r>
        <w:rPr>
          <w:rFonts w:hint="eastAsia" w:ascii="仿宋_GB2312" w:hAnsi="仿宋_GB2312" w:eastAsia="仿宋_GB2312" w:cs="仿宋_GB2312"/>
          <w:sz w:val="28"/>
          <w:szCs w:val="28"/>
          <w:highlight w:val="none"/>
        </w:rPr>
        <w:t>成本逼近法一般适用于土地市场狭小，土地成交实例不多的情况下。对于无收益又很少存在交易情况的案例比较适用。</w:t>
      </w:r>
    </w:p>
    <w:p w14:paraId="36E4766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Cs/>
          <w:sz w:val="28"/>
          <w:szCs w:val="28"/>
          <w:highlight w:val="none"/>
        </w:rPr>
        <w:t>估价对象所在区域房地产市场较为发达</w:t>
      </w:r>
      <w:r>
        <w:rPr>
          <w:rFonts w:hint="eastAsia" w:ascii="仿宋_GB2312" w:hAnsi="仿宋_GB2312" w:eastAsia="仿宋_GB2312" w:cs="仿宋_GB2312"/>
          <w:bCs/>
          <w:sz w:val="28"/>
          <w:szCs w:val="28"/>
          <w:highlight w:val="none"/>
          <w:lang w:eastAsia="zh-CN"/>
        </w:rPr>
        <w:t>，</w:t>
      </w:r>
      <w:r>
        <w:rPr>
          <w:rFonts w:hint="eastAsia" w:ascii="仿宋_GB2312" w:hAnsi="仿宋_GB2312" w:eastAsia="仿宋_GB2312" w:cs="仿宋_GB2312"/>
          <w:bCs/>
          <w:sz w:val="28"/>
          <w:szCs w:val="28"/>
          <w:highlight w:val="none"/>
        </w:rPr>
        <w:t>根据《城镇土地估价规程》，估价对象设定用途为</w:t>
      </w:r>
      <w:r>
        <w:rPr>
          <w:rFonts w:hint="eastAsia" w:ascii="仿宋_GB2312" w:hAnsi="仿宋_GB2312" w:eastAsia="仿宋_GB2312" w:cs="仿宋_GB2312"/>
          <w:bCs/>
          <w:sz w:val="28"/>
          <w:szCs w:val="28"/>
          <w:highlight w:val="none"/>
          <w:lang w:eastAsia="zh-CN"/>
        </w:rPr>
        <w:t>住宅</w:t>
      </w:r>
      <w:r>
        <w:rPr>
          <w:rFonts w:hint="eastAsia" w:ascii="仿宋_GB2312" w:hAnsi="仿宋_GB2312" w:eastAsia="仿宋_GB2312" w:cs="仿宋_GB2312"/>
          <w:bCs/>
          <w:sz w:val="28"/>
          <w:szCs w:val="28"/>
          <w:highlight w:val="none"/>
        </w:rPr>
        <w:t>用地，具有经营性性质，不宜采用成本逼近法。故本次评估不采用成本逼近法。</w:t>
      </w:r>
    </w:p>
    <w:p w14:paraId="2481422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US" w:eastAsia="zh-CN"/>
        </w:rPr>
        <w:t>综上所述，本次评估采用</w:t>
      </w:r>
      <w:r>
        <w:rPr>
          <w:rFonts w:hint="eastAsia" w:ascii="仿宋_GB2312" w:hAnsi="仿宋_GB2312" w:eastAsia="仿宋_GB2312" w:cs="仿宋_GB2312"/>
          <w:sz w:val="28"/>
          <w:szCs w:val="28"/>
          <w:highlight w:val="none"/>
        </w:rPr>
        <w:t>公示地价系数修正法</w:t>
      </w:r>
      <w:r>
        <w:rPr>
          <w:rFonts w:hint="eastAsia" w:ascii="仿宋_GB2312" w:hAnsi="仿宋_GB2312" w:eastAsia="仿宋_GB2312" w:cs="仿宋_GB2312"/>
          <w:b w:val="0"/>
          <w:bCs/>
          <w:color w:val="auto"/>
          <w:sz w:val="28"/>
          <w:szCs w:val="28"/>
          <w:highlight w:val="none"/>
          <w:lang w:val="en-US" w:eastAsia="zh-CN"/>
        </w:rPr>
        <w:t>和收益还原法进行评估确定。</w:t>
      </w:r>
    </w:p>
    <w:p w14:paraId="7C5472C1">
      <w:pPr>
        <w:keepNext w:val="0"/>
        <w:keepLines w:val="0"/>
        <w:pageBreakBefore w:val="0"/>
        <w:widowControl w:val="0"/>
        <w:kinsoku/>
        <w:wordWrap/>
        <w:overflowPunct/>
        <w:topLinePunct w:val="0"/>
        <w:bidi w:val="0"/>
        <w:adjustRightInd w:val="0"/>
        <w:snapToGrid w:val="0"/>
        <w:spacing w:line="480" w:lineRule="exact"/>
        <w:ind w:firstLine="560" w:firstLineChars="200"/>
        <w:outlineLvl w:val="2"/>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（三）估价结果</w:t>
      </w:r>
    </w:p>
    <w:p w14:paraId="72715146">
      <w:pPr>
        <w:keepNext w:val="0"/>
        <w:keepLines w:val="0"/>
        <w:pageBreakBefore w:val="0"/>
        <w:widowControl w:val="0"/>
        <w:kinsoku/>
        <w:wordWrap/>
        <w:overflowPunct/>
        <w:topLinePunct w:val="0"/>
        <w:bidi w:val="0"/>
        <w:adjustRightInd w:val="0"/>
        <w:snapToGrid w:val="0"/>
        <w:spacing w:line="480" w:lineRule="exact"/>
        <w:ind w:firstLine="560" w:firstLineChars="200"/>
        <w:outlineLvl w:val="3"/>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1、地价的确定</w:t>
      </w:r>
    </w:p>
    <w:p w14:paraId="4BB21764">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根据以上评估过程，</w:t>
      </w:r>
      <w:r>
        <w:rPr>
          <w:rFonts w:hint="eastAsia" w:ascii="仿宋_GB2312" w:hAnsi="仿宋_GB2312" w:eastAsia="仿宋_GB2312" w:cs="仿宋_GB2312"/>
          <w:bCs/>
          <w:sz w:val="28"/>
          <w:szCs w:val="28"/>
          <w:highlight w:val="none"/>
          <w:lang w:eastAsia="zh-CN"/>
        </w:rPr>
        <w:t>此次</w:t>
      </w:r>
      <w:r>
        <w:rPr>
          <w:rFonts w:hint="eastAsia" w:ascii="仿宋_GB2312" w:hAnsi="仿宋_GB2312" w:eastAsia="仿宋_GB2312" w:cs="仿宋_GB2312"/>
          <w:bCs/>
          <w:sz w:val="28"/>
          <w:szCs w:val="28"/>
          <w:highlight w:val="none"/>
        </w:rPr>
        <w:t>采用基准地价系数修正法和收益还原法两种方法进行评估。评估结果详见</w:t>
      </w:r>
      <w:r>
        <w:rPr>
          <w:rFonts w:hint="eastAsia" w:ascii="仿宋_GB2312" w:hAnsi="仿宋_GB2312" w:eastAsia="仿宋_GB2312" w:cs="仿宋_GB2312"/>
          <w:sz w:val="28"/>
          <w:szCs w:val="28"/>
          <w:highlight w:val="none"/>
        </w:rPr>
        <w:t>结果确定表</w:t>
      </w:r>
      <w:r>
        <w:rPr>
          <w:rFonts w:hint="eastAsia" w:ascii="仿宋_GB2312" w:hAnsi="仿宋_GB2312" w:eastAsia="仿宋_GB2312" w:cs="仿宋_GB2312"/>
          <w:bCs/>
          <w:sz w:val="28"/>
          <w:szCs w:val="28"/>
          <w:highlight w:val="none"/>
        </w:rPr>
        <w:t>。</w:t>
      </w:r>
    </w:p>
    <w:p w14:paraId="3BEF897E">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基准地价系数修正法是通过对待估宗地的区域条件和个别条件等与其所处区域的平均条件相比较，通过一定的修正系数得到待估宗地在估价期日价格的方法。基准地价是通过科学方法测算而来，是</w:t>
      </w:r>
      <w:r>
        <w:rPr>
          <w:rFonts w:hint="eastAsia" w:ascii="仿宋_GB2312" w:hAnsi="仿宋_GB2312" w:eastAsia="仿宋_GB2312" w:cs="仿宋_GB2312"/>
          <w:sz w:val="28"/>
          <w:szCs w:val="28"/>
          <w:highlight w:val="none"/>
          <w:lang w:val="en-US" w:eastAsia="zh-CN"/>
        </w:rPr>
        <w:t>通道县</w:t>
      </w:r>
      <w:r>
        <w:rPr>
          <w:rFonts w:hint="eastAsia" w:ascii="仿宋_GB2312" w:hAnsi="仿宋_GB2312" w:eastAsia="仿宋_GB2312" w:cs="仿宋_GB2312"/>
          <w:sz w:val="28"/>
          <w:szCs w:val="28"/>
          <w:highlight w:val="none"/>
        </w:rPr>
        <w:t>人民政府土地市场宏观管理的有效工具，基准地价的适应性较强，运用基准地价系数修正法评估的结果依据较为充分。</w:t>
      </w:r>
    </w:p>
    <w:p w14:paraId="6D708C2D">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收益还原法是在估算估价对象在未来每年预期纯收益（正常年纯收益）的基础上，以一定的土地还原率，将评估对象在未来每年的纯收益折算为估价期日收益总和的一种方法。因此该方法的测算结果能够比较真实的反映待估宗地的客观合理的市场价格。</w:t>
      </w:r>
    </w:p>
    <w:p w14:paraId="42165FD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综合分析，两种方法评估的结果内涵一致</w:t>
      </w:r>
      <w:r>
        <w:rPr>
          <w:rFonts w:hint="eastAsia" w:ascii="仿宋_GB2312" w:hAnsi="仿宋_GB2312" w:eastAsia="仿宋_GB2312" w:cs="仿宋_GB2312"/>
          <w:sz w:val="28"/>
          <w:szCs w:val="28"/>
          <w:highlight w:val="none"/>
          <w:lang w:eastAsia="zh-CN"/>
        </w:rPr>
        <w:t>，</w:t>
      </w:r>
      <w:r>
        <w:rPr>
          <w:rFonts w:hint="eastAsia" w:ascii="仿宋_GB2312" w:hAnsi="仿宋_GB2312" w:eastAsia="仿宋_GB2312" w:cs="仿宋_GB2312"/>
          <w:sz w:val="28"/>
          <w:szCs w:val="28"/>
          <w:highlight w:val="none"/>
          <w:lang w:val="en-US" w:eastAsia="zh-CN"/>
        </w:rPr>
        <w:t>价格接近，</w:t>
      </w:r>
      <w:r>
        <w:rPr>
          <w:rFonts w:hint="eastAsia" w:ascii="仿宋_GB2312" w:hAnsi="仿宋_GB2312" w:eastAsia="仿宋_GB2312" w:cs="仿宋_GB2312"/>
          <w:sz w:val="28"/>
          <w:szCs w:val="28"/>
          <w:highlight w:val="none"/>
        </w:rPr>
        <w:t>根据项目特点，综合考虑估价对象所在区域的地价水平，确定以收益还原法测算结果与基准地价系数修正法测算结果的</w:t>
      </w:r>
      <w:r>
        <w:rPr>
          <w:rFonts w:hint="eastAsia" w:ascii="仿宋_GB2312" w:hAnsi="仿宋_GB2312" w:eastAsia="仿宋_GB2312" w:cs="仿宋_GB2312"/>
          <w:sz w:val="28"/>
          <w:szCs w:val="28"/>
          <w:highlight w:val="none"/>
          <w:lang w:val="en-US" w:eastAsia="zh-CN"/>
        </w:rPr>
        <w:t>加权</w:t>
      </w:r>
      <w:r>
        <w:rPr>
          <w:rFonts w:hint="eastAsia" w:ascii="仿宋_GB2312" w:hAnsi="仿宋_GB2312" w:eastAsia="仿宋_GB2312" w:cs="仿宋_GB2312"/>
          <w:sz w:val="28"/>
          <w:szCs w:val="28"/>
          <w:highlight w:val="none"/>
        </w:rPr>
        <w:t>平均值（取整）作为最终结果较为合理。</w:t>
      </w:r>
    </w:p>
    <w:p w14:paraId="773D548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sz w:val="28"/>
          <w:szCs w:val="28"/>
          <w:highlight w:val="none"/>
        </w:rPr>
        <w:t>故本次评估确定现状使用条件下的出让土地使用权价格采取上述两种方法测算结果的</w:t>
      </w:r>
      <w:r>
        <w:rPr>
          <w:rFonts w:hint="eastAsia" w:ascii="仿宋_GB2312" w:hAnsi="仿宋_GB2312" w:eastAsia="仿宋_GB2312" w:cs="仿宋_GB2312"/>
          <w:sz w:val="28"/>
          <w:szCs w:val="28"/>
          <w:highlight w:val="none"/>
          <w:lang w:val="en-US" w:eastAsia="zh-CN"/>
        </w:rPr>
        <w:t>加权</w:t>
      </w:r>
      <w:r>
        <w:rPr>
          <w:rFonts w:hint="eastAsia" w:ascii="仿宋_GB2312" w:hAnsi="仿宋_GB2312" w:eastAsia="仿宋_GB2312" w:cs="仿宋_GB2312"/>
          <w:sz w:val="28"/>
          <w:szCs w:val="28"/>
          <w:highlight w:val="none"/>
        </w:rPr>
        <w:t>平均值作为最终评估结果，具体地价结果确定详见下表。</w:t>
      </w:r>
    </w:p>
    <w:p w14:paraId="15A41E6D">
      <w:pPr>
        <w:pStyle w:val="2"/>
        <w:keepNext w:val="0"/>
        <w:keepLines w:val="0"/>
        <w:pageBreakBefore w:val="0"/>
        <w:widowControl/>
        <w:kinsoku w:val="0"/>
        <w:wordWrap/>
        <w:overflowPunct/>
        <w:topLinePunct w:val="0"/>
        <w:autoSpaceDE w:val="0"/>
        <w:autoSpaceDN w:val="0"/>
        <w:bidi w:val="0"/>
        <w:adjustRightInd w:val="0"/>
        <w:snapToGrid w:val="0"/>
        <w:spacing w:before="157" w:beforeLines="50" w:after="10" w:line="240" w:lineRule="atLeast"/>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 xml:space="preserve">表3-1  </w:t>
      </w:r>
      <w:r>
        <w:rPr>
          <w:rFonts w:hint="eastAsia" w:ascii="仿宋_GB2312" w:hAnsi="仿宋_GB2312" w:cs="仿宋_GB2312"/>
          <w:b w:val="0"/>
          <w:bCs/>
          <w:color w:val="auto"/>
          <w:kern w:val="2"/>
          <w:sz w:val="28"/>
          <w:szCs w:val="28"/>
          <w:highlight w:val="none"/>
          <w:lang w:val="en-US" w:eastAsia="zh-CN" w:bidi="ar-SA"/>
        </w:rPr>
        <w:t>估价对象地价</w:t>
      </w:r>
      <w:r>
        <w:rPr>
          <w:rFonts w:hint="eastAsia" w:ascii="仿宋_GB2312" w:hAnsi="仿宋_GB2312" w:eastAsia="仿宋_GB2312" w:cs="仿宋_GB2312"/>
          <w:b w:val="0"/>
          <w:bCs/>
          <w:color w:val="auto"/>
          <w:kern w:val="2"/>
          <w:sz w:val="28"/>
          <w:szCs w:val="28"/>
          <w:highlight w:val="none"/>
          <w:lang w:val="en-US" w:eastAsia="zh-CN" w:bidi="ar-SA"/>
        </w:rPr>
        <w:t>表</w:t>
      </w:r>
    </w:p>
    <w:tbl>
      <w:tblPr>
        <w:tblStyle w:val="11"/>
        <w:tblW w:w="523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9"/>
        <w:gridCol w:w="1147"/>
        <w:gridCol w:w="838"/>
        <w:gridCol w:w="559"/>
        <w:gridCol w:w="926"/>
        <w:gridCol w:w="647"/>
        <w:gridCol w:w="971"/>
        <w:gridCol w:w="882"/>
        <w:gridCol w:w="794"/>
        <w:gridCol w:w="912"/>
      </w:tblGrid>
      <w:tr w14:paraId="27BAC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694" w:type="pct"/>
            <w:vMerge w:val="restart"/>
            <w:noWrap w:val="0"/>
            <w:vAlign w:val="center"/>
          </w:tcPr>
          <w:p w14:paraId="406CAA12">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rPr>
            </w:pPr>
            <w:r>
              <w:rPr>
                <w:rFonts w:hint="eastAsia" w:ascii="仿宋_GB2312" w:hAnsi="仿宋_GB2312" w:eastAsia="仿宋_GB2312" w:cs="仿宋_GB2312"/>
                <w:snapToGrid w:val="0"/>
                <w:sz w:val="20"/>
                <w:szCs w:val="20"/>
                <w:highlight w:val="none"/>
              </w:rPr>
              <w:t>评估项目</w:t>
            </w:r>
          </w:p>
        </w:tc>
        <w:tc>
          <w:tcPr>
            <w:tcW w:w="643" w:type="pct"/>
            <w:vMerge w:val="restart"/>
            <w:noWrap w:val="0"/>
            <w:vAlign w:val="center"/>
          </w:tcPr>
          <w:p w14:paraId="1AC52773">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rPr>
            </w:pPr>
            <w:r>
              <w:rPr>
                <w:rFonts w:hint="eastAsia" w:ascii="仿宋_GB2312" w:hAnsi="仿宋_GB2312" w:eastAsia="仿宋_GB2312" w:cs="仿宋_GB2312"/>
                <w:snapToGrid w:val="0"/>
                <w:sz w:val="20"/>
                <w:szCs w:val="20"/>
                <w:highlight w:val="none"/>
              </w:rPr>
              <w:t>用途</w:t>
            </w:r>
          </w:p>
        </w:tc>
        <w:tc>
          <w:tcPr>
            <w:tcW w:w="783" w:type="pct"/>
            <w:gridSpan w:val="2"/>
            <w:noWrap w:val="0"/>
            <w:vAlign w:val="center"/>
          </w:tcPr>
          <w:p w14:paraId="0CC35DDD">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0"/>
                <w:szCs w:val="20"/>
                <w:highlight w:val="none"/>
                <w:lang w:val="en-US" w:eastAsia="zh-CN"/>
              </w:rPr>
            </w:pPr>
            <w:r>
              <w:rPr>
                <w:rFonts w:hint="eastAsia" w:ascii="仿宋_GB2312" w:hAnsi="仿宋_GB2312" w:eastAsia="仿宋_GB2312" w:cs="仿宋_GB2312"/>
                <w:snapToGrid w:val="0"/>
                <w:sz w:val="20"/>
                <w:szCs w:val="20"/>
                <w:highlight w:val="none"/>
                <w:lang w:val="en-US" w:eastAsia="zh-CN"/>
              </w:rPr>
              <w:t>基准地价系数修正法</w:t>
            </w:r>
          </w:p>
        </w:tc>
        <w:tc>
          <w:tcPr>
            <w:tcW w:w="882" w:type="pct"/>
            <w:gridSpan w:val="2"/>
            <w:noWrap w:val="0"/>
            <w:vAlign w:val="center"/>
          </w:tcPr>
          <w:p w14:paraId="1EAC7542">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rPr>
            </w:pPr>
            <w:r>
              <w:rPr>
                <w:rFonts w:hint="eastAsia" w:ascii="仿宋_GB2312" w:hAnsi="仿宋_GB2312" w:eastAsia="仿宋_GB2312" w:cs="仿宋_GB2312"/>
                <w:snapToGrid w:val="0"/>
                <w:sz w:val="20"/>
                <w:szCs w:val="20"/>
                <w:highlight w:val="none"/>
                <w:lang w:val="en-US" w:eastAsia="zh-CN"/>
              </w:rPr>
              <w:t>收益还原法</w:t>
            </w:r>
          </w:p>
        </w:tc>
        <w:tc>
          <w:tcPr>
            <w:tcW w:w="544" w:type="pct"/>
            <w:vMerge w:val="restart"/>
            <w:noWrap w:val="0"/>
            <w:vAlign w:val="center"/>
          </w:tcPr>
          <w:p w14:paraId="29AD2801">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rPr>
            </w:pPr>
            <w:r>
              <w:rPr>
                <w:rFonts w:hint="eastAsia" w:ascii="仿宋_GB2312" w:hAnsi="仿宋_GB2312" w:eastAsia="仿宋_GB2312" w:cs="仿宋_GB2312"/>
                <w:snapToGrid w:val="0"/>
                <w:sz w:val="20"/>
                <w:szCs w:val="20"/>
                <w:highlight w:val="none"/>
              </w:rPr>
              <w:t>确定土地单价</w:t>
            </w:r>
          </w:p>
          <w:p w14:paraId="6B39FC0D">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rPr>
            </w:pPr>
            <w:r>
              <w:rPr>
                <w:rFonts w:hint="eastAsia" w:ascii="仿宋_GB2312" w:hAnsi="仿宋_GB2312" w:eastAsia="仿宋_GB2312" w:cs="仿宋_GB2312"/>
                <w:snapToGrid w:val="0"/>
                <w:sz w:val="20"/>
                <w:szCs w:val="20"/>
                <w:highlight w:val="none"/>
              </w:rPr>
              <w:t>（元/ m</w:t>
            </w:r>
            <w:r>
              <w:rPr>
                <w:rFonts w:hint="eastAsia" w:ascii="仿宋_GB2312" w:hAnsi="仿宋_GB2312" w:eastAsia="仿宋_GB2312" w:cs="仿宋_GB2312"/>
                <w:snapToGrid w:val="0"/>
                <w:sz w:val="20"/>
                <w:szCs w:val="20"/>
                <w:highlight w:val="none"/>
                <w:vertAlign w:val="superscript"/>
              </w:rPr>
              <w:t>2</w:t>
            </w:r>
            <w:r>
              <w:rPr>
                <w:rFonts w:hint="eastAsia" w:ascii="仿宋_GB2312" w:hAnsi="仿宋_GB2312" w:eastAsia="仿宋_GB2312" w:cs="仿宋_GB2312"/>
                <w:snapToGrid w:val="0"/>
                <w:sz w:val="20"/>
                <w:szCs w:val="20"/>
                <w:highlight w:val="none"/>
              </w:rPr>
              <w:t>）</w:t>
            </w:r>
          </w:p>
        </w:tc>
        <w:tc>
          <w:tcPr>
            <w:tcW w:w="494" w:type="pct"/>
            <w:vMerge w:val="restart"/>
            <w:noWrap w:val="0"/>
            <w:vAlign w:val="center"/>
          </w:tcPr>
          <w:p w14:paraId="7E3B4241">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rPr>
            </w:pPr>
            <w:r>
              <w:rPr>
                <w:rFonts w:hint="eastAsia" w:ascii="仿宋_GB2312" w:hAnsi="仿宋_GB2312" w:eastAsia="仿宋_GB2312" w:cs="仿宋_GB2312"/>
                <w:snapToGrid w:val="0"/>
                <w:sz w:val="20"/>
                <w:szCs w:val="20"/>
                <w:highlight w:val="none"/>
              </w:rPr>
              <w:t>土地面积（m</w:t>
            </w:r>
            <w:r>
              <w:rPr>
                <w:rFonts w:hint="eastAsia" w:ascii="仿宋_GB2312" w:hAnsi="仿宋_GB2312" w:eastAsia="仿宋_GB2312" w:cs="仿宋_GB2312"/>
                <w:snapToGrid w:val="0"/>
                <w:sz w:val="20"/>
                <w:szCs w:val="20"/>
                <w:highlight w:val="none"/>
                <w:vertAlign w:val="superscript"/>
              </w:rPr>
              <w:t>2</w:t>
            </w:r>
            <w:r>
              <w:rPr>
                <w:rFonts w:hint="eastAsia" w:ascii="仿宋_GB2312" w:hAnsi="仿宋_GB2312" w:eastAsia="仿宋_GB2312" w:cs="仿宋_GB2312"/>
                <w:snapToGrid w:val="0"/>
                <w:sz w:val="20"/>
                <w:szCs w:val="20"/>
                <w:highlight w:val="none"/>
              </w:rPr>
              <w:t>）</w:t>
            </w:r>
          </w:p>
        </w:tc>
        <w:tc>
          <w:tcPr>
            <w:tcW w:w="445" w:type="pct"/>
            <w:vMerge w:val="restart"/>
            <w:noWrap w:val="0"/>
            <w:vAlign w:val="center"/>
          </w:tcPr>
          <w:p w14:paraId="626216B1">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rPr>
            </w:pPr>
            <w:r>
              <w:rPr>
                <w:rFonts w:hint="eastAsia" w:ascii="仿宋_GB2312" w:hAnsi="仿宋_GB2312" w:eastAsia="仿宋_GB2312" w:cs="仿宋_GB2312"/>
                <w:snapToGrid w:val="0"/>
                <w:sz w:val="20"/>
                <w:szCs w:val="20"/>
                <w:highlight w:val="none"/>
              </w:rPr>
              <w:t>土地总价（万元）</w:t>
            </w:r>
          </w:p>
        </w:tc>
        <w:tc>
          <w:tcPr>
            <w:tcW w:w="511" w:type="pct"/>
            <w:vMerge w:val="restart"/>
            <w:noWrap w:val="0"/>
            <w:vAlign w:val="center"/>
          </w:tcPr>
          <w:p w14:paraId="5A9A4DF1">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rPr>
            </w:pPr>
            <w:r>
              <w:rPr>
                <w:rFonts w:hint="eastAsia" w:ascii="仿宋_GB2312" w:hAnsi="仿宋_GB2312" w:eastAsia="仿宋_GB2312" w:cs="仿宋_GB2312"/>
                <w:snapToGrid w:val="0"/>
                <w:sz w:val="20"/>
                <w:szCs w:val="20"/>
                <w:highlight w:val="none"/>
                <w:lang w:val="en-US" w:eastAsia="zh-CN"/>
              </w:rPr>
              <w:t>楼面地价</w:t>
            </w:r>
            <w:r>
              <w:rPr>
                <w:rFonts w:hint="eastAsia" w:ascii="仿宋_GB2312" w:hAnsi="仿宋_GB2312" w:eastAsia="仿宋_GB2312" w:cs="仿宋_GB2312"/>
                <w:snapToGrid w:val="0"/>
                <w:sz w:val="20"/>
                <w:szCs w:val="20"/>
                <w:highlight w:val="none"/>
              </w:rPr>
              <w:t>（元/m</w:t>
            </w:r>
            <w:r>
              <w:rPr>
                <w:rFonts w:hint="eastAsia" w:ascii="仿宋_GB2312" w:hAnsi="仿宋_GB2312" w:eastAsia="仿宋_GB2312" w:cs="仿宋_GB2312"/>
                <w:snapToGrid w:val="0"/>
                <w:sz w:val="20"/>
                <w:szCs w:val="20"/>
                <w:highlight w:val="none"/>
                <w:vertAlign w:val="superscript"/>
              </w:rPr>
              <w:t>2</w:t>
            </w:r>
            <w:r>
              <w:rPr>
                <w:rFonts w:hint="eastAsia" w:ascii="仿宋_GB2312" w:hAnsi="仿宋_GB2312" w:eastAsia="仿宋_GB2312" w:cs="仿宋_GB2312"/>
                <w:snapToGrid w:val="0"/>
                <w:sz w:val="20"/>
                <w:szCs w:val="20"/>
                <w:highlight w:val="none"/>
              </w:rPr>
              <w:t>）</w:t>
            </w:r>
          </w:p>
        </w:tc>
      </w:tr>
      <w:tr w14:paraId="0491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694" w:type="pct"/>
            <w:vMerge w:val="continue"/>
            <w:noWrap w:val="0"/>
            <w:vAlign w:val="center"/>
          </w:tcPr>
          <w:p w14:paraId="32BE314C">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rPr>
            </w:pPr>
          </w:p>
        </w:tc>
        <w:tc>
          <w:tcPr>
            <w:tcW w:w="643" w:type="pct"/>
            <w:vMerge w:val="continue"/>
            <w:noWrap w:val="0"/>
            <w:vAlign w:val="center"/>
          </w:tcPr>
          <w:p w14:paraId="3C703F28">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rPr>
            </w:pPr>
          </w:p>
        </w:tc>
        <w:tc>
          <w:tcPr>
            <w:tcW w:w="469" w:type="pct"/>
            <w:noWrap w:val="0"/>
            <w:vAlign w:val="center"/>
          </w:tcPr>
          <w:p w14:paraId="3284B7C4">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rPr>
            </w:pPr>
            <w:r>
              <w:rPr>
                <w:rFonts w:hint="eastAsia" w:ascii="仿宋_GB2312" w:hAnsi="仿宋_GB2312" w:eastAsia="仿宋_GB2312" w:cs="仿宋_GB2312"/>
                <w:snapToGrid w:val="0"/>
                <w:sz w:val="20"/>
                <w:szCs w:val="20"/>
                <w:highlight w:val="none"/>
              </w:rPr>
              <w:t>土地单价（元/ m</w:t>
            </w:r>
            <w:r>
              <w:rPr>
                <w:rFonts w:hint="eastAsia" w:ascii="仿宋_GB2312" w:hAnsi="仿宋_GB2312" w:eastAsia="仿宋_GB2312" w:cs="仿宋_GB2312"/>
                <w:snapToGrid w:val="0"/>
                <w:sz w:val="20"/>
                <w:szCs w:val="20"/>
                <w:highlight w:val="none"/>
                <w:vertAlign w:val="superscript"/>
              </w:rPr>
              <w:t>2</w:t>
            </w:r>
            <w:r>
              <w:rPr>
                <w:rFonts w:hint="eastAsia" w:ascii="仿宋_GB2312" w:hAnsi="仿宋_GB2312" w:eastAsia="仿宋_GB2312" w:cs="仿宋_GB2312"/>
                <w:snapToGrid w:val="0"/>
                <w:sz w:val="20"/>
                <w:szCs w:val="20"/>
                <w:highlight w:val="none"/>
              </w:rPr>
              <w:t>）</w:t>
            </w:r>
          </w:p>
        </w:tc>
        <w:tc>
          <w:tcPr>
            <w:tcW w:w="313" w:type="pct"/>
            <w:noWrap w:val="0"/>
            <w:vAlign w:val="center"/>
          </w:tcPr>
          <w:p w14:paraId="1AF18A68">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rPr>
            </w:pPr>
            <w:r>
              <w:rPr>
                <w:rFonts w:hint="eastAsia" w:ascii="仿宋_GB2312" w:hAnsi="仿宋_GB2312" w:eastAsia="仿宋_GB2312" w:cs="仿宋_GB2312"/>
                <w:snapToGrid w:val="0"/>
                <w:sz w:val="20"/>
                <w:szCs w:val="20"/>
                <w:highlight w:val="none"/>
              </w:rPr>
              <w:t>权重</w:t>
            </w:r>
          </w:p>
        </w:tc>
        <w:tc>
          <w:tcPr>
            <w:tcW w:w="519" w:type="pct"/>
            <w:noWrap w:val="0"/>
            <w:vAlign w:val="center"/>
          </w:tcPr>
          <w:p w14:paraId="4C24E6C3">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rPr>
            </w:pPr>
            <w:r>
              <w:rPr>
                <w:rFonts w:hint="eastAsia" w:ascii="仿宋_GB2312" w:hAnsi="仿宋_GB2312" w:eastAsia="仿宋_GB2312" w:cs="仿宋_GB2312"/>
                <w:snapToGrid w:val="0"/>
                <w:sz w:val="20"/>
                <w:szCs w:val="20"/>
                <w:highlight w:val="none"/>
              </w:rPr>
              <w:t>土地单价（元/ m</w:t>
            </w:r>
            <w:r>
              <w:rPr>
                <w:rFonts w:hint="eastAsia" w:ascii="仿宋_GB2312" w:hAnsi="仿宋_GB2312" w:eastAsia="仿宋_GB2312" w:cs="仿宋_GB2312"/>
                <w:snapToGrid w:val="0"/>
                <w:sz w:val="20"/>
                <w:szCs w:val="20"/>
                <w:highlight w:val="none"/>
                <w:vertAlign w:val="superscript"/>
              </w:rPr>
              <w:t>2</w:t>
            </w:r>
            <w:r>
              <w:rPr>
                <w:rFonts w:hint="eastAsia" w:ascii="仿宋_GB2312" w:hAnsi="仿宋_GB2312" w:eastAsia="仿宋_GB2312" w:cs="仿宋_GB2312"/>
                <w:snapToGrid w:val="0"/>
                <w:sz w:val="20"/>
                <w:szCs w:val="20"/>
                <w:highlight w:val="none"/>
              </w:rPr>
              <w:t>）</w:t>
            </w:r>
          </w:p>
        </w:tc>
        <w:tc>
          <w:tcPr>
            <w:tcW w:w="362" w:type="pct"/>
            <w:noWrap w:val="0"/>
            <w:vAlign w:val="center"/>
          </w:tcPr>
          <w:p w14:paraId="29014217">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rPr>
            </w:pPr>
            <w:r>
              <w:rPr>
                <w:rFonts w:hint="eastAsia" w:ascii="仿宋_GB2312" w:hAnsi="仿宋_GB2312" w:eastAsia="仿宋_GB2312" w:cs="仿宋_GB2312"/>
                <w:snapToGrid w:val="0"/>
                <w:sz w:val="20"/>
                <w:szCs w:val="20"/>
                <w:highlight w:val="none"/>
              </w:rPr>
              <w:t>权重</w:t>
            </w:r>
          </w:p>
        </w:tc>
        <w:tc>
          <w:tcPr>
            <w:tcW w:w="544" w:type="pct"/>
            <w:vMerge w:val="continue"/>
            <w:noWrap w:val="0"/>
            <w:vAlign w:val="center"/>
          </w:tcPr>
          <w:p w14:paraId="29936837">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rPr>
            </w:pPr>
          </w:p>
        </w:tc>
        <w:tc>
          <w:tcPr>
            <w:tcW w:w="494" w:type="pct"/>
            <w:vMerge w:val="continue"/>
            <w:noWrap w:val="0"/>
            <w:vAlign w:val="center"/>
          </w:tcPr>
          <w:p w14:paraId="5AE511FF">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rPr>
            </w:pPr>
          </w:p>
        </w:tc>
        <w:tc>
          <w:tcPr>
            <w:tcW w:w="445" w:type="pct"/>
            <w:vMerge w:val="continue"/>
            <w:noWrap w:val="0"/>
            <w:vAlign w:val="center"/>
          </w:tcPr>
          <w:p w14:paraId="500B0853">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rPr>
            </w:pPr>
          </w:p>
        </w:tc>
        <w:tc>
          <w:tcPr>
            <w:tcW w:w="511" w:type="pct"/>
            <w:vMerge w:val="continue"/>
            <w:noWrap w:val="0"/>
            <w:vAlign w:val="center"/>
          </w:tcPr>
          <w:p w14:paraId="726DFABF">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rPr>
            </w:pPr>
          </w:p>
        </w:tc>
      </w:tr>
      <w:tr w14:paraId="0E393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jc w:val="center"/>
        </w:trPr>
        <w:tc>
          <w:tcPr>
            <w:tcW w:w="694" w:type="pct"/>
            <w:vMerge w:val="restart"/>
            <w:noWrap w:val="0"/>
            <w:vAlign w:val="center"/>
          </w:tcPr>
          <w:p w14:paraId="01366864">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0"/>
                <w:szCs w:val="20"/>
                <w:highlight w:val="none"/>
                <w:lang w:val="en-US" w:eastAsia="zh-CN"/>
              </w:rPr>
            </w:pPr>
            <w:r>
              <w:rPr>
                <w:rFonts w:hint="eastAsia" w:ascii="仿宋_GB2312" w:hAnsi="仿宋_GB2312" w:eastAsia="仿宋_GB2312" w:cs="仿宋_GB2312"/>
                <w:snapToGrid w:val="0"/>
                <w:sz w:val="20"/>
                <w:szCs w:val="20"/>
                <w:highlight w:val="none"/>
                <w:lang w:val="en-US" w:eastAsia="zh-CN"/>
              </w:rPr>
              <w:t>通道县双江镇行政街</w:t>
            </w:r>
          </w:p>
        </w:tc>
        <w:tc>
          <w:tcPr>
            <w:tcW w:w="643" w:type="pct"/>
            <w:noWrap w:val="0"/>
            <w:vAlign w:val="center"/>
          </w:tcPr>
          <w:p w14:paraId="2E8ED716">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0"/>
                <w:szCs w:val="20"/>
                <w:highlight w:val="none"/>
                <w:lang w:val="en-US" w:eastAsia="zh-CN"/>
              </w:rPr>
            </w:pPr>
            <w:r>
              <w:rPr>
                <w:rFonts w:hint="eastAsia" w:ascii="仿宋_GB2312" w:hAnsi="仿宋_GB2312" w:eastAsia="仿宋_GB2312" w:cs="仿宋_GB2312"/>
                <w:snapToGrid w:val="0"/>
                <w:sz w:val="20"/>
                <w:szCs w:val="20"/>
                <w:highlight w:val="none"/>
                <w:lang w:val="en-US" w:eastAsia="zh-CN"/>
              </w:rPr>
              <w:t>商服用地</w:t>
            </w:r>
          </w:p>
        </w:tc>
        <w:tc>
          <w:tcPr>
            <w:tcW w:w="469" w:type="pct"/>
            <w:noWrap w:val="0"/>
            <w:vAlign w:val="center"/>
          </w:tcPr>
          <w:p w14:paraId="46F3D54D">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7168</w:t>
            </w:r>
          </w:p>
        </w:tc>
        <w:tc>
          <w:tcPr>
            <w:tcW w:w="313" w:type="pct"/>
            <w:noWrap w:val="0"/>
            <w:vAlign w:val="center"/>
          </w:tcPr>
          <w:p w14:paraId="632C473E">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50%</w:t>
            </w:r>
          </w:p>
        </w:tc>
        <w:tc>
          <w:tcPr>
            <w:tcW w:w="519" w:type="pct"/>
            <w:noWrap w:val="0"/>
            <w:vAlign w:val="center"/>
          </w:tcPr>
          <w:p w14:paraId="4316D338">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6103.3</w:t>
            </w:r>
          </w:p>
        </w:tc>
        <w:tc>
          <w:tcPr>
            <w:tcW w:w="362" w:type="pct"/>
            <w:noWrap w:val="0"/>
            <w:vAlign w:val="center"/>
          </w:tcPr>
          <w:p w14:paraId="4EF4BF67">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50%</w:t>
            </w:r>
          </w:p>
        </w:tc>
        <w:tc>
          <w:tcPr>
            <w:tcW w:w="544" w:type="pct"/>
            <w:noWrap w:val="0"/>
            <w:vAlign w:val="center"/>
          </w:tcPr>
          <w:p w14:paraId="715B1BFD">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6636</w:t>
            </w:r>
          </w:p>
        </w:tc>
        <w:tc>
          <w:tcPr>
            <w:tcW w:w="494" w:type="pct"/>
            <w:noWrap w:val="0"/>
            <w:vAlign w:val="center"/>
          </w:tcPr>
          <w:p w14:paraId="76C9DBC2">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40.38</w:t>
            </w:r>
          </w:p>
        </w:tc>
        <w:tc>
          <w:tcPr>
            <w:tcW w:w="445" w:type="pct"/>
            <w:noWrap w:val="0"/>
            <w:vAlign w:val="center"/>
          </w:tcPr>
          <w:p w14:paraId="7D1476C1">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26.8</w:t>
            </w:r>
          </w:p>
        </w:tc>
        <w:tc>
          <w:tcPr>
            <w:tcW w:w="511" w:type="pct"/>
            <w:noWrap w:val="0"/>
            <w:vAlign w:val="center"/>
          </w:tcPr>
          <w:p w14:paraId="5CB57960">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252.3</w:t>
            </w:r>
          </w:p>
        </w:tc>
      </w:tr>
      <w:tr w14:paraId="6399D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694" w:type="pct"/>
            <w:vMerge w:val="continue"/>
            <w:noWrap w:val="0"/>
            <w:vAlign w:val="center"/>
          </w:tcPr>
          <w:p w14:paraId="5CA3BD5D">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lang w:val="en-US" w:eastAsia="zh-CN"/>
              </w:rPr>
            </w:pPr>
          </w:p>
        </w:tc>
        <w:tc>
          <w:tcPr>
            <w:tcW w:w="643" w:type="pct"/>
            <w:noWrap w:val="0"/>
            <w:vAlign w:val="center"/>
          </w:tcPr>
          <w:p w14:paraId="738EDEC8">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0"/>
                <w:szCs w:val="20"/>
                <w:highlight w:val="none"/>
                <w:lang w:val="en-US" w:eastAsia="zh-CN"/>
              </w:rPr>
            </w:pPr>
            <w:r>
              <w:rPr>
                <w:rFonts w:hint="eastAsia" w:ascii="仿宋_GB2312" w:hAnsi="仿宋_GB2312" w:eastAsia="仿宋_GB2312" w:cs="仿宋_GB2312"/>
                <w:snapToGrid w:val="0"/>
                <w:sz w:val="20"/>
                <w:szCs w:val="20"/>
                <w:highlight w:val="none"/>
                <w:lang w:val="en-US" w:eastAsia="zh-CN"/>
              </w:rPr>
              <w:t>住宅用地</w:t>
            </w:r>
          </w:p>
        </w:tc>
        <w:tc>
          <w:tcPr>
            <w:tcW w:w="469" w:type="pct"/>
            <w:noWrap w:val="0"/>
            <w:vAlign w:val="center"/>
          </w:tcPr>
          <w:p w14:paraId="47E6A1BE">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1023.5</w:t>
            </w:r>
          </w:p>
        </w:tc>
        <w:tc>
          <w:tcPr>
            <w:tcW w:w="313" w:type="pct"/>
            <w:noWrap w:val="0"/>
            <w:vAlign w:val="center"/>
          </w:tcPr>
          <w:p w14:paraId="083B6D4C">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50%</w:t>
            </w:r>
          </w:p>
        </w:tc>
        <w:tc>
          <w:tcPr>
            <w:tcW w:w="519" w:type="pct"/>
            <w:noWrap w:val="0"/>
            <w:vAlign w:val="center"/>
          </w:tcPr>
          <w:p w14:paraId="09624604">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1447.5</w:t>
            </w:r>
          </w:p>
        </w:tc>
        <w:tc>
          <w:tcPr>
            <w:tcW w:w="362" w:type="pct"/>
            <w:noWrap w:val="0"/>
            <w:vAlign w:val="center"/>
          </w:tcPr>
          <w:p w14:paraId="3E0158DA">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50%</w:t>
            </w:r>
          </w:p>
        </w:tc>
        <w:tc>
          <w:tcPr>
            <w:tcW w:w="544" w:type="pct"/>
            <w:noWrap w:val="0"/>
            <w:vAlign w:val="center"/>
          </w:tcPr>
          <w:p w14:paraId="2C1C4658">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1236</w:t>
            </w:r>
          </w:p>
        </w:tc>
        <w:tc>
          <w:tcPr>
            <w:tcW w:w="494" w:type="pct"/>
            <w:noWrap w:val="0"/>
            <w:vAlign w:val="center"/>
          </w:tcPr>
          <w:p w14:paraId="625E879D">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142.89</w:t>
            </w:r>
          </w:p>
        </w:tc>
        <w:tc>
          <w:tcPr>
            <w:tcW w:w="445" w:type="pct"/>
            <w:noWrap w:val="0"/>
            <w:vAlign w:val="center"/>
          </w:tcPr>
          <w:p w14:paraId="23ABFD76">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17.66</w:t>
            </w:r>
          </w:p>
        </w:tc>
        <w:tc>
          <w:tcPr>
            <w:tcW w:w="511" w:type="pct"/>
            <w:noWrap w:val="0"/>
            <w:vAlign w:val="center"/>
          </w:tcPr>
          <w:p w14:paraId="79F2240C">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1630.5</w:t>
            </w:r>
          </w:p>
        </w:tc>
      </w:tr>
      <w:tr w14:paraId="0D229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694" w:type="pct"/>
            <w:noWrap w:val="0"/>
            <w:vAlign w:val="center"/>
          </w:tcPr>
          <w:p w14:paraId="0F2051D6">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0"/>
                <w:szCs w:val="20"/>
                <w:highlight w:val="none"/>
                <w:lang w:val="en-US" w:eastAsia="zh-CN"/>
              </w:rPr>
            </w:pPr>
            <w:r>
              <w:rPr>
                <w:rFonts w:hint="eastAsia" w:ascii="仿宋_GB2312" w:hAnsi="仿宋_GB2312" w:eastAsia="仿宋_GB2312" w:cs="仿宋_GB2312"/>
                <w:snapToGrid w:val="0"/>
                <w:sz w:val="20"/>
                <w:szCs w:val="20"/>
                <w:highlight w:val="none"/>
                <w:lang w:val="en-US" w:eastAsia="zh-CN"/>
              </w:rPr>
              <w:t>合计</w:t>
            </w:r>
          </w:p>
        </w:tc>
        <w:tc>
          <w:tcPr>
            <w:tcW w:w="643" w:type="pct"/>
            <w:noWrap w:val="0"/>
            <w:vAlign w:val="center"/>
          </w:tcPr>
          <w:p w14:paraId="3EC8F499">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0"/>
                <w:szCs w:val="20"/>
                <w:highlight w:val="none"/>
                <w:lang w:val="en-US" w:eastAsia="zh-CN"/>
              </w:rPr>
            </w:pPr>
            <w:r>
              <w:rPr>
                <w:rFonts w:hint="eastAsia" w:ascii="仿宋_GB2312" w:hAnsi="仿宋_GB2312" w:eastAsia="仿宋_GB2312" w:cs="仿宋_GB2312"/>
                <w:snapToGrid w:val="0"/>
                <w:sz w:val="20"/>
                <w:szCs w:val="20"/>
                <w:highlight w:val="none"/>
                <w:lang w:val="en-US" w:eastAsia="zh-CN"/>
              </w:rPr>
              <w:t>/</w:t>
            </w:r>
          </w:p>
        </w:tc>
        <w:tc>
          <w:tcPr>
            <w:tcW w:w="469" w:type="pct"/>
            <w:noWrap w:val="0"/>
            <w:vAlign w:val="center"/>
          </w:tcPr>
          <w:p w14:paraId="1C0E4F37">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w:t>
            </w:r>
          </w:p>
        </w:tc>
        <w:tc>
          <w:tcPr>
            <w:tcW w:w="313" w:type="pct"/>
            <w:noWrap w:val="0"/>
            <w:vAlign w:val="center"/>
          </w:tcPr>
          <w:p w14:paraId="387E5A45">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w:t>
            </w:r>
          </w:p>
        </w:tc>
        <w:tc>
          <w:tcPr>
            <w:tcW w:w="519" w:type="pct"/>
            <w:noWrap w:val="0"/>
            <w:vAlign w:val="center"/>
          </w:tcPr>
          <w:p w14:paraId="6A910311">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w:t>
            </w:r>
          </w:p>
        </w:tc>
        <w:tc>
          <w:tcPr>
            <w:tcW w:w="362" w:type="pct"/>
            <w:noWrap w:val="0"/>
            <w:vAlign w:val="center"/>
          </w:tcPr>
          <w:p w14:paraId="472EB8B1">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w:t>
            </w:r>
          </w:p>
        </w:tc>
        <w:tc>
          <w:tcPr>
            <w:tcW w:w="544" w:type="pct"/>
            <w:noWrap w:val="0"/>
            <w:vAlign w:val="center"/>
          </w:tcPr>
          <w:p w14:paraId="46A5886D">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2426</w:t>
            </w:r>
          </w:p>
        </w:tc>
        <w:tc>
          <w:tcPr>
            <w:tcW w:w="494" w:type="pct"/>
            <w:noWrap w:val="0"/>
            <w:vAlign w:val="center"/>
          </w:tcPr>
          <w:p w14:paraId="0CEF08CA">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183.27</w:t>
            </w:r>
          </w:p>
        </w:tc>
        <w:tc>
          <w:tcPr>
            <w:tcW w:w="445" w:type="pct"/>
            <w:noWrap w:val="0"/>
            <w:vAlign w:val="center"/>
          </w:tcPr>
          <w:p w14:paraId="19270AF6">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44.46</w:t>
            </w:r>
          </w:p>
        </w:tc>
        <w:tc>
          <w:tcPr>
            <w:tcW w:w="511" w:type="pct"/>
            <w:noWrap w:val="0"/>
            <w:vAlign w:val="center"/>
          </w:tcPr>
          <w:p w14:paraId="23B54FA8">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lang w:val="en-US" w:eastAsia="zh-CN"/>
              </w:rPr>
            </w:pPr>
            <w:r>
              <w:rPr>
                <w:rFonts w:hint="default" w:ascii="仿宋_GB2312" w:hAnsi="仿宋_GB2312" w:eastAsia="仿宋_GB2312" w:cs="仿宋_GB2312"/>
                <w:snapToGrid w:val="0"/>
                <w:sz w:val="20"/>
                <w:szCs w:val="20"/>
                <w:highlight w:val="none"/>
                <w:lang w:val="en-US" w:eastAsia="zh-CN"/>
              </w:rPr>
              <w:t>596.1</w:t>
            </w:r>
          </w:p>
        </w:tc>
      </w:tr>
    </w:tbl>
    <w:p w14:paraId="29C26C3E">
      <w:pPr>
        <w:keepNext w:val="0"/>
        <w:keepLines w:val="0"/>
        <w:pageBreakBefore w:val="0"/>
        <w:widowControl w:val="0"/>
        <w:kinsoku/>
        <w:wordWrap/>
        <w:overflowPunct/>
        <w:topLinePunct w:val="0"/>
        <w:autoSpaceDE/>
        <w:autoSpaceDN/>
        <w:bidi w:val="0"/>
        <w:spacing w:line="480" w:lineRule="exact"/>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2、估价结果</w:t>
      </w:r>
    </w:p>
    <w:p w14:paraId="797FC6A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US" w:eastAsia="zh-CN"/>
        </w:rPr>
        <w:t>通道侗族自治</w:t>
      </w:r>
      <w:r>
        <w:rPr>
          <w:rFonts w:hint="eastAsia" w:ascii="仿宋_GB2312" w:hAnsi="仿宋_GB2312" w:eastAsia="仿宋_GB2312" w:cs="仿宋_GB2312"/>
          <w:bCs/>
          <w:color w:val="auto"/>
          <w:sz w:val="28"/>
          <w:szCs w:val="28"/>
          <w:highlight w:val="none"/>
          <w:lang w:val="en-GB" w:eastAsia="zh-CN"/>
        </w:rPr>
        <w:t>县自然资源局委托评估的，位于</w:t>
      </w:r>
      <w:r>
        <w:rPr>
          <w:rFonts w:hint="eastAsia" w:ascii="仿宋_GB2312" w:hAnsi="仿宋_GB2312" w:eastAsia="仿宋_GB2312" w:cs="仿宋_GB2312"/>
          <w:bCs/>
          <w:color w:val="auto"/>
          <w:sz w:val="28"/>
          <w:szCs w:val="28"/>
          <w:highlight w:val="none"/>
          <w:lang w:val="en-US" w:eastAsia="zh-CN"/>
        </w:rPr>
        <w:t>通道县双江镇行政街</w:t>
      </w:r>
      <w:r>
        <w:rPr>
          <w:rFonts w:hint="eastAsia" w:ascii="仿宋_GB2312" w:hAnsi="仿宋_GB2312" w:eastAsia="仿宋_GB2312" w:cs="仿宋_GB2312"/>
          <w:bCs/>
          <w:color w:val="auto"/>
          <w:sz w:val="28"/>
          <w:szCs w:val="28"/>
          <w:highlight w:val="none"/>
          <w:lang w:val="en-GB" w:eastAsia="zh-CN"/>
        </w:rPr>
        <w:t>的一宗国有土地，土地面积为</w:t>
      </w:r>
      <w:r>
        <w:rPr>
          <w:rFonts w:hint="eastAsia" w:ascii="仿宋_GB2312" w:hAnsi="仿宋_GB2312" w:eastAsia="仿宋_GB2312" w:cs="仿宋_GB2312"/>
          <w:bCs/>
          <w:color w:val="auto"/>
          <w:sz w:val="28"/>
          <w:szCs w:val="28"/>
          <w:highlight w:val="none"/>
          <w:lang w:val="en-US" w:eastAsia="zh-CN"/>
        </w:rPr>
        <w:t>183.27平方米</w:t>
      </w:r>
      <w:r>
        <w:rPr>
          <w:rFonts w:hint="eastAsia" w:ascii="仿宋_GB2312" w:hAnsi="仿宋_GB2312" w:eastAsia="仿宋_GB2312" w:cs="仿宋_GB2312"/>
          <w:bCs/>
          <w:color w:val="auto"/>
          <w:sz w:val="28"/>
          <w:szCs w:val="28"/>
          <w:highlight w:val="none"/>
          <w:lang w:val="en-GB" w:eastAsia="zh-CN"/>
        </w:rPr>
        <w:t>，于估价期日2026年2月3日，在设定土地用途为</w:t>
      </w:r>
      <w:r>
        <w:rPr>
          <w:rFonts w:hint="eastAsia" w:ascii="仿宋_GB2312" w:hAnsi="仿宋_GB2312" w:eastAsia="仿宋_GB2312" w:cs="仿宋_GB2312"/>
          <w:bCs/>
          <w:color w:val="auto"/>
          <w:sz w:val="28"/>
          <w:szCs w:val="28"/>
          <w:highlight w:val="none"/>
          <w:lang w:val="en-US" w:eastAsia="zh-CN"/>
        </w:rPr>
        <w:t>商服用地、</w:t>
      </w:r>
      <w:r>
        <w:rPr>
          <w:rFonts w:hint="eastAsia" w:ascii="仿宋_GB2312" w:hAnsi="仿宋_GB2312" w:eastAsia="仿宋_GB2312" w:cs="仿宋_GB2312"/>
          <w:bCs/>
          <w:color w:val="auto"/>
          <w:sz w:val="28"/>
          <w:szCs w:val="28"/>
          <w:highlight w:val="none"/>
          <w:lang w:val="en-GB" w:eastAsia="zh-CN"/>
        </w:rPr>
        <w:t>住宅用地（</w:t>
      </w:r>
      <w:r>
        <w:rPr>
          <w:rFonts w:hint="eastAsia" w:ascii="仿宋_GB2312" w:hAnsi="仿宋_GB2312" w:eastAsia="仿宋_GB2312" w:cs="仿宋_GB2312"/>
          <w:bCs/>
          <w:color w:val="auto"/>
          <w:sz w:val="28"/>
          <w:szCs w:val="28"/>
          <w:highlight w:val="none"/>
          <w:lang w:val="en-US" w:eastAsia="zh-CN"/>
        </w:rPr>
        <w:t>商住比22.03%：77.97%</w:t>
      </w:r>
      <w:r>
        <w:rPr>
          <w:rFonts w:hint="eastAsia" w:ascii="仿宋_GB2312" w:hAnsi="仿宋_GB2312" w:eastAsia="仿宋_GB2312" w:cs="仿宋_GB2312"/>
          <w:bCs/>
          <w:color w:val="auto"/>
          <w:sz w:val="28"/>
          <w:szCs w:val="28"/>
          <w:highlight w:val="none"/>
          <w:lang w:val="en-GB" w:eastAsia="zh-CN"/>
        </w:rPr>
        <w:t>），设定土地使用权类型为出让，设定土地使用年期为</w:t>
      </w:r>
      <w:r>
        <w:rPr>
          <w:rFonts w:hint="eastAsia" w:ascii="仿宋_GB2312" w:hAnsi="仿宋_GB2312" w:eastAsia="仿宋_GB2312" w:cs="仿宋_GB2312"/>
          <w:bCs/>
          <w:color w:val="auto"/>
          <w:sz w:val="28"/>
          <w:szCs w:val="28"/>
          <w:highlight w:val="none"/>
          <w:lang w:val="en-US" w:eastAsia="zh-CN"/>
        </w:rPr>
        <w:t>商服用地40年、住宅用地70年</w:t>
      </w:r>
      <w:r>
        <w:rPr>
          <w:rFonts w:hint="eastAsia" w:ascii="仿宋_GB2312" w:hAnsi="仿宋_GB2312" w:eastAsia="仿宋_GB2312" w:cs="仿宋_GB2312"/>
          <w:bCs/>
          <w:color w:val="auto"/>
          <w:sz w:val="28"/>
          <w:szCs w:val="28"/>
          <w:highlight w:val="none"/>
          <w:lang w:val="en-GB" w:eastAsia="zh-CN"/>
        </w:rPr>
        <w:t>，设定容积率为4.07，设定土地开发程度为宗地红线外“五通”（通路、供水、排水、通电、通讯）及红线内场地平整，现状利用条件下的出让土地使用权价格如下（币种：人民币）：</w:t>
      </w:r>
    </w:p>
    <w:p w14:paraId="2A630CDD">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土地面积：</w:t>
      </w:r>
      <w:r>
        <w:rPr>
          <w:rFonts w:hint="eastAsia" w:ascii="仿宋_GB2312" w:hAnsi="仿宋_GB2312" w:eastAsia="仿宋_GB2312" w:cs="仿宋_GB2312"/>
          <w:b/>
          <w:bCs w:val="0"/>
          <w:color w:val="auto"/>
          <w:sz w:val="28"/>
          <w:szCs w:val="28"/>
          <w:highlight w:val="none"/>
          <w:lang w:val="en-US" w:eastAsia="zh-CN"/>
        </w:rPr>
        <w:t>183.27平方米</w:t>
      </w:r>
    </w:p>
    <w:p w14:paraId="74DA201E">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单位面积地价：</w:t>
      </w:r>
      <w:r>
        <w:rPr>
          <w:rFonts w:hint="eastAsia" w:ascii="仿宋_GB2312" w:hAnsi="仿宋_GB2312" w:eastAsia="仿宋_GB2312" w:cs="仿宋_GB2312"/>
          <w:b/>
          <w:bCs w:val="0"/>
          <w:color w:val="auto"/>
          <w:sz w:val="28"/>
          <w:szCs w:val="28"/>
          <w:highlight w:val="none"/>
          <w:lang w:val="en-US" w:eastAsia="zh-CN"/>
        </w:rPr>
        <w:t>2426</w:t>
      </w:r>
      <w:r>
        <w:rPr>
          <w:rFonts w:hint="eastAsia" w:ascii="仿宋_GB2312" w:hAnsi="仿宋_GB2312" w:eastAsia="仿宋_GB2312" w:cs="仿宋_GB2312"/>
          <w:b/>
          <w:bCs w:val="0"/>
          <w:color w:val="auto"/>
          <w:sz w:val="28"/>
          <w:szCs w:val="28"/>
          <w:highlight w:val="none"/>
          <w:lang w:val="en-GB" w:eastAsia="zh-CN"/>
        </w:rPr>
        <w:t>元/平方米</w:t>
      </w:r>
    </w:p>
    <w:p w14:paraId="4712EB2D">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楼面地价：</w:t>
      </w:r>
      <w:r>
        <w:rPr>
          <w:rFonts w:hint="eastAsia" w:ascii="仿宋_GB2312" w:hAnsi="仿宋_GB2312" w:eastAsia="仿宋_GB2312" w:cs="仿宋_GB2312"/>
          <w:b/>
          <w:bCs w:val="0"/>
          <w:color w:val="auto"/>
          <w:sz w:val="28"/>
          <w:szCs w:val="28"/>
          <w:highlight w:val="none"/>
          <w:lang w:val="en-US" w:eastAsia="zh-CN"/>
        </w:rPr>
        <w:t>596.1</w:t>
      </w:r>
      <w:r>
        <w:rPr>
          <w:rFonts w:hint="eastAsia" w:ascii="仿宋_GB2312" w:hAnsi="仿宋_GB2312" w:eastAsia="仿宋_GB2312" w:cs="仿宋_GB2312"/>
          <w:b/>
          <w:bCs w:val="0"/>
          <w:color w:val="auto"/>
          <w:sz w:val="28"/>
          <w:szCs w:val="28"/>
          <w:highlight w:val="none"/>
          <w:lang w:val="en-GB" w:eastAsia="zh-CN"/>
        </w:rPr>
        <w:t>元/平方米</w:t>
      </w:r>
    </w:p>
    <w:p w14:paraId="41BCE0F6">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总 地 价：</w:t>
      </w:r>
      <w:r>
        <w:rPr>
          <w:rFonts w:hint="eastAsia" w:ascii="仿宋_GB2312" w:hAnsi="仿宋_GB2312" w:eastAsia="仿宋_GB2312" w:cs="仿宋_GB2312"/>
          <w:b/>
          <w:bCs w:val="0"/>
          <w:color w:val="auto"/>
          <w:sz w:val="28"/>
          <w:szCs w:val="28"/>
          <w:highlight w:val="none"/>
          <w:lang w:val="en-US" w:eastAsia="zh-CN"/>
        </w:rPr>
        <w:t>44.46</w:t>
      </w:r>
      <w:r>
        <w:rPr>
          <w:rFonts w:hint="eastAsia" w:ascii="仿宋_GB2312" w:hAnsi="仿宋_GB2312" w:eastAsia="仿宋_GB2312" w:cs="仿宋_GB2312"/>
          <w:b/>
          <w:bCs w:val="0"/>
          <w:color w:val="auto"/>
          <w:sz w:val="28"/>
          <w:szCs w:val="28"/>
          <w:highlight w:val="none"/>
          <w:lang w:val="en-GB" w:eastAsia="zh-CN"/>
        </w:rPr>
        <w:t>万元</w:t>
      </w:r>
    </w:p>
    <w:p w14:paraId="5094BE1C">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大    写：</w:t>
      </w:r>
      <w:r>
        <w:rPr>
          <w:rFonts w:hint="eastAsia" w:ascii="仿宋_GB2312" w:hAnsi="仿宋_GB2312" w:eastAsia="仿宋_GB2312" w:cs="仿宋_GB2312"/>
          <w:b/>
          <w:bCs w:val="0"/>
          <w:color w:val="auto"/>
          <w:sz w:val="28"/>
          <w:szCs w:val="28"/>
          <w:highlight w:val="none"/>
          <w:lang w:val="en-US" w:eastAsia="zh-CN"/>
        </w:rPr>
        <w:t>肆拾肆万肆仟陆佰</w:t>
      </w:r>
      <w:r>
        <w:rPr>
          <w:rFonts w:hint="eastAsia" w:ascii="仿宋_GB2312" w:hAnsi="仿宋_GB2312" w:eastAsia="仿宋_GB2312" w:cs="仿宋_GB2312"/>
          <w:b/>
          <w:bCs w:val="0"/>
          <w:color w:val="auto"/>
          <w:sz w:val="28"/>
          <w:szCs w:val="28"/>
          <w:highlight w:val="none"/>
          <w:lang w:val="en-GB" w:eastAsia="zh-CN"/>
        </w:rPr>
        <w:t>元整</w:t>
      </w:r>
    </w:p>
    <w:p w14:paraId="416AEB9C">
      <w:pPr>
        <w:overflowPunct w:val="0"/>
        <w:autoSpaceDE w:val="0"/>
        <w:autoSpaceDN w:val="0"/>
        <w:snapToGrid w:val="0"/>
        <w:spacing w:line="460" w:lineRule="exact"/>
        <w:ind w:firstLine="562" w:firstLineChars="200"/>
        <w:rPr>
          <w:rFonts w:hint="eastAsia" w:ascii="仿宋" w:hAnsi="仿宋" w:eastAsia="仿宋"/>
          <w:b/>
          <w:bCs/>
          <w:sz w:val="28"/>
          <w:szCs w:val="28"/>
          <w:highlight w:val="none"/>
          <w:lang w:val="en-US" w:eastAsia="zh-CN"/>
        </w:rPr>
      </w:pPr>
      <w:r>
        <w:rPr>
          <w:rFonts w:hint="eastAsia" w:ascii="仿宋" w:hAnsi="仿宋" w:eastAsia="仿宋"/>
          <w:b/>
          <w:bCs/>
          <w:sz w:val="28"/>
          <w:szCs w:val="28"/>
          <w:highlight w:val="none"/>
          <w:lang w:val="en-US" w:eastAsia="zh-CN"/>
        </w:rPr>
        <w:t>其中：</w:t>
      </w:r>
    </w:p>
    <w:p w14:paraId="3EF5EAD8">
      <w:pPr>
        <w:overflowPunct w:val="0"/>
        <w:autoSpaceDE w:val="0"/>
        <w:autoSpaceDN w:val="0"/>
        <w:snapToGrid w:val="0"/>
        <w:spacing w:line="460" w:lineRule="exact"/>
        <w:ind w:firstLine="562" w:firstLineChars="200"/>
        <w:rPr>
          <w:rFonts w:hint="eastAsia" w:ascii="仿宋" w:hAnsi="仿宋" w:eastAsia="仿宋"/>
          <w:b/>
          <w:bCs/>
          <w:sz w:val="28"/>
          <w:szCs w:val="28"/>
          <w:highlight w:val="none"/>
        </w:rPr>
      </w:pPr>
      <w:r>
        <w:rPr>
          <w:rFonts w:hint="eastAsia" w:ascii="仿宋" w:hAnsi="仿宋" w:eastAsia="仿宋"/>
          <w:b/>
          <w:bCs/>
          <w:sz w:val="28"/>
          <w:szCs w:val="28"/>
          <w:highlight w:val="none"/>
        </w:rPr>
        <w:t>商服用地面积</w:t>
      </w:r>
      <w:r>
        <w:rPr>
          <w:rFonts w:hint="eastAsia" w:ascii="仿宋" w:hAnsi="仿宋" w:eastAsia="仿宋"/>
          <w:b/>
          <w:bCs/>
          <w:sz w:val="28"/>
          <w:szCs w:val="28"/>
          <w:highlight w:val="none"/>
          <w:lang w:val="en-US" w:eastAsia="zh-CN"/>
        </w:rPr>
        <w:t>:40.38</w:t>
      </w:r>
      <w:r>
        <w:rPr>
          <w:rFonts w:hint="eastAsia" w:ascii="仿宋" w:hAnsi="仿宋" w:eastAsia="仿宋"/>
          <w:b/>
          <w:bCs/>
          <w:sz w:val="28"/>
          <w:szCs w:val="28"/>
          <w:highlight w:val="none"/>
        </w:rPr>
        <w:t>平方米</w:t>
      </w:r>
    </w:p>
    <w:p w14:paraId="192CC36D">
      <w:pPr>
        <w:overflowPunct w:val="0"/>
        <w:autoSpaceDE w:val="0"/>
        <w:autoSpaceDN w:val="0"/>
        <w:snapToGrid w:val="0"/>
        <w:spacing w:line="460" w:lineRule="exact"/>
        <w:ind w:firstLine="562" w:firstLineChars="200"/>
        <w:rPr>
          <w:rFonts w:hint="eastAsia" w:ascii="仿宋" w:hAnsi="仿宋" w:eastAsia="仿宋"/>
          <w:b/>
          <w:bCs/>
          <w:sz w:val="28"/>
          <w:szCs w:val="28"/>
          <w:highlight w:val="none"/>
        </w:rPr>
      </w:pPr>
      <w:r>
        <w:rPr>
          <w:rFonts w:hint="eastAsia" w:ascii="仿宋" w:hAnsi="仿宋" w:eastAsia="仿宋"/>
          <w:b/>
          <w:bCs/>
          <w:sz w:val="28"/>
          <w:szCs w:val="28"/>
          <w:highlight w:val="none"/>
        </w:rPr>
        <w:t>商服用地</w:t>
      </w:r>
      <w:r>
        <w:rPr>
          <w:rFonts w:hint="eastAsia" w:ascii="仿宋" w:hAnsi="仿宋" w:eastAsia="仿宋"/>
          <w:b/>
          <w:bCs/>
          <w:sz w:val="28"/>
          <w:szCs w:val="28"/>
          <w:highlight w:val="none"/>
          <w:lang w:val="en-US" w:eastAsia="zh-CN"/>
        </w:rPr>
        <w:t>单</w:t>
      </w:r>
      <w:r>
        <w:rPr>
          <w:rFonts w:hint="eastAsia" w:ascii="仿宋" w:hAnsi="仿宋" w:eastAsia="仿宋"/>
          <w:b/>
          <w:bCs/>
          <w:sz w:val="28"/>
          <w:szCs w:val="28"/>
          <w:highlight w:val="none"/>
        </w:rPr>
        <w:t>价</w:t>
      </w:r>
      <w:r>
        <w:rPr>
          <w:rFonts w:hint="eastAsia" w:ascii="仿宋" w:hAnsi="仿宋" w:eastAsia="仿宋"/>
          <w:b/>
          <w:bCs/>
          <w:sz w:val="28"/>
          <w:szCs w:val="28"/>
          <w:highlight w:val="none"/>
          <w:lang w:val="en-US" w:eastAsia="zh-CN"/>
        </w:rPr>
        <w:t>:6636.00元</w:t>
      </w:r>
      <w:r>
        <w:rPr>
          <w:rFonts w:hint="eastAsia" w:ascii="仿宋" w:hAnsi="仿宋" w:eastAsia="仿宋"/>
          <w:b/>
          <w:bCs/>
          <w:sz w:val="28"/>
          <w:szCs w:val="28"/>
          <w:highlight w:val="none"/>
        </w:rPr>
        <w:t>/平方米</w:t>
      </w:r>
    </w:p>
    <w:p w14:paraId="42C3227F">
      <w:pPr>
        <w:overflowPunct w:val="0"/>
        <w:autoSpaceDE w:val="0"/>
        <w:autoSpaceDN w:val="0"/>
        <w:snapToGrid w:val="0"/>
        <w:spacing w:line="460" w:lineRule="exact"/>
        <w:ind w:firstLine="562" w:firstLineChars="200"/>
        <w:rPr>
          <w:rFonts w:hint="eastAsia" w:ascii="仿宋" w:hAnsi="仿宋" w:eastAsia="仿宋"/>
          <w:b/>
          <w:bCs/>
          <w:sz w:val="28"/>
          <w:szCs w:val="28"/>
          <w:highlight w:val="none"/>
        </w:rPr>
      </w:pPr>
      <w:r>
        <w:rPr>
          <w:rFonts w:hint="eastAsia" w:ascii="仿宋" w:hAnsi="仿宋" w:eastAsia="仿宋"/>
          <w:b/>
          <w:bCs/>
          <w:sz w:val="28"/>
          <w:szCs w:val="28"/>
          <w:highlight w:val="none"/>
        </w:rPr>
        <w:t>商服用地楼面地价</w:t>
      </w:r>
      <w:r>
        <w:rPr>
          <w:rFonts w:hint="eastAsia" w:ascii="仿宋" w:hAnsi="仿宋" w:eastAsia="仿宋"/>
          <w:b/>
          <w:bCs/>
          <w:sz w:val="28"/>
          <w:szCs w:val="28"/>
          <w:highlight w:val="none"/>
          <w:lang w:val="en-US" w:eastAsia="zh-CN"/>
        </w:rPr>
        <w:t>:1630.5</w:t>
      </w:r>
      <w:r>
        <w:rPr>
          <w:rFonts w:hint="eastAsia" w:ascii="仿宋" w:hAnsi="仿宋" w:eastAsia="仿宋"/>
          <w:b/>
          <w:bCs/>
          <w:sz w:val="28"/>
          <w:szCs w:val="28"/>
          <w:highlight w:val="none"/>
        </w:rPr>
        <w:t>元/平方米</w:t>
      </w:r>
    </w:p>
    <w:p w14:paraId="456832CA">
      <w:pPr>
        <w:overflowPunct w:val="0"/>
        <w:autoSpaceDE w:val="0"/>
        <w:autoSpaceDN w:val="0"/>
        <w:snapToGrid w:val="0"/>
        <w:spacing w:line="460" w:lineRule="exact"/>
        <w:ind w:firstLine="562" w:firstLineChars="200"/>
        <w:rPr>
          <w:rFonts w:hint="eastAsia" w:ascii="仿宋" w:hAnsi="仿宋" w:eastAsia="仿宋"/>
          <w:b/>
          <w:bCs/>
          <w:sz w:val="28"/>
          <w:szCs w:val="28"/>
          <w:highlight w:val="none"/>
        </w:rPr>
      </w:pPr>
      <w:r>
        <w:rPr>
          <w:rFonts w:hint="eastAsia" w:ascii="仿宋" w:hAnsi="仿宋" w:eastAsia="仿宋"/>
          <w:b/>
          <w:bCs/>
          <w:sz w:val="28"/>
          <w:szCs w:val="28"/>
          <w:highlight w:val="none"/>
        </w:rPr>
        <w:t>商服用地总价</w:t>
      </w:r>
      <w:r>
        <w:rPr>
          <w:rFonts w:hint="eastAsia" w:ascii="仿宋" w:hAnsi="仿宋" w:eastAsia="仿宋"/>
          <w:b/>
          <w:bCs/>
          <w:sz w:val="28"/>
          <w:szCs w:val="28"/>
          <w:highlight w:val="none"/>
          <w:lang w:val="en-US" w:eastAsia="zh-CN"/>
        </w:rPr>
        <w:t>:26.8</w:t>
      </w:r>
      <w:r>
        <w:rPr>
          <w:rFonts w:hint="eastAsia" w:ascii="仿宋" w:hAnsi="仿宋" w:eastAsia="仿宋"/>
          <w:b/>
          <w:bCs/>
          <w:sz w:val="28"/>
          <w:szCs w:val="28"/>
          <w:highlight w:val="none"/>
        </w:rPr>
        <w:t>万元</w:t>
      </w:r>
    </w:p>
    <w:p w14:paraId="6D659E22">
      <w:pPr>
        <w:overflowPunct w:val="0"/>
        <w:autoSpaceDE w:val="0"/>
        <w:autoSpaceDN w:val="0"/>
        <w:snapToGrid w:val="0"/>
        <w:spacing w:line="460" w:lineRule="exact"/>
        <w:ind w:firstLine="562" w:firstLineChars="200"/>
        <w:rPr>
          <w:rFonts w:hint="eastAsia" w:ascii="仿宋" w:hAnsi="仿宋" w:eastAsia="仿宋"/>
          <w:b/>
          <w:bCs/>
          <w:snapToGrid w:val="0"/>
          <w:kern w:val="0"/>
          <w:sz w:val="28"/>
          <w:szCs w:val="28"/>
          <w:highlight w:val="none"/>
        </w:rPr>
      </w:pPr>
      <w:r>
        <w:rPr>
          <w:rFonts w:hint="eastAsia" w:ascii="仿宋" w:hAnsi="仿宋" w:eastAsia="仿宋"/>
          <w:b/>
          <w:bCs/>
          <w:snapToGrid w:val="0"/>
          <w:kern w:val="0"/>
          <w:sz w:val="28"/>
          <w:szCs w:val="28"/>
          <w:highlight w:val="none"/>
        </w:rPr>
        <w:t>住宅用地面积</w:t>
      </w:r>
      <w:r>
        <w:rPr>
          <w:rFonts w:hint="eastAsia" w:ascii="仿宋" w:hAnsi="仿宋" w:eastAsia="仿宋"/>
          <w:b/>
          <w:bCs/>
          <w:snapToGrid w:val="0"/>
          <w:kern w:val="0"/>
          <w:sz w:val="28"/>
          <w:szCs w:val="28"/>
          <w:highlight w:val="none"/>
          <w:lang w:val="en-US" w:eastAsia="zh-CN"/>
        </w:rPr>
        <w:t>:142.89</w:t>
      </w:r>
      <w:r>
        <w:rPr>
          <w:rFonts w:hint="eastAsia" w:ascii="仿宋" w:hAnsi="仿宋" w:eastAsia="仿宋"/>
          <w:b/>
          <w:bCs/>
          <w:snapToGrid w:val="0"/>
          <w:kern w:val="0"/>
          <w:sz w:val="28"/>
          <w:szCs w:val="28"/>
          <w:highlight w:val="none"/>
        </w:rPr>
        <w:t>平方米</w:t>
      </w:r>
    </w:p>
    <w:p w14:paraId="3A4E0BF5">
      <w:pPr>
        <w:overflowPunct w:val="0"/>
        <w:autoSpaceDE w:val="0"/>
        <w:autoSpaceDN w:val="0"/>
        <w:snapToGrid w:val="0"/>
        <w:spacing w:line="460" w:lineRule="exact"/>
        <w:ind w:firstLine="562" w:firstLineChars="200"/>
        <w:rPr>
          <w:rFonts w:hint="eastAsia" w:ascii="仿宋" w:hAnsi="仿宋" w:eastAsia="仿宋"/>
          <w:b/>
          <w:bCs/>
          <w:snapToGrid w:val="0"/>
          <w:kern w:val="0"/>
          <w:sz w:val="28"/>
          <w:szCs w:val="28"/>
          <w:highlight w:val="none"/>
        </w:rPr>
      </w:pPr>
      <w:r>
        <w:rPr>
          <w:rFonts w:hint="eastAsia" w:ascii="仿宋" w:hAnsi="仿宋" w:eastAsia="仿宋"/>
          <w:b/>
          <w:bCs/>
          <w:snapToGrid w:val="0"/>
          <w:kern w:val="0"/>
          <w:sz w:val="28"/>
          <w:szCs w:val="28"/>
          <w:highlight w:val="none"/>
        </w:rPr>
        <w:t>住宅用地单价</w:t>
      </w:r>
      <w:r>
        <w:rPr>
          <w:rFonts w:hint="eastAsia" w:ascii="仿宋" w:hAnsi="仿宋" w:eastAsia="仿宋"/>
          <w:b/>
          <w:bCs/>
          <w:snapToGrid w:val="0"/>
          <w:kern w:val="0"/>
          <w:sz w:val="28"/>
          <w:szCs w:val="28"/>
          <w:highlight w:val="none"/>
          <w:lang w:val="en-US" w:eastAsia="zh-CN"/>
        </w:rPr>
        <w:t>:1236.00</w:t>
      </w:r>
      <w:r>
        <w:rPr>
          <w:rFonts w:hint="eastAsia" w:ascii="仿宋" w:hAnsi="仿宋" w:eastAsia="仿宋"/>
          <w:b/>
          <w:bCs/>
          <w:snapToGrid w:val="0"/>
          <w:kern w:val="0"/>
          <w:sz w:val="28"/>
          <w:szCs w:val="28"/>
          <w:highlight w:val="none"/>
        </w:rPr>
        <w:t>元/平方米</w:t>
      </w:r>
    </w:p>
    <w:p w14:paraId="60A75A29">
      <w:pPr>
        <w:overflowPunct w:val="0"/>
        <w:autoSpaceDE w:val="0"/>
        <w:autoSpaceDN w:val="0"/>
        <w:snapToGrid w:val="0"/>
        <w:spacing w:line="460" w:lineRule="exact"/>
        <w:ind w:firstLine="562" w:firstLineChars="200"/>
        <w:rPr>
          <w:rFonts w:hint="eastAsia" w:ascii="仿宋" w:hAnsi="仿宋" w:eastAsia="仿宋"/>
          <w:b/>
          <w:bCs/>
          <w:snapToGrid w:val="0"/>
          <w:kern w:val="0"/>
          <w:sz w:val="28"/>
          <w:szCs w:val="28"/>
          <w:highlight w:val="none"/>
        </w:rPr>
      </w:pPr>
      <w:r>
        <w:rPr>
          <w:rFonts w:hint="eastAsia" w:ascii="仿宋" w:hAnsi="仿宋" w:eastAsia="仿宋"/>
          <w:b/>
          <w:bCs/>
          <w:snapToGrid w:val="0"/>
          <w:kern w:val="0"/>
          <w:sz w:val="28"/>
          <w:szCs w:val="28"/>
          <w:highlight w:val="none"/>
        </w:rPr>
        <w:t>住宅用地楼面地价</w:t>
      </w:r>
      <w:r>
        <w:rPr>
          <w:rFonts w:hint="eastAsia" w:ascii="仿宋" w:hAnsi="仿宋" w:eastAsia="仿宋"/>
          <w:b/>
          <w:bCs/>
          <w:snapToGrid w:val="0"/>
          <w:kern w:val="0"/>
          <w:sz w:val="28"/>
          <w:szCs w:val="28"/>
          <w:highlight w:val="none"/>
          <w:lang w:val="en-US" w:eastAsia="zh-CN"/>
        </w:rPr>
        <w:t>:303.7</w:t>
      </w:r>
      <w:r>
        <w:rPr>
          <w:rFonts w:hint="eastAsia" w:ascii="仿宋" w:hAnsi="仿宋" w:eastAsia="仿宋"/>
          <w:b/>
          <w:bCs/>
          <w:snapToGrid w:val="0"/>
          <w:kern w:val="0"/>
          <w:sz w:val="28"/>
          <w:szCs w:val="28"/>
          <w:highlight w:val="none"/>
        </w:rPr>
        <w:t>元/平方米</w:t>
      </w:r>
    </w:p>
    <w:p w14:paraId="23318946">
      <w:pPr>
        <w:overflowPunct w:val="0"/>
        <w:autoSpaceDE w:val="0"/>
        <w:autoSpaceDN w:val="0"/>
        <w:snapToGrid w:val="0"/>
        <w:spacing w:line="460" w:lineRule="exact"/>
        <w:ind w:firstLine="562" w:firstLineChars="200"/>
        <w:rPr>
          <w:rFonts w:hint="eastAsia" w:eastAsia="仿宋_GB2312"/>
          <w:highlight w:val="none"/>
          <w:lang w:val="en-US" w:eastAsia="zh-CN"/>
        </w:rPr>
      </w:pPr>
      <w:r>
        <w:rPr>
          <w:rFonts w:hint="eastAsia" w:ascii="仿宋" w:hAnsi="仿宋" w:eastAsia="仿宋"/>
          <w:b/>
          <w:bCs/>
          <w:snapToGrid w:val="0"/>
          <w:kern w:val="0"/>
          <w:sz w:val="28"/>
          <w:szCs w:val="28"/>
          <w:highlight w:val="none"/>
        </w:rPr>
        <w:t>住宅用地总价</w:t>
      </w:r>
      <w:r>
        <w:rPr>
          <w:rFonts w:hint="eastAsia" w:ascii="仿宋" w:hAnsi="仿宋" w:eastAsia="仿宋"/>
          <w:b/>
          <w:bCs/>
          <w:snapToGrid w:val="0"/>
          <w:kern w:val="0"/>
          <w:sz w:val="28"/>
          <w:szCs w:val="28"/>
          <w:highlight w:val="none"/>
          <w:lang w:val="en-US" w:eastAsia="zh-CN"/>
        </w:rPr>
        <w:t>:17.66</w:t>
      </w:r>
      <w:r>
        <w:rPr>
          <w:rFonts w:hint="eastAsia" w:ascii="仿宋" w:hAnsi="仿宋" w:eastAsia="仿宋"/>
          <w:b/>
          <w:bCs/>
          <w:snapToGrid w:val="0"/>
          <w:kern w:val="0"/>
          <w:sz w:val="28"/>
          <w:szCs w:val="28"/>
          <w:highlight w:val="none"/>
        </w:rPr>
        <w:t>万</w:t>
      </w:r>
      <w:r>
        <w:rPr>
          <w:rFonts w:hint="eastAsia" w:ascii="仿宋" w:hAnsi="仿宋" w:eastAsia="仿宋"/>
          <w:b/>
          <w:bCs/>
          <w:sz w:val="28"/>
          <w:szCs w:val="28"/>
          <w:highlight w:val="none"/>
        </w:rPr>
        <w:t>元</w:t>
      </w:r>
    </w:p>
    <w:p w14:paraId="2D010CEE">
      <w:pPr>
        <w:keepNext w:val="0"/>
        <w:keepLines w:val="0"/>
        <w:pageBreakBefore w:val="0"/>
        <w:widowControl w:val="0"/>
        <w:kinsoku/>
        <w:wordWrap/>
        <w:overflowPunct/>
        <w:topLinePunct w:val="0"/>
        <w:bidi w:val="0"/>
        <w:adjustRightInd w:val="0"/>
        <w:snapToGrid w:val="0"/>
        <w:spacing w:line="480" w:lineRule="exact"/>
        <w:ind w:firstLine="562" w:firstLineChars="200"/>
        <w:rPr>
          <w:rFonts w:hint="eastAsia" w:ascii="仿宋_GB2312" w:hAnsi="仿宋_GB2312" w:eastAsia="仿宋_GB2312" w:cs="仿宋_GB2312"/>
          <w:b/>
          <w:bCs/>
          <w:color w:val="000000"/>
          <w:kern w:val="2"/>
          <w:sz w:val="28"/>
          <w:szCs w:val="28"/>
          <w:highlight w:val="none"/>
          <w:lang w:val="en-US" w:eastAsia="zh-CN" w:bidi="ar-SA"/>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详见《土地估价结果一览表》</w:t>
      </w:r>
      <w:r>
        <w:rPr>
          <w:rFonts w:hint="eastAsia" w:ascii="仿宋_GB2312" w:hAnsi="仿宋_GB2312" w:eastAsia="仿宋_GB2312" w:cs="仿宋_GB2312"/>
          <w:b/>
          <w:bCs/>
          <w:color w:val="000000"/>
          <w:kern w:val="2"/>
          <w:sz w:val="28"/>
          <w:szCs w:val="28"/>
          <w:highlight w:val="none"/>
          <w:lang w:val="en-US" w:eastAsia="zh-CN" w:bidi="ar-SA"/>
        </w:rPr>
        <w:t>。</w:t>
      </w:r>
    </w:p>
    <w:p w14:paraId="0FA63216">
      <w:pPr>
        <w:keepNext w:val="0"/>
        <w:keepLines w:val="0"/>
        <w:pageBreakBefore w:val="0"/>
        <w:widowControl w:val="0"/>
        <w:kinsoku/>
        <w:wordWrap/>
        <w:overflowPunct/>
        <w:topLinePunct w:val="0"/>
        <w:autoSpaceDE/>
        <w:autoSpaceDN/>
        <w:bidi w:val="0"/>
        <w:adjustRightInd/>
        <w:spacing w:line="460" w:lineRule="exact"/>
        <w:ind w:firstLine="562" w:firstLineChars="200"/>
        <w:textAlignment w:val="auto"/>
        <w:outlineLvl w:val="1"/>
        <w:rPr>
          <w:rFonts w:hint="eastAsia" w:ascii="仿宋_GB2312" w:eastAsia="仿宋_GB2312"/>
          <w:sz w:val="28"/>
          <w:szCs w:val="30"/>
          <w:highlight w:val="none"/>
        </w:rPr>
      </w:pPr>
      <w:r>
        <w:rPr>
          <w:rFonts w:hint="eastAsia" w:ascii="仿宋_GB2312" w:eastAsia="仿宋_GB2312"/>
          <w:b/>
          <w:bCs/>
          <w:sz w:val="28"/>
          <w:szCs w:val="30"/>
          <w:highlight w:val="none"/>
        </w:rPr>
        <w:t>三、估价结果和估价报告的使用</w:t>
      </w:r>
    </w:p>
    <w:p w14:paraId="68C34B56">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（一）估价的前提条件和假设条件</w:t>
      </w:r>
    </w:p>
    <w:p w14:paraId="32CCD995">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1、前提条件：</w:t>
      </w:r>
    </w:p>
    <w:p w14:paraId="0E8AE9E0">
      <w:pPr>
        <w:pStyle w:val="2"/>
        <w:spacing w:line="480" w:lineRule="exact"/>
        <w:ind w:firstLine="560"/>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（1）本次估价以委托方提供的有关资料为重要依据，包括了</w:t>
      </w:r>
      <w:r>
        <w:rPr>
          <w:rFonts w:hint="eastAsia" w:ascii="仿宋_GB2312" w:hAnsi="仿宋_GB2312" w:cs="仿宋_GB2312"/>
          <w:bCs/>
          <w:color w:val="auto"/>
          <w:kern w:val="2"/>
          <w:sz w:val="28"/>
          <w:szCs w:val="28"/>
          <w:highlight w:val="none"/>
          <w:lang w:val="en-GB" w:eastAsia="zh-CN" w:bidi="ar-SA"/>
        </w:rPr>
        <w:t>《国有土地使用证》（通国用（2014）第000327号）</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cs="仿宋_GB2312"/>
          <w:bCs/>
          <w:color w:val="auto"/>
          <w:kern w:val="2"/>
          <w:sz w:val="28"/>
          <w:szCs w:val="28"/>
          <w:highlight w:val="none"/>
          <w:lang w:val="en-GB" w:eastAsia="zh-CN" w:bidi="ar-SA"/>
        </w:rPr>
        <w:t>《房屋所有权证》（通房权证双江字第201517109号）</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土地分户分摊面积明细表</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cs="仿宋_GB2312"/>
          <w:bCs/>
          <w:color w:val="auto"/>
          <w:kern w:val="2"/>
          <w:sz w:val="28"/>
          <w:szCs w:val="28"/>
          <w:highlight w:val="none"/>
          <w:lang w:val="en-GB" w:eastAsia="zh-CN" w:bidi="ar-SA"/>
        </w:rPr>
        <w:t>、《通道县自然资源局行政许可申请受理决定书》（2026年1月22日）、《通道侗族自治县自然资源局关于通道县政府大院内各建筑性质的认定》（2026年1月28日）</w:t>
      </w:r>
      <w:r>
        <w:rPr>
          <w:rFonts w:hint="default" w:ascii="仿宋_GB2312" w:hAnsi="仿宋_GB2312" w:eastAsia="仿宋_GB2312" w:cs="仿宋_GB2312"/>
          <w:bCs/>
          <w:color w:val="auto"/>
          <w:kern w:val="2"/>
          <w:sz w:val="28"/>
          <w:szCs w:val="28"/>
          <w:highlight w:val="none"/>
          <w:lang w:val="en-GB" w:eastAsia="zh-CN" w:bidi="ar-SA"/>
        </w:rPr>
        <w:t>等，并以这些资料的合法性为前提。</w:t>
      </w:r>
    </w:p>
    <w:p w14:paraId="24AB252B">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（2）估价对象与其它生产要素相结合，能满足设定土地使用年限内经营管理的正常进行，保证持续发展。</w:t>
      </w:r>
    </w:p>
    <w:p w14:paraId="14EB4F35">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（3）估价期日地产市场为公正、公开、公平的均衡市场。</w:t>
      </w:r>
    </w:p>
    <w:p w14:paraId="368DA22F">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（4）任何有关估价对象的运作方式、程序符合国家、地方的有关法律、法规。</w:t>
      </w:r>
    </w:p>
    <w:p w14:paraId="0CDF8AA9">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（5）估价对象按照设定用途，得到有效合理地利用，并会产生相应的土地收益。</w:t>
      </w:r>
    </w:p>
    <w:p w14:paraId="21DB98B9">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2、假设条件</w:t>
      </w:r>
    </w:p>
    <w:p w14:paraId="68BBEA50">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（1）估价期日设定为</w:t>
      </w:r>
      <w:r>
        <w:rPr>
          <w:rFonts w:hint="eastAsia" w:ascii="仿宋_GB2312" w:hAnsi="仿宋_GB2312" w:eastAsia="仿宋_GB2312" w:cs="仿宋_GB2312"/>
          <w:bCs/>
          <w:color w:val="auto"/>
          <w:kern w:val="2"/>
          <w:sz w:val="28"/>
          <w:szCs w:val="28"/>
          <w:highlight w:val="none"/>
          <w:lang w:val="en-GB" w:eastAsia="zh-CN" w:bidi="ar-SA"/>
        </w:rPr>
        <w:t>2026年2月3日</w:t>
      </w:r>
      <w:r>
        <w:rPr>
          <w:rFonts w:hint="default" w:ascii="仿宋_GB2312" w:hAnsi="仿宋_GB2312" w:eastAsia="仿宋_GB2312" w:cs="仿宋_GB2312"/>
          <w:bCs/>
          <w:color w:val="auto"/>
          <w:kern w:val="2"/>
          <w:sz w:val="28"/>
          <w:szCs w:val="28"/>
          <w:highlight w:val="none"/>
          <w:lang w:val="en-GB" w:eastAsia="zh-CN" w:bidi="ar-SA"/>
        </w:rPr>
        <w:t>。</w:t>
      </w:r>
    </w:p>
    <w:p w14:paraId="1E118B20">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（2）现状利用条件下的出让土地使用权价格的土地用途设定为</w:t>
      </w:r>
      <w:r>
        <w:rPr>
          <w:rFonts w:hint="eastAsia" w:ascii="仿宋_GB2312" w:hAnsi="仿宋_GB2312" w:eastAsia="仿宋_GB2312" w:cs="仿宋_GB2312"/>
          <w:bCs/>
          <w:color w:val="auto"/>
          <w:kern w:val="2"/>
          <w:sz w:val="28"/>
          <w:szCs w:val="28"/>
          <w:highlight w:val="none"/>
          <w:lang w:val="en-GB" w:eastAsia="zh-CN" w:bidi="ar-SA"/>
        </w:rPr>
        <w:t>商服用地、住宅用地（商住比22.03%：77.97%）</w:t>
      </w:r>
      <w:r>
        <w:rPr>
          <w:rFonts w:hint="default" w:ascii="仿宋_GB2312" w:hAnsi="仿宋_GB2312" w:eastAsia="仿宋_GB2312" w:cs="仿宋_GB2312"/>
          <w:bCs/>
          <w:color w:val="auto"/>
          <w:kern w:val="2"/>
          <w:sz w:val="28"/>
          <w:szCs w:val="28"/>
          <w:highlight w:val="none"/>
          <w:lang w:val="en-GB" w:eastAsia="zh-CN" w:bidi="ar-SA"/>
        </w:rPr>
        <w:t>。</w:t>
      </w:r>
    </w:p>
    <w:p w14:paraId="4A72CBE9">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（3）现状利用条件下的出让土地使用权价格的容积率设定为</w:t>
      </w:r>
      <w:r>
        <w:rPr>
          <w:rFonts w:hint="eastAsia" w:ascii="仿宋_GB2312" w:hAnsi="仿宋_GB2312" w:eastAsia="仿宋_GB2312" w:cs="仿宋_GB2312"/>
          <w:bCs/>
          <w:color w:val="auto"/>
          <w:kern w:val="2"/>
          <w:sz w:val="28"/>
          <w:szCs w:val="28"/>
          <w:highlight w:val="none"/>
          <w:lang w:val="en-US" w:eastAsia="zh-CN" w:bidi="ar-SA"/>
        </w:rPr>
        <w:t>4.07</w:t>
      </w:r>
      <w:r>
        <w:rPr>
          <w:rFonts w:hint="default" w:ascii="仿宋_GB2312" w:hAnsi="仿宋_GB2312" w:eastAsia="仿宋_GB2312" w:cs="仿宋_GB2312"/>
          <w:bCs/>
          <w:color w:val="auto"/>
          <w:kern w:val="2"/>
          <w:sz w:val="28"/>
          <w:szCs w:val="28"/>
          <w:highlight w:val="none"/>
          <w:lang w:val="en-GB" w:eastAsia="zh-CN" w:bidi="ar-SA"/>
        </w:rPr>
        <w:t>。</w:t>
      </w:r>
    </w:p>
    <w:p w14:paraId="485BAADC">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（4）估价对象基础设施条件设定为宗地红线外“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w:t>
      </w:r>
    </w:p>
    <w:p w14:paraId="377055B2">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（5）土地使用权类型</w:t>
      </w:r>
      <w:r>
        <w:rPr>
          <w:rFonts w:hint="eastAsia" w:ascii="仿宋_GB2312" w:hAnsi="仿宋_GB2312" w:eastAsia="仿宋_GB2312" w:cs="仿宋_GB2312"/>
          <w:bCs/>
          <w:color w:val="auto"/>
          <w:kern w:val="2"/>
          <w:sz w:val="28"/>
          <w:szCs w:val="28"/>
          <w:highlight w:val="none"/>
          <w:lang w:val="en-US" w:eastAsia="zh-CN" w:bidi="ar-SA"/>
        </w:rPr>
        <w:t>设定</w:t>
      </w:r>
      <w:r>
        <w:rPr>
          <w:rFonts w:hint="default" w:ascii="仿宋_GB2312" w:hAnsi="仿宋_GB2312" w:eastAsia="仿宋_GB2312" w:cs="仿宋_GB2312"/>
          <w:bCs/>
          <w:color w:val="auto"/>
          <w:kern w:val="2"/>
          <w:sz w:val="28"/>
          <w:szCs w:val="28"/>
          <w:highlight w:val="none"/>
          <w:lang w:val="en-GB" w:eastAsia="zh-CN" w:bidi="ar-SA"/>
        </w:rPr>
        <w:t>：土地使用权类型为出让。</w:t>
      </w:r>
    </w:p>
    <w:p w14:paraId="5A39D72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（6）土地使用权年限设定</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土地使用权年限为</w:t>
      </w:r>
      <w:r>
        <w:rPr>
          <w:rFonts w:hint="eastAsia" w:ascii="仿宋_GB2312" w:hAnsi="仿宋_GB2312" w:eastAsia="仿宋_GB2312" w:cs="仿宋_GB2312"/>
          <w:bCs/>
          <w:color w:val="auto"/>
          <w:kern w:val="2"/>
          <w:sz w:val="28"/>
          <w:szCs w:val="28"/>
          <w:highlight w:val="none"/>
          <w:lang w:val="en-US" w:eastAsia="zh-CN" w:bidi="ar-SA"/>
        </w:rPr>
        <w:t>70年</w:t>
      </w:r>
      <w:r>
        <w:rPr>
          <w:rFonts w:hint="default" w:ascii="仿宋_GB2312" w:hAnsi="仿宋_GB2312" w:eastAsia="仿宋_GB2312" w:cs="仿宋_GB2312"/>
          <w:bCs/>
          <w:color w:val="auto"/>
          <w:kern w:val="2"/>
          <w:sz w:val="28"/>
          <w:szCs w:val="28"/>
          <w:highlight w:val="none"/>
          <w:lang w:val="en-GB" w:eastAsia="zh-CN" w:bidi="ar-SA"/>
        </w:rPr>
        <w:t>。</w:t>
      </w:r>
    </w:p>
    <w:p w14:paraId="1B95E427">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（二）估价结果和估价报告的使用</w:t>
      </w:r>
    </w:p>
    <w:p w14:paraId="630C3A60">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1、估价报告和估价结果发生效力的法律依据</w:t>
      </w:r>
    </w:p>
    <w:p w14:paraId="61AC8A99">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（1）本次估价依据《中华人民共和国资产评估法》及中华人民共和国国家标准《城镇土地估价规程》（GB/T18508-2014）、《国土资源部办公厅关于发布&lt;国有建设用地使用权出让地价评估技术规范</w:t>
      </w:r>
      <w:r>
        <w:rPr>
          <w:rFonts w:hint="default" w:ascii="仿宋_GB2312" w:hAnsi="仿宋_GB2312" w:eastAsia="仿宋_GB2312" w:cs="仿宋_GB2312"/>
          <w:bCs/>
          <w:color w:val="auto"/>
          <w:kern w:val="2"/>
          <w:sz w:val="28"/>
          <w:szCs w:val="28"/>
          <w:highlight w:val="none"/>
          <w:lang w:val="en-US" w:eastAsia="zh-CN" w:bidi="ar-SA"/>
        </w:rPr>
        <w:t>&gt;</w:t>
      </w:r>
      <w:r>
        <w:rPr>
          <w:rFonts w:hint="default" w:ascii="仿宋_GB2312" w:hAnsi="仿宋_GB2312" w:eastAsia="仿宋_GB2312" w:cs="仿宋_GB2312"/>
          <w:bCs/>
          <w:color w:val="auto"/>
          <w:kern w:val="2"/>
          <w:sz w:val="28"/>
          <w:szCs w:val="28"/>
          <w:highlight w:val="none"/>
          <w:lang w:val="en-GB" w:eastAsia="zh-CN" w:bidi="ar-SA"/>
        </w:rPr>
        <w:t>的通知》（国土资厅发[2018]4号）等展开评估工作、撰写本估价报告、形成意见和结论。</w:t>
      </w:r>
    </w:p>
    <w:p w14:paraId="5E7C633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（2）估价报告和估价结果的作用依照《中华人民共和国资产评估法》、《中华人民共和国土地管理法》等所列明法律、法规的有关规定发生法律效力。</w:t>
      </w:r>
    </w:p>
    <w:p w14:paraId="4F99C90A">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（3）本报告需在取得电子备案号后，由土地估价师、土地机构法定代表人签名及土地估价机构盖章后方能生效。</w:t>
      </w:r>
    </w:p>
    <w:p w14:paraId="48F2FEA9">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2、估价报告和估价结果使用的方向及限制条件</w:t>
      </w:r>
    </w:p>
    <w:p w14:paraId="7FB330A6">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（1）本报告仅为委托方办理土地使用权出让手续提供价格参考，本次评估结果仅用于本次评估目的时才有效，报告使用人或其他第三方因不当引用本评估结果造成</w:t>
      </w:r>
      <w:bookmarkStart w:id="28" w:name="_GoBack"/>
      <w:bookmarkEnd w:id="28"/>
      <w:r>
        <w:rPr>
          <w:rFonts w:hint="default" w:ascii="仿宋_GB2312" w:hAnsi="仿宋_GB2312" w:eastAsia="仿宋_GB2312" w:cs="仿宋_GB2312"/>
          <w:bCs/>
          <w:color w:val="auto"/>
          <w:kern w:val="2"/>
          <w:sz w:val="28"/>
          <w:szCs w:val="28"/>
          <w:highlight w:val="none"/>
          <w:lang w:val="en-GB" w:eastAsia="zh-CN" w:bidi="ar-SA"/>
        </w:rPr>
        <w:t>的损失，与本评估机构无关。</w:t>
      </w:r>
    </w:p>
    <w:p w14:paraId="144EA23E">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（2）《土地估价报告》和《土地估价技术报告（评估工作底稿）》均提供给委托方使用和土地上级行政主管部门备案审查。</w:t>
      </w:r>
    </w:p>
    <w:p w14:paraId="3150A5F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（3）本报告必须完整使用，对仅使用报告中的部分内容所导致的有关损失，估价机构不承担责任。任何单位和个人未经估价机构书面同意，不得以任何形式发表、肢解本报告。</w:t>
      </w:r>
    </w:p>
    <w:p w14:paraId="3ADA6A95">
      <w:pPr>
        <w:pStyle w:val="19"/>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3、土地估价结果的有效期</w:t>
      </w:r>
    </w:p>
    <w:p w14:paraId="661F4DEA">
      <w:pPr>
        <w:pStyle w:val="19"/>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本估价报告和估价结果自报告提交之日起壹年内有效。</w:t>
      </w:r>
    </w:p>
    <w:p w14:paraId="0371CEF6">
      <w:pPr>
        <w:pStyle w:val="19"/>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4、估价报告的使用权和解释权</w:t>
      </w:r>
    </w:p>
    <w:p w14:paraId="5EE01F16">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本估价报告和估价结果的使用权归委托方所有，湖南</w:t>
      </w:r>
      <w:r>
        <w:rPr>
          <w:rFonts w:hint="eastAsia" w:ascii="仿宋_GB2312" w:hAnsi="仿宋_GB2312" w:eastAsia="仿宋_GB2312" w:cs="仿宋_GB2312"/>
          <w:bCs/>
          <w:color w:val="auto"/>
          <w:kern w:val="2"/>
          <w:sz w:val="28"/>
          <w:szCs w:val="28"/>
          <w:highlight w:val="none"/>
          <w:lang w:val="en-US" w:eastAsia="zh-CN" w:bidi="ar-SA"/>
        </w:rPr>
        <w:t>兆财不动产规划评估有限</w:t>
      </w:r>
      <w:r>
        <w:rPr>
          <w:rFonts w:hint="default" w:ascii="仿宋_GB2312" w:hAnsi="仿宋_GB2312" w:eastAsia="仿宋_GB2312" w:cs="仿宋_GB2312"/>
          <w:bCs/>
          <w:color w:val="auto"/>
          <w:kern w:val="2"/>
          <w:sz w:val="28"/>
          <w:szCs w:val="28"/>
          <w:highlight w:val="none"/>
          <w:lang w:val="en-GB" w:eastAsia="zh-CN" w:bidi="ar-SA"/>
        </w:rPr>
        <w:t>公司对估价结果有解释权。</w:t>
      </w:r>
    </w:p>
    <w:p w14:paraId="2745A893">
      <w:pPr>
        <w:pStyle w:val="19"/>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5、违规使用土地估价报告和估价结果的法律责任</w:t>
      </w:r>
    </w:p>
    <w:p w14:paraId="41350286">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违背规定或超越本报告特定目的及限制条件使用本土地估价报告和土地估价结果，土地估价机构不承担任何法律责任。</w:t>
      </w:r>
    </w:p>
    <w:p w14:paraId="267C52D1">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（三）需要特殊说明的事项</w:t>
      </w:r>
    </w:p>
    <w:p w14:paraId="08BDD101">
      <w:pPr>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1、有关资料来源</w:t>
      </w:r>
      <w:r>
        <w:rPr>
          <w:rFonts w:hint="eastAsia" w:ascii="仿宋_GB2312" w:hAnsi="仿宋_GB2312" w:eastAsia="仿宋_GB2312" w:cs="仿宋_GB2312"/>
          <w:bCs/>
          <w:color w:val="auto"/>
          <w:kern w:val="2"/>
          <w:sz w:val="28"/>
          <w:szCs w:val="28"/>
          <w:highlight w:val="none"/>
          <w:lang w:val="en-US" w:eastAsia="zh-CN" w:bidi="ar-SA"/>
        </w:rPr>
        <w:t>说明</w:t>
      </w:r>
    </w:p>
    <w:p w14:paraId="5E9D92B1">
      <w:pPr>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（1）资料来源</w:t>
      </w:r>
    </w:p>
    <w:p w14:paraId="47D74323">
      <w:pPr>
        <w:pStyle w:val="2"/>
        <w:spacing w:line="480" w:lineRule="exact"/>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ja-JP" w:bidi="ar-SA"/>
        </w:rPr>
        <w:t>①</w:t>
      </w:r>
      <w:r>
        <w:rPr>
          <w:rFonts w:hint="default" w:ascii="仿宋_GB2312" w:hAnsi="仿宋_GB2312" w:eastAsia="仿宋_GB2312" w:cs="仿宋_GB2312"/>
          <w:bCs/>
          <w:color w:val="auto"/>
          <w:kern w:val="2"/>
          <w:sz w:val="28"/>
          <w:szCs w:val="28"/>
          <w:highlight w:val="none"/>
          <w:lang w:val="en-GB" w:eastAsia="zh-CN" w:bidi="ar-SA"/>
        </w:rPr>
        <w:t>估价对象的</w:t>
      </w:r>
      <w:r>
        <w:rPr>
          <w:rFonts w:hint="eastAsia" w:ascii="仿宋_GB2312" w:hAnsi="仿宋_GB2312" w:cs="仿宋_GB2312"/>
          <w:bCs/>
          <w:color w:val="auto"/>
          <w:kern w:val="2"/>
          <w:sz w:val="28"/>
          <w:szCs w:val="28"/>
          <w:highlight w:val="none"/>
          <w:lang w:val="en-GB" w:eastAsia="zh-CN" w:bidi="ar-SA"/>
        </w:rPr>
        <w:t>《国有土地使用证》（通国用（2014）第000327号）</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cs="仿宋_GB2312"/>
          <w:bCs/>
          <w:color w:val="auto"/>
          <w:kern w:val="2"/>
          <w:sz w:val="28"/>
          <w:szCs w:val="28"/>
          <w:highlight w:val="none"/>
          <w:lang w:val="en-GB" w:eastAsia="zh-CN" w:bidi="ar-SA"/>
        </w:rPr>
        <w:t>《房屋所有权证》（通房权证双江字第201517109号）</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土地分户分摊面积明细表</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cs="仿宋_GB2312"/>
          <w:bCs/>
          <w:color w:val="auto"/>
          <w:kern w:val="2"/>
          <w:sz w:val="28"/>
          <w:szCs w:val="28"/>
          <w:highlight w:val="none"/>
          <w:lang w:val="en-GB" w:eastAsia="zh-CN" w:bidi="ar-SA"/>
        </w:rPr>
        <w:t>、《通道县自然资源局行政许可申请受理决定书》（2026年1月22日）、《通道侗族自治县自然资源局关于通道县政府大院内各建筑性质的认定》（2026年1月28日）</w:t>
      </w:r>
      <w:r>
        <w:rPr>
          <w:rFonts w:hint="default" w:ascii="仿宋_GB2312" w:hAnsi="仿宋_GB2312" w:eastAsia="仿宋_GB2312" w:cs="仿宋_GB2312"/>
          <w:bCs/>
          <w:color w:val="auto"/>
          <w:kern w:val="2"/>
          <w:sz w:val="28"/>
          <w:szCs w:val="28"/>
          <w:highlight w:val="none"/>
          <w:lang w:val="en-GB" w:eastAsia="zh-CN" w:bidi="ar-SA"/>
        </w:rPr>
        <w:t>等资料由委托方提供，现场估价人员已进行核对确认，为保证本报告所使用评估数据的准确性、有效性，委托方需要对所提供资料的真实性负责；估价机构对所收集资料的真实性、准确性负责。</w:t>
      </w:r>
    </w:p>
    <w:p w14:paraId="5B919465">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②估价对象的区位条件、土地利用现状照片及交易案例的现状条件等估价相关资料由估价人员实地调查取得。</w:t>
      </w:r>
    </w:p>
    <w:p w14:paraId="08C940F3">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③区域经济发展状况、统计数据、城市规划资料、基准地价资料等由土地估价师向相关部门收集获取。</w:t>
      </w:r>
    </w:p>
    <w:p w14:paraId="262BACE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④估价中的相关基础资料、地产市场交易案例资料，由</w:t>
      </w:r>
      <w:r>
        <w:rPr>
          <w:rFonts w:hint="eastAsia" w:ascii="仿宋_GB2312" w:hAnsi="仿宋_GB2312" w:eastAsia="仿宋_GB2312" w:cs="仿宋_GB2312"/>
          <w:bCs/>
          <w:color w:val="auto"/>
          <w:kern w:val="2"/>
          <w:sz w:val="28"/>
          <w:szCs w:val="28"/>
          <w:highlight w:val="none"/>
          <w:lang w:val="en-US" w:eastAsia="zh-CN" w:bidi="ar-SA"/>
        </w:rPr>
        <w:t>湖南兆财不动产规划评估有限公司</w:t>
      </w:r>
      <w:r>
        <w:rPr>
          <w:rFonts w:hint="default" w:ascii="仿宋_GB2312" w:hAnsi="仿宋_GB2312" w:eastAsia="仿宋_GB2312" w:cs="仿宋_GB2312"/>
          <w:bCs/>
          <w:color w:val="auto"/>
          <w:kern w:val="2"/>
          <w:sz w:val="28"/>
          <w:szCs w:val="28"/>
          <w:highlight w:val="none"/>
          <w:lang w:val="en-GB" w:eastAsia="zh-CN" w:bidi="ar-SA"/>
        </w:rPr>
        <w:t>的土地估价师通过政府部门相关文件规定、公开媒体、网络平台等多种途径获取。</w:t>
      </w:r>
    </w:p>
    <w:p w14:paraId="772EA86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⑤土地估价师结合执业经验，对上述相关评估资料的真实性、合法性、有效性、适用性进行了尽职核实和专业判断。</w:t>
      </w:r>
    </w:p>
    <w:p w14:paraId="5130D203">
      <w:pPr>
        <w:keepLines w:val="0"/>
        <w:pageBreakBefore w:val="0"/>
        <w:widowControl w:val="0"/>
        <w:kinsoku/>
        <w:wordWrap/>
        <w:overflowPunct/>
        <w:topLinePunct w:val="0"/>
        <w:autoSpaceDE/>
        <w:autoSpaceDN/>
        <w:bidi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（2）估价人员对估价现场勘查仅限于可观察和可接触到的部分，对被遮盖、未暴露以及难以接触部分，因无法调查而不能实地确认，评估以委托方提供的资料和估价人员实地调查掌握的资料为准。</w:t>
      </w:r>
    </w:p>
    <w:p w14:paraId="59D102AB">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2、估价中经济技术指标来源</w:t>
      </w:r>
    </w:p>
    <w:p w14:paraId="669E35E2">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（1）估价对象所在整体宗地的土地总面积以</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土地资产评估委托书</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为依据，土地</w:t>
      </w:r>
      <w:r>
        <w:rPr>
          <w:rFonts w:hint="eastAsia" w:ascii="仿宋_GB2312" w:hAnsi="仿宋_GB2312" w:eastAsia="仿宋_GB2312" w:cs="仿宋_GB2312"/>
          <w:bCs/>
          <w:color w:val="auto"/>
          <w:kern w:val="2"/>
          <w:sz w:val="28"/>
          <w:szCs w:val="28"/>
          <w:highlight w:val="none"/>
          <w:lang w:val="en-US" w:eastAsia="zh-CN" w:bidi="ar-SA"/>
        </w:rPr>
        <w:t>分摊</w:t>
      </w:r>
      <w:r>
        <w:rPr>
          <w:rFonts w:hint="default" w:ascii="仿宋_GB2312" w:hAnsi="仿宋_GB2312" w:eastAsia="仿宋_GB2312" w:cs="仿宋_GB2312"/>
          <w:bCs/>
          <w:color w:val="auto"/>
          <w:kern w:val="2"/>
          <w:sz w:val="28"/>
          <w:szCs w:val="28"/>
          <w:highlight w:val="none"/>
          <w:lang w:val="en-GB" w:eastAsia="zh-CN" w:bidi="ar-SA"/>
        </w:rPr>
        <w:t>面积</w:t>
      </w:r>
      <w:r>
        <w:rPr>
          <w:rFonts w:hint="eastAsia" w:ascii="仿宋_GB2312" w:hAnsi="仿宋_GB2312" w:eastAsia="仿宋_GB2312" w:cs="仿宋_GB2312"/>
          <w:bCs/>
          <w:color w:val="auto"/>
          <w:kern w:val="2"/>
          <w:sz w:val="28"/>
          <w:szCs w:val="28"/>
          <w:highlight w:val="none"/>
          <w:lang w:val="en-US" w:eastAsia="zh-CN" w:bidi="ar-SA"/>
        </w:rPr>
        <w:t>183.27平方米。根据委托方提供的估价对象《房屋所有权证》（通房权证双江字第201517109号）及</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土地分户分摊面积明细表</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，估价对象建筑面积为745.47平方米，则估价对象现状容积率为4.07。</w:t>
      </w:r>
      <w:r>
        <w:rPr>
          <w:rFonts w:hint="default" w:ascii="仿宋_GB2312" w:hAnsi="仿宋_GB2312" w:eastAsia="仿宋_GB2312" w:cs="仿宋_GB2312"/>
          <w:bCs/>
          <w:color w:val="auto"/>
          <w:kern w:val="2"/>
          <w:sz w:val="28"/>
          <w:szCs w:val="28"/>
          <w:highlight w:val="none"/>
          <w:lang w:val="en-GB" w:eastAsia="zh-CN" w:bidi="ar-SA"/>
        </w:rPr>
        <w:t>根据估价目的，本次评估现状利用条件下的出让土地使用权价格容积率设定为</w:t>
      </w:r>
      <w:r>
        <w:rPr>
          <w:rFonts w:hint="eastAsia" w:ascii="仿宋_GB2312" w:hAnsi="仿宋_GB2312" w:eastAsia="仿宋_GB2312" w:cs="仿宋_GB2312"/>
          <w:bCs/>
          <w:color w:val="auto"/>
          <w:kern w:val="2"/>
          <w:sz w:val="28"/>
          <w:szCs w:val="28"/>
          <w:highlight w:val="none"/>
          <w:lang w:val="en-US" w:eastAsia="zh-CN" w:bidi="ar-SA"/>
        </w:rPr>
        <w:t>4.07</w:t>
      </w:r>
      <w:r>
        <w:rPr>
          <w:rFonts w:hint="default" w:ascii="仿宋_GB2312" w:hAnsi="仿宋_GB2312" w:eastAsia="仿宋_GB2312" w:cs="仿宋_GB2312"/>
          <w:bCs/>
          <w:color w:val="auto"/>
          <w:kern w:val="2"/>
          <w:sz w:val="28"/>
          <w:szCs w:val="28"/>
          <w:highlight w:val="none"/>
          <w:lang w:val="en-GB" w:eastAsia="zh-CN" w:bidi="ar-SA"/>
        </w:rPr>
        <w:t>。实际需以当地自然资源部门核定为准。</w:t>
      </w:r>
    </w:p>
    <w:p w14:paraId="3278D46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（2）其他经济技术指标</w:t>
      </w:r>
      <w:r>
        <w:rPr>
          <w:rFonts w:hint="eastAsia" w:ascii="仿宋_GB2312" w:hAnsi="仿宋_GB2312" w:eastAsia="仿宋_GB2312" w:cs="仿宋_GB2312"/>
          <w:bCs/>
          <w:color w:val="auto"/>
          <w:kern w:val="2"/>
          <w:sz w:val="28"/>
          <w:szCs w:val="28"/>
          <w:highlight w:val="none"/>
          <w:lang w:val="en-US" w:eastAsia="zh-CN" w:bidi="ar-SA"/>
        </w:rPr>
        <w:t>结合政府政策文件及</w:t>
      </w:r>
      <w:r>
        <w:rPr>
          <w:rFonts w:hint="default" w:ascii="仿宋_GB2312" w:hAnsi="仿宋_GB2312" w:eastAsia="仿宋_GB2312" w:cs="仿宋_GB2312"/>
          <w:bCs/>
          <w:color w:val="auto"/>
          <w:kern w:val="2"/>
          <w:sz w:val="28"/>
          <w:szCs w:val="28"/>
          <w:highlight w:val="none"/>
          <w:lang w:val="en-GB" w:eastAsia="zh-CN" w:bidi="ar-SA"/>
        </w:rPr>
        <w:t>地方税费文件等资料和市场调查综合确定</w:t>
      </w:r>
    </w:p>
    <w:p w14:paraId="77AB9F89">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3、对估价结果和估价工作可能产生影响的变化事项</w:t>
      </w:r>
    </w:p>
    <w:p w14:paraId="614B7BD8">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（1）估价对象的土地面积与现状利用条件以委托方提供的资料为依据，若土地面积和现状利用条件发生变化，评估结果应作相应调整。</w:t>
      </w:r>
    </w:p>
    <w:p w14:paraId="7B87C860">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本报告估价结果是在满足地价定义所设定条件下的土地使用权价格，若估价对象的土地利用方式、估价期日、土地开发状况、土地使用年限、土地面积等影响地价的因素发生变化，该评估价格应作相应调整。</w:t>
      </w:r>
    </w:p>
    <w:p w14:paraId="22445A5F">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（3）本次评估中关于宗地开发程度的设定</w:t>
      </w:r>
    </w:p>
    <w:p w14:paraId="1E0B3F6B">
      <w:pPr>
        <w:pStyle w:val="2"/>
        <w:spacing w:line="480" w:lineRule="exact"/>
        <w:ind w:firstLine="560"/>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根据委托方提供的资料及估价人员的现场勘查，估价对象于估价期日实际开发程度为宗地红线内外“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通”（通路、通电、供水、排水、通讯）及宗地红线内场地平整，估价对象所在整体宗地上有一栋</w:t>
      </w:r>
      <w:r>
        <w:rPr>
          <w:rFonts w:hint="eastAsia" w:ascii="仿宋_GB2312" w:hAnsi="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default" w:ascii="仿宋_GB2312" w:hAnsi="仿宋_GB2312" w:eastAsia="仿宋_GB2312" w:cs="仿宋_GB2312"/>
          <w:bCs/>
          <w:color w:val="auto"/>
          <w:kern w:val="2"/>
          <w:sz w:val="28"/>
          <w:szCs w:val="28"/>
          <w:highlight w:val="none"/>
          <w:lang w:val="en-GB" w:eastAsia="zh-CN" w:bidi="ar-SA"/>
        </w:rPr>
        <w:t>。根据估价目的，本次评估是为委托方办理土地使用权出让手续提供参考依据，宗地红线内的其他基础设施费用非出让方付出，不应将其重复计入土地价值，故本次评估设定待估宗地开发程度为宗地红线外“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w:t>
      </w:r>
    </w:p>
    <w:p w14:paraId="22FAE36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4、估价对象的特殊性、估价中未考虑的因素及采取的特殊性处理</w:t>
      </w:r>
    </w:p>
    <w:p w14:paraId="7F9FEB7E">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（1）估价对象的特殊性</w:t>
      </w:r>
    </w:p>
    <w:p w14:paraId="1A38D819">
      <w:pPr>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根据委托方提供的估价对象</w:t>
      </w:r>
      <w:r>
        <w:rPr>
          <w:rFonts w:hint="eastAsia" w:ascii="仿宋_GB2312" w:hAnsi="仿宋_GB2312" w:eastAsia="仿宋_GB2312" w:cs="仿宋_GB2312"/>
          <w:bCs/>
          <w:color w:val="auto"/>
          <w:kern w:val="2"/>
          <w:sz w:val="28"/>
          <w:szCs w:val="28"/>
          <w:highlight w:val="none"/>
          <w:lang w:val="en-GB" w:eastAsia="zh-CN" w:bidi="ar-SA"/>
        </w:rPr>
        <w:t>《国有土地使用证》（通国用（2014）第000327号），</w:t>
      </w:r>
      <w:r>
        <w:rPr>
          <w:rFonts w:hint="default" w:ascii="仿宋_GB2312" w:hAnsi="仿宋_GB2312" w:eastAsia="仿宋_GB2312" w:cs="仿宋_GB2312"/>
          <w:bCs/>
          <w:color w:val="auto"/>
          <w:kern w:val="2"/>
          <w:sz w:val="28"/>
          <w:szCs w:val="28"/>
          <w:highlight w:val="none"/>
          <w:lang w:val="en-GB" w:eastAsia="zh-CN" w:bidi="ar-SA"/>
        </w:rPr>
        <w:t>土地使用权</w:t>
      </w:r>
      <w:r>
        <w:rPr>
          <w:rFonts w:hint="eastAsia" w:ascii="仿宋_GB2312" w:hAnsi="仿宋_GB2312" w:eastAsia="仿宋_GB2312" w:cs="仿宋_GB2312"/>
          <w:bCs/>
          <w:color w:val="auto"/>
          <w:kern w:val="2"/>
          <w:sz w:val="28"/>
          <w:szCs w:val="28"/>
          <w:highlight w:val="none"/>
          <w:lang w:val="en-US" w:eastAsia="zh-CN" w:bidi="ar-SA"/>
        </w:rPr>
        <w:t>者通道侗族自治县国有资产监督管理办公室，共有使用权面积11030.64平方米，共有分摊面积0。根据</w:t>
      </w:r>
      <w:r>
        <w:rPr>
          <w:rFonts w:hint="eastAsia" w:ascii="仿宋_GB2312" w:hAnsi="仿宋_GB2312" w:eastAsia="仿宋_GB2312" w:cs="仿宋_GB2312"/>
          <w:bCs/>
          <w:color w:val="auto"/>
          <w:kern w:val="2"/>
          <w:sz w:val="28"/>
          <w:szCs w:val="28"/>
          <w:highlight w:val="none"/>
          <w:lang w:val="en-GB" w:eastAsia="zh-CN" w:bidi="ar-SA"/>
        </w:rPr>
        <w:t>《房屋所有权证》（通房权证双江字第201517109号）</w:t>
      </w:r>
      <w:r>
        <w:rPr>
          <w:rFonts w:hint="default" w:ascii="仿宋_GB2312" w:hAnsi="仿宋_GB2312" w:eastAsia="仿宋_GB2312" w:cs="仿宋_GB2312"/>
          <w:bCs/>
          <w:color w:val="auto"/>
          <w:kern w:val="2"/>
          <w:sz w:val="28"/>
          <w:szCs w:val="28"/>
          <w:highlight w:val="none"/>
          <w:lang w:val="en-GB" w:eastAsia="zh-CN" w:bidi="ar-SA"/>
        </w:rPr>
        <w:t>，估价对象位于</w:t>
      </w:r>
      <w:r>
        <w:rPr>
          <w:rFonts w:hint="eastAsia" w:ascii="仿宋_GB2312" w:hAnsi="仿宋_GB2312" w:eastAsia="仿宋_GB2312" w:cs="仿宋_GB2312"/>
          <w:bCs/>
          <w:color w:val="auto"/>
          <w:kern w:val="2"/>
          <w:sz w:val="28"/>
          <w:szCs w:val="28"/>
          <w:highlight w:val="none"/>
          <w:lang w:val="en-US" w:eastAsia="zh-CN" w:bidi="ar-SA"/>
        </w:rPr>
        <w:t>通道县双江镇行政街331/1-2幢整栋</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房屋所有权人为通道侗族自治县国有资产监督管理办公室，建筑总面积745.47平方米</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其中商业用房建筑面积164.16平方米、住宅用房面积581.31平方米，根据《土地分户分摊面积明细表》，</w:t>
      </w:r>
      <w:r>
        <w:rPr>
          <w:rFonts w:hint="default" w:ascii="仿宋_GB2312" w:hAnsi="仿宋_GB2312" w:eastAsia="仿宋_GB2312" w:cs="仿宋_GB2312"/>
          <w:bCs/>
          <w:color w:val="auto"/>
          <w:kern w:val="2"/>
          <w:sz w:val="28"/>
          <w:szCs w:val="28"/>
          <w:highlight w:val="none"/>
          <w:lang w:val="en-GB" w:eastAsia="zh-CN" w:bidi="ar-SA"/>
        </w:rPr>
        <w:t>分摊土地使用权面积为</w:t>
      </w:r>
      <w:r>
        <w:rPr>
          <w:rFonts w:hint="eastAsia" w:ascii="仿宋_GB2312" w:hAnsi="仿宋_GB2312" w:eastAsia="仿宋_GB2312" w:cs="仿宋_GB2312"/>
          <w:bCs/>
          <w:color w:val="auto"/>
          <w:kern w:val="2"/>
          <w:sz w:val="28"/>
          <w:szCs w:val="28"/>
          <w:highlight w:val="none"/>
          <w:lang w:val="en-US" w:eastAsia="zh-CN" w:bidi="ar-SA"/>
        </w:rPr>
        <w:t>183.27平方米，建筑面积745.47平方米</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通道侗族自治县自然资源局关于通道县政府大院内各建筑性质的认定》（2026年1月28日），估价对象建筑性质为城镇住宅，其中商业建筑占比25%，根据委托方提供的《土地资产评估委托书》，商业服务业用地40.38平方米、住宅用地142.89平方米，则估价对象土地面积183.27平方米，商住比22.03%：77.97%，本次评估以《土地资产评估委托书》为依据，</w:t>
      </w:r>
      <w:r>
        <w:rPr>
          <w:rFonts w:hint="default" w:ascii="仿宋_GB2312" w:hAnsi="仿宋_GB2312" w:eastAsia="仿宋_GB2312" w:cs="仿宋_GB2312"/>
          <w:bCs/>
          <w:color w:val="auto"/>
          <w:kern w:val="2"/>
          <w:sz w:val="28"/>
          <w:szCs w:val="28"/>
          <w:highlight w:val="none"/>
          <w:lang w:val="en-GB" w:eastAsia="zh-CN" w:bidi="ar-SA"/>
        </w:rPr>
        <w:t>委托方拟按现状利用条件为其办理土地使用权出让手续。</w:t>
      </w:r>
    </w:p>
    <w:p w14:paraId="7E0AB6B0">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（2）估价中未考虑的因素</w:t>
      </w:r>
    </w:p>
    <w:p w14:paraId="408E3F12">
      <w:pPr>
        <w:keepLines w:val="0"/>
        <w:pageBreakBefore w:val="0"/>
        <w:widowControl w:val="0"/>
        <w:kinsoku/>
        <w:wordWrap/>
        <w:overflowPunct/>
        <w:topLinePunct w:val="0"/>
        <w:autoSpaceDE/>
        <w:autoSpaceDN/>
        <w:bidi w:val="0"/>
        <w:adjustRightInd w:val="0"/>
        <w:snapToGrid w:val="0"/>
        <w:spacing w:line="480" w:lineRule="exact"/>
        <w:ind w:right="0" w:firstLine="840" w:firstLineChars="3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次估价结果是反映估价对象在本次估价目的下的公开市场价格水平，估价时没有考虑未来国家宏观经济政策发生变化、市场供应变化、市场结构转变、遇有自然力和其他不可抗力等因素对土地使用权价值的影响，也没有考虑特殊交易方式下的特殊交易价格等对评估价值的影响。当上述条件发生变化时，评估结果应做相应调整。</w:t>
      </w:r>
    </w:p>
    <w:p w14:paraId="7F92499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（3）采取的特殊处理方式</w:t>
      </w:r>
    </w:p>
    <w:p w14:paraId="1D52D1EE">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 w:hAnsi="仿宋" w:eastAsia="仿宋" w:cs="仿宋"/>
          <w:sz w:val="28"/>
          <w:szCs w:val="28"/>
          <w:highlight w:val="none"/>
        </w:rPr>
      </w:pPr>
      <w:r>
        <w:rPr>
          <w:rFonts w:hint="default" w:ascii="仿宋_GB2312" w:hAnsi="仿宋_GB2312" w:eastAsia="仿宋_GB2312" w:cs="仿宋_GB2312"/>
          <w:bCs/>
          <w:color w:val="auto"/>
          <w:kern w:val="2"/>
          <w:sz w:val="28"/>
          <w:szCs w:val="28"/>
          <w:highlight w:val="none"/>
          <w:lang w:val="en-GB" w:eastAsia="zh-CN" w:bidi="ar-SA"/>
        </w:rPr>
        <w:t>估价对象于估价期日土地使用权类型为划拨，根据《国土资源部办公厅关于发布&lt;国有建设用地使用权出让地价评估技术规范&gt;的通知》（国土资厅发[2018]4号），划拨土地办理协议出让时，不改变土地及建筑物、构筑物现状的，应按本规范评估在现状利用条件下的出让土地使用权正常市场价格，减去划拨土地使用权价格。根据《土地资产评估委托书》和相关部门要求，本次评估仅需评估估价对象于估价日期在现状利用条件下的出让土地使用权价格，为</w:t>
      </w:r>
      <w:r>
        <w:rPr>
          <w:rFonts w:hint="eastAsia" w:ascii="仿宋_GB2312" w:hAnsi="仿宋_GB2312" w:eastAsia="仿宋_GB2312" w:cs="仿宋_GB2312"/>
          <w:bCs/>
          <w:color w:val="auto"/>
          <w:kern w:val="2"/>
          <w:sz w:val="28"/>
          <w:szCs w:val="28"/>
          <w:highlight w:val="none"/>
          <w:lang w:val="en-US" w:eastAsia="zh-CN" w:bidi="ar-SA"/>
        </w:rPr>
        <w:t>通道</w:t>
      </w:r>
      <w:r>
        <w:rPr>
          <w:rFonts w:hint="default" w:ascii="仿宋_GB2312" w:hAnsi="仿宋_GB2312" w:eastAsia="仿宋_GB2312" w:cs="仿宋_GB2312"/>
          <w:bCs/>
          <w:color w:val="auto"/>
          <w:kern w:val="2"/>
          <w:sz w:val="28"/>
          <w:szCs w:val="28"/>
          <w:highlight w:val="none"/>
          <w:lang w:val="en-GB" w:eastAsia="zh-CN" w:bidi="ar-SA"/>
        </w:rPr>
        <w:t>侗族自治县自然资源局办理土地使用权出让手续提供参考，故本报告未对估价对象的划拨土地使用权价格进行评估。</w:t>
      </w:r>
      <w:r>
        <w:rPr>
          <w:rFonts w:hint="eastAsia" w:ascii="仿宋_GB2312" w:hAnsi="仿宋_GB2312" w:eastAsia="仿宋_GB2312" w:cs="仿宋_GB2312"/>
          <w:b/>
          <w:bCs/>
          <w:color w:val="000000"/>
          <w:kern w:val="2"/>
          <w:sz w:val="28"/>
          <w:szCs w:val="28"/>
          <w:highlight w:val="none"/>
          <w:lang w:val="en-US" w:eastAsia="zh-CN" w:bidi="ar-SA"/>
        </w:rPr>
        <w:br w:type="page"/>
      </w:r>
    </w:p>
    <w:p w14:paraId="102BAB6C">
      <w:pPr>
        <w:pStyle w:val="16"/>
        <w:spacing w:before="120" w:beforeLines="50" w:after="240" w:afterLines="100" w:line="440" w:lineRule="exact"/>
        <w:ind w:firstLine="0" w:firstLineChars="0"/>
        <w:jc w:val="center"/>
        <w:outlineLvl w:val="0"/>
        <w:rPr>
          <w:rFonts w:hint="eastAsia" w:ascii="宋体" w:hAnsi="宋体" w:eastAsia="宋体" w:cs="宋体"/>
          <w:b/>
          <w:color w:val="auto"/>
          <w:sz w:val="32"/>
          <w:szCs w:val="32"/>
          <w:highlight w:val="none"/>
        </w:rPr>
      </w:pPr>
      <w:bookmarkStart w:id="18" w:name="_Toc32260"/>
      <w:r>
        <w:rPr>
          <w:rFonts w:hint="eastAsia" w:ascii="宋体" w:hAnsi="宋体" w:eastAsia="宋体" w:cs="宋体"/>
          <w:b/>
          <w:color w:val="auto"/>
          <w:sz w:val="32"/>
          <w:szCs w:val="32"/>
          <w:highlight w:val="none"/>
          <w:lang w:val="en-US" w:eastAsia="zh-CN"/>
        </w:rPr>
        <w:t>第四部分</w:t>
      </w:r>
      <w:r>
        <w:rPr>
          <w:rFonts w:hint="eastAsia" w:ascii="宋体" w:hAnsi="宋体" w:eastAsia="宋体" w:cs="宋体"/>
          <w:b/>
          <w:color w:val="auto"/>
          <w:sz w:val="32"/>
          <w:szCs w:val="32"/>
          <w:highlight w:val="none"/>
        </w:rPr>
        <w:t xml:space="preserve">     </w:t>
      </w:r>
      <w:bookmarkStart w:id="19" w:name="_Toc7871"/>
      <w:r>
        <w:rPr>
          <w:rFonts w:hint="eastAsia" w:ascii="宋体" w:hAnsi="宋体" w:eastAsia="宋体" w:cs="宋体"/>
          <w:b/>
          <w:color w:val="auto"/>
          <w:sz w:val="32"/>
          <w:szCs w:val="32"/>
          <w:highlight w:val="none"/>
        </w:rPr>
        <w:t>附件</w:t>
      </w:r>
      <w:bookmarkEnd w:id="18"/>
      <w:bookmarkEnd w:id="19"/>
    </w:p>
    <w:p w14:paraId="185C4758">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1.估价对象《土地资产评估委托书》；</w:t>
      </w:r>
    </w:p>
    <w:p w14:paraId="5BA5B0AD">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2.委托方《统一社会信用代码证书》复印件</w:t>
      </w:r>
    </w:p>
    <w:p w14:paraId="013694E1">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3.估价对象《国有土地使用证》（通国用（2014）第000327号）；</w:t>
      </w:r>
    </w:p>
    <w:p w14:paraId="79D67C62">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4.估价对象《房屋所有权证》（通房权证双江字第201517109号）；</w:t>
      </w:r>
    </w:p>
    <w:p w14:paraId="03743919">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5.《通道侗族自治县自然资源局关于通道县政府大院内各建筑性质的认定》（2026年1月28日）；</w:t>
      </w:r>
    </w:p>
    <w:p w14:paraId="54E39568">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6.《通道县自然资源局行政许可申请受理决定书》（2026年1月22日）；</w:t>
      </w:r>
    </w:p>
    <w:p w14:paraId="10627282">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7.估价对象《土地分户分摊面积明细表》</w:t>
      </w:r>
    </w:p>
    <w:p w14:paraId="5AF08EA2">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8.估价对象宗地区域位置示意图；</w:t>
      </w:r>
    </w:p>
    <w:p w14:paraId="3D2E170B">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9.</w:t>
      </w:r>
      <w:r>
        <w:rPr>
          <w:rFonts w:hint="eastAsia" w:ascii="仿宋_GB2312" w:hAnsi="仿宋_GB2312" w:eastAsia="仿宋_GB2312" w:cs="仿宋_GB2312"/>
          <w:color w:val="auto"/>
          <w:kern w:val="2"/>
          <w:sz w:val="28"/>
          <w:szCs w:val="28"/>
          <w:highlight w:val="none"/>
          <w:lang w:val="en-US" w:eastAsia="zh-CN" w:bidi="ar"/>
        </w:rPr>
        <w:t>估价对象照片</w:t>
      </w:r>
      <w:r>
        <w:rPr>
          <w:rFonts w:hint="eastAsia" w:ascii="仿宋_GB2312" w:hAnsi="仿宋_GB2312" w:eastAsia="仿宋_GB2312" w:cs="仿宋_GB2312"/>
          <w:bCs/>
          <w:sz w:val="28"/>
          <w:szCs w:val="28"/>
          <w:highlight w:val="none"/>
          <w:lang w:val="en-US" w:eastAsia="zh-CN"/>
        </w:rPr>
        <w:t>；</w:t>
      </w:r>
    </w:p>
    <w:p w14:paraId="50BDF1F3">
      <w:pPr>
        <w:keepNext w:val="0"/>
        <w:keepLines w:val="0"/>
        <w:pageBreakBefore w:val="0"/>
        <w:widowControl w:val="0"/>
        <w:tabs>
          <w:tab w:val="left" w:pos="1011"/>
        </w:tabs>
        <w:kinsoku/>
        <w:wordWrap/>
        <w:overflowPunct/>
        <w:topLinePunct w:val="0"/>
        <w:autoSpaceDE w:val="0"/>
        <w:autoSpaceDN w:val="0"/>
        <w:bidi w:val="0"/>
        <w:adjustRightInd w:val="0"/>
        <w:snapToGrid w:val="0"/>
        <w:spacing w:line="360" w:lineRule="auto"/>
        <w:ind w:firstLine="560" w:firstLineChars="200"/>
        <w:textAlignment w:val="auto"/>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10.现场勘察表；</w:t>
      </w:r>
    </w:p>
    <w:p w14:paraId="0237AAD8">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11.土地评估中介机构企业营业执照；</w:t>
      </w:r>
    </w:p>
    <w:p w14:paraId="183227F6">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12.土地评估中介机构备案证明；</w:t>
      </w:r>
    </w:p>
    <w:p w14:paraId="797CEB9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13.土地估价师资质证书。</w:t>
      </w:r>
    </w:p>
    <w:p w14:paraId="2C97EC0D">
      <w:pPr>
        <w:keepNext w:val="0"/>
        <w:keepLines w:val="0"/>
        <w:pageBreakBefore w:val="0"/>
        <w:widowControl w:val="0"/>
        <w:kinsoku/>
        <w:wordWrap/>
        <w:overflowPunct/>
        <w:topLinePunct w:val="0"/>
        <w:bidi w:val="0"/>
        <w:spacing w:line="360" w:lineRule="auto"/>
        <w:jc w:val="right"/>
        <w:textAlignment w:val="auto"/>
        <w:rPr>
          <w:rFonts w:hint="eastAsia" w:ascii="仿宋_GB2312" w:eastAsia="仿宋_GB2312"/>
          <w:sz w:val="28"/>
          <w:szCs w:val="28"/>
          <w:highlight w:val="none"/>
        </w:rPr>
      </w:pPr>
    </w:p>
    <w:p w14:paraId="55FF512F">
      <w:pPr>
        <w:keepNext w:val="0"/>
        <w:keepLines w:val="0"/>
        <w:pageBreakBefore w:val="0"/>
        <w:widowControl w:val="0"/>
        <w:kinsoku/>
        <w:wordWrap/>
        <w:overflowPunct/>
        <w:topLinePunct w:val="0"/>
        <w:bidi w:val="0"/>
        <w:spacing w:line="360" w:lineRule="auto"/>
        <w:jc w:val="right"/>
        <w:textAlignment w:val="auto"/>
        <w:rPr>
          <w:rFonts w:hint="eastAsia" w:ascii="仿宋_GB2312" w:eastAsia="仿宋_GB2312"/>
          <w:sz w:val="28"/>
          <w:szCs w:val="28"/>
          <w:highlight w:val="none"/>
        </w:rPr>
        <w:sectPr>
          <w:pgSz w:w="11906" w:h="16838"/>
          <w:pgMar w:top="1440" w:right="1800" w:bottom="1440" w:left="1800" w:header="851" w:footer="850" w:gutter="0"/>
          <w:pgNumType w:fmt="decimal"/>
          <w:cols w:space="0" w:num="1"/>
          <w:rtlGutter w:val="0"/>
          <w:docGrid w:type="lines" w:linePitch="312" w:charSpace="0"/>
        </w:sectPr>
      </w:pPr>
      <w:r>
        <w:rPr>
          <w:rFonts w:hint="eastAsia" w:ascii="仿宋_GB2312" w:eastAsia="仿宋_GB2312"/>
          <w:sz w:val="28"/>
          <w:szCs w:val="28"/>
          <w:highlight w:val="none"/>
        </w:rPr>
        <w:t>（以上资料均为复印件）</w:t>
      </w:r>
    </w:p>
    <w:p w14:paraId="35CD6E50">
      <w:pPr>
        <w:spacing w:line="520" w:lineRule="exact"/>
        <w:jc w:val="center"/>
        <w:rPr>
          <w:rFonts w:hint="eastAsia" w:asciiTheme="majorEastAsia" w:hAnsiTheme="majorEastAsia" w:eastAsiaTheme="majorEastAsia" w:cstheme="majorEastAsia"/>
          <w:b/>
          <w:bCs/>
          <w:sz w:val="44"/>
          <w:szCs w:val="44"/>
          <w:highlight w:val="none"/>
        </w:rPr>
      </w:pPr>
      <w:r>
        <w:rPr>
          <w:rFonts w:hint="eastAsia" w:asciiTheme="majorEastAsia" w:hAnsiTheme="majorEastAsia" w:eastAsiaTheme="majorEastAsia" w:cstheme="majorEastAsia"/>
          <w:b/>
          <w:bCs/>
          <w:sz w:val="44"/>
          <w:szCs w:val="44"/>
          <w:highlight w:val="none"/>
        </w:rPr>
        <w:t xml:space="preserve">土 地 估 价 </w:t>
      </w:r>
      <w:r>
        <w:rPr>
          <w:rFonts w:hint="eastAsia" w:asciiTheme="majorEastAsia" w:hAnsiTheme="majorEastAsia" w:eastAsiaTheme="majorEastAsia" w:cstheme="majorEastAsia"/>
          <w:b/>
          <w:bCs/>
          <w:sz w:val="44"/>
          <w:szCs w:val="44"/>
          <w:highlight w:val="none"/>
          <w:lang w:val="en-US" w:eastAsia="zh-CN"/>
        </w:rPr>
        <w:t xml:space="preserve">技 术 </w:t>
      </w:r>
      <w:r>
        <w:rPr>
          <w:rFonts w:hint="eastAsia" w:asciiTheme="majorEastAsia" w:hAnsiTheme="majorEastAsia" w:eastAsiaTheme="majorEastAsia" w:cstheme="majorEastAsia"/>
          <w:b/>
          <w:bCs/>
          <w:sz w:val="44"/>
          <w:szCs w:val="44"/>
          <w:highlight w:val="none"/>
        </w:rPr>
        <w:t>报 告</w:t>
      </w:r>
    </w:p>
    <w:p w14:paraId="5684C264">
      <w:pPr>
        <w:pStyle w:val="2"/>
        <w:ind w:left="0" w:leftChars="0" w:firstLine="0" w:firstLineChars="0"/>
        <w:jc w:val="center"/>
        <w:rPr>
          <w:rFonts w:hint="eastAsia" w:asciiTheme="majorEastAsia" w:hAnsiTheme="majorEastAsia" w:eastAsiaTheme="majorEastAsia" w:cstheme="majorEastAsia"/>
          <w:b/>
          <w:bCs/>
          <w:sz w:val="44"/>
          <w:szCs w:val="44"/>
          <w:highlight w:val="none"/>
          <w:lang w:eastAsia="zh-CN"/>
        </w:rPr>
      </w:pPr>
      <w:r>
        <w:rPr>
          <w:rFonts w:hint="eastAsia" w:asciiTheme="majorEastAsia" w:hAnsiTheme="majorEastAsia" w:eastAsiaTheme="majorEastAsia" w:cstheme="majorEastAsia"/>
          <w:b/>
          <w:bCs/>
          <w:sz w:val="44"/>
          <w:szCs w:val="44"/>
          <w:highlight w:val="none"/>
          <w:lang w:eastAsia="zh-CN"/>
        </w:rPr>
        <w:t>（</w:t>
      </w:r>
      <w:r>
        <w:rPr>
          <w:rFonts w:hint="eastAsia" w:asciiTheme="majorEastAsia" w:hAnsiTheme="majorEastAsia" w:eastAsiaTheme="majorEastAsia" w:cstheme="majorEastAsia"/>
          <w:b/>
          <w:bCs/>
          <w:sz w:val="44"/>
          <w:szCs w:val="44"/>
          <w:highlight w:val="none"/>
          <w:lang w:val="en-US" w:eastAsia="zh-CN"/>
        </w:rPr>
        <w:t>评估工作底稿</w:t>
      </w:r>
      <w:r>
        <w:rPr>
          <w:rFonts w:hint="eastAsia" w:asciiTheme="majorEastAsia" w:hAnsiTheme="majorEastAsia" w:eastAsiaTheme="majorEastAsia" w:cstheme="majorEastAsia"/>
          <w:b/>
          <w:bCs/>
          <w:sz w:val="44"/>
          <w:szCs w:val="44"/>
          <w:highlight w:val="none"/>
          <w:lang w:eastAsia="zh-CN"/>
        </w:rPr>
        <w:t>）</w:t>
      </w:r>
    </w:p>
    <w:p w14:paraId="343A8AA2">
      <w:pPr>
        <w:spacing w:line="520" w:lineRule="exact"/>
        <w:jc w:val="center"/>
        <w:rPr>
          <w:rFonts w:hint="eastAsia" w:asciiTheme="majorEastAsia" w:hAnsiTheme="majorEastAsia" w:eastAsiaTheme="majorEastAsia" w:cstheme="majorEastAsia"/>
          <w:sz w:val="44"/>
          <w:szCs w:val="44"/>
          <w:highlight w:val="none"/>
        </w:rPr>
      </w:pPr>
    </w:p>
    <w:tbl>
      <w:tblPr>
        <w:tblStyle w:val="11"/>
        <w:tblpPr w:leftFromText="180" w:rightFromText="180" w:vertAnchor="text" w:horzAnchor="page" w:tblpX="1331" w:tblpY="299"/>
        <w:tblOverlap w:val="never"/>
        <w:tblW w:w="9741" w:type="dxa"/>
        <w:tblInd w:w="0" w:type="dxa"/>
        <w:tblLayout w:type="fixed"/>
        <w:tblCellMar>
          <w:top w:w="0" w:type="dxa"/>
          <w:left w:w="108" w:type="dxa"/>
          <w:bottom w:w="0" w:type="dxa"/>
          <w:right w:w="108" w:type="dxa"/>
        </w:tblCellMar>
      </w:tblPr>
      <w:tblGrid>
        <w:gridCol w:w="3364"/>
        <w:gridCol w:w="6377"/>
      </w:tblGrid>
      <w:tr w14:paraId="1430BB63">
        <w:tblPrEx>
          <w:tblCellMar>
            <w:top w:w="0" w:type="dxa"/>
            <w:left w:w="108" w:type="dxa"/>
            <w:bottom w:w="0" w:type="dxa"/>
            <w:right w:w="108" w:type="dxa"/>
          </w:tblCellMar>
        </w:tblPrEx>
        <w:trPr>
          <w:trHeight w:val="1820" w:hRule="atLeast"/>
        </w:trPr>
        <w:tc>
          <w:tcPr>
            <w:tcW w:w="3364" w:type="dxa"/>
            <w:vAlign w:val="center"/>
          </w:tcPr>
          <w:p w14:paraId="043912B4">
            <w:pPr>
              <w:pStyle w:val="7"/>
              <w:keepNext w:val="0"/>
              <w:keepLines w:val="0"/>
              <w:pageBreakBefore w:val="0"/>
              <w:widowControl w:val="0"/>
              <w:suppressLineNumbers w:val="0"/>
              <w:tabs>
                <w:tab w:val="left" w:pos="468"/>
                <w:tab w:val="left" w:pos="2340"/>
              </w:tabs>
              <w:kinsoku/>
              <w:wordWrap/>
              <w:overflowPunct/>
              <w:topLinePunct w:val="0"/>
              <w:autoSpaceDE/>
              <w:autoSpaceDN/>
              <w:bidi w:val="0"/>
              <w:adjustRightInd w:val="0"/>
              <w:snapToGrid w:val="0"/>
              <w:spacing w:before="0" w:beforeAutospacing="0" w:after="0" w:afterAutospacing="0" w:line="480" w:lineRule="exact"/>
              <w:ind w:left="1809" w:leftChars="0" w:right="0" w:rightChars="0" w:hanging="1809" w:hangingChars="498"/>
              <w:jc w:val="both"/>
              <w:textAlignment w:val="auto"/>
              <w:rPr>
                <w:rFonts w:ascii="楷体" w:hAnsi="楷体" w:eastAsia="楷体"/>
                <w:b/>
                <w:bCs/>
                <w:spacing w:val="14"/>
                <w:sz w:val="32"/>
                <w:szCs w:val="32"/>
                <w:highlight w:val="none"/>
              </w:rPr>
            </w:pPr>
            <w:r>
              <w:rPr>
                <w:rFonts w:ascii="楷体" w:hAnsi="楷体" w:eastAsia="楷体"/>
                <w:b/>
                <w:bCs/>
                <w:spacing w:val="21"/>
                <w:kern w:val="0"/>
                <w:sz w:val="32"/>
                <w:szCs w:val="32"/>
                <w:highlight w:val="none"/>
                <w:fitText w:val="3200" w:id="317792723"/>
              </w:rPr>
              <w:t>项</w:t>
            </w:r>
            <w:r>
              <w:rPr>
                <w:rFonts w:hint="eastAsia" w:ascii="楷体" w:hAnsi="楷体" w:eastAsia="楷体"/>
                <w:b/>
                <w:bCs/>
                <w:spacing w:val="21"/>
                <w:kern w:val="0"/>
                <w:sz w:val="32"/>
                <w:szCs w:val="32"/>
                <w:highlight w:val="none"/>
                <w:fitText w:val="3200" w:id="317792723"/>
              </w:rPr>
              <w:t xml:space="preserve">  </w:t>
            </w:r>
            <w:r>
              <w:rPr>
                <w:rFonts w:ascii="楷体" w:hAnsi="楷体" w:eastAsia="楷体"/>
                <w:b/>
                <w:bCs/>
                <w:spacing w:val="21"/>
                <w:kern w:val="0"/>
                <w:sz w:val="32"/>
                <w:szCs w:val="32"/>
                <w:highlight w:val="none"/>
                <w:fitText w:val="3200" w:id="317792723"/>
              </w:rPr>
              <w:t>目</w:t>
            </w:r>
            <w:r>
              <w:rPr>
                <w:rFonts w:hint="eastAsia" w:ascii="楷体" w:hAnsi="楷体" w:eastAsia="楷体"/>
                <w:b/>
                <w:bCs/>
                <w:spacing w:val="21"/>
                <w:kern w:val="0"/>
                <w:sz w:val="32"/>
                <w:szCs w:val="32"/>
                <w:highlight w:val="none"/>
                <w:fitText w:val="3200" w:id="317792723"/>
              </w:rPr>
              <w:t xml:space="preserve">   </w:t>
            </w:r>
            <w:r>
              <w:rPr>
                <w:rFonts w:ascii="楷体" w:hAnsi="楷体" w:eastAsia="楷体"/>
                <w:b/>
                <w:bCs/>
                <w:spacing w:val="21"/>
                <w:kern w:val="0"/>
                <w:sz w:val="32"/>
                <w:szCs w:val="32"/>
                <w:highlight w:val="none"/>
                <w:fitText w:val="3200" w:id="317792723"/>
              </w:rPr>
              <w:t>名</w:t>
            </w:r>
            <w:r>
              <w:rPr>
                <w:rFonts w:hint="eastAsia" w:ascii="楷体" w:hAnsi="楷体" w:eastAsia="楷体"/>
                <w:b/>
                <w:bCs/>
                <w:spacing w:val="21"/>
                <w:kern w:val="0"/>
                <w:sz w:val="32"/>
                <w:szCs w:val="32"/>
                <w:highlight w:val="none"/>
                <w:fitText w:val="3200" w:id="317792723"/>
              </w:rPr>
              <w:t xml:space="preserve">  </w:t>
            </w:r>
            <w:r>
              <w:rPr>
                <w:rFonts w:ascii="楷体" w:hAnsi="楷体" w:eastAsia="楷体"/>
                <w:b/>
                <w:bCs/>
                <w:spacing w:val="21"/>
                <w:kern w:val="0"/>
                <w:sz w:val="32"/>
                <w:szCs w:val="32"/>
                <w:highlight w:val="none"/>
                <w:fitText w:val="3200" w:id="317792723"/>
              </w:rPr>
              <w:t>称</w:t>
            </w:r>
            <w:r>
              <w:rPr>
                <w:rFonts w:ascii="楷体" w:hAnsi="楷体" w:eastAsia="楷体"/>
                <w:b/>
                <w:bCs/>
                <w:spacing w:val="9"/>
                <w:kern w:val="0"/>
                <w:sz w:val="32"/>
                <w:szCs w:val="32"/>
                <w:highlight w:val="none"/>
                <w:fitText w:val="3200" w:id="317792723"/>
              </w:rPr>
              <w:t>：</w:t>
            </w:r>
          </w:p>
        </w:tc>
        <w:tc>
          <w:tcPr>
            <w:tcW w:w="6377" w:type="dxa"/>
            <w:vAlign w:val="center"/>
          </w:tcPr>
          <w:p w14:paraId="2BA05425">
            <w:pPr>
              <w:keepNext w:val="0"/>
              <w:keepLines w:val="0"/>
              <w:pageBreakBefore w:val="0"/>
              <w:widowControl w:val="0"/>
              <w:kinsoku/>
              <w:wordWrap/>
              <w:overflowPunct/>
              <w:topLinePunct w:val="0"/>
              <w:autoSpaceDE/>
              <w:autoSpaceDN/>
              <w:bidi w:val="0"/>
              <w:adjustRightInd w:val="0"/>
              <w:snapToGrid w:val="0"/>
              <w:spacing w:line="480" w:lineRule="exact"/>
              <w:textAlignment w:val="auto"/>
              <w:rPr>
                <w:rFonts w:hint="eastAsia" w:ascii="楷体" w:hAnsi="楷体" w:eastAsia="楷体" w:cs="楷体"/>
                <w:bCs/>
                <w:color w:val="auto"/>
                <w:sz w:val="32"/>
                <w:szCs w:val="32"/>
                <w:highlight w:val="none"/>
                <w:lang w:val="en-US" w:eastAsia="zh-CN"/>
              </w:rPr>
            </w:pPr>
            <w:r>
              <w:rPr>
                <w:rFonts w:hint="eastAsia" w:ascii="楷体" w:hAnsi="楷体" w:eastAsia="楷体" w:cs="楷体"/>
                <w:bCs/>
                <w:color w:val="auto"/>
                <w:sz w:val="32"/>
                <w:szCs w:val="32"/>
                <w:highlight w:val="none"/>
                <w:lang w:val="en-US" w:eastAsia="zh-CN"/>
              </w:rPr>
              <w:t>通道侗族自治县自然资源局办理土地使用权出让手续涉及位于通道县双江镇行政街一宗商服、住宅用途国有土地使用权市场价格评估（通道侗族自治县）</w:t>
            </w:r>
          </w:p>
          <w:p w14:paraId="19C68160">
            <w:pPr>
              <w:pStyle w:val="7"/>
              <w:keepNext w:val="0"/>
              <w:keepLines w:val="0"/>
              <w:pageBreakBefore w:val="0"/>
              <w:widowControl w:val="0"/>
              <w:suppressLineNumbers w:val="0"/>
              <w:tabs>
                <w:tab w:val="left" w:pos="0"/>
                <w:tab w:val="left" w:pos="2340"/>
              </w:tabs>
              <w:kinsoku/>
              <w:wordWrap/>
              <w:overflowPunct/>
              <w:topLinePunct w:val="0"/>
              <w:autoSpaceDE/>
              <w:autoSpaceDN/>
              <w:bidi w:val="0"/>
              <w:adjustRightInd w:val="0"/>
              <w:snapToGrid w:val="0"/>
              <w:spacing w:before="0" w:beforeAutospacing="0" w:after="0" w:afterAutospacing="0" w:line="480" w:lineRule="exact"/>
              <w:ind w:left="0" w:leftChars="0" w:right="0" w:rightChars="0" w:hanging="2"/>
              <w:jc w:val="both"/>
              <w:textAlignment w:val="auto"/>
              <w:rPr>
                <w:rFonts w:hint="default" w:ascii="楷体" w:hAnsi="楷体" w:eastAsia="楷体"/>
                <w:spacing w:val="14"/>
                <w:sz w:val="32"/>
                <w:szCs w:val="32"/>
                <w:highlight w:val="none"/>
                <w:lang w:val="en-US" w:eastAsia="zh-CN"/>
              </w:rPr>
            </w:pPr>
          </w:p>
        </w:tc>
      </w:tr>
      <w:tr w14:paraId="36280735">
        <w:tblPrEx>
          <w:tblCellMar>
            <w:top w:w="0" w:type="dxa"/>
            <w:left w:w="108" w:type="dxa"/>
            <w:bottom w:w="0" w:type="dxa"/>
            <w:right w:w="108" w:type="dxa"/>
          </w:tblCellMar>
        </w:tblPrEx>
        <w:trPr>
          <w:trHeight w:val="1134" w:hRule="atLeast"/>
        </w:trPr>
        <w:tc>
          <w:tcPr>
            <w:tcW w:w="3364" w:type="dxa"/>
            <w:vAlign w:val="center"/>
          </w:tcPr>
          <w:p w14:paraId="33CA6FE0">
            <w:pPr>
              <w:pStyle w:val="7"/>
              <w:keepNext w:val="0"/>
              <w:keepLines w:val="0"/>
              <w:pageBreakBefore w:val="0"/>
              <w:widowControl w:val="0"/>
              <w:suppressLineNumbers w:val="0"/>
              <w:tabs>
                <w:tab w:val="left" w:pos="468"/>
                <w:tab w:val="left" w:pos="2340"/>
              </w:tabs>
              <w:kinsoku/>
              <w:wordWrap/>
              <w:overflowPunct/>
              <w:topLinePunct w:val="0"/>
              <w:autoSpaceDE/>
              <w:autoSpaceDN/>
              <w:bidi w:val="0"/>
              <w:adjustRightInd w:val="0"/>
              <w:snapToGrid w:val="0"/>
              <w:spacing w:before="0" w:beforeAutospacing="0" w:after="0" w:afterAutospacing="0" w:line="480" w:lineRule="exact"/>
              <w:ind w:left="2397" w:leftChars="0" w:right="0" w:rightChars="0" w:hanging="2397" w:hangingChars="498"/>
              <w:jc w:val="both"/>
              <w:textAlignment w:val="auto"/>
              <w:rPr>
                <w:rFonts w:ascii="楷体" w:hAnsi="楷体" w:eastAsia="楷体" w:cs="Times New Roman"/>
                <w:b/>
                <w:bCs/>
                <w:spacing w:val="14"/>
                <w:sz w:val="32"/>
                <w:szCs w:val="32"/>
                <w:highlight w:val="none"/>
              </w:rPr>
            </w:pPr>
            <w:r>
              <w:rPr>
                <w:rFonts w:ascii="楷体" w:hAnsi="楷体" w:eastAsia="楷体"/>
                <w:b/>
                <w:bCs/>
                <w:spacing w:val="80"/>
                <w:kern w:val="0"/>
                <w:sz w:val="32"/>
                <w:szCs w:val="32"/>
                <w:highlight w:val="none"/>
                <w:fitText w:val="3200" w:id="525798692"/>
              </w:rPr>
              <w:t>受托估价单位</w:t>
            </w:r>
            <w:r>
              <w:rPr>
                <w:rFonts w:ascii="楷体" w:hAnsi="楷体" w:eastAsia="楷体"/>
                <w:b/>
                <w:bCs/>
                <w:spacing w:val="0"/>
                <w:kern w:val="0"/>
                <w:sz w:val="32"/>
                <w:szCs w:val="32"/>
                <w:highlight w:val="none"/>
                <w:fitText w:val="3200" w:id="525798692"/>
              </w:rPr>
              <w:t>：</w:t>
            </w:r>
          </w:p>
        </w:tc>
        <w:tc>
          <w:tcPr>
            <w:tcW w:w="6377" w:type="dxa"/>
            <w:vAlign w:val="center"/>
          </w:tcPr>
          <w:p w14:paraId="7DCDECA0">
            <w:pPr>
              <w:pStyle w:val="7"/>
              <w:keepNext w:val="0"/>
              <w:keepLines w:val="0"/>
              <w:pageBreakBefore w:val="0"/>
              <w:widowControl w:val="0"/>
              <w:suppressLineNumbers w:val="0"/>
              <w:tabs>
                <w:tab w:val="left" w:pos="0"/>
                <w:tab w:val="left" w:pos="234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ascii="楷体" w:hAnsi="楷体" w:eastAsia="楷体"/>
                <w:spacing w:val="14"/>
                <w:sz w:val="32"/>
                <w:szCs w:val="32"/>
                <w:highlight w:val="none"/>
              </w:rPr>
            </w:pPr>
            <w:r>
              <w:rPr>
                <w:rFonts w:hint="eastAsia" w:ascii="楷体" w:hAnsi="楷体" w:eastAsia="楷体"/>
                <w:spacing w:val="14"/>
                <w:sz w:val="32"/>
                <w:szCs w:val="32"/>
                <w:highlight w:val="none"/>
                <w:lang w:eastAsia="zh-CN"/>
              </w:rPr>
              <w:t>湖南兆财不动产规划评估有限公司</w:t>
            </w:r>
          </w:p>
        </w:tc>
      </w:tr>
      <w:tr w14:paraId="0B8D9C02">
        <w:tblPrEx>
          <w:tblCellMar>
            <w:top w:w="0" w:type="dxa"/>
            <w:left w:w="108" w:type="dxa"/>
            <w:bottom w:w="0" w:type="dxa"/>
            <w:right w:w="108" w:type="dxa"/>
          </w:tblCellMar>
        </w:tblPrEx>
        <w:trPr>
          <w:trHeight w:val="1134" w:hRule="atLeast"/>
        </w:trPr>
        <w:tc>
          <w:tcPr>
            <w:tcW w:w="3364" w:type="dxa"/>
            <w:vAlign w:val="center"/>
          </w:tcPr>
          <w:p w14:paraId="3F196F7C">
            <w:pPr>
              <w:pStyle w:val="7"/>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auto"/>
                <w:spacing w:val="14"/>
                <w:sz w:val="32"/>
                <w:szCs w:val="32"/>
                <w:highlight w:val="none"/>
              </w:rPr>
            </w:pPr>
            <w:r>
              <w:rPr>
                <w:rFonts w:hint="eastAsia" w:ascii="楷体" w:hAnsi="楷体" w:eastAsia="楷体"/>
                <w:b/>
                <w:bCs/>
                <w:color w:val="auto"/>
                <w:spacing w:val="45"/>
                <w:kern w:val="0"/>
                <w:sz w:val="32"/>
                <w:szCs w:val="32"/>
                <w:highlight w:val="none"/>
                <w:fitText w:val="3200" w:id="990603784"/>
              </w:rPr>
              <w:t>土地</w:t>
            </w:r>
            <w:r>
              <w:rPr>
                <w:rFonts w:ascii="楷体" w:hAnsi="楷体" w:eastAsia="楷体"/>
                <w:b/>
                <w:bCs/>
                <w:color w:val="auto"/>
                <w:spacing w:val="45"/>
                <w:kern w:val="0"/>
                <w:sz w:val="32"/>
                <w:szCs w:val="32"/>
                <w:highlight w:val="none"/>
                <w:fitText w:val="3200" w:id="990603784"/>
              </w:rPr>
              <w:t>估价技术报</w:t>
            </w:r>
            <w:r>
              <w:rPr>
                <w:rFonts w:ascii="楷体" w:hAnsi="楷体" w:eastAsia="楷体"/>
                <w:b/>
                <w:bCs/>
                <w:color w:val="auto"/>
                <w:spacing w:val="5"/>
                <w:kern w:val="0"/>
                <w:sz w:val="32"/>
                <w:szCs w:val="32"/>
                <w:highlight w:val="none"/>
                <w:fitText w:val="3200" w:id="990603784"/>
              </w:rPr>
              <w:t>告</w:t>
            </w:r>
          </w:p>
          <w:p w14:paraId="763E0AFB">
            <w:pPr>
              <w:pStyle w:val="7"/>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highlight w:val="none"/>
              </w:rPr>
            </w:pPr>
            <w:r>
              <w:rPr>
                <w:rFonts w:hint="eastAsia" w:ascii="楷体" w:hAnsi="楷体" w:eastAsia="楷体"/>
                <w:b/>
                <w:bCs/>
                <w:color w:val="auto"/>
                <w:spacing w:val="0"/>
                <w:w w:val="90"/>
                <w:kern w:val="0"/>
                <w:sz w:val="32"/>
                <w:szCs w:val="32"/>
                <w:highlight w:val="none"/>
                <w:fitText w:val="3200" w:id="938235375"/>
              </w:rPr>
              <w:t>（评估工作</w:t>
            </w:r>
            <w:r>
              <w:rPr>
                <w:rFonts w:ascii="楷体" w:hAnsi="楷体" w:eastAsia="楷体"/>
                <w:b/>
                <w:bCs/>
                <w:color w:val="auto"/>
                <w:spacing w:val="0"/>
                <w:w w:val="90"/>
                <w:kern w:val="0"/>
                <w:sz w:val="32"/>
                <w:szCs w:val="32"/>
                <w:highlight w:val="none"/>
                <w:fitText w:val="3200" w:id="938235375"/>
              </w:rPr>
              <w:t>底稿）编号</w:t>
            </w:r>
            <w:r>
              <w:rPr>
                <w:rFonts w:ascii="楷体" w:hAnsi="楷体" w:eastAsia="楷体"/>
                <w:b/>
                <w:bCs/>
                <w:color w:val="auto"/>
                <w:spacing w:val="3"/>
                <w:w w:val="90"/>
                <w:kern w:val="0"/>
                <w:sz w:val="32"/>
                <w:szCs w:val="32"/>
                <w:highlight w:val="none"/>
                <w:fitText w:val="3200" w:id="938235375"/>
              </w:rPr>
              <w:t>：</w:t>
            </w:r>
          </w:p>
        </w:tc>
        <w:tc>
          <w:tcPr>
            <w:tcW w:w="6377" w:type="dxa"/>
            <w:vAlign w:val="center"/>
          </w:tcPr>
          <w:p w14:paraId="6D88DCAA">
            <w:pPr>
              <w:pStyle w:val="7"/>
              <w:keepNext w:val="0"/>
              <w:keepLines w:val="0"/>
              <w:pageBreakBefore w:val="0"/>
              <w:widowControl w:val="0"/>
              <w:suppressLineNumbers w:val="0"/>
              <w:tabs>
                <w:tab w:val="left" w:pos="0"/>
                <w:tab w:val="left" w:pos="234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hint="default" w:ascii="楷体" w:hAnsi="楷体" w:eastAsia="楷体"/>
                <w:spacing w:val="14"/>
                <w:sz w:val="32"/>
                <w:szCs w:val="32"/>
                <w:highlight w:val="none"/>
                <w:lang w:val="en-US" w:eastAsia="zh-CN"/>
              </w:rPr>
            </w:pPr>
            <w:r>
              <w:rPr>
                <w:rFonts w:hint="eastAsia" w:ascii="楷体" w:hAnsi="楷体" w:eastAsia="楷体"/>
                <w:spacing w:val="14"/>
                <w:sz w:val="32"/>
                <w:szCs w:val="32"/>
                <w:highlight w:val="none"/>
                <w:lang w:eastAsia="zh-CN"/>
              </w:rPr>
              <w:t>（</w:t>
            </w:r>
            <w:r>
              <w:rPr>
                <w:rFonts w:hint="eastAsia" w:ascii="楷体" w:hAnsi="楷体" w:eastAsia="楷体"/>
                <w:spacing w:val="14"/>
                <w:sz w:val="32"/>
                <w:szCs w:val="32"/>
                <w:highlight w:val="none"/>
                <w:lang w:val="en-US" w:eastAsia="zh-CN"/>
              </w:rPr>
              <w:t>湖南</w:t>
            </w:r>
            <w:r>
              <w:rPr>
                <w:rFonts w:hint="eastAsia" w:ascii="楷体" w:hAnsi="楷体" w:eastAsia="楷体"/>
                <w:spacing w:val="14"/>
                <w:sz w:val="32"/>
                <w:szCs w:val="32"/>
                <w:highlight w:val="none"/>
                <w:lang w:eastAsia="zh-CN"/>
              </w:rPr>
              <w:t>）</w:t>
            </w:r>
            <w:r>
              <w:rPr>
                <w:rFonts w:hint="eastAsia" w:ascii="楷体" w:hAnsi="楷体" w:eastAsia="楷体"/>
                <w:spacing w:val="14"/>
                <w:sz w:val="32"/>
                <w:szCs w:val="32"/>
                <w:highlight w:val="none"/>
                <w:lang w:val="en-US" w:eastAsia="zh-CN"/>
              </w:rPr>
              <w:t>湘兆财土地</w:t>
            </w:r>
            <w:r>
              <w:rPr>
                <w:rFonts w:hint="eastAsia" w:ascii="楷体" w:hAnsi="楷体" w:eastAsia="楷体"/>
                <w:color w:val="auto"/>
                <w:spacing w:val="-11"/>
                <w:sz w:val="32"/>
                <w:szCs w:val="32"/>
                <w:highlight w:val="none"/>
                <w:lang w:eastAsia="zh-CN"/>
              </w:rPr>
              <w:t>[202</w:t>
            </w:r>
            <w:r>
              <w:rPr>
                <w:rFonts w:hint="eastAsia" w:ascii="楷体" w:hAnsi="楷体" w:eastAsia="楷体"/>
                <w:color w:val="auto"/>
                <w:spacing w:val="-11"/>
                <w:sz w:val="32"/>
                <w:szCs w:val="32"/>
                <w:highlight w:val="none"/>
                <w:lang w:val="en-US" w:eastAsia="zh-CN"/>
              </w:rPr>
              <w:t>6</w:t>
            </w:r>
            <w:r>
              <w:rPr>
                <w:rFonts w:hint="eastAsia" w:ascii="楷体" w:hAnsi="楷体" w:eastAsia="楷体"/>
                <w:color w:val="auto"/>
                <w:spacing w:val="-11"/>
                <w:sz w:val="32"/>
                <w:szCs w:val="32"/>
                <w:highlight w:val="none"/>
                <w:lang w:eastAsia="zh-CN"/>
              </w:rPr>
              <w:t>]（</w:t>
            </w:r>
            <w:r>
              <w:rPr>
                <w:rFonts w:hint="eastAsia" w:ascii="楷体" w:hAnsi="楷体" w:eastAsia="楷体"/>
                <w:color w:val="auto"/>
                <w:spacing w:val="-11"/>
                <w:sz w:val="32"/>
                <w:szCs w:val="32"/>
                <w:highlight w:val="none"/>
                <w:lang w:val="en-US" w:eastAsia="zh-CN"/>
              </w:rPr>
              <w:t>技</w:t>
            </w:r>
            <w:r>
              <w:rPr>
                <w:rFonts w:hint="eastAsia" w:ascii="楷体" w:hAnsi="楷体" w:eastAsia="楷体"/>
                <w:color w:val="auto"/>
                <w:spacing w:val="-11"/>
                <w:sz w:val="32"/>
                <w:szCs w:val="32"/>
                <w:highlight w:val="none"/>
                <w:lang w:eastAsia="zh-CN"/>
              </w:rPr>
              <w:t>）字第</w:t>
            </w:r>
            <w:r>
              <w:rPr>
                <w:rFonts w:hint="eastAsia" w:ascii="楷体" w:hAnsi="楷体" w:eastAsia="楷体"/>
                <w:color w:val="auto"/>
                <w:spacing w:val="-11"/>
                <w:sz w:val="32"/>
                <w:szCs w:val="32"/>
                <w:highlight w:val="none"/>
                <w:lang w:val="en-US" w:eastAsia="zh-CN"/>
              </w:rPr>
              <w:t>ZC</w:t>
            </w:r>
            <w:r>
              <w:rPr>
                <w:rFonts w:hint="eastAsia" w:ascii="楷体" w:hAnsi="楷体" w:eastAsia="楷体"/>
                <w:color w:val="auto"/>
                <w:spacing w:val="-11"/>
                <w:sz w:val="32"/>
                <w:szCs w:val="32"/>
                <w:highlight w:val="none"/>
                <w:lang w:eastAsia="zh-CN"/>
              </w:rPr>
              <w:t>00</w:t>
            </w:r>
            <w:r>
              <w:rPr>
                <w:rFonts w:hint="eastAsia" w:ascii="楷体" w:hAnsi="楷体" w:eastAsia="楷体"/>
                <w:color w:val="auto"/>
                <w:spacing w:val="-11"/>
                <w:sz w:val="32"/>
                <w:szCs w:val="32"/>
                <w:highlight w:val="none"/>
                <w:lang w:val="en-US" w:eastAsia="zh-CN"/>
              </w:rPr>
              <w:t>13</w:t>
            </w:r>
            <w:r>
              <w:rPr>
                <w:rFonts w:hint="eastAsia" w:ascii="楷体" w:hAnsi="楷体" w:eastAsia="楷体"/>
                <w:color w:val="auto"/>
                <w:spacing w:val="-11"/>
                <w:sz w:val="32"/>
                <w:szCs w:val="32"/>
                <w:highlight w:val="none"/>
                <w:lang w:eastAsia="zh-CN"/>
              </w:rPr>
              <w:t>号</w:t>
            </w:r>
          </w:p>
        </w:tc>
      </w:tr>
      <w:tr w14:paraId="5453D77D">
        <w:tblPrEx>
          <w:tblCellMar>
            <w:top w:w="0" w:type="dxa"/>
            <w:left w:w="108" w:type="dxa"/>
            <w:bottom w:w="0" w:type="dxa"/>
            <w:right w:w="108" w:type="dxa"/>
          </w:tblCellMar>
        </w:tblPrEx>
        <w:trPr>
          <w:trHeight w:val="1134" w:hRule="atLeast"/>
        </w:trPr>
        <w:tc>
          <w:tcPr>
            <w:tcW w:w="3364" w:type="dxa"/>
            <w:vAlign w:val="center"/>
          </w:tcPr>
          <w:p w14:paraId="2CEEE98D">
            <w:pPr>
              <w:pStyle w:val="7"/>
              <w:keepNext w:val="0"/>
              <w:keepLines w:val="0"/>
              <w:pageBreakBefore w:val="0"/>
              <w:widowControl w:val="0"/>
              <w:suppressLineNumbers w:val="0"/>
              <w:tabs>
                <w:tab w:val="left" w:pos="468"/>
                <w:tab w:val="left" w:pos="2340"/>
              </w:tabs>
              <w:kinsoku/>
              <w:wordWrap/>
              <w:overflowPunct/>
              <w:topLinePunct w:val="0"/>
              <w:autoSpaceDE/>
              <w:autoSpaceDN/>
              <w:bidi w:val="0"/>
              <w:adjustRightInd w:val="0"/>
              <w:snapToGrid w:val="0"/>
              <w:spacing w:before="0" w:beforeAutospacing="0" w:after="0" w:afterAutospacing="0" w:line="480" w:lineRule="exact"/>
              <w:ind w:left="1670" w:leftChars="0" w:right="0" w:rightChars="0" w:hanging="1670" w:hangingChars="498"/>
              <w:jc w:val="both"/>
              <w:textAlignment w:val="auto"/>
              <w:rPr>
                <w:rFonts w:ascii="楷体" w:hAnsi="楷体" w:eastAsia="楷体" w:cs="Times New Roman"/>
                <w:b/>
                <w:bCs/>
                <w:spacing w:val="14"/>
                <w:sz w:val="32"/>
                <w:szCs w:val="32"/>
                <w:highlight w:val="none"/>
                <w:lang w:val="en-US" w:eastAsia="zh-CN"/>
              </w:rPr>
            </w:pPr>
            <w:r>
              <w:rPr>
                <w:rFonts w:hint="eastAsia" w:ascii="楷体" w:hAnsi="楷体" w:eastAsia="楷体"/>
                <w:b/>
                <w:bCs/>
                <w:spacing w:val="7"/>
                <w:kern w:val="0"/>
                <w:sz w:val="32"/>
                <w:szCs w:val="32"/>
                <w:highlight w:val="none"/>
                <w:fitText w:val="3200" w:id="1717052583"/>
              </w:rPr>
              <w:t>电 子 备 案 编 号</w:t>
            </w:r>
            <w:r>
              <w:rPr>
                <w:rFonts w:hint="eastAsia" w:ascii="楷体" w:hAnsi="楷体" w:eastAsia="楷体"/>
                <w:b/>
                <w:bCs/>
                <w:spacing w:val="3"/>
                <w:kern w:val="0"/>
                <w:sz w:val="32"/>
                <w:szCs w:val="32"/>
                <w:highlight w:val="none"/>
                <w:fitText w:val="3200" w:id="1717052583"/>
              </w:rPr>
              <w:t>：</w:t>
            </w:r>
          </w:p>
        </w:tc>
        <w:tc>
          <w:tcPr>
            <w:tcW w:w="6377" w:type="dxa"/>
            <w:vAlign w:val="center"/>
          </w:tcPr>
          <w:p w14:paraId="54C9C4FD">
            <w:pPr>
              <w:pStyle w:val="7"/>
              <w:keepNext w:val="0"/>
              <w:keepLines w:val="0"/>
              <w:pageBreakBefore w:val="0"/>
              <w:widowControl w:val="0"/>
              <w:suppressLineNumbers w:val="0"/>
              <w:tabs>
                <w:tab w:val="left" w:pos="0"/>
                <w:tab w:val="left" w:pos="2340"/>
                <w:tab w:val="left" w:pos="2745"/>
                <w:tab w:val="left" w:pos="3030"/>
                <w:tab w:val="left" w:pos="318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hint="default" w:ascii="楷体" w:hAnsi="楷体" w:eastAsia="楷体" w:cs="Times New Roman"/>
                <w:color w:val="auto"/>
                <w:spacing w:val="14"/>
                <w:kern w:val="2"/>
                <w:sz w:val="32"/>
                <w:szCs w:val="32"/>
                <w:highlight w:val="none"/>
                <w:lang w:val="en-US" w:eastAsia="zh-CN" w:bidi="ar-SA"/>
              </w:rPr>
            </w:pPr>
            <w:r>
              <w:rPr>
                <w:rFonts w:hint="eastAsia" w:ascii="楷体" w:hAnsi="楷体" w:eastAsia="楷体" w:cs="Times New Roman"/>
                <w:color w:val="auto"/>
                <w:spacing w:val="14"/>
                <w:kern w:val="2"/>
                <w:sz w:val="32"/>
                <w:szCs w:val="32"/>
                <w:highlight w:val="none"/>
                <w:lang w:val="en-US" w:eastAsia="zh-CN" w:bidi="ar-SA"/>
              </w:rPr>
              <w:t>详见备案页</w:t>
            </w:r>
          </w:p>
        </w:tc>
      </w:tr>
      <w:tr w14:paraId="1B5DF18C">
        <w:tblPrEx>
          <w:tblCellMar>
            <w:top w:w="0" w:type="dxa"/>
            <w:left w:w="108" w:type="dxa"/>
            <w:bottom w:w="0" w:type="dxa"/>
            <w:right w:w="108" w:type="dxa"/>
          </w:tblCellMar>
        </w:tblPrEx>
        <w:trPr>
          <w:trHeight w:val="1134" w:hRule="atLeast"/>
        </w:trPr>
        <w:tc>
          <w:tcPr>
            <w:tcW w:w="3364" w:type="dxa"/>
            <w:vAlign w:val="center"/>
          </w:tcPr>
          <w:p w14:paraId="32E5A2B4">
            <w:pPr>
              <w:pStyle w:val="7"/>
              <w:keepNext w:val="0"/>
              <w:keepLines w:val="0"/>
              <w:pageBreakBefore w:val="0"/>
              <w:widowControl w:val="0"/>
              <w:suppressLineNumbers w:val="0"/>
              <w:tabs>
                <w:tab w:val="left" w:pos="468"/>
                <w:tab w:val="left" w:pos="2340"/>
              </w:tabs>
              <w:kinsoku/>
              <w:wordWrap/>
              <w:overflowPunct/>
              <w:topLinePunct w:val="0"/>
              <w:autoSpaceDE/>
              <w:autoSpaceDN/>
              <w:bidi w:val="0"/>
              <w:adjustRightInd w:val="0"/>
              <w:snapToGrid w:val="0"/>
              <w:spacing w:before="0" w:beforeAutospacing="0" w:after="0" w:afterAutospacing="0" w:line="480" w:lineRule="exact"/>
              <w:ind w:left="1799" w:leftChars="0" w:right="0" w:rightChars="0" w:hanging="1799" w:hangingChars="498"/>
              <w:jc w:val="both"/>
              <w:textAlignment w:val="auto"/>
              <w:rPr>
                <w:rFonts w:ascii="楷体" w:hAnsi="楷体" w:eastAsia="楷体" w:cs="Times New Roman"/>
                <w:b/>
                <w:bCs/>
                <w:spacing w:val="14"/>
                <w:sz w:val="32"/>
                <w:szCs w:val="32"/>
                <w:highlight w:val="none"/>
              </w:rPr>
            </w:pPr>
            <w:r>
              <w:rPr>
                <w:rFonts w:hint="eastAsia" w:ascii="楷体" w:hAnsi="楷体" w:eastAsia="楷体"/>
                <w:b/>
                <w:bCs/>
                <w:spacing w:val="20"/>
                <w:kern w:val="0"/>
                <w:sz w:val="32"/>
                <w:szCs w:val="32"/>
                <w:highlight w:val="none"/>
                <w:fitText w:val="3200" w:id="624953806"/>
              </w:rPr>
              <w:t>提交估价报告日期</w:t>
            </w:r>
            <w:r>
              <w:rPr>
                <w:rFonts w:hint="eastAsia" w:ascii="楷体" w:hAnsi="楷体" w:eastAsia="楷体"/>
                <w:b/>
                <w:bCs/>
                <w:spacing w:val="0"/>
                <w:kern w:val="0"/>
                <w:sz w:val="32"/>
                <w:szCs w:val="32"/>
                <w:highlight w:val="none"/>
                <w:fitText w:val="3200" w:id="624953806"/>
              </w:rPr>
              <w:t>：</w:t>
            </w:r>
          </w:p>
        </w:tc>
        <w:tc>
          <w:tcPr>
            <w:tcW w:w="6377" w:type="dxa"/>
            <w:vAlign w:val="center"/>
          </w:tcPr>
          <w:p w14:paraId="2E7CC49C">
            <w:pPr>
              <w:pStyle w:val="7"/>
              <w:keepNext w:val="0"/>
              <w:keepLines w:val="0"/>
              <w:pageBreakBefore w:val="0"/>
              <w:widowControl w:val="0"/>
              <w:suppressLineNumbers w:val="0"/>
              <w:tabs>
                <w:tab w:val="left" w:pos="0"/>
                <w:tab w:val="left" w:pos="2340"/>
                <w:tab w:val="left" w:pos="2745"/>
                <w:tab w:val="left" w:pos="3030"/>
                <w:tab w:val="left" w:pos="318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hint="eastAsia" w:ascii="楷体" w:hAnsi="楷体" w:eastAsia="楷体" w:cs="楷体"/>
                <w:spacing w:val="-20"/>
                <w:sz w:val="32"/>
                <w:szCs w:val="32"/>
                <w:highlight w:val="none"/>
                <w:lang w:eastAsia="zh-CN"/>
              </w:rPr>
            </w:pPr>
            <w:r>
              <w:rPr>
                <w:rFonts w:hint="eastAsia" w:ascii="楷体" w:hAnsi="楷体" w:eastAsia="楷体" w:cs="楷体"/>
                <w:spacing w:val="-20"/>
                <w:sz w:val="32"/>
                <w:szCs w:val="32"/>
                <w:highlight w:val="none"/>
                <w:lang w:eastAsia="zh-CN"/>
              </w:rPr>
              <w:t>二〇二</w:t>
            </w:r>
            <w:r>
              <w:rPr>
                <w:rFonts w:hint="eastAsia" w:ascii="楷体" w:hAnsi="楷体" w:eastAsia="楷体" w:cs="楷体"/>
                <w:spacing w:val="-20"/>
                <w:sz w:val="32"/>
                <w:szCs w:val="32"/>
                <w:highlight w:val="none"/>
                <w:lang w:val="en-US" w:eastAsia="zh-CN"/>
              </w:rPr>
              <w:t>六</w:t>
            </w:r>
            <w:r>
              <w:rPr>
                <w:rFonts w:hint="eastAsia" w:ascii="楷体" w:hAnsi="楷体" w:eastAsia="楷体" w:cs="楷体"/>
                <w:spacing w:val="-20"/>
                <w:sz w:val="32"/>
                <w:szCs w:val="32"/>
                <w:highlight w:val="none"/>
                <w:lang w:eastAsia="zh-CN"/>
              </w:rPr>
              <w:t>年</w:t>
            </w:r>
            <w:r>
              <w:rPr>
                <w:rFonts w:hint="eastAsia" w:ascii="楷体" w:hAnsi="楷体" w:eastAsia="楷体" w:cs="楷体"/>
                <w:spacing w:val="-20"/>
                <w:sz w:val="32"/>
                <w:szCs w:val="32"/>
                <w:highlight w:val="none"/>
                <w:lang w:val="en-US" w:eastAsia="zh-CN"/>
              </w:rPr>
              <w:t>二</w:t>
            </w:r>
            <w:r>
              <w:rPr>
                <w:rFonts w:hint="eastAsia" w:ascii="楷体" w:hAnsi="楷体" w:eastAsia="楷体" w:cs="楷体"/>
                <w:spacing w:val="-20"/>
                <w:sz w:val="32"/>
                <w:szCs w:val="32"/>
                <w:highlight w:val="none"/>
                <w:lang w:eastAsia="zh-CN"/>
              </w:rPr>
              <w:t>月</w:t>
            </w:r>
            <w:r>
              <w:rPr>
                <w:rFonts w:hint="eastAsia" w:ascii="楷体" w:hAnsi="楷体" w:eastAsia="楷体" w:cs="楷体"/>
                <w:spacing w:val="-20"/>
                <w:sz w:val="32"/>
                <w:szCs w:val="32"/>
                <w:highlight w:val="none"/>
                <w:lang w:val="en-US" w:eastAsia="zh-CN"/>
              </w:rPr>
              <w:t>四</w:t>
            </w:r>
            <w:r>
              <w:rPr>
                <w:rFonts w:hint="eastAsia" w:ascii="楷体" w:hAnsi="楷体" w:eastAsia="楷体" w:cs="楷体"/>
                <w:spacing w:val="-20"/>
                <w:sz w:val="32"/>
                <w:szCs w:val="32"/>
                <w:highlight w:val="none"/>
                <w:lang w:eastAsia="zh-CN"/>
              </w:rPr>
              <w:t>日</w:t>
            </w:r>
          </w:p>
        </w:tc>
      </w:tr>
    </w:tbl>
    <w:p w14:paraId="4C5E4F37">
      <w:pPr>
        <w:spacing w:line="520" w:lineRule="exact"/>
        <w:rPr>
          <w:sz w:val="32"/>
          <w:highlight w:val="none"/>
        </w:rPr>
      </w:pPr>
    </w:p>
    <w:tbl>
      <w:tblPr>
        <w:tblStyle w:val="12"/>
        <w:tblpPr w:leftFromText="180" w:rightFromText="180" w:vertAnchor="text" w:horzAnchor="page" w:tblpX="1312" w:tblpY="729"/>
        <w:tblOverlap w:val="never"/>
        <w:tblW w:w="9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7"/>
        <w:gridCol w:w="8063"/>
      </w:tblGrid>
      <w:tr w14:paraId="21E8B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rPr>
        <w:tc>
          <w:tcPr>
            <w:tcW w:w="1697" w:type="dxa"/>
            <w:vAlign w:val="center"/>
          </w:tcPr>
          <w:p w14:paraId="4F1B2582">
            <w:pPr>
              <w:keepNext w:val="0"/>
              <w:keepLines w:val="0"/>
              <w:suppressLineNumbers w:val="0"/>
              <w:spacing w:before="0" w:beforeAutospacing="0" w:after="0" w:afterAutospacing="0" w:line="360" w:lineRule="auto"/>
              <w:ind w:left="0" w:right="0"/>
              <w:jc w:val="distribute"/>
              <w:rPr>
                <w:rFonts w:ascii="楷体" w:hAnsi="楷体" w:eastAsia="楷体"/>
                <w:b/>
                <w:spacing w:val="14"/>
                <w:sz w:val="32"/>
                <w:szCs w:val="32"/>
                <w:highlight w:val="none"/>
              </w:rPr>
            </w:pPr>
            <w:r>
              <w:rPr>
                <w:rFonts w:hint="eastAsia" w:ascii="楷体" w:hAnsi="楷体" w:eastAsia="楷体"/>
                <w:spacing w:val="14"/>
                <w:sz w:val="32"/>
                <w:szCs w:val="32"/>
                <w:highlight w:val="none"/>
              </w:rPr>
              <w:t>关键词：</w:t>
            </w:r>
          </w:p>
        </w:tc>
        <w:tc>
          <w:tcPr>
            <w:tcW w:w="8063" w:type="dxa"/>
            <w:vAlign w:val="center"/>
          </w:tcPr>
          <w:p w14:paraId="18D77049">
            <w:pPr>
              <w:keepNext w:val="0"/>
              <w:keepLines w:val="0"/>
              <w:suppressLineNumbers w:val="0"/>
              <w:spacing w:before="0" w:beforeAutospacing="0" w:after="0" w:afterAutospacing="0" w:line="360" w:lineRule="auto"/>
              <w:ind w:left="0" w:right="0"/>
              <w:rPr>
                <w:rFonts w:hint="default" w:ascii="楷体" w:hAnsi="楷体" w:eastAsia="楷体"/>
                <w:b/>
                <w:spacing w:val="14"/>
                <w:sz w:val="32"/>
                <w:szCs w:val="32"/>
                <w:highlight w:val="none"/>
                <w:lang w:val="en-US" w:eastAsia="zh-CN"/>
              </w:rPr>
            </w:pPr>
            <w:r>
              <w:rPr>
                <w:rFonts w:hint="eastAsia" w:ascii="楷体" w:hAnsi="楷体" w:eastAsia="楷体"/>
                <w:spacing w:val="14"/>
                <w:sz w:val="32"/>
                <w:szCs w:val="32"/>
                <w:highlight w:val="none"/>
                <w:lang w:val="en-US" w:eastAsia="zh-CN"/>
              </w:rPr>
              <w:t>通道侗族自治县</w:t>
            </w:r>
          </w:p>
        </w:tc>
      </w:tr>
      <w:tr w14:paraId="3EB92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697" w:type="dxa"/>
            <w:vAlign w:val="center"/>
          </w:tcPr>
          <w:p w14:paraId="5C448620">
            <w:pPr>
              <w:keepNext w:val="0"/>
              <w:keepLines w:val="0"/>
              <w:suppressLineNumbers w:val="0"/>
              <w:spacing w:before="0" w:beforeAutospacing="0" w:after="0" w:afterAutospacing="0" w:line="360" w:lineRule="auto"/>
              <w:ind w:left="0" w:right="0"/>
              <w:rPr>
                <w:rFonts w:ascii="楷体" w:hAnsi="楷体" w:eastAsia="楷体"/>
                <w:b/>
                <w:spacing w:val="14"/>
                <w:sz w:val="32"/>
                <w:szCs w:val="32"/>
                <w:highlight w:val="none"/>
              </w:rPr>
            </w:pPr>
          </w:p>
        </w:tc>
        <w:tc>
          <w:tcPr>
            <w:tcW w:w="8063" w:type="dxa"/>
            <w:vAlign w:val="center"/>
          </w:tcPr>
          <w:p w14:paraId="4D1A4099">
            <w:pPr>
              <w:keepNext w:val="0"/>
              <w:keepLines w:val="0"/>
              <w:suppressLineNumbers w:val="0"/>
              <w:spacing w:before="0" w:beforeAutospacing="0" w:after="0" w:afterAutospacing="0" w:line="360" w:lineRule="auto"/>
              <w:ind w:left="0" w:right="0"/>
              <w:rPr>
                <w:rFonts w:hint="default" w:ascii="楷体" w:hAnsi="楷体" w:eastAsia="楷体"/>
                <w:b/>
                <w:spacing w:val="14"/>
                <w:sz w:val="32"/>
                <w:szCs w:val="32"/>
                <w:highlight w:val="none"/>
                <w:lang w:val="en-US" w:eastAsia="zh-CN"/>
              </w:rPr>
            </w:pPr>
            <w:r>
              <w:rPr>
                <w:rFonts w:hint="eastAsia" w:ascii="楷体" w:hAnsi="楷体" w:eastAsia="楷体"/>
                <w:b w:val="0"/>
                <w:bCs/>
                <w:spacing w:val="14"/>
                <w:sz w:val="32"/>
                <w:szCs w:val="32"/>
                <w:highlight w:val="none"/>
                <w:lang w:val="en-US" w:eastAsia="zh-CN"/>
              </w:rPr>
              <w:t>出让</w:t>
            </w:r>
          </w:p>
        </w:tc>
      </w:tr>
      <w:tr w14:paraId="3CE44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rPr>
        <w:tc>
          <w:tcPr>
            <w:tcW w:w="1697" w:type="dxa"/>
            <w:vAlign w:val="center"/>
          </w:tcPr>
          <w:p w14:paraId="20F0D39E">
            <w:pPr>
              <w:keepNext w:val="0"/>
              <w:keepLines w:val="0"/>
              <w:suppressLineNumbers w:val="0"/>
              <w:spacing w:before="0" w:beforeAutospacing="0" w:after="0" w:afterAutospacing="0" w:line="360" w:lineRule="auto"/>
              <w:ind w:left="0" w:right="0"/>
              <w:rPr>
                <w:rFonts w:ascii="楷体" w:hAnsi="楷体" w:eastAsia="楷体"/>
                <w:b/>
                <w:spacing w:val="14"/>
                <w:sz w:val="32"/>
                <w:szCs w:val="32"/>
                <w:highlight w:val="none"/>
              </w:rPr>
            </w:pPr>
          </w:p>
        </w:tc>
        <w:tc>
          <w:tcPr>
            <w:tcW w:w="8063" w:type="dxa"/>
            <w:vAlign w:val="center"/>
          </w:tcPr>
          <w:p w14:paraId="2A0AE912">
            <w:pPr>
              <w:keepNext w:val="0"/>
              <w:keepLines w:val="0"/>
              <w:suppressLineNumbers w:val="0"/>
              <w:spacing w:before="0" w:beforeAutospacing="0" w:after="0" w:afterAutospacing="0" w:line="360" w:lineRule="auto"/>
              <w:ind w:left="0" w:right="0"/>
              <w:rPr>
                <w:rFonts w:hint="eastAsia" w:ascii="楷体" w:hAnsi="楷体" w:eastAsia="楷体"/>
                <w:b/>
                <w:spacing w:val="14"/>
                <w:sz w:val="32"/>
                <w:szCs w:val="32"/>
                <w:highlight w:val="none"/>
                <w:lang w:eastAsia="zh-CN"/>
              </w:rPr>
            </w:pPr>
            <w:r>
              <w:rPr>
                <w:rFonts w:hint="eastAsia" w:ascii="楷体" w:hAnsi="楷体" w:eastAsia="楷体"/>
                <w:spacing w:val="14"/>
                <w:sz w:val="32"/>
                <w:szCs w:val="32"/>
                <w:highlight w:val="none"/>
                <w:lang w:eastAsia="zh-CN"/>
              </w:rPr>
              <w:t>湖南兆财不动产规划评估有限公司</w:t>
            </w:r>
          </w:p>
        </w:tc>
      </w:tr>
      <w:tr w14:paraId="70487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697" w:type="dxa"/>
            <w:vAlign w:val="center"/>
          </w:tcPr>
          <w:p w14:paraId="6407B171">
            <w:pPr>
              <w:keepNext w:val="0"/>
              <w:keepLines w:val="0"/>
              <w:suppressLineNumbers w:val="0"/>
              <w:spacing w:before="0" w:beforeAutospacing="0" w:after="0" w:afterAutospacing="0" w:line="360" w:lineRule="auto"/>
              <w:ind w:left="0" w:right="0"/>
              <w:rPr>
                <w:rFonts w:ascii="楷体" w:hAnsi="楷体" w:eastAsia="楷体"/>
                <w:b/>
                <w:spacing w:val="14"/>
                <w:sz w:val="32"/>
                <w:szCs w:val="32"/>
                <w:highlight w:val="none"/>
              </w:rPr>
            </w:pPr>
          </w:p>
        </w:tc>
        <w:tc>
          <w:tcPr>
            <w:tcW w:w="8063" w:type="dxa"/>
            <w:vAlign w:val="center"/>
          </w:tcPr>
          <w:p w14:paraId="35060695">
            <w:pPr>
              <w:keepNext w:val="0"/>
              <w:keepLines w:val="0"/>
              <w:suppressLineNumbers w:val="0"/>
              <w:spacing w:before="0" w:beforeAutospacing="0" w:after="0" w:afterAutospacing="0" w:line="360" w:lineRule="auto"/>
              <w:ind w:left="0" w:right="0"/>
              <w:rPr>
                <w:rFonts w:hint="eastAsia" w:ascii="楷体" w:hAnsi="楷体" w:eastAsia="楷体"/>
                <w:b/>
                <w:spacing w:val="14"/>
                <w:sz w:val="32"/>
                <w:szCs w:val="32"/>
                <w:highlight w:val="none"/>
                <w:lang w:eastAsia="zh-CN"/>
              </w:rPr>
            </w:pPr>
            <w:r>
              <w:rPr>
                <w:rFonts w:hint="eastAsia" w:ascii="楷体" w:hAnsi="楷体" w:eastAsia="楷体" w:cs="楷体"/>
                <w:spacing w:val="-20"/>
                <w:sz w:val="32"/>
                <w:szCs w:val="32"/>
                <w:highlight w:val="none"/>
                <w:lang w:eastAsia="zh-CN"/>
              </w:rPr>
              <w:t>二〇二</w:t>
            </w:r>
            <w:r>
              <w:rPr>
                <w:rFonts w:hint="eastAsia" w:ascii="楷体" w:hAnsi="楷体" w:eastAsia="楷体" w:cs="楷体"/>
                <w:spacing w:val="-20"/>
                <w:sz w:val="32"/>
                <w:szCs w:val="32"/>
                <w:highlight w:val="none"/>
                <w:lang w:val="en-US" w:eastAsia="zh-CN"/>
              </w:rPr>
              <w:t>六</w:t>
            </w:r>
            <w:r>
              <w:rPr>
                <w:rFonts w:hint="eastAsia" w:ascii="楷体" w:hAnsi="楷体" w:eastAsia="楷体" w:cs="楷体"/>
                <w:spacing w:val="-20"/>
                <w:sz w:val="32"/>
                <w:szCs w:val="32"/>
                <w:highlight w:val="none"/>
                <w:lang w:eastAsia="zh-CN"/>
              </w:rPr>
              <w:t>年</w:t>
            </w:r>
          </w:p>
        </w:tc>
      </w:tr>
    </w:tbl>
    <w:p w14:paraId="110C11CA">
      <w:pPr>
        <w:rPr>
          <w:highlight w:val="none"/>
        </w:rPr>
      </w:pPr>
      <w:r>
        <w:rPr>
          <w:highlight w:val="none"/>
        </w:rPr>
        <w:br w:type="page"/>
      </w:r>
    </w:p>
    <w:p w14:paraId="6DD7AAB7">
      <w:pPr>
        <w:pStyle w:val="16"/>
        <w:spacing w:before="120" w:beforeLines="50" w:after="240" w:afterLines="100" w:line="440" w:lineRule="exact"/>
        <w:ind w:firstLine="643"/>
        <w:jc w:val="center"/>
        <w:outlineLvl w:val="0"/>
        <w:rPr>
          <w:rFonts w:ascii="宋体" w:hAnsi="宋体" w:eastAsia="宋体" w:cs="仿宋_GB2312"/>
          <w:b/>
          <w:sz w:val="32"/>
          <w:szCs w:val="32"/>
          <w:highlight w:val="none"/>
        </w:rPr>
      </w:pPr>
      <w:r>
        <w:rPr>
          <w:rFonts w:hint="eastAsia" w:ascii="宋体" w:hAnsi="宋体" w:eastAsia="宋体" w:cs="仿宋_GB2312"/>
          <w:b/>
          <w:sz w:val="32"/>
          <w:szCs w:val="32"/>
          <w:highlight w:val="none"/>
        </w:rPr>
        <w:t>土地估价技术报告（评估工作底稿）</w:t>
      </w:r>
    </w:p>
    <w:p w14:paraId="73CF586B">
      <w:pPr>
        <w:pStyle w:val="16"/>
        <w:spacing w:before="120" w:beforeLines="50" w:after="240" w:afterLines="100" w:line="440" w:lineRule="exact"/>
        <w:ind w:firstLine="0" w:firstLineChars="0"/>
        <w:jc w:val="center"/>
        <w:outlineLvl w:val="0"/>
        <w:rPr>
          <w:rFonts w:ascii="宋体" w:hAnsi="宋体" w:eastAsia="宋体" w:cs="宋体"/>
          <w:b/>
          <w:color w:val="auto"/>
          <w:sz w:val="32"/>
          <w:szCs w:val="32"/>
          <w:highlight w:val="none"/>
        </w:rPr>
      </w:pPr>
      <w:r>
        <w:rPr>
          <w:rFonts w:hint="eastAsia" w:ascii="宋体" w:hAnsi="宋体" w:eastAsia="宋体" w:cs="宋体"/>
          <w:b/>
          <w:color w:val="auto"/>
          <w:sz w:val="32"/>
          <w:szCs w:val="32"/>
          <w:highlight w:val="none"/>
        </w:rPr>
        <w:t>第一部分  摘要</w:t>
      </w:r>
    </w:p>
    <w:p w14:paraId="36FB8671">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一、估价项目名称</w:t>
      </w:r>
    </w:p>
    <w:p w14:paraId="10838E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通道侗族自治县自然资源局办理土地使用权出让手续涉及位于通道县双江镇行政街一宗商服、住宅用途国有土地使用权市场价格评估（通道侗族自治县）</w:t>
      </w:r>
    </w:p>
    <w:p w14:paraId="03D5CD03">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二、</w:t>
      </w:r>
      <w:r>
        <w:rPr>
          <w:rFonts w:hint="eastAsia" w:ascii="仿宋_GB2312" w:hAnsi="仿宋_GB2312" w:eastAsia="仿宋_GB2312" w:cs="仿宋_GB2312"/>
          <w:b/>
          <w:bCs w:val="0"/>
          <w:color w:val="auto"/>
          <w:sz w:val="28"/>
          <w:szCs w:val="28"/>
          <w:highlight w:val="none"/>
          <w:lang w:val="en-GB" w:eastAsia="zh-CN"/>
        </w:rPr>
        <w:t>委托估价方</w:t>
      </w:r>
    </w:p>
    <w:p w14:paraId="3057AF3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GB" w:eastAsia="zh-CN"/>
        </w:rPr>
        <w:t>委托估价方</w:t>
      </w:r>
      <w:r>
        <w:rPr>
          <w:rFonts w:hint="eastAsia" w:ascii="仿宋_GB2312" w:hAnsi="仿宋_GB2312" w:eastAsia="仿宋_GB2312" w:cs="仿宋_GB2312"/>
          <w:bCs/>
          <w:sz w:val="28"/>
          <w:szCs w:val="28"/>
          <w:highlight w:val="none"/>
          <w:lang w:val="en-US" w:eastAsia="zh-CN"/>
        </w:rPr>
        <w:t>：通道侗族自治县自然资源局</w:t>
      </w:r>
    </w:p>
    <w:p w14:paraId="60B9FBA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社会统一信用代码：11431230MB16183635</w:t>
      </w:r>
    </w:p>
    <w:p w14:paraId="5D76223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sz w:val="28"/>
          <w:szCs w:val="28"/>
          <w:highlight w:val="none"/>
          <w:lang w:val="en-US" w:eastAsia="zh-CN"/>
        </w:rPr>
        <w:t>负责人：</w:t>
      </w:r>
      <w:r>
        <w:rPr>
          <w:rFonts w:hint="eastAsia" w:ascii="仿宋_GB2312" w:hAnsi="仿宋_GB2312" w:eastAsia="仿宋_GB2312" w:cs="仿宋_GB2312"/>
          <w:bCs/>
          <w:color w:val="auto"/>
          <w:sz w:val="28"/>
          <w:szCs w:val="28"/>
          <w:highlight w:val="none"/>
          <w:lang w:val="en-US" w:eastAsia="zh-CN"/>
        </w:rPr>
        <w:t>杨理雄</w:t>
      </w:r>
    </w:p>
    <w:p w14:paraId="28682B6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机构性质：机关</w:t>
      </w:r>
    </w:p>
    <w:p w14:paraId="03F880F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机构地址：湖南省怀化市通道侗族自治县双江镇友谊街3号</w:t>
      </w:r>
    </w:p>
    <w:p w14:paraId="489E67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w:t>
      </w:r>
      <w:r>
        <w:rPr>
          <w:rFonts w:hint="eastAsia" w:ascii="仿宋_GB2312" w:eastAsia="仿宋_GB2312"/>
          <w:color w:val="000000" w:themeColor="text1"/>
          <w:sz w:val="28"/>
          <w:szCs w:val="30"/>
          <w:highlight w:val="none"/>
          <w:lang w:val="en-US" w:eastAsia="zh-CN"/>
          <w14:textFill>
            <w14:solidFill>
              <w14:schemeClr w14:val="tx1"/>
            </w14:solidFill>
          </w14:textFill>
        </w:rPr>
        <w:t>袁</w:t>
      </w:r>
      <w:r>
        <w:rPr>
          <w:rFonts w:hint="eastAsia" w:ascii="仿宋_GB2312" w:eastAsia="仿宋_GB2312"/>
          <w:color w:val="000000" w:themeColor="text1"/>
          <w:sz w:val="28"/>
          <w:szCs w:val="30"/>
          <w:highlight w:val="none"/>
          <w14:textFill>
            <w14:solidFill>
              <w14:schemeClr w14:val="tx1"/>
            </w14:solidFill>
          </w14:textFill>
        </w:rPr>
        <w:t>先生</w:t>
      </w:r>
    </w:p>
    <w:p w14:paraId="6E92493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eastAsia="仿宋_GB2312"/>
          <w:color w:val="000000" w:themeColor="text1"/>
          <w:sz w:val="28"/>
          <w:szCs w:val="28"/>
          <w:highlight w:val="none"/>
          <w:lang w:val="en-US" w:eastAsia="zh-CN"/>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联系电话：13</w:t>
      </w:r>
      <w:r>
        <w:rPr>
          <w:rFonts w:hint="eastAsia" w:ascii="仿宋_GB2312" w:eastAsia="仿宋_GB2312"/>
          <w:color w:val="000000" w:themeColor="text1"/>
          <w:sz w:val="28"/>
          <w:szCs w:val="28"/>
          <w:highlight w:val="none"/>
          <w:lang w:val="en-US" w:eastAsia="zh-CN"/>
          <w14:textFill>
            <w14:solidFill>
              <w14:schemeClr w14:val="tx1"/>
            </w14:solidFill>
          </w14:textFill>
        </w:rPr>
        <w:t>974595151</w:t>
      </w:r>
    </w:p>
    <w:p w14:paraId="4C3D2EB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邮    编：418500</w:t>
      </w:r>
    </w:p>
    <w:p w14:paraId="318CAAC6">
      <w:pPr>
        <w:pStyle w:val="2"/>
        <w:keepNext w:val="0"/>
        <w:keepLines w:val="0"/>
        <w:pageBreakBefore w:val="0"/>
        <w:widowControl w:val="0"/>
        <w:kinsoku/>
        <w:wordWrap/>
        <w:overflowPunct/>
        <w:topLinePunct w:val="0"/>
        <w:autoSpaceDE/>
        <w:autoSpaceDN/>
        <w:bidi w:val="0"/>
        <w:spacing w:line="480" w:lineRule="exact"/>
        <w:textAlignment w:val="auto"/>
        <w:rPr>
          <w:rFonts w:hint="default"/>
          <w:highlight w:val="none"/>
          <w:lang w:val="en-US" w:eastAsia="zh-CN"/>
        </w:rPr>
      </w:pPr>
      <w:r>
        <w:rPr>
          <w:rFonts w:hint="eastAsia" w:ascii="仿宋_GB2312" w:hAnsi="仿宋_GB2312" w:eastAsia="仿宋_GB2312" w:cs="仿宋_GB2312"/>
          <w:bCs/>
          <w:sz w:val="28"/>
          <w:szCs w:val="28"/>
          <w:highlight w:val="none"/>
          <w:lang w:val="en-GB" w:eastAsia="zh-CN"/>
        </w:rPr>
        <w:t>与估价对象土地使用者之间的关系：</w:t>
      </w:r>
      <w:r>
        <w:rPr>
          <w:rFonts w:hint="eastAsia" w:ascii="仿宋_GB2312" w:hAnsi="仿宋_GB2312" w:eastAsia="仿宋_GB2312" w:cs="仿宋_GB2312"/>
          <w:bCs/>
          <w:sz w:val="28"/>
          <w:szCs w:val="28"/>
          <w:highlight w:val="none"/>
          <w:lang w:val="en-US" w:eastAsia="zh-CN"/>
        </w:rPr>
        <w:t>委托方为通道侗族自治县自然资源局，土地使用者为</w:t>
      </w:r>
      <w:r>
        <w:rPr>
          <w:rFonts w:hint="eastAsia" w:ascii="仿宋_GB2312" w:hAnsi="仿宋_GB2312" w:cs="仿宋_GB2312"/>
          <w:bCs/>
          <w:sz w:val="28"/>
          <w:szCs w:val="28"/>
          <w:highlight w:val="none"/>
          <w:lang w:val="en-US" w:eastAsia="zh-CN"/>
        </w:rPr>
        <w:t>通道侗族自治县国有资产监督管理办公室</w:t>
      </w:r>
      <w:r>
        <w:rPr>
          <w:rFonts w:hint="eastAsia" w:ascii="仿宋_GB2312" w:hAnsi="仿宋_GB2312" w:eastAsia="仿宋_GB2312" w:cs="仿宋_GB2312"/>
          <w:bCs/>
          <w:sz w:val="28"/>
          <w:szCs w:val="28"/>
          <w:highlight w:val="none"/>
          <w:lang w:eastAsia="zh-CN"/>
        </w:rPr>
        <w:t>。</w:t>
      </w:r>
    </w:p>
    <w:p w14:paraId="58B898B9">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三、受委托估价方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名    称：湖南兆财不动产规划评估有限公司</w:t>
      </w:r>
    </w:p>
    <w:p w14:paraId="5C5120B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法定代表人：</w:t>
      </w:r>
      <w:r>
        <w:rPr>
          <w:rFonts w:hint="eastAsia" w:ascii="仿宋_GB2312" w:hAnsi="仿宋_GB2312" w:eastAsia="仿宋_GB2312" w:cs="仿宋_GB2312"/>
          <w:bCs/>
          <w:color w:val="auto"/>
          <w:sz w:val="28"/>
          <w:szCs w:val="28"/>
          <w:highlight w:val="none"/>
          <w:lang w:val="en-US" w:eastAsia="zh-CN"/>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成立日期：20</w:t>
      </w:r>
      <w:r>
        <w:rPr>
          <w:rFonts w:hint="eastAsia" w:ascii="仿宋_GB2312" w:hAnsi="仿宋_GB2312" w:eastAsia="仿宋_GB2312" w:cs="仿宋_GB2312"/>
          <w:bCs/>
          <w:color w:val="auto"/>
          <w:sz w:val="28"/>
          <w:szCs w:val="28"/>
          <w:highlight w:val="none"/>
          <w:lang w:val="en-US" w:eastAsia="zh-CN"/>
        </w:rPr>
        <w:t>21</w:t>
      </w:r>
      <w:r>
        <w:rPr>
          <w:rFonts w:hint="eastAsia" w:ascii="仿宋_GB2312" w:hAnsi="仿宋_GB2312" w:eastAsia="仿宋_GB2312" w:cs="仿宋_GB2312"/>
          <w:bCs/>
          <w:color w:val="auto"/>
          <w:sz w:val="28"/>
          <w:szCs w:val="28"/>
          <w:highlight w:val="none"/>
          <w:lang w:val="en-GB" w:eastAsia="zh-CN"/>
        </w:rPr>
        <w:t>年</w:t>
      </w:r>
      <w:r>
        <w:rPr>
          <w:rFonts w:hint="eastAsia" w:ascii="仿宋_GB2312" w:hAnsi="仿宋_GB2312" w:eastAsia="仿宋_GB2312" w:cs="仿宋_GB2312"/>
          <w:bCs/>
          <w:color w:val="auto"/>
          <w:sz w:val="28"/>
          <w:szCs w:val="28"/>
          <w:highlight w:val="none"/>
          <w:lang w:val="en-US" w:eastAsia="zh-CN"/>
        </w:rPr>
        <w:t>11</w:t>
      </w:r>
      <w:r>
        <w:rPr>
          <w:rFonts w:hint="eastAsia" w:ascii="仿宋_GB2312" w:hAnsi="仿宋_GB2312" w:eastAsia="仿宋_GB2312" w:cs="仿宋_GB2312"/>
          <w:bCs/>
          <w:color w:val="auto"/>
          <w:sz w:val="28"/>
          <w:szCs w:val="28"/>
          <w:highlight w:val="none"/>
          <w:lang w:val="en-GB" w:eastAsia="zh-CN"/>
        </w:rPr>
        <w:t>月</w:t>
      </w:r>
      <w:r>
        <w:rPr>
          <w:rFonts w:hint="eastAsia" w:ascii="仿宋_GB2312" w:hAnsi="仿宋_GB2312" w:eastAsia="仿宋_GB2312" w:cs="仿宋_GB2312"/>
          <w:bCs/>
          <w:color w:val="auto"/>
          <w:sz w:val="28"/>
          <w:szCs w:val="28"/>
          <w:highlight w:val="none"/>
          <w:lang w:val="en-US" w:eastAsia="zh-CN"/>
        </w:rPr>
        <w:t>22</w:t>
      </w:r>
      <w:r>
        <w:rPr>
          <w:rFonts w:hint="eastAsia" w:ascii="仿宋_GB2312" w:hAnsi="仿宋_GB2312" w:eastAsia="仿宋_GB2312" w:cs="仿宋_GB2312"/>
          <w:bCs/>
          <w:color w:val="auto"/>
          <w:sz w:val="28"/>
          <w:szCs w:val="28"/>
          <w:highlight w:val="none"/>
          <w:lang w:val="en-GB" w:eastAsia="zh-CN"/>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GB" w:eastAsia="zh-CN"/>
        </w:rPr>
        <w:t>机构</w:t>
      </w:r>
      <w:r>
        <w:rPr>
          <w:rFonts w:hint="eastAsia" w:ascii="仿宋_GB2312" w:hAnsi="仿宋_GB2312" w:eastAsia="仿宋_GB2312" w:cs="仿宋_GB2312"/>
          <w:bCs/>
          <w:color w:val="auto"/>
          <w:sz w:val="28"/>
          <w:szCs w:val="28"/>
          <w:highlight w:val="none"/>
          <w:lang w:val="en-US" w:eastAsia="zh-CN"/>
        </w:rPr>
        <w:t>备案编号</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联 系 人：</w:t>
      </w:r>
      <w:r>
        <w:rPr>
          <w:rFonts w:hint="eastAsia" w:ascii="仿宋_GB2312" w:hAnsi="仿宋_GB2312" w:eastAsia="仿宋_GB2312" w:cs="仿宋_GB2312"/>
          <w:bCs/>
          <w:color w:val="auto"/>
          <w:sz w:val="28"/>
          <w:szCs w:val="28"/>
          <w:highlight w:val="none"/>
          <w:lang w:val="en-US" w:eastAsia="zh-CN"/>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GB" w:eastAsia="zh-CN"/>
        </w:rPr>
        <w:t>联系电话：</w:t>
      </w:r>
      <w:r>
        <w:rPr>
          <w:rFonts w:hint="eastAsia" w:ascii="仿宋_GB2312" w:hAnsi="仿宋_GB2312" w:eastAsia="仿宋_GB2312" w:cs="仿宋_GB2312"/>
          <w:bCs/>
          <w:color w:val="auto"/>
          <w:sz w:val="28"/>
          <w:szCs w:val="28"/>
          <w:highlight w:val="none"/>
          <w:lang w:val="en-US" w:eastAsia="zh-CN"/>
        </w:rPr>
        <w:t>15388005188</w:t>
      </w:r>
    </w:p>
    <w:p w14:paraId="3980F95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邮    编：4100</w:t>
      </w:r>
      <w:r>
        <w:rPr>
          <w:rFonts w:hint="eastAsia" w:ascii="仿宋_GB2312" w:hAnsi="仿宋_GB2312" w:eastAsia="仿宋_GB2312" w:cs="仿宋_GB2312"/>
          <w:bCs/>
          <w:color w:val="auto"/>
          <w:sz w:val="28"/>
          <w:szCs w:val="28"/>
          <w:highlight w:val="none"/>
          <w:lang w:val="en-US" w:eastAsia="zh-CN"/>
        </w:rPr>
        <w:t>00</w:t>
      </w:r>
    </w:p>
    <w:p w14:paraId="5C7F693B">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四、</w:t>
      </w:r>
      <w:r>
        <w:rPr>
          <w:rFonts w:hint="eastAsia" w:ascii="仿宋_GB2312" w:hAnsi="仿宋_GB2312" w:eastAsia="仿宋_GB2312" w:cs="仿宋_GB2312"/>
          <w:b/>
          <w:bCs w:val="0"/>
          <w:color w:val="auto"/>
          <w:sz w:val="28"/>
          <w:szCs w:val="28"/>
          <w:highlight w:val="none"/>
          <w:lang w:val="en-GB" w:eastAsia="zh-CN"/>
        </w:rPr>
        <w:t>估价目的</w:t>
      </w:r>
    </w:p>
    <w:p w14:paraId="4B2AA22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GB" w:eastAsia="zh-CN"/>
        </w:rPr>
      </w:pPr>
      <w:r>
        <w:rPr>
          <w:rFonts w:hint="default" w:ascii="仿宋_GB2312" w:hAnsi="仿宋_GB2312" w:eastAsia="仿宋_GB2312" w:cs="仿宋_GB2312"/>
          <w:bCs/>
          <w:color w:val="auto"/>
          <w:sz w:val="28"/>
          <w:szCs w:val="28"/>
          <w:highlight w:val="none"/>
          <w:lang w:val="en-US" w:eastAsia="zh-CN"/>
        </w:rPr>
        <w:t>根据</w:t>
      </w:r>
      <w:r>
        <w:rPr>
          <w:rFonts w:hint="default" w:ascii="仿宋_GB2312" w:hAnsi="仿宋_GB2312" w:eastAsia="仿宋_GB2312" w:cs="仿宋_GB2312"/>
          <w:bCs/>
          <w:color w:val="auto"/>
          <w:sz w:val="28"/>
          <w:szCs w:val="28"/>
          <w:highlight w:val="none"/>
          <w:lang w:val="en-GB" w:eastAsia="zh-CN"/>
        </w:rPr>
        <w:t>《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w:t>
      </w:r>
      <w:r>
        <w:rPr>
          <w:rFonts w:hint="default" w:ascii="仿宋_GB2312" w:hAnsi="仿宋_GB2312" w:eastAsia="仿宋_GB2312" w:cs="仿宋_GB2312"/>
          <w:bCs/>
          <w:color w:val="auto"/>
          <w:sz w:val="28"/>
          <w:szCs w:val="28"/>
          <w:highlight w:val="none"/>
          <w:lang w:val="en-US" w:eastAsia="zh-CN"/>
        </w:rPr>
        <w:t>委托方提供的《土地资产评估委托书》，通道侗族自治县</w:t>
      </w:r>
      <w:r>
        <w:rPr>
          <w:rFonts w:hint="default" w:ascii="仿宋_GB2312" w:hAnsi="仿宋_GB2312" w:eastAsia="仿宋_GB2312" w:cs="仿宋_GB2312"/>
          <w:bCs/>
          <w:color w:val="auto"/>
          <w:sz w:val="28"/>
          <w:szCs w:val="28"/>
          <w:highlight w:val="none"/>
          <w:lang w:val="en-GB" w:eastAsia="zh-CN"/>
        </w:rPr>
        <w:t>拟了解一宗位于</w:t>
      </w:r>
      <w:r>
        <w:rPr>
          <w:rFonts w:hint="eastAsia" w:ascii="仿宋_GB2312" w:hAnsi="仿宋_GB2312" w:eastAsia="仿宋_GB2312" w:cs="仿宋_GB2312"/>
          <w:bCs/>
          <w:color w:val="auto"/>
          <w:sz w:val="28"/>
          <w:szCs w:val="28"/>
          <w:highlight w:val="none"/>
          <w:lang w:val="en-US" w:eastAsia="zh-CN"/>
        </w:rPr>
        <w:t>通道县双江镇行政街</w:t>
      </w:r>
      <w:r>
        <w:rPr>
          <w:rFonts w:hint="default" w:ascii="仿宋_GB2312" w:hAnsi="仿宋_GB2312" w:eastAsia="仿宋_GB2312" w:cs="仿宋_GB2312"/>
          <w:bCs/>
          <w:color w:val="auto"/>
          <w:sz w:val="28"/>
          <w:szCs w:val="28"/>
          <w:highlight w:val="none"/>
          <w:lang w:val="en-GB" w:eastAsia="zh-CN"/>
        </w:rPr>
        <w:t>的国有土地使用权价值，特委托</w:t>
      </w:r>
      <w:r>
        <w:rPr>
          <w:rFonts w:hint="eastAsia" w:ascii="仿宋_GB2312" w:hAnsi="仿宋_GB2312" w:eastAsia="仿宋_GB2312" w:cs="仿宋_GB2312"/>
          <w:bCs/>
          <w:color w:val="auto"/>
          <w:sz w:val="28"/>
          <w:szCs w:val="28"/>
          <w:highlight w:val="none"/>
          <w:lang w:val="en-GB" w:eastAsia="zh-CN"/>
        </w:rPr>
        <w:t>湖南兆财不动产规划评估有限公司</w:t>
      </w:r>
      <w:r>
        <w:rPr>
          <w:rFonts w:hint="default" w:ascii="仿宋_GB2312" w:hAnsi="仿宋_GB2312" w:eastAsia="仿宋_GB2312" w:cs="仿宋_GB2312"/>
          <w:bCs/>
          <w:color w:val="auto"/>
          <w:sz w:val="28"/>
          <w:szCs w:val="28"/>
          <w:highlight w:val="none"/>
          <w:lang w:val="en-GB" w:eastAsia="zh-CN"/>
        </w:rPr>
        <w:t>对</w:t>
      </w:r>
      <w:r>
        <w:rPr>
          <w:rFonts w:hint="eastAsia" w:ascii="仿宋_GB2312" w:hAnsi="仿宋_GB2312" w:eastAsia="仿宋_GB2312" w:cs="仿宋_GB2312"/>
          <w:bCs/>
          <w:color w:val="auto"/>
          <w:sz w:val="28"/>
          <w:szCs w:val="28"/>
          <w:highlight w:val="none"/>
          <w:lang w:val="en-US" w:eastAsia="zh-CN"/>
        </w:rPr>
        <w:t>估价对象</w:t>
      </w:r>
      <w:r>
        <w:rPr>
          <w:rFonts w:hint="default" w:ascii="仿宋_GB2312" w:hAnsi="仿宋_GB2312" w:eastAsia="仿宋_GB2312" w:cs="仿宋_GB2312"/>
          <w:bCs/>
          <w:color w:val="auto"/>
          <w:sz w:val="28"/>
          <w:szCs w:val="28"/>
          <w:highlight w:val="none"/>
          <w:lang w:val="en-GB" w:eastAsia="zh-CN"/>
        </w:rPr>
        <w:t>在现状利用条件下的</w:t>
      </w:r>
      <w:r>
        <w:rPr>
          <w:rFonts w:hint="eastAsia" w:ascii="仿宋_GB2312" w:hAnsi="仿宋_GB2312" w:eastAsia="仿宋_GB2312" w:cs="仿宋_GB2312"/>
          <w:bCs/>
          <w:color w:val="auto"/>
          <w:sz w:val="28"/>
          <w:szCs w:val="28"/>
          <w:highlight w:val="none"/>
          <w:lang w:val="en-US" w:eastAsia="zh-CN"/>
        </w:rPr>
        <w:t>国有土地使用权出让</w:t>
      </w:r>
      <w:r>
        <w:rPr>
          <w:rFonts w:hint="default" w:ascii="仿宋_GB2312" w:hAnsi="仿宋_GB2312" w:eastAsia="仿宋_GB2312" w:cs="仿宋_GB2312"/>
          <w:bCs/>
          <w:color w:val="auto"/>
          <w:sz w:val="28"/>
          <w:szCs w:val="28"/>
          <w:highlight w:val="none"/>
          <w:lang w:val="en-GB" w:eastAsia="zh-CN"/>
        </w:rPr>
        <w:t>土地使用权价格进行评估，为其办理土地使用权出让手续提供</w:t>
      </w:r>
      <w:r>
        <w:rPr>
          <w:rFonts w:hint="eastAsia" w:ascii="仿宋_GB2312" w:hAnsi="仿宋_GB2312" w:eastAsia="仿宋_GB2312" w:cs="仿宋_GB2312"/>
          <w:bCs/>
          <w:color w:val="auto"/>
          <w:sz w:val="28"/>
          <w:szCs w:val="28"/>
          <w:highlight w:val="none"/>
          <w:lang w:val="en-US" w:eastAsia="zh-CN"/>
        </w:rPr>
        <w:t>客观、公正、合理的</w:t>
      </w:r>
      <w:r>
        <w:rPr>
          <w:rFonts w:hint="default" w:ascii="仿宋_GB2312" w:hAnsi="仿宋_GB2312" w:eastAsia="仿宋_GB2312" w:cs="仿宋_GB2312"/>
          <w:bCs/>
          <w:color w:val="auto"/>
          <w:sz w:val="28"/>
          <w:szCs w:val="28"/>
          <w:highlight w:val="none"/>
          <w:lang w:val="en-GB" w:eastAsia="zh-CN"/>
        </w:rPr>
        <w:t>价格参考</w:t>
      </w:r>
      <w:r>
        <w:rPr>
          <w:rFonts w:hint="eastAsia" w:ascii="仿宋_GB2312" w:hAnsi="仿宋_GB2312" w:eastAsia="仿宋_GB2312" w:cs="仿宋_GB2312"/>
          <w:bCs/>
          <w:color w:val="auto"/>
          <w:sz w:val="28"/>
          <w:szCs w:val="28"/>
          <w:highlight w:val="none"/>
          <w:lang w:val="en-US" w:eastAsia="zh-CN"/>
        </w:rPr>
        <w:t>依据</w:t>
      </w:r>
      <w:r>
        <w:rPr>
          <w:rFonts w:hint="default" w:ascii="仿宋_GB2312" w:hAnsi="仿宋_GB2312" w:eastAsia="仿宋_GB2312" w:cs="仿宋_GB2312"/>
          <w:bCs/>
          <w:color w:val="auto"/>
          <w:sz w:val="28"/>
          <w:szCs w:val="28"/>
          <w:highlight w:val="none"/>
          <w:lang w:val="en-GB" w:eastAsia="zh-CN"/>
        </w:rPr>
        <w:t>。</w:t>
      </w:r>
    </w:p>
    <w:p w14:paraId="46B01681">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五、估价依据</w:t>
      </w:r>
    </w:p>
    <w:p w14:paraId="0C822CC0">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（一）国家有关部门颁布的法律法规及相关文件</w:t>
      </w:r>
    </w:p>
    <w:p w14:paraId="3D491F5B">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1、《中华人民共和国民法典》（2020年5月28日第十三届全国人民代表大会第三次会议通过，2020年5月28日中华人民共和国主席令第四十五号公布，自2021年1月1日起施行）；</w:t>
      </w:r>
    </w:p>
    <w:p w14:paraId="77A4B3A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2、《中华人民共和国资产评估法》（2016年7月2日第十二届全国人民代表大会常务委员会第二十一次会议通过，2016年7月2日中华人民共和国主席令第四十六号公布，自2016年12月1日起施行）；</w:t>
      </w:r>
    </w:p>
    <w:p w14:paraId="7EE09DA4">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3、《中华人民共和国土地管理法》（1986年6月25日第六届全国人民代表大会常务委员会第十六次会议通过，中华人民共和国主席令第四十一号公布；根据2019年8月26日《全国人民代表大会常务委员会关于修改&lt;中华人民共和国土地管理法&gt;、&lt;中华人民共和国城市房地产管理法&gt;的决定》第三次修正，2019年8月26日中华人民共和国主席令第三十二号公布，自2020年1月1日起施行）；</w:t>
      </w:r>
    </w:p>
    <w:p w14:paraId="31F9ACC6">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4、《中华人民共和国城市房地产管理法》（1994年7月5日第八届全国人民代表大会常务委员会第八次会议通过，中华人民共和国主席令第二十九号公布；根据2019年8月26日第十三届全国人民代表大会常务委员会第十二次会议《关于修改〈中华人民共和国土地管理法〉、〈中华人民共和国城市房地产管理法〉的决定》第三次修正，2019年8月26日中华人民共和国主席令第三十二号公布，自2020年1月1日起施行）；</w:t>
      </w:r>
    </w:p>
    <w:p w14:paraId="54C8B95E">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5、《中华人民共和国城乡规划法》（2007年10月28日第十届全国人民代表大会常务委员会第三十次会通过，中华人民共和国主席令第二十九号公布；根据2019年4月23日第十三届全国人民代表大会常务委员会第十次会议《关于修改&lt;中华人民共和国建筑法&gt;等八部法律的决定》第二次修正，2019年4月23日中华人民共和国主席令第二十九号公布，自本决定公布之日起施行）；</w:t>
      </w:r>
    </w:p>
    <w:p w14:paraId="17D7D234">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6</w:t>
      </w:r>
      <w:r>
        <w:rPr>
          <w:rFonts w:hint="eastAsia" w:ascii="仿宋_GB2312" w:hAnsi="仿宋_GB2312" w:eastAsia="仿宋_GB2312" w:cs="仿宋_GB2312"/>
          <w:sz w:val="28"/>
          <w:szCs w:val="28"/>
          <w:highlight w:val="none"/>
        </w:rPr>
        <w:t>、《中华人民共和国契税法》（2020年8月11日第十三届全国人民代表大会常务委员会第二十一次会议通过，中华人民共和国主席令第52号公布，自2021年9月1日起施行）；</w:t>
      </w:r>
    </w:p>
    <w:p w14:paraId="5A6252B1">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7</w:t>
      </w:r>
      <w:r>
        <w:rPr>
          <w:rFonts w:hint="eastAsia" w:ascii="仿宋_GB2312" w:hAnsi="仿宋_GB2312" w:eastAsia="仿宋_GB2312" w:cs="仿宋_GB2312"/>
          <w:sz w:val="28"/>
          <w:szCs w:val="28"/>
          <w:highlight w:val="none"/>
        </w:rPr>
        <w:t>、《中华人民共和国城市维护建设税法》（2020年8月11日第十三届全国人民代表大会常务委员会第二十一次会议通过，中华人民共和国主席令第51号公布，自2021年9月1日起施行）；</w:t>
      </w:r>
    </w:p>
    <w:p w14:paraId="28ECC637">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val="en-US" w:eastAsia="zh-CN"/>
        </w:rPr>
        <w:t>8</w:t>
      </w:r>
      <w:r>
        <w:rPr>
          <w:rFonts w:hint="eastAsia" w:ascii="仿宋_GB2312" w:hAnsi="仿宋_GB2312" w:eastAsia="仿宋_GB2312" w:cs="仿宋_GB2312"/>
          <w:sz w:val="28"/>
          <w:szCs w:val="28"/>
          <w:highlight w:val="none"/>
        </w:rPr>
        <w:t>、《中华人民共和国印花税法》（2021年6月10日第十三届全国人民代表大会常务委员会第二十九次会议通过，自2022年7月1日起施行）</w:t>
      </w:r>
      <w:r>
        <w:rPr>
          <w:rFonts w:hint="eastAsia" w:ascii="仿宋_GB2312" w:hAnsi="仿宋_GB2312" w:eastAsia="仿宋_GB2312" w:cs="仿宋_GB2312"/>
          <w:sz w:val="28"/>
          <w:szCs w:val="28"/>
          <w:highlight w:val="none"/>
          <w:lang w:eastAsia="zh-CN"/>
        </w:rPr>
        <w:t>；</w:t>
      </w:r>
    </w:p>
    <w:p w14:paraId="338A3350">
      <w:pPr>
        <w:keepNext w:val="0"/>
        <w:keepLines w:val="0"/>
        <w:pageBreakBefore w:val="0"/>
        <w:widowControl/>
        <w:kinsoku/>
        <w:wordWrap/>
        <w:overflowPunct/>
        <w:topLinePunct w:val="0"/>
        <w:autoSpaceDE/>
        <w:autoSpaceDN/>
        <w:bidi w:val="0"/>
        <w:spacing w:line="480" w:lineRule="exact"/>
        <w:ind w:right="0" w:firstLine="560" w:firstLineChars="200"/>
        <w:jc w:val="left"/>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9</w:t>
      </w:r>
      <w:r>
        <w:rPr>
          <w:rFonts w:hint="eastAsia" w:ascii="仿宋_GB2312" w:hAnsi="仿宋_GB2312" w:eastAsia="仿宋_GB2312" w:cs="仿宋_GB2312"/>
          <w:bCs/>
          <w:iCs/>
          <w:sz w:val="28"/>
          <w:szCs w:val="28"/>
          <w:highlight w:val="none"/>
        </w:rPr>
        <w:t>、《城市房地产开发经营管理条例》（1998年7月20日中华人民共和国国务院令第248号发布</w:t>
      </w:r>
      <w:r>
        <w:rPr>
          <w:rFonts w:hint="eastAsia" w:ascii="仿宋_GB2312" w:hAnsi="仿宋_GB2312" w:eastAsia="仿宋_GB2312" w:cs="仿宋_GB2312"/>
          <w:bCs/>
          <w:iCs/>
          <w:sz w:val="28"/>
          <w:szCs w:val="28"/>
          <w:highlight w:val="none"/>
          <w:lang w:eastAsia="zh-CN"/>
        </w:rPr>
        <w:t>；</w:t>
      </w:r>
      <w:r>
        <w:rPr>
          <w:rFonts w:hint="eastAsia" w:ascii="仿宋_GB2312" w:hAnsi="仿宋_GB2312" w:eastAsia="仿宋_GB2312" w:cs="仿宋_GB2312"/>
          <w:bCs/>
          <w:iCs/>
          <w:sz w:val="28"/>
          <w:szCs w:val="28"/>
          <w:highlight w:val="none"/>
        </w:rPr>
        <w:t>根据2020年11月29日《国务院关于修改和废止部分行政法规的决定》第五次修订）；</w:t>
      </w:r>
    </w:p>
    <w:p w14:paraId="428B835B">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、《中华人民共和国城镇国有土地使用权出让和转让暂行条例》（1990年5月19日中华人民共和国国务院令第55号发布，自发布之日起施行；根据2020年11月29日中华人民共和国国务院令第732号修订）；</w:t>
      </w:r>
    </w:p>
    <w:p w14:paraId="5D544968">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11</w:t>
      </w:r>
      <w:r>
        <w:rPr>
          <w:rFonts w:hint="eastAsia" w:ascii="仿宋_GB2312" w:hAnsi="仿宋_GB2312" w:eastAsia="仿宋_GB2312" w:cs="仿宋_GB2312"/>
          <w:sz w:val="28"/>
          <w:szCs w:val="28"/>
          <w:highlight w:val="none"/>
        </w:rPr>
        <w:t>、《中华人民共和国土地管理法实施条例》（中华人民共和国国务院令第256号，2021年7月2日中华人民共和国国务院令第743号第三次修订）；</w:t>
      </w:r>
    </w:p>
    <w:p w14:paraId="05FB9256">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12</w:t>
      </w:r>
      <w:r>
        <w:rPr>
          <w:rFonts w:hint="eastAsia" w:ascii="仿宋_GB2312" w:hAnsi="仿宋_GB2312" w:eastAsia="仿宋_GB2312" w:cs="仿宋_GB2312"/>
          <w:sz w:val="28"/>
          <w:szCs w:val="28"/>
          <w:highlight w:val="none"/>
        </w:rPr>
        <w:t>、《不动产登记暂行条例》（2014年11月24日中华人民共和国国务院令第656号公布，自2015年3月1日起施行；根据20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年3月</w:t>
      </w: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日中华人民共和国国务院令第7</w:t>
      </w:r>
      <w:r>
        <w:rPr>
          <w:rFonts w:hint="eastAsia" w:ascii="仿宋_GB2312" w:hAnsi="仿宋_GB2312" w:eastAsia="仿宋_GB2312" w:cs="仿宋_GB2312"/>
          <w:sz w:val="28"/>
          <w:szCs w:val="28"/>
          <w:highlight w:val="none"/>
          <w:lang w:val="en-US" w:eastAsia="zh-CN"/>
        </w:rPr>
        <w:t>77</w:t>
      </w:r>
      <w:r>
        <w:rPr>
          <w:rFonts w:hint="eastAsia" w:ascii="仿宋_GB2312" w:hAnsi="仿宋_GB2312" w:eastAsia="仿宋_GB2312" w:cs="仿宋_GB2312"/>
          <w:sz w:val="28"/>
          <w:szCs w:val="28"/>
          <w:highlight w:val="none"/>
        </w:rPr>
        <w:t>号《国务院关于修改和废止部分行政法规的决定》第</w:t>
      </w:r>
      <w:r>
        <w:rPr>
          <w:rFonts w:hint="eastAsia" w:ascii="仿宋_GB2312" w:hAnsi="仿宋_GB2312" w:eastAsia="仿宋_GB2312" w:cs="仿宋_GB2312"/>
          <w:sz w:val="28"/>
          <w:szCs w:val="28"/>
          <w:highlight w:val="none"/>
          <w:lang w:val="en-US" w:eastAsia="zh-CN"/>
        </w:rPr>
        <w:t>二</w:t>
      </w:r>
      <w:r>
        <w:rPr>
          <w:rFonts w:hint="eastAsia" w:ascii="仿宋_GB2312" w:hAnsi="仿宋_GB2312" w:eastAsia="仿宋_GB2312" w:cs="仿宋_GB2312"/>
          <w:sz w:val="28"/>
          <w:szCs w:val="28"/>
          <w:highlight w:val="none"/>
        </w:rPr>
        <w:t>次修订）；</w:t>
      </w:r>
    </w:p>
    <w:p w14:paraId="61393B06">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13</w:t>
      </w:r>
      <w:r>
        <w:rPr>
          <w:rFonts w:hint="eastAsia" w:ascii="仿宋_GB2312" w:hAnsi="仿宋_GB2312" w:eastAsia="仿宋_GB2312" w:cs="仿宋_GB2312"/>
          <w:sz w:val="28"/>
          <w:szCs w:val="28"/>
          <w:highlight w:val="none"/>
        </w:rPr>
        <w:t>、《国务院关于深化改革严格土地管理的决定》（国发〔2004〕28号，2004年10月21日）；</w:t>
      </w:r>
    </w:p>
    <w:p w14:paraId="21B45DC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14</w:t>
      </w:r>
      <w:r>
        <w:rPr>
          <w:rFonts w:hint="eastAsia" w:ascii="仿宋_GB2312" w:hAnsi="仿宋_GB2312" w:eastAsia="仿宋_GB2312" w:cs="仿宋_GB2312"/>
          <w:sz w:val="28"/>
          <w:szCs w:val="28"/>
          <w:highlight w:val="none"/>
        </w:rPr>
        <w:t>、《国务院关于加强土地调控有关问题的通知》（国发〔2006〕31号，2006年8月31日）；</w:t>
      </w:r>
    </w:p>
    <w:p w14:paraId="2549F2C4">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15</w:t>
      </w:r>
      <w:r>
        <w:rPr>
          <w:rFonts w:hint="eastAsia" w:ascii="仿宋_GB2312" w:hAnsi="仿宋_GB2312" w:eastAsia="仿宋_GB2312" w:cs="仿宋_GB2312"/>
          <w:sz w:val="28"/>
          <w:szCs w:val="28"/>
          <w:highlight w:val="none"/>
        </w:rPr>
        <w:t>、《国务院办公厅关于完善建设用地使用权转让、出租、抵押二级市场的指导意见》（国办发〔2019〕34号，2019年07月19日）；</w:t>
      </w:r>
    </w:p>
    <w:p w14:paraId="3B517FAD">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16</w:t>
      </w:r>
      <w:r>
        <w:rPr>
          <w:rFonts w:hint="eastAsia" w:ascii="仿宋_GB2312" w:hAnsi="仿宋_GB2312" w:eastAsia="仿宋_GB2312" w:cs="仿宋_GB2312"/>
          <w:sz w:val="28"/>
          <w:szCs w:val="28"/>
          <w:highlight w:val="none"/>
        </w:rPr>
        <w:t>、《协议出让国有土地使用权规定》（国土资源部令第21号，2003年8月1号）；</w:t>
      </w:r>
    </w:p>
    <w:p w14:paraId="029452D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17</w:t>
      </w:r>
      <w:r>
        <w:rPr>
          <w:rFonts w:hint="eastAsia" w:ascii="仿宋_GB2312" w:hAnsi="仿宋_GB2312" w:eastAsia="仿宋_GB2312" w:cs="仿宋_GB2312"/>
          <w:sz w:val="28"/>
          <w:szCs w:val="28"/>
          <w:highlight w:val="none"/>
        </w:rPr>
        <w:t>、《协议出让国有土地使用权规范》（试行）（国土资发〔2006〕114号，2006年5月31号）；</w:t>
      </w:r>
    </w:p>
    <w:p w14:paraId="4FE87C7E">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18</w:t>
      </w:r>
      <w:r>
        <w:rPr>
          <w:rFonts w:hint="eastAsia" w:ascii="仿宋_GB2312" w:hAnsi="仿宋_GB2312" w:eastAsia="仿宋_GB2312" w:cs="仿宋_GB2312"/>
          <w:sz w:val="28"/>
          <w:szCs w:val="28"/>
          <w:highlight w:val="none"/>
        </w:rPr>
        <w:t>、《国土资源部关于进一步加强城市地价动态监测工作的通知》（国土资发[2008]51号，2008年3月11日）；</w:t>
      </w:r>
    </w:p>
    <w:p w14:paraId="08C44C84">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19</w:t>
      </w:r>
      <w:r>
        <w:rPr>
          <w:rFonts w:hint="eastAsia" w:ascii="仿宋_GB2312" w:hAnsi="仿宋_GB2312" w:eastAsia="仿宋_GB2312" w:cs="仿宋_GB2312"/>
          <w:sz w:val="28"/>
          <w:szCs w:val="28"/>
          <w:highlight w:val="none"/>
        </w:rPr>
        <w:t>、《国土资源部关于坚持和完善土地招标拍卖挂牌出让制度的意见》（国土资发〔2011〕63号，2011年5月13日）；</w:t>
      </w:r>
    </w:p>
    <w:p w14:paraId="68933F1E">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20</w:t>
      </w:r>
      <w:r>
        <w:rPr>
          <w:rFonts w:hint="eastAsia" w:ascii="仿宋_GB2312" w:hAnsi="仿宋_GB2312" w:eastAsia="仿宋_GB2312" w:cs="仿宋_GB2312"/>
          <w:sz w:val="28"/>
          <w:szCs w:val="28"/>
          <w:highlight w:val="none"/>
        </w:rPr>
        <w:t>、《国土资源部办公厅关于实施电子化备案完善土地估价报告备案制度的通知》（国土资厅发[2012]35号，2012年6月14日）；</w:t>
      </w:r>
    </w:p>
    <w:p w14:paraId="6F7B22DE">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21</w:t>
      </w:r>
      <w:r>
        <w:rPr>
          <w:rFonts w:hint="eastAsia" w:ascii="仿宋_GB2312" w:hAnsi="仿宋_GB2312" w:eastAsia="仿宋_GB2312" w:cs="仿宋_GB2312"/>
          <w:sz w:val="28"/>
          <w:szCs w:val="28"/>
          <w:highlight w:val="none"/>
        </w:rPr>
        <w:t>、《节约集约利用土地规定》（2014年5月22日国土资源部第61号令公布，根据2019年7月16日自然资源部第2次部务会议《自然资源部第一批废止和修改的部门规章的决定》修正）；</w:t>
      </w:r>
    </w:p>
    <w:p w14:paraId="473DEC78">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22</w:t>
      </w:r>
      <w:r>
        <w:rPr>
          <w:rFonts w:hint="eastAsia" w:ascii="仿宋_GB2312" w:hAnsi="仿宋_GB2312" w:eastAsia="仿宋_GB2312" w:cs="仿宋_GB2312"/>
          <w:sz w:val="28"/>
          <w:szCs w:val="28"/>
          <w:highlight w:val="none"/>
        </w:rPr>
        <w:t>、《不动产登记暂行条例实施细则》（2016年1月1日国土资源部令第63号公布，根据20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w:t>
      </w:r>
      <w:r>
        <w:rPr>
          <w:rFonts w:hint="eastAsia" w:ascii="仿宋_GB2312" w:hAnsi="仿宋_GB2312" w:eastAsia="仿宋_GB2312" w:cs="仿宋_GB2312"/>
          <w:sz w:val="28"/>
          <w:szCs w:val="28"/>
          <w:highlight w:val="none"/>
          <w:lang w:val="en-US" w:eastAsia="zh-CN"/>
        </w:rPr>
        <w:t>5</w:t>
      </w:r>
      <w:r>
        <w:rPr>
          <w:rFonts w:hint="eastAsia" w:ascii="仿宋_GB2312" w:hAnsi="仿宋_GB2312" w:eastAsia="仿宋_GB2312" w:cs="仿宋_GB2312"/>
          <w:sz w:val="28"/>
          <w:szCs w:val="28"/>
          <w:highlight w:val="none"/>
        </w:rPr>
        <w:t>月</w:t>
      </w:r>
      <w:r>
        <w:rPr>
          <w:rFonts w:hint="eastAsia" w:ascii="仿宋_GB2312" w:hAnsi="仿宋_GB2312" w:eastAsia="仿宋_GB2312" w:cs="仿宋_GB2312"/>
          <w:sz w:val="28"/>
          <w:szCs w:val="28"/>
          <w:highlight w:val="none"/>
          <w:lang w:val="en-US" w:eastAsia="zh-CN"/>
        </w:rPr>
        <w:t>9</w:t>
      </w:r>
      <w:r>
        <w:rPr>
          <w:rFonts w:hint="eastAsia" w:ascii="仿宋_GB2312" w:hAnsi="仿宋_GB2312" w:eastAsia="仿宋_GB2312" w:cs="仿宋_GB2312"/>
          <w:sz w:val="28"/>
          <w:szCs w:val="28"/>
          <w:highlight w:val="none"/>
        </w:rPr>
        <w:t>日自然资源部第2次部务会议《自然资源部关于第六批修改的部门规章的决定》修正）；</w:t>
      </w:r>
    </w:p>
    <w:p w14:paraId="746317CD">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kern w:val="0"/>
          <w:sz w:val="28"/>
          <w:szCs w:val="28"/>
          <w:highlight w:val="none"/>
        </w:rPr>
      </w:pPr>
      <w:r>
        <w:rPr>
          <w:rFonts w:hint="eastAsia" w:ascii="仿宋_GB2312" w:hAnsi="仿宋_GB2312" w:eastAsia="仿宋_GB2312" w:cs="仿宋_GB2312"/>
          <w:sz w:val="28"/>
          <w:szCs w:val="28"/>
          <w:highlight w:val="none"/>
          <w:lang w:val="en-US" w:eastAsia="zh-CN"/>
        </w:rPr>
        <w:t>23</w:t>
      </w:r>
      <w:r>
        <w:rPr>
          <w:rFonts w:hint="eastAsia" w:ascii="仿宋_GB2312" w:hAnsi="仿宋_GB2312" w:eastAsia="仿宋_GB2312" w:cs="仿宋_GB2312"/>
          <w:sz w:val="28"/>
          <w:szCs w:val="28"/>
          <w:highlight w:val="none"/>
        </w:rPr>
        <w:t>、《国土资源部关于贯彻实施&lt;中华人民共和国资产评估法&gt;的通知》（国土资发[2016]181号，2016年11月25日）；</w:t>
      </w:r>
    </w:p>
    <w:p w14:paraId="67E7017B">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24</w:t>
      </w:r>
      <w:r>
        <w:rPr>
          <w:rFonts w:hint="eastAsia" w:ascii="仿宋_GB2312" w:hAnsi="仿宋_GB2312" w:eastAsia="仿宋_GB2312" w:cs="仿宋_GB2312"/>
          <w:color w:val="000000"/>
          <w:sz w:val="28"/>
          <w:szCs w:val="28"/>
          <w:highlight w:val="none"/>
        </w:rPr>
        <w:t>、《国土资源部 国家发展和改革委员会 财政部 住房和城乡建设部 农业部 中国人民银行 国家林业局 中国银行业监督管理委员会关于扩大国有土地有偿使用范围的意见》（国土资规[2016]20号，2016年12月31日）；</w:t>
      </w:r>
    </w:p>
    <w:p w14:paraId="3A17230A">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25</w:t>
      </w:r>
      <w:r>
        <w:rPr>
          <w:rFonts w:hint="eastAsia" w:ascii="仿宋_GB2312" w:hAnsi="仿宋_GB2312" w:eastAsia="仿宋_GB2312" w:cs="仿宋_GB2312"/>
          <w:color w:val="000000"/>
          <w:sz w:val="28"/>
          <w:szCs w:val="28"/>
          <w:highlight w:val="none"/>
        </w:rPr>
        <w:t>、《国土资源部办公厅关于发布&lt;国有建设用地使用权出让地价评估技术规范&gt;的通知》（国土资厅发[2018]4号，2018年4月9日）；</w:t>
      </w:r>
    </w:p>
    <w:p w14:paraId="155F3B6D">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26</w:t>
      </w:r>
      <w:r>
        <w:rPr>
          <w:rFonts w:hint="eastAsia" w:ascii="仿宋_GB2312" w:hAnsi="仿宋_GB2312" w:eastAsia="仿宋_GB2312" w:cs="仿宋_GB2312"/>
          <w:color w:val="000000"/>
          <w:sz w:val="28"/>
          <w:szCs w:val="28"/>
          <w:highlight w:val="none"/>
        </w:rPr>
        <w:t>、《自然资源部办公厅关于印发&lt;产业用地政策实施工作指引（2019年版）&gt;的通知》（自然资办发[2019]31号，2019年4月24日）；</w:t>
      </w:r>
    </w:p>
    <w:p w14:paraId="408379B7">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27、</w:t>
      </w:r>
      <w:r>
        <w:rPr>
          <w:rFonts w:hint="eastAsia" w:ascii="仿宋_GB2312" w:hAnsi="仿宋_GB2312" w:eastAsia="仿宋_GB2312" w:cs="仿宋_GB2312"/>
          <w:color w:val="000000"/>
          <w:sz w:val="28"/>
          <w:szCs w:val="28"/>
          <w:highlight w:val="none"/>
        </w:rPr>
        <w:t>《自然资源部办公厅关于做好2021年度自然资源评价评估有关工作的通知》（自然资办发〔2021〕39号，2021年5月12日）；</w:t>
      </w:r>
    </w:p>
    <w:p w14:paraId="0F0A8EF4">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28</w:t>
      </w:r>
      <w:r>
        <w:rPr>
          <w:rFonts w:hint="eastAsia" w:ascii="仿宋_GB2312" w:hAnsi="仿宋_GB2312" w:eastAsia="仿宋_GB2312" w:cs="仿宋_GB2312"/>
          <w:color w:val="000000"/>
          <w:sz w:val="28"/>
          <w:szCs w:val="28"/>
          <w:highlight w:val="none"/>
        </w:rPr>
        <w:t>、《自然资源部办公厅关于做好2022年度自然资源评价评估有工作的通知》（自然资办发〔2022〕13号，2022年4月13日）；</w:t>
      </w:r>
    </w:p>
    <w:p w14:paraId="5A968B8C">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29</w:t>
      </w:r>
      <w:r>
        <w:rPr>
          <w:rFonts w:hint="eastAsia" w:ascii="仿宋_GB2312" w:hAnsi="仿宋_GB2312" w:eastAsia="仿宋_GB2312" w:cs="仿宋_GB2312"/>
          <w:color w:val="000000"/>
          <w:sz w:val="28"/>
          <w:szCs w:val="28"/>
          <w:highlight w:val="none"/>
        </w:rPr>
        <w:t xml:space="preserve">、《自然资源部办公厅关于土地估价机构备案工作的通知》（自然资办发〔2022〕42号，2022年9月27日）； </w:t>
      </w:r>
    </w:p>
    <w:p w14:paraId="0CBDE8B8">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lang w:val="en-US" w:eastAsia="zh-CN"/>
        </w:rPr>
      </w:pPr>
      <w:r>
        <w:rPr>
          <w:rFonts w:hint="eastAsia" w:ascii="仿宋_GB2312" w:hAnsi="仿宋_GB2312" w:eastAsia="仿宋_GB2312" w:cs="仿宋_GB2312"/>
          <w:color w:val="000000"/>
          <w:sz w:val="28"/>
          <w:szCs w:val="28"/>
          <w:highlight w:val="none"/>
          <w:lang w:val="en-US" w:eastAsia="zh-CN"/>
        </w:rPr>
        <w:t>30、《自然资源部办公厅关于做好2024年住宅用地供应有关工作的通知》（自然资办函〔2024〕918号，2024年4月29日）；</w:t>
      </w:r>
    </w:p>
    <w:p w14:paraId="70C459C2">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31</w:t>
      </w:r>
      <w:r>
        <w:rPr>
          <w:rFonts w:hint="eastAsia" w:ascii="仿宋_GB2312" w:hAnsi="仿宋_GB2312" w:eastAsia="仿宋_GB2312" w:cs="仿宋_GB2312"/>
          <w:bCs/>
          <w:iCs/>
          <w:sz w:val="28"/>
          <w:szCs w:val="28"/>
          <w:highlight w:val="none"/>
        </w:rPr>
        <w:t>、《关于全面推开营业税改征增值税试点的通知》（财税〔2016〕36号，2016年3月23日）；</w:t>
      </w:r>
    </w:p>
    <w:p w14:paraId="1F948838">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32</w:t>
      </w:r>
      <w:r>
        <w:rPr>
          <w:rFonts w:hint="eastAsia" w:ascii="仿宋_GB2312" w:hAnsi="仿宋_GB2312" w:eastAsia="仿宋_GB2312" w:cs="仿宋_GB2312"/>
          <w:bCs/>
          <w:iCs/>
          <w:sz w:val="28"/>
          <w:szCs w:val="28"/>
          <w:highlight w:val="none"/>
        </w:rPr>
        <w:t>、《关于全面推开营业税改征增值税试点有关税收征收管理事项的公告》（国家税务总局公告2016年第23号，2016年4月19日）；</w:t>
      </w:r>
    </w:p>
    <w:p w14:paraId="346B206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33</w:t>
      </w:r>
      <w:r>
        <w:rPr>
          <w:rFonts w:hint="eastAsia" w:ascii="仿宋_GB2312" w:hAnsi="仿宋_GB2312" w:eastAsia="仿宋_GB2312" w:cs="仿宋_GB2312"/>
          <w:bCs/>
          <w:iCs/>
          <w:sz w:val="28"/>
          <w:szCs w:val="28"/>
          <w:highlight w:val="none"/>
        </w:rPr>
        <w:t>、《关于营改增后契税、房产税、土地增值税、个人所得税计税依据问题的通知》（财税[2016]43号，2016年4月25日）；</w:t>
      </w:r>
    </w:p>
    <w:p w14:paraId="72EB6B53">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34</w:t>
      </w:r>
      <w:r>
        <w:rPr>
          <w:rFonts w:hint="eastAsia" w:ascii="仿宋_GB2312" w:hAnsi="仿宋_GB2312" w:eastAsia="仿宋_GB2312" w:cs="仿宋_GB2312"/>
          <w:bCs/>
          <w:iCs/>
          <w:sz w:val="28"/>
          <w:szCs w:val="28"/>
          <w:highlight w:val="none"/>
        </w:rPr>
        <w:t>、《财政部税务总局关于调整增值税税率的通知》[财税（2018）32号，2018年5月1日]；</w:t>
      </w:r>
    </w:p>
    <w:p w14:paraId="2DA375F0">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35</w:t>
      </w:r>
      <w:r>
        <w:rPr>
          <w:rFonts w:hint="eastAsia" w:ascii="仿宋_GB2312" w:hAnsi="仿宋_GB2312" w:eastAsia="仿宋_GB2312" w:cs="仿宋_GB2312"/>
          <w:bCs/>
          <w:iCs/>
          <w:sz w:val="28"/>
          <w:szCs w:val="28"/>
          <w:highlight w:val="none"/>
        </w:rPr>
        <w:t>、《财政部税务总局 海关总署关于深化增值税改革有关政策的公告》（财政部 税务总局 海关总署公告2019年第39号，2019年3月20日）</w:t>
      </w:r>
      <w:r>
        <w:rPr>
          <w:rFonts w:hint="eastAsia" w:ascii="仿宋_GB2312" w:hAnsi="仿宋_GB2312" w:eastAsia="仿宋_GB2312" w:cs="仿宋_GB2312"/>
          <w:bCs/>
          <w:iCs/>
          <w:sz w:val="28"/>
          <w:szCs w:val="28"/>
          <w:highlight w:val="none"/>
          <w:lang w:eastAsia="zh-CN"/>
        </w:rPr>
        <w:t>。</w:t>
      </w:r>
    </w:p>
    <w:p w14:paraId="377B4B76">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36、</w:t>
      </w:r>
      <w:r>
        <w:rPr>
          <w:rFonts w:hint="eastAsia" w:ascii="仿宋_GB2312" w:hAnsi="仿宋_GB2312" w:eastAsia="仿宋_GB2312" w:cs="仿宋_GB2312"/>
          <w:bCs/>
          <w:iCs/>
          <w:sz w:val="28"/>
          <w:szCs w:val="28"/>
          <w:highlight w:val="none"/>
          <w:lang w:eastAsia="zh-CN"/>
        </w:rPr>
        <w:t>《</w:t>
      </w:r>
      <w:r>
        <w:rPr>
          <w:rFonts w:hint="eastAsia" w:ascii="仿宋_GB2312" w:hAnsi="仿宋_GB2312" w:eastAsia="仿宋_GB2312" w:cs="仿宋_GB2312"/>
          <w:bCs/>
          <w:iCs/>
          <w:sz w:val="28"/>
          <w:szCs w:val="28"/>
          <w:highlight w:val="none"/>
        </w:rPr>
        <w:t>财政部税务总局关于进一步支持小微企业和个体工商户发展有关税费政策的公告</w:t>
      </w:r>
      <w:r>
        <w:rPr>
          <w:rFonts w:hint="eastAsia" w:ascii="仿宋_GB2312" w:hAnsi="仿宋_GB2312" w:eastAsia="仿宋_GB2312" w:cs="仿宋_GB2312"/>
          <w:bCs/>
          <w:iCs/>
          <w:sz w:val="28"/>
          <w:szCs w:val="28"/>
          <w:highlight w:val="none"/>
          <w:lang w:eastAsia="zh-CN"/>
        </w:rPr>
        <w:t>》（财政部 税务总局公告2023年第12号，</w:t>
      </w:r>
      <w:r>
        <w:rPr>
          <w:rFonts w:hint="eastAsia" w:ascii="仿宋_GB2312" w:hAnsi="仿宋_GB2312" w:eastAsia="仿宋_GB2312" w:cs="仿宋_GB2312"/>
          <w:bCs/>
          <w:iCs/>
          <w:sz w:val="28"/>
          <w:szCs w:val="28"/>
          <w:highlight w:val="none"/>
          <w:lang w:val="en-US" w:eastAsia="zh-CN"/>
        </w:rPr>
        <w:t>2023年8月2日</w:t>
      </w:r>
      <w:r>
        <w:rPr>
          <w:rFonts w:hint="eastAsia" w:ascii="仿宋_GB2312" w:hAnsi="仿宋_GB2312" w:eastAsia="仿宋_GB2312" w:cs="仿宋_GB2312"/>
          <w:bCs/>
          <w:iCs/>
          <w:sz w:val="28"/>
          <w:szCs w:val="28"/>
          <w:highlight w:val="none"/>
          <w:lang w:eastAsia="zh-CN"/>
        </w:rPr>
        <w:t>）；</w:t>
      </w:r>
    </w:p>
    <w:p w14:paraId="557F1DF8">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37、</w:t>
      </w:r>
      <w:r>
        <w:rPr>
          <w:rFonts w:hint="eastAsia" w:ascii="仿宋_GB2312" w:hAnsi="仿宋_GB2312" w:eastAsia="仿宋_GB2312" w:cs="仿宋_GB2312"/>
          <w:bCs/>
          <w:iCs/>
          <w:sz w:val="28"/>
          <w:szCs w:val="28"/>
          <w:highlight w:val="none"/>
          <w:lang w:eastAsia="zh-CN"/>
        </w:rPr>
        <w:t>《中华人民共和国增值税法》（2024年12月25日第十四届全国人民代表大会常务委员会第十三次会议通过，</w:t>
      </w:r>
      <w:r>
        <w:rPr>
          <w:rFonts w:hint="eastAsia" w:ascii="仿宋_GB2312" w:hAnsi="仿宋_GB2312" w:eastAsia="仿宋_GB2312" w:cs="仿宋_GB2312"/>
          <w:bCs/>
          <w:iCs/>
          <w:sz w:val="28"/>
          <w:szCs w:val="28"/>
          <w:highlight w:val="none"/>
        </w:rPr>
        <w:t>2024年12月25日</w:t>
      </w:r>
      <w:r>
        <w:rPr>
          <w:rFonts w:hint="eastAsia" w:ascii="仿宋_GB2312" w:hAnsi="仿宋_GB2312" w:eastAsia="仿宋_GB2312" w:cs="仿宋_GB2312"/>
          <w:bCs/>
          <w:iCs/>
          <w:sz w:val="28"/>
          <w:szCs w:val="28"/>
          <w:highlight w:val="none"/>
          <w:lang w:eastAsia="zh-CN"/>
        </w:rPr>
        <w:t>）；</w:t>
      </w:r>
    </w:p>
    <w:p w14:paraId="50C0A45E">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38、</w:t>
      </w:r>
      <w:r>
        <w:rPr>
          <w:rFonts w:hint="eastAsia" w:ascii="仿宋_GB2312" w:hAnsi="仿宋_GB2312" w:eastAsia="仿宋_GB2312" w:cs="仿宋_GB2312"/>
          <w:bCs/>
          <w:iCs/>
          <w:sz w:val="28"/>
          <w:szCs w:val="28"/>
          <w:highlight w:val="none"/>
          <w:lang w:eastAsia="zh-CN"/>
        </w:rPr>
        <w:t>《财政部税务总局关于增值税法施行后增值税优惠政策衔接事项的公告》（财政部 税务总局公告2026年第10号，</w:t>
      </w:r>
      <w:r>
        <w:rPr>
          <w:rFonts w:hint="eastAsia" w:ascii="仿宋_GB2312" w:hAnsi="仿宋_GB2312" w:eastAsia="仿宋_GB2312" w:cs="仿宋_GB2312"/>
          <w:bCs/>
          <w:iCs/>
          <w:sz w:val="28"/>
          <w:szCs w:val="28"/>
          <w:highlight w:val="none"/>
          <w:lang w:val="en-US" w:eastAsia="zh-CN"/>
        </w:rPr>
        <w:t>2026年1月30日</w:t>
      </w:r>
      <w:r>
        <w:rPr>
          <w:rFonts w:hint="eastAsia" w:ascii="仿宋_GB2312" w:hAnsi="仿宋_GB2312" w:eastAsia="仿宋_GB2312" w:cs="仿宋_GB2312"/>
          <w:bCs/>
          <w:iCs/>
          <w:sz w:val="28"/>
          <w:szCs w:val="28"/>
          <w:highlight w:val="none"/>
          <w:lang w:eastAsia="zh-CN"/>
        </w:rPr>
        <w:t>）；</w:t>
      </w:r>
    </w:p>
    <w:p w14:paraId="2AFD0ABA">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（二）地方有关部门颁布的法规及相关文件</w:t>
      </w:r>
    </w:p>
    <w:p w14:paraId="3EB3B4C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1、《湖南省实施&lt;中华人民共和国土地管理法&gt;办法》（2022年1月19日湖南省第十三届人民代表大会第五次会议通过）；</w:t>
      </w:r>
    </w:p>
    <w:p w14:paraId="4F3D2344">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2、《湖南省实施&lt;中华人民共和国城乡规划法&gt;办法》（2015年12月4日湖南省第十二届人民代表大会常务委员会第十九次会议通过，自2016年5月1日起施行）；</w:t>
      </w:r>
    </w:p>
    <w:p w14:paraId="584AD63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3、《湖南省城镇划拨土地使用权管理条例》（1997年1月24日湖南省第八届人民代表大会常务委员会第二十六次会议通过  根据2002年6月3日湖南省第九届人民代表大会常务委员会第二十九次会议《关于修改&lt;湖南省城镇划拨土地使用权管理条例&gt;的决定》第一次修正  根据2020年7月30日湖南省第十三届人民代表大会常务委员会第十九次会议《关于修改&lt;湖南省燃气管理条例&gt;等十件地方性法规的决定》第二次修正）；</w:t>
      </w:r>
    </w:p>
    <w:p w14:paraId="1E65B224">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lang w:val="en-US" w:eastAsia="zh-CN"/>
        </w:rPr>
        <w:t>4</w:t>
      </w:r>
      <w:r>
        <w:rPr>
          <w:rFonts w:hint="eastAsia" w:ascii="仿宋_GB2312" w:hAnsi="仿宋_GB2312" w:eastAsia="仿宋_GB2312" w:cs="仿宋_GB2312"/>
          <w:sz w:val="28"/>
          <w:highlight w:val="none"/>
        </w:rPr>
        <w:t xml:space="preserve">、《湖南省人民代表大会常务委员会关于契税具体适用税率等事项的决定》（2021年5月27日湖南省第十三届人民代表大会常务委员会第二十四次会议通过）； </w:t>
      </w:r>
    </w:p>
    <w:p w14:paraId="13AF3221">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5</w:t>
      </w:r>
      <w:r>
        <w:rPr>
          <w:rFonts w:hint="eastAsia" w:ascii="仿宋_GB2312" w:hAnsi="仿宋_GB2312" w:eastAsia="仿宋_GB2312" w:cs="仿宋_GB2312"/>
          <w:sz w:val="28"/>
          <w:szCs w:val="24"/>
          <w:highlight w:val="none"/>
        </w:rPr>
        <w:t>、《湖南省城镇国有土地使用权出让和转让实施办法》（1994年11月19日湖南省人民政府发布；根据1997年12月30日《湖南省人民政府关于修改〈湖南省城镇国有土地使用权出让和转让实施办法〉的决定》修正；根据2002年3月7日《湖南省人民政府关于修改2001年底以前发布的部分规章的决定》第二次修正）；</w:t>
      </w:r>
    </w:p>
    <w:p w14:paraId="20F49A9A">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6</w:t>
      </w:r>
      <w:r>
        <w:rPr>
          <w:rFonts w:hint="eastAsia" w:ascii="仿宋_GB2312" w:hAnsi="仿宋_GB2312" w:eastAsia="仿宋_GB2312" w:cs="仿宋_GB2312"/>
          <w:sz w:val="28"/>
          <w:szCs w:val="24"/>
          <w:highlight w:val="none"/>
        </w:rPr>
        <w:t>、《湖南省土地市场管理办法》（2004年12月31日湖南省人民政府第48次常务会议审议通过，2005年1月20日湖南省人民政府令第195号公布，自2005年3月1日起施行；根据2011年1月30日《湖南省人民政府关于废止和修改部分省政府规章的决定》修正）；</w:t>
      </w:r>
    </w:p>
    <w:p w14:paraId="3059DCA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7</w:t>
      </w:r>
      <w:r>
        <w:rPr>
          <w:rFonts w:hint="eastAsia" w:ascii="仿宋_GB2312" w:hAnsi="仿宋_GB2312" w:eastAsia="仿宋_GB2312" w:cs="仿宋_GB2312"/>
          <w:sz w:val="28"/>
          <w:szCs w:val="24"/>
          <w:highlight w:val="none"/>
        </w:rPr>
        <w:t>、《湖南省人民政府关于深化改革严格土地管理的意见》（湘政发[2005]4号，2005年2月19日）；</w:t>
      </w:r>
    </w:p>
    <w:p w14:paraId="0EDC118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8</w:t>
      </w:r>
      <w:r>
        <w:rPr>
          <w:rFonts w:hint="eastAsia" w:ascii="仿宋_GB2312" w:hAnsi="仿宋_GB2312" w:eastAsia="仿宋_GB2312" w:cs="仿宋_GB2312"/>
          <w:sz w:val="28"/>
          <w:szCs w:val="24"/>
          <w:highlight w:val="none"/>
        </w:rPr>
        <w:t>、《湖南省教育费附加和地方教育附加征收管理办法》（湖南省人民政府令第218号，2007年12月31日）；</w:t>
      </w:r>
    </w:p>
    <w:p w14:paraId="3F200602">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9</w:t>
      </w:r>
      <w:r>
        <w:rPr>
          <w:rFonts w:hint="eastAsia" w:ascii="仿宋_GB2312" w:hAnsi="仿宋_GB2312" w:eastAsia="仿宋_GB2312" w:cs="仿宋_GB2312"/>
          <w:sz w:val="28"/>
          <w:szCs w:val="28"/>
          <w:highlight w:val="none"/>
        </w:rPr>
        <w:t>、《湖南省人民政府办公厅关于印发&lt;湖南省国有土地使用权出让收支管理办法&gt;的通知》（湘政办发[2015]1号，2015年3月12日）；</w:t>
      </w:r>
    </w:p>
    <w:p w14:paraId="5427F746">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 xml:space="preserve">、《关于转发&lt;国土资源部 国家发展和改革委员会 财政部 住房和城乡建设部 农业部 中国人民银行 国家林业局 中国银行业监督管理委员会关于扩大国有土地有偿使用范围的意见&gt;的通知》（湘国土资发[2018]2号，2018年1月15日）； </w:t>
      </w:r>
    </w:p>
    <w:p w14:paraId="31140CA2">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lang w:val="en-US" w:eastAsia="zh-CN"/>
        </w:rPr>
        <w:t>11</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szCs w:val="28"/>
          <w:highlight w:val="none"/>
        </w:rPr>
        <w:t>《湖南省财政厅 国家税务总局湖南省税务局关于明确地方教育附加征收标准的通知》（湘财综〔2018〕35号，2018年11月5日）</w:t>
      </w:r>
      <w:r>
        <w:rPr>
          <w:rFonts w:hint="eastAsia" w:ascii="仿宋_GB2312" w:hAnsi="仿宋_GB2312" w:eastAsia="仿宋_GB2312" w:cs="仿宋_GB2312"/>
          <w:sz w:val="28"/>
          <w:highlight w:val="none"/>
        </w:rPr>
        <w:t>；</w:t>
      </w:r>
    </w:p>
    <w:p w14:paraId="184C373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12</w:t>
      </w:r>
      <w:r>
        <w:rPr>
          <w:rFonts w:hint="eastAsia" w:ascii="仿宋_GB2312" w:hAnsi="仿宋_GB2312" w:eastAsia="仿宋_GB2312" w:cs="仿宋_GB2312"/>
          <w:sz w:val="28"/>
          <w:szCs w:val="28"/>
          <w:highlight w:val="none"/>
        </w:rPr>
        <w:t xml:space="preserve">、《湖南省自然资源厅关于进一步规范土地出让管理工作的通知》（湘自然资发〔2019〕33号，2019年11月28日）； </w:t>
      </w:r>
    </w:p>
    <w:p w14:paraId="5DF52773">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13</w:t>
      </w:r>
      <w:r>
        <w:rPr>
          <w:rFonts w:hint="eastAsia" w:ascii="仿宋_GB2312" w:hAnsi="仿宋_GB2312" w:eastAsia="仿宋_GB2312" w:cs="仿宋_GB2312"/>
          <w:sz w:val="28"/>
          <w:szCs w:val="28"/>
          <w:highlight w:val="none"/>
        </w:rPr>
        <w:t>、《湖南省自然资源厅办公室关于转发&lt;自然资源部办公厅关于做好2022年度自然资源评价评估有工作的通知&gt;的通知》（湘自资办发[2022]40号，2022年5月15日）；</w:t>
      </w:r>
    </w:p>
    <w:p w14:paraId="68B574D1">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val="en-US" w:eastAsia="zh-CN"/>
        </w:rPr>
        <w:t>14</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sz w:val="28"/>
          <w:szCs w:val="28"/>
          <w:highlight w:val="none"/>
          <w:lang w:eastAsia="zh-CN"/>
        </w:rPr>
        <w:t>《湖南省发展和改革委员会关于我省公共资源交易服务收费的通知》（湘发改价费规〔2024〕292号，</w:t>
      </w:r>
      <w:r>
        <w:rPr>
          <w:rFonts w:hint="eastAsia" w:ascii="仿宋_GB2312" w:hAnsi="仿宋_GB2312" w:eastAsia="仿宋_GB2312" w:cs="仿宋_GB2312"/>
          <w:sz w:val="28"/>
          <w:szCs w:val="28"/>
          <w:highlight w:val="none"/>
          <w:lang w:val="en-US" w:eastAsia="zh-CN"/>
        </w:rPr>
        <w:t>2024年5月11日</w:t>
      </w:r>
      <w:r>
        <w:rPr>
          <w:rFonts w:hint="eastAsia" w:ascii="仿宋_GB2312" w:hAnsi="仿宋_GB2312" w:eastAsia="仿宋_GB2312" w:cs="仿宋_GB2312"/>
          <w:sz w:val="28"/>
          <w:szCs w:val="28"/>
          <w:highlight w:val="none"/>
          <w:lang w:eastAsia="zh-CN"/>
        </w:rPr>
        <w:t>）；</w:t>
      </w:r>
    </w:p>
    <w:p w14:paraId="28DBBCE2">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color w:val="000000"/>
          <w:sz w:val="28"/>
          <w:szCs w:val="28"/>
          <w:highlight w:val="none"/>
        </w:rPr>
      </w:pPr>
      <w:r>
        <w:rPr>
          <w:rFonts w:hint="eastAsia" w:ascii="仿宋_GB2312" w:hAnsi="仿宋_GB2312" w:eastAsia="仿宋_GB2312" w:cs="仿宋_GB2312"/>
          <w:sz w:val="28"/>
          <w:szCs w:val="28"/>
          <w:highlight w:val="none"/>
          <w:lang w:val="en-US" w:eastAsia="zh-CN"/>
        </w:rPr>
        <w:t>15</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bCs/>
          <w:color w:val="auto"/>
          <w:kern w:val="2"/>
          <w:sz w:val="28"/>
          <w:szCs w:val="28"/>
          <w:highlight w:val="none"/>
          <w:lang w:val="en-GB" w:eastAsia="zh-CN" w:bidi="ar-SA"/>
        </w:rPr>
        <w:t>《通道侗族自治县人民政府关于更新城镇基准地价标准和等级的通知》（通政发〔202</w:t>
      </w:r>
      <w:r>
        <w:rPr>
          <w:rFonts w:hint="eastAsia" w:ascii="仿宋_GB2312" w:hAnsi="仿宋_GB2312" w:eastAsia="仿宋_GB2312" w:cs="仿宋_GB2312"/>
          <w:bCs/>
          <w:color w:val="auto"/>
          <w:kern w:val="2"/>
          <w:sz w:val="28"/>
          <w:szCs w:val="28"/>
          <w:highlight w:val="none"/>
          <w:lang w:val="en-US" w:eastAsia="zh-CN" w:bidi="ar-SA"/>
        </w:rPr>
        <w:t>6</w:t>
      </w:r>
      <w:r>
        <w:rPr>
          <w:rFonts w:hint="eastAsia" w:ascii="仿宋_GB2312" w:hAnsi="仿宋_GB2312" w:eastAsia="仿宋_GB2312" w:cs="仿宋_GB2312"/>
          <w:bCs/>
          <w:color w:val="auto"/>
          <w:kern w:val="2"/>
          <w:sz w:val="28"/>
          <w:szCs w:val="28"/>
          <w:highlight w:val="none"/>
          <w:lang w:val="en-GB" w:eastAsia="zh-CN" w:bidi="ar-SA"/>
        </w:rPr>
        <w:t>〕1号，20</w:t>
      </w:r>
      <w:r>
        <w:rPr>
          <w:rFonts w:hint="eastAsia" w:ascii="仿宋_GB2312" w:hAnsi="仿宋_GB2312" w:eastAsia="仿宋_GB2312" w:cs="仿宋_GB2312"/>
          <w:bCs/>
          <w:color w:val="auto"/>
          <w:kern w:val="2"/>
          <w:sz w:val="28"/>
          <w:szCs w:val="28"/>
          <w:highlight w:val="none"/>
          <w:lang w:val="en-US" w:eastAsia="zh-CN" w:bidi="ar-SA"/>
        </w:rPr>
        <w:t>26</w:t>
      </w:r>
      <w:r>
        <w:rPr>
          <w:rFonts w:hint="eastAsia" w:ascii="仿宋_GB2312" w:hAnsi="仿宋_GB2312" w:eastAsia="仿宋_GB2312" w:cs="仿宋_GB2312"/>
          <w:bCs/>
          <w:color w:val="auto"/>
          <w:kern w:val="2"/>
          <w:sz w:val="28"/>
          <w:szCs w:val="28"/>
          <w:highlight w:val="none"/>
          <w:lang w:val="en-GB" w:eastAsia="zh-CN" w:bidi="ar-SA"/>
        </w:rPr>
        <w:t>年</w:t>
      </w:r>
      <w:r>
        <w:rPr>
          <w:rFonts w:hint="eastAsia" w:ascii="仿宋_GB2312" w:hAnsi="仿宋_GB2312" w:eastAsia="仿宋_GB2312" w:cs="仿宋_GB2312"/>
          <w:bCs/>
          <w:color w:val="auto"/>
          <w:kern w:val="2"/>
          <w:sz w:val="28"/>
          <w:szCs w:val="28"/>
          <w:highlight w:val="none"/>
          <w:lang w:val="en-US" w:eastAsia="zh-CN" w:bidi="ar-SA"/>
        </w:rPr>
        <w:t>1</w:t>
      </w:r>
      <w:r>
        <w:rPr>
          <w:rFonts w:hint="eastAsia" w:ascii="仿宋_GB2312" w:hAnsi="仿宋_GB2312" w:eastAsia="仿宋_GB2312" w:cs="仿宋_GB2312"/>
          <w:bCs/>
          <w:color w:val="auto"/>
          <w:kern w:val="2"/>
          <w:sz w:val="28"/>
          <w:szCs w:val="28"/>
          <w:highlight w:val="none"/>
          <w:lang w:val="en-GB" w:eastAsia="zh-CN" w:bidi="ar-SA"/>
        </w:rPr>
        <w:t>月</w:t>
      </w:r>
      <w:r>
        <w:rPr>
          <w:rFonts w:hint="eastAsia" w:ascii="仿宋_GB2312" w:hAnsi="仿宋_GB2312" w:eastAsia="仿宋_GB2312" w:cs="仿宋_GB2312"/>
          <w:bCs/>
          <w:color w:val="auto"/>
          <w:kern w:val="2"/>
          <w:sz w:val="28"/>
          <w:szCs w:val="28"/>
          <w:highlight w:val="none"/>
          <w:lang w:val="en-US" w:eastAsia="zh-CN" w:bidi="ar-SA"/>
        </w:rPr>
        <w:t>6</w:t>
      </w:r>
      <w:r>
        <w:rPr>
          <w:rFonts w:hint="eastAsia" w:ascii="仿宋_GB2312" w:hAnsi="仿宋_GB2312" w:eastAsia="仿宋_GB2312" w:cs="仿宋_GB2312"/>
          <w:bCs/>
          <w:color w:val="auto"/>
          <w:kern w:val="2"/>
          <w:sz w:val="28"/>
          <w:szCs w:val="28"/>
          <w:highlight w:val="none"/>
          <w:lang w:val="en-GB" w:eastAsia="zh-CN" w:bidi="ar-SA"/>
        </w:rPr>
        <w:t>日）</w:t>
      </w:r>
      <w:r>
        <w:rPr>
          <w:rFonts w:hint="eastAsia" w:ascii="仿宋_GB2312" w:hAnsi="仿宋_GB2312" w:eastAsia="仿宋_GB2312" w:cs="仿宋_GB2312"/>
          <w:bCs/>
          <w:color w:val="000000"/>
          <w:sz w:val="28"/>
          <w:szCs w:val="28"/>
          <w:highlight w:val="none"/>
        </w:rPr>
        <w:t>。</w:t>
      </w:r>
    </w:p>
    <w:p w14:paraId="0DA857E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（三）有关技术标准</w:t>
      </w:r>
    </w:p>
    <w:p w14:paraId="1863CF9F">
      <w:pPr>
        <w:keepNext w:val="0"/>
        <w:keepLines w:val="0"/>
        <w:pageBreakBefore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1、中华人民共和国国家标准《城镇土地估价规程》（GB/T 18508-2014，2014年7月24日）</w:t>
      </w:r>
      <w:r>
        <w:rPr>
          <w:rFonts w:hint="eastAsia" w:ascii="仿宋_GB2312" w:hAnsi="仿宋_GB2312" w:eastAsia="仿宋_GB2312" w:cs="仿宋_GB2312"/>
          <w:bCs/>
          <w:iCs/>
          <w:sz w:val="28"/>
          <w:szCs w:val="28"/>
          <w:highlight w:val="none"/>
          <w:lang w:eastAsia="zh-CN"/>
        </w:rPr>
        <w:t>；</w:t>
      </w:r>
    </w:p>
    <w:p w14:paraId="2D68E664">
      <w:pPr>
        <w:keepNext w:val="0"/>
        <w:keepLines w:val="0"/>
        <w:pageBreakBefore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2、中华人民共和国国家标准《城镇土地分等定级规程》（GB/T 18507-2014，2014年7月24日）</w:t>
      </w:r>
      <w:r>
        <w:rPr>
          <w:rFonts w:hint="eastAsia" w:ascii="仿宋_GB2312" w:hAnsi="仿宋_GB2312" w:eastAsia="仿宋_GB2312" w:cs="仿宋_GB2312"/>
          <w:bCs/>
          <w:iCs/>
          <w:sz w:val="28"/>
          <w:szCs w:val="28"/>
          <w:highlight w:val="none"/>
          <w:lang w:eastAsia="zh-CN"/>
        </w:rPr>
        <w:t>；</w:t>
      </w:r>
    </w:p>
    <w:p w14:paraId="4127C54D">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3、中华人民共和国国家标准《土地利用现状分类》（GB/T 21010-2017，2017年11月1日）；</w:t>
      </w:r>
    </w:p>
    <w:p w14:paraId="19620393">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4、中华人民共和国国家标准《城市用地分类与规划建设用地标准》（GB50137-2011，2011年1月1日）；</w:t>
      </w:r>
    </w:p>
    <w:p w14:paraId="1FACA78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5、《自然资源部关于印发&lt;国土空间调查、规划、用途管制用地用海分类指南&gt;的通知》（自然资发〔2023〕234号）；</w:t>
      </w:r>
    </w:p>
    <w:p w14:paraId="3978D986">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6、《自然资源分等定级通则》（TD/T1060-2021）；</w:t>
      </w:r>
    </w:p>
    <w:p w14:paraId="4A4F31A7">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7、《自然资源价格评估通则》（TD/T1061-2021）</w:t>
      </w:r>
      <w:r>
        <w:rPr>
          <w:rFonts w:hint="eastAsia" w:ascii="仿宋_GB2312" w:hAnsi="仿宋_GB2312" w:eastAsia="仿宋_GB2312" w:cs="仿宋_GB2312"/>
          <w:bCs/>
          <w:iCs/>
          <w:sz w:val="28"/>
          <w:szCs w:val="28"/>
          <w:highlight w:val="none"/>
          <w:lang w:eastAsia="zh-CN"/>
        </w:rPr>
        <w:t>；</w:t>
      </w:r>
    </w:p>
    <w:p w14:paraId="5E0525AA">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8、《土地估价参数调查测算指引》（T/CREVA 1101-2023）；</w:t>
      </w:r>
    </w:p>
    <w:p w14:paraId="5C172AD7">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9</w:t>
      </w:r>
      <w:r>
        <w:rPr>
          <w:rFonts w:hint="eastAsia" w:ascii="仿宋_GB2312" w:hAnsi="仿宋_GB2312" w:eastAsia="仿宋_GB2312" w:cs="仿宋_GB2312"/>
          <w:bCs/>
          <w:iCs/>
          <w:sz w:val="28"/>
          <w:szCs w:val="28"/>
          <w:highlight w:val="none"/>
        </w:rPr>
        <w:t>、《土地估价报告审查技术规范》（DB43T 1693-2019）</w:t>
      </w:r>
      <w:r>
        <w:rPr>
          <w:rFonts w:hint="eastAsia" w:ascii="仿宋_GB2312" w:hAnsi="仿宋_GB2312" w:eastAsia="仿宋_GB2312" w:cs="仿宋_GB2312"/>
          <w:bCs/>
          <w:iCs/>
          <w:sz w:val="28"/>
          <w:szCs w:val="28"/>
          <w:highlight w:val="none"/>
          <w:lang w:eastAsia="zh-CN"/>
        </w:rPr>
        <w:t>；</w:t>
      </w:r>
    </w:p>
    <w:p w14:paraId="3F900DE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bCs/>
          <w:color w:val="000000"/>
          <w:sz w:val="28"/>
          <w:szCs w:val="28"/>
          <w:highlight w:val="none"/>
        </w:rPr>
        <w:t>《</w:t>
      </w:r>
      <w:r>
        <w:rPr>
          <w:rFonts w:hint="eastAsia" w:ascii="仿宋_GB2312" w:hAnsi="仿宋_GB2312" w:eastAsia="仿宋_GB2312" w:cs="仿宋_GB2312"/>
          <w:bCs/>
          <w:color w:val="000000"/>
          <w:sz w:val="28"/>
          <w:szCs w:val="28"/>
          <w:highlight w:val="none"/>
          <w:lang w:val="en-US" w:eastAsia="zh-CN"/>
        </w:rPr>
        <w:t>通道侗族自治县城镇基准地价</w:t>
      </w:r>
      <w:r>
        <w:rPr>
          <w:rFonts w:hint="eastAsia" w:ascii="仿宋_GB2312" w:hAnsi="仿宋_GB2312" w:eastAsia="仿宋_GB2312" w:cs="仿宋_GB2312"/>
          <w:bCs/>
          <w:color w:val="000000"/>
          <w:sz w:val="28"/>
          <w:szCs w:val="28"/>
          <w:highlight w:val="none"/>
        </w:rPr>
        <w:t>更新技术报告》（</w:t>
      </w:r>
      <w:r>
        <w:rPr>
          <w:rFonts w:hint="eastAsia" w:ascii="仿宋_GB2312" w:hAnsi="仿宋_GB2312" w:eastAsia="仿宋_GB2312" w:cs="仿宋_GB2312"/>
          <w:bCs/>
          <w:color w:val="000000"/>
          <w:sz w:val="28"/>
          <w:szCs w:val="28"/>
          <w:highlight w:val="none"/>
          <w:lang w:val="en-US" w:eastAsia="zh-CN"/>
        </w:rPr>
        <w:t>2025</w:t>
      </w:r>
      <w:r>
        <w:rPr>
          <w:rFonts w:hint="eastAsia" w:ascii="仿宋_GB2312" w:hAnsi="仿宋_GB2312" w:eastAsia="仿宋_GB2312" w:cs="仿宋_GB2312"/>
          <w:bCs/>
          <w:color w:val="000000"/>
          <w:sz w:val="28"/>
          <w:szCs w:val="28"/>
          <w:highlight w:val="none"/>
        </w:rPr>
        <w:t>年</w:t>
      </w:r>
      <w:r>
        <w:rPr>
          <w:rFonts w:hint="eastAsia" w:ascii="仿宋_GB2312" w:hAnsi="仿宋_GB2312" w:eastAsia="仿宋_GB2312" w:cs="仿宋_GB2312"/>
          <w:bCs/>
          <w:color w:val="000000"/>
          <w:sz w:val="28"/>
          <w:szCs w:val="28"/>
          <w:highlight w:val="none"/>
          <w:lang w:val="en-US" w:eastAsia="zh-CN"/>
        </w:rPr>
        <w:t>11</w:t>
      </w:r>
      <w:r>
        <w:rPr>
          <w:rFonts w:hint="eastAsia" w:ascii="仿宋_GB2312" w:hAnsi="仿宋_GB2312" w:eastAsia="仿宋_GB2312" w:cs="仿宋_GB2312"/>
          <w:bCs/>
          <w:color w:val="000000"/>
          <w:sz w:val="28"/>
          <w:szCs w:val="28"/>
          <w:highlight w:val="none"/>
        </w:rPr>
        <w:t>月）。</w:t>
      </w:r>
    </w:p>
    <w:p w14:paraId="66DAA980">
      <w:pPr>
        <w:keepNext w:val="0"/>
        <w:keepLines w:val="0"/>
        <w:pageBreakBefore w:val="0"/>
        <w:widowControl w:val="0"/>
        <w:kinsoku/>
        <w:wordWrap/>
        <w:overflowPunct/>
        <w:topLinePunct w:val="0"/>
        <w:autoSpaceDE/>
        <w:autoSpaceDN/>
        <w:bidi w:val="0"/>
        <w:spacing w:line="480" w:lineRule="exact"/>
        <w:ind w:left="0" w:leftChars="0" w:right="0"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（四）其他资料</w:t>
      </w:r>
    </w:p>
    <w:p w14:paraId="48EA8060">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right="0" w:firstLine="560" w:firstLineChars="200"/>
        <w:textAlignment w:val="bottom"/>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1、委托方提供的有关资料</w:t>
      </w:r>
    </w:p>
    <w:p w14:paraId="1B45B31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（1）估价对象《土地资产评估委托书》；</w:t>
      </w:r>
    </w:p>
    <w:p w14:paraId="06E12397">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（2）估价对象《国有土地使用证》（通国用（2014）第000327号）；</w:t>
      </w:r>
    </w:p>
    <w:p w14:paraId="42428494">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（3）估价对象《房屋所有权证》（通房权证双江字第201517109号）；</w:t>
      </w:r>
    </w:p>
    <w:p w14:paraId="30D10EEB">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（4）《通道侗族自治县自然资源局关于通道县政府大院内各建筑性质的认定》（2026年1月28日）；</w:t>
      </w:r>
    </w:p>
    <w:p w14:paraId="0DE6ACBB">
      <w:pPr>
        <w:pStyle w:val="2"/>
        <w:rPr>
          <w:rFonts w:hint="eastAsia"/>
          <w:highlight w:val="none"/>
          <w:lang w:val="en-US" w:eastAsia="zh-CN"/>
        </w:rPr>
      </w:pPr>
      <w:r>
        <w:rPr>
          <w:rFonts w:hint="eastAsia" w:ascii="仿宋_GB2312" w:hAnsi="仿宋_GB2312" w:cs="仿宋_GB2312"/>
          <w:bCs/>
          <w:iCs/>
          <w:sz w:val="28"/>
          <w:szCs w:val="28"/>
          <w:highlight w:val="none"/>
          <w:lang w:val="en-US" w:eastAsia="zh-CN"/>
        </w:rPr>
        <w:t>（5）《通道县自然资源局行政许可申请受理决定书》（2026年1月22日）；</w:t>
      </w:r>
    </w:p>
    <w:p w14:paraId="7DEE252D">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（6）估价对象《土地分户分摊面积明细表》。</w:t>
      </w:r>
    </w:p>
    <w:p w14:paraId="62A86C8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color w:val="auto"/>
          <w:sz w:val="28"/>
          <w:highlight w:val="none"/>
        </w:rPr>
      </w:pPr>
      <w:r>
        <w:rPr>
          <w:rFonts w:hint="eastAsia" w:ascii="仿宋_GB2312" w:hAnsi="仿宋_GB2312" w:eastAsia="仿宋_GB2312" w:cs="仿宋_GB2312"/>
          <w:bCs/>
          <w:iCs/>
          <w:sz w:val="28"/>
          <w:szCs w:val="28"/>
          <w:highlight w:val="none"/>
          <w:lang w:val="en-US" w:eastAsia="zh-CN"/>
        </w:rPr>
        <w:t>2、估价人员现场勘察、调查、收集的相关资料</w:t>
      </w:r>
      <w:r>
        <w:rPr>
          <w:rFonts w:hint="eastAsia" w:ascii="仿宋_GB2312" w:hAnsi="仿宋_GB2312" w:eastAsia="仿宋_GB2312" w:cs="仿宋_GB2312"/>
          <w:color w:val="auto"/>
          <w:sz w:val="28"/>
          <w:highlight w:val="none"/>
        </w:rPr>
        <w:t>。</w:t>
      </w:r>
    </w:p>
    <w:p w14:paraId="6181BAA5">
      <w:pPr>
        <w:keepNext w:val="0"/>
        <w:keepLines w:val="0"/>
        <w:pageBreakBefore w:val="0"/>
        <w:widowControl w:val="0"/>
        <w:kinsoku/>
        <w:wordWrap/>
        <w:overflowPunct/>
        <w:topLinePunct w:val="0"/>
        <w:bidi w:val="0"/>
        <w:snapToGrid w:val="0"/>
        <w:spacing w:line="480" w:lineRule="exact"/>
        <w:ind w:right="0" w:firstLine="560" w:firstLineChars="200"/>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（1）估价对象位置情况；</w:t>
      </w:r>
    </w:p>
    <w:p w14:paraId="64910512">
      <w:pPr>
        <w:keepNext w:val="0"/>
        <w:keepLines w:val="0"/>
        <w:pageBreakBefore w:val="0"/>
        <w:widowControl w:val="0"/>
        <w:kinsoku/>
        <w:wordWrap/>
        <w:overflowPunct/>
        <w:topLinePunct w:val="0"/>
        <w:bidi w:val="0"/>
        <w:snapToGrid w:val="0"/>
        <w:spacing w:line="480" w:lineRule="exact"/>
        <w:ind w:right="0" w:firstLine="560" w:firstLineChars="200"/>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（2）估价对象现状利用情况；</w:t>
      </w:r>
    </w:p>
    <w:p w14:paraId="3BEE4363">
      <w:pPr>
        <w:keepNext w:val="0"/>
        <w:keepLines w:val="0"/>
        <w:pageBreakBefore w:val="0"/>
        <w:widowControl w:val="0"/>
        <w:kinsoku/>
        <w:wordWrap/>
        <w:overflowPunct/>
        <w:topLinePunct w:val="0"/>
        <w:bidi w:val="0"/>
        <w:snapToGrid w:val="0"/>
        <w:spacing w:line="480" w:lineRule="exact"/>
        <w:ind w:right="0" w:firstLine="560" w:firstLineChars="200"/>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（3）宗地外基础设施调查情况；</w:t>
      </w:r>
    </w:p>
    <w:p w14:paraId="43AB66F3">
      <w:pPr>
        <w:keepNext w:val="0"/>
        <w:keepLines w:val="0"/>
        <w:pageBreakBefore w:val="0"/>
        <w:widowControl w:val="0"/>
        <w:kinsoku/>
        <w:wordWrap/>
        <w:overflowPunct/>
        <w:topLinePunct w:val="0"/>
        <w:bidi w:val="0"/>
        <w:snapToGrid w:val="0"/>
        <w:spacing w:line="480" w:lineRule="exact"/>
        <w:ind w:right="0" w:firstLine="560" w:firstLineChars="200"/>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（4）宗地所在区域情况；</w:t>
      </w:r>
    </w:p>
    <w:p w14:paraId="4CC5694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color w:val="auto"/>
          <w:sz w:val="28"/>
          <w:szCs w:val="28"/>
          <w:highlight w:val="none"/>
        </w:rPr>
        <w:t>（5）估价人员现场调查收集的其它相关资料</w:t>
      </w:r>
      <w:r>
        <w:rPr>
          <w:rFonts w:hint="eastAsia" w:ascii="仿宋_GB2312" w:hAnsi="仿宋_GB2312" w:eastAsia="仿宋_GB2312" w:cs="仿宋_GB2312"/>
          <w:bCs/>
          <w:color w:val="auto"/>
          <w:sz w:val="28"/>
          <w:szCs w:val="28"/>
          <w:highlight w:val="none"/>
          <w:lang w:val="en-GB" w:eastAsia="zh-CN"/>
        </w:rPr>
        <w:t>。</w:t>
      </w:r>
    </w:p>
    <w:p w14:paraId="4432A836">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六、估价期日</w:t>
      </w:r>
    </w:p>
    <w:p w14:paraId="5BC3E13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本次土地估价师现场勘查日期为2026年2月3日，结合本次估价目的</w:t>
      </w:r>
      <w:r>
        <w:rPr>
          <w:rFonts w:hint="eastAsia" w:ascii="仿宋_GB2312" w:hAnsi="仿宋_GB2312" w:eastAsia="仿宋_GB2312" w:cs="仿宋_GB2312"/>
          <w:bCs/>
          <w:color w:val="auto"/>
          <w:sz w:val="28"/>
          <w:szCs w:val="28"/>
          <w:highlight w:val="none"/>
          <w:lang w:val="en-US" w:eastAsia="zh-CN"/>
        </w:rPr>
        <w:t>和</w:t>
      </w:r>
      <w:r>
        <w:rPr>
          <w:rFonts w:hint="eastAsia" w:ascii="仿宋_GB2312" w:hAnsi="仿宋_GB2312" w:eastAsia="仿宋_GB2312" w:cs="仿宋_GB2312"/>
          <w:bCs/>
          <w:color w:val="auto"/>
          <w:sz w:val="28"/>
          <w:szCs w:val="28"/>
          <w:highlight w:val="none"/>
          <w:lang w:val="en-GB" w:eastAsia="zh-CN"/>
        </w:rPr>
        <w:t>委托估价方提供的《</w:t>
      </w:r>
      <w:r>
        <w:rPr>
          <w:rFonts w:hint="eastAsia" w:ascii="仿宋_GB2312" w:hAnsi="仿宋_GB2312" w:eastAsia="仿宋_GB2312" w:cs="仿宋_GB2312"/>
          <w:bCs/>
          <w:color w:val="auto"/>
          <w:sz w:val="28"/>
          <w:szCs w:val="28"/>
          <w:highlight w:val="none"/>
          <w:lang w:val="en-US" w:eastAsia="zh-CN"/>
        </w:rPr>
        <w:t>土地资产</w:t>
      </w:r>
      <w:r>
        <w:rPr>
          <w:rFonts w:hint="eastAsia" w:ascii="仿宋_GB2312" w:hAnsi="仿宋_GB2312" w:eastAsia="仿宋_GB2312" w:cs="仿宋_GB2312"/>
          <w:bCs/>
          <w:color w:val="auto"/>
          <w:sz w:val="28"/>
          <w:szCs w:val="28"/>
          <w:highlight w:val="none"/>
          <w:lang w:val="en-GB" w:eastAsia="zh-CN"/>
        </w:rPr>
        <w:t>评估委托书》，</w:t>
      </w:r>
      <w:r>
        <w:rPr>
          <w:rFonts w:hint="eastAsia" w:ascii="仿宋_GB2312" w:hAnsi="仿宋_GB2312" w:eastAsia="仿宋_GB2312" w:cs="仿宋_GB2312"/>
          <w:bCs/>
          <w:color w:val="auto"/>
          <w:sz w:val="28"/>
          <w:szCs w:val="28"/>
          <w:highlight w:val="none"/>
          <w:lang w:val="en-US" w:eastAsia="zh-CN"/>
        </w:rPr>
        <w:t>本次估价设定</w:t>
      </w:r>
      <w:r>
        <w:rPr>
          <w:rFonts w:hint="eastAsia" w:ascii="仿宋_GB2312" w:hAnsi="仿宋_GB2312" w:eastAsia="仿宋_GB2312" w:cs="仿宋_GB2312"/>
          <w:bCs/>
          <w:color w:val="auto"/>
          <w:sz w:val="28"/>
          <w:szCs w:val="28"/>
          <w:highlight w:val="none"/>
          <w:lang w:val="en-GB" w:eastAsia="zh-CN"/>
        </w:rPr>
        <w:t>估价期日为2026年2月3日。</w:t>
      </w:r>
    </w:p>
    <w:p w14:paraId="5592EB01">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七、估价日期</w:t>
      </w:r>
    </w:p>
    <w:p w14:paraId="5D33EC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2026年2月3日至2026年2月4日。</w:t>
      </w:r>
    </w:p>
    <w:p w14:paraId="0BD2BBE1">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八、地价定义</w:t>
      </w:r>
    </w:p>
    <w:p w14:paraId="7A59E872">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default" w:ascii="仿宋_GB2312" w:hAnsi="仿宋_GB2312" w:eastAsia="仿宋_GB2312" w:cs="仿宋_GB2312"/>
          <w:bCs/>
          <w:color w:val="auto"/>
          <w:kern w:val="2"/>
          <w:sz w:val="28"/>
          <w:szCs w:val="28"/>
          <w:highlight w:val="none"/>
          <w:lang w:val="en-GB" w:eastAsia="zh-CN" w:bidi="ar-SA"/>
        </w:rPr>
        <w:t>根据</w:t>
      </w:r>
      <w:r>
        <w:rPr>
          <w:rFonts w:hint="eastAsia" w:ascii="仿宋_GB2312" w:hAnsi="仿宋_GB2312" w:eastAsia="仿宋_GB2312" w:cs="仿宋_GB2312"/>
          <w:bCs/>
          <w:color w:val="auto"/>
          <w:kern w:val="2"/>
          <w:sz w:val="28"/>
          <w:szCs w:val="28"/>
          <w:highlight w:val="none"/>
          <w:lang w:val="en-GB" w:eastAsia="zh-CN" w:bidi="ar-SA"/>
        </w:rPr>
        <w:t>《国有土地使用证》（通国用（2014）第000327号），</w:t>
      </w:r>
      <w:r>
        <w:rPr>
          <w:rFonts w:hint="eastAsia" w:ascii="仿宋_GB2312" w:hAnsi="仿宋_GB2312" w:eastAsia="仿宋_GB2312" w:cs="仿宋_GB2312"/>
          <w:bCs/>
          <w:color w:val="auto"/>
          <w:kern w:val="2"/>
          <w:sz w:val="28"/>
          <w:szCs w:val="28"/>
          <w:highlight w:val="none"/>
          <w:lang w:val="en-US" w:eastAsia="zh-CN" w:bidi="ar-SA"/>
        </w:rPr>
        <w:t>估价对象土地使用权类型为国有划拨，</w:t>
      </w:r>
      <w:r>
        <w:rPr>
          <w:rFonts w:hint="default" w:ascii="仿宋_GB2312" w:hAnsi="仿宋_GB2312" w:eastAsia="仿宋_GB2312" w:cs="仿宋_GB2312"/>
          <w:bCs/>
          <w:color w:val="auto"/>
          <w:kern w:val="2"/>
          <w:sz w:val="28"/>
          <w:szCs w:val="28"/>
          <w:highlight w:val="none"/>
          <w:lang w:val="en-GB" w:eastAsia="zh-CN" w:bidi="ar-SA"/>
        </w:rPr>
        <w:t>土地使用权</w:t>
      </w:r>
      <w:r>
        <w:rPr>
          <w:rFonts w:hint="eastAsia" w:ascii="仿宋_GB2312" w:hAnsi="仿宋_GB2312" w:eastAsia="仿宋_GB2312" w:cs="仿宋_GB2312"/>
          <w:bCs/>
          <w:color w:val="auto"/>
          <w:kern w:val="2"/>
          <w:sz w:val="28"/>
          <w:szCs w:val="28"/>
          <w:highlight w:val="none"/>
          <w:lang w:val="en-US" w:eastAsia="zh-CN" w:bidi="ar-SA"/>
        </w:rPr>
        <w:t>者为通道侗族自治县国有资产监督管理办公室，使用权面积11030.64平方米。根据</w:t>
      </w:r>
      <w:r>
        <w:rPr>
          <w:rFonts w:hint="eastAsia" w:ascii="仿宋_GB2312" w:hAnsi="仿宋_GB2312" w:eastAsia="仿宋_GB2312" w:cs="仿宋_GB2312"/>
          <w:bCs/>
          <w:color w:val="auto"/>
          <w:kern w:val="2"/>
          <w:sz w:val="28"/>
          <w:szCs w:val="28"/>
          <w:highlight w:val="none"/>
          <w:lang w:val="en-GB" w:eastAsia="zh-CN" w:bidi="ar-SA"/>
        </w:rPr>
        <w:t>《房屋所有权证》（通房权证双江字第201517109号）</w:t>
      </w:r>
      <w:r>
        <w:rPr>
          <w:rFonts w:hint="default" w:ascii="仿宋_GB2312" w:hAnsi="仿宋_GB2312" w:eastAsia="仿宋_GB2312" w:cs="仿宋_GB2312"/>
          <w:bCs/>
          <w:color w:val="auto"/>
          <w:kern w:val="2"/>
          <w:sz w:val="28"/>
          <w:szCs w:val="28"/>
          <w:highlight w:val="none"/>
          <w:lang w:val="en-GB" w:eastAsia="zh-CN" w:bidi="ar-SA"/>
        </w:rPr>
        <w:t>，估价对象位于</w:t>
      </w:r>
      <w:r>
        <w:rPr>
          <w:rFonts w:hint="eastAsia" w:ascii="仿宋_GB2312" w:hAnsi="仿宋_GB2312" w:eastAsia="仿宋_GB2312" w:cs="仿宋_GB2312"/>
          <w:bCs/>
          <w:color w:val="auto"/>
          <w:kern w:val="2"/>
          <w:sz w:val="28"/>
          <w:szCs w:val="28"/>
          <w:highlight w:val="none"/>
          <w:lang w:val="en-US" w:eastAsia="zh-CN" w:bidi="ar-SA"/>
        </w:rPr>
        <w:t>通道县双江镇行政街331/1-2幢整栋</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房屋所有权人为通道侗族自治县国有资产监督管理办公室，总建筑面积745.47平方米</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根据《土地分户分摊面积明细表》，分摊土地使用权总面积183.27平方米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本次评估对象土地面积以《土地资产评估委托书》为标准，</w:t>
      </w:r>
      <w:r>
        <w:rPr>
          <w:rFonts w:hint="default" w:ascii="仿宋_GB2312" w:hAnsi="仿宋_GB2312" w:eastAsia="仿宋_GB2312" w:cs="仿宋_GB2312"/>
          <w:bCs/>
          <w:color w:val="auto"/>
          <w:kern w:val="2"/>
          <w:sz w:val="28"/>
          <w:szCs w:val="28"/>
          <w:highlight w:val="none"/>
          <w:lang w:val="en-GB" w:eastAsia="zh-CN" w:bidi="ar-SA"/>
        </w:rPr>
        <w:t>委托方拟按现状利用条件为其办理土地使用权出让手续</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估价对象土地面积为183.27平方米</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sz w:val="28"/>
          <w:szCs w:val="28"/>
          <w:highlight w:val="none"/>
          <w:lang w:val="en-GB" w:eastAsia="zh-CN"/>
        </w:rPr>
        <w:t>结合委托方提供的资料及估价人员的现场查勘，</w:t>
      </w:r>
      <w:r>
        <w:rPr>
          <w:rFonts w:hint="eastAsia" w:ascii="仿宋_GB2312" w:hAnsi="仿宋_GB2312" w:eastAsia="仿宋_GB2312" w:cs="仿宋_GB2312"/>
          <w:bCs/>
          <w:color w:val="auto"/>
          <w:sz w:val="28"/>
          <w:szCs w:val="28"/>
          <w:highlight w:val="none"/>
          <w:lang w:val="en-US" w:eastAsia="zh-CN"/>
        </w:rPr>
        <w:t>根据现行国家法律法规的规定和估价目的，地价定义如下：</w:t>
      </w:r>
    </w:p>
    <w:p w14:paraId="7415CFB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US" w:eastAsia="zh-CN"/>
        </w:rPr>
        <w:t>1、估价期日的设定：</w:t>
      </w:r>
      <w:r>
        <w:rPr>
          <w:rFonts w:hint="eastAsia" w:ascii="仿宋_GB2312" w:hAnsi="仿宋_GB2312" w:eastAsia="仿宋_GB2312" w:cs="仿宋_GB2312"/>
          <w:bCs/>
          <w:color w:val="auto"/>
          <w:sz w:val="28"/>
          <w:szCs w:val="28"/>
          <w:highlight w:val="none"/>
          <w:lang w:val="en-GB" w:eastAsia="zh-CN"/>
        </w:rPr>
        <w:t>根据《土地</w:t>
      </w:r>
      <w:r>
        <w:rPr>
          <w:rFonts w:hint="eastAsia" w:ascii="仿宋_GB2312" w:hAnsi="仿宋_GB2312" w:eastAsia="仿宋_GB2312" w:cs="仿宋_GB2312"/>
          <w:bCs/>
          <w:color w:val="auto"/>
          <w:sz w:val="28"/>
          <w:szCs w:val="28"/>
          <w:highlight w:val="none"/>
          <w:lang w:val="en-US" w:eastAsia="zh-CN"/>
        </w:rPr>
        <w:t>资产</w:t>
      </w:r>
      <w:r>
        <w:rPr>
          <w:rFonts w:hint="eastAsia" w:ascii="仿宋_GB2312" w:hAnsi="仿宋_GB2312" w:eastAsia="仿宋_GB2312" w:cs="仿宋_GB2312"/>
          <w:bCs/>
          <w:color w:val="auto"/>
          <w:sz w:val="28"/>
          <w:szCs w:val="28"/>
          <w:highlight w:val="none"/>
          <w:lang w:val="en-GB" w:eastAsia="zh-CN"/>
        </w:rPr>
        <w:t>评估委托书》，此次评估设定估价期日为2026年2月3日。</w:t>
      </w:r>
    </w:p>
    <w:p w14:paraId="04990ED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US" w:eastAsia="zh-CN"/>
        </w:rPr>
        <w:t>2、土地用途的设定：</w:t>
      </w:r>
      <w:r>
        <w:rPr>
          <w:rFonts w:hint="default" w:ascii="仿宋_GB2312" w:hAnsi="仿宋_GB2312" w:eastAsia="仿宋_GB2312" w:cs="仿宋_GB2312"/>
          <w:bCs/>
          <w:color w:val="auto"/>
          <w:sz w:val="28"/>
          <w:szCs w:val="28"/>
          <w:highlight w:val="none"/>
          <w:lang w:val="en-GB" w:eastAsia="zh-CN"/>
        </w:rPr>
        <w:t>根据</w:t>
      </w:r>
      <w:r>
        <w:rPr>
          <w:rFonts w:hint="eastAsia" w:ascii="仿宋_GB2312" w:hAnsi="仿宋_GB2312" w:eastAsia="仿宋_GB2312" w:cs="仿宋_GB2312"/>
          <w:bCs/>
          <w:color w:val="auto"/>
          <w:sz w:val="28"/>
          <w:szCs w:val="28"/>
          <w:highlight w:val="none"/>
          <w:lang w:val="en-GB" w:eastAsia="zh-CN"/>
        </w:rPr>
        <w:t>《国有土地使用证》（通国用（2014）第000327号）</w:t>
      </w:r>
      <w:r>
        <w:rPr>
          <w:rFonts w:hint="default" w:ascii="仿宋_GB2312" w:hAnsi="仿宋_GB2312" w:eastAsia="仿宋_GB2312" w:cs="仿宋_GB2312"/>
          <w:bCs/>
          <w:color w:val="auto"/>
          <w:sz w:val="28"/>
          <w:szCs w:val="28"/>
          <w:highlight w:val="none"/>
          <w:lang w:val="en-GB" w:eastAsia="zh-CN"/>
        </w:rPr>
        <w:t>，估价对象</w:t>
      </w:r>
      <w:r>
        <w:rPr>
          <w:rFonts w:hint="eastAsia" w:ascii="仿宋_GB2312" w:hAnsi="仿宋_GB2312" w:eastAsia="仿宋_GB2312" w:cs="仿宋_GB2312"/>
          <w:bCs/>
          <w:color w:val="auto"/>
          <w:sz w:val="28"/>
          <w:szCs w:val="28"/>
          <w:highlight w:val="none"/>
          <w:lang w:val="en-GB" w:eastAsia="zh-CN"/>
        </w:rPr>
        <w:t>登记土地用途为</w:t>
      </w:r>
      <w:r>
        <w:rPr>
          <w:rFonts w:hint="eastAsia" w:ascii="仿宋_GB2312" w:hAnsi="仿宋_GB2312" w:eastAsia="仿宋_GB2312" w:cs="仿宋_GB2312"/>
          <w:bCs/>
          <w:color w:val="auto"/>
          <w:sz w:val="28"/>
          <w:szCs w:val="28"/>
          <w:highlight w:val="none"/>
          <w:lang w:val="en-US" w:eastAsia="zh-CN"/>
        </w:rPr>
        <w:t>机关团体用地</w:t>
      </w:r>
      <w:r>
        <w:rPr>
          <w:rFonts w:hint="default"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根据《通道侗族自治县自然资源局关于通道县政府大院内各建筑性质的认定》（2026年1月28日），估价对象建筑性质为城镇住宅其中商业建筑占比25%</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根据</w:t>
      </w:r>
      <w:r>
        <w:rPr>
          <w:rFonts w:hint="eastAsia" w:ascii="仿宋_GB2312" w:hAnsi="仿宋_GB2312" w:eastAsia="仿宋_GB2312" w:cs="仿宋_GB2312"/>
          <w:bCs/>
          <w:color w:val="auto"/>
          <w:kern w:val="2"/>
          <w:sz w:val="28"/>
          <w:szCs w:val="28"/>
          <w:highlight w:val="none"/>
          <w:lang w:val="en-GB" w:eastAsia="zh-CN" w:bidi="ar-SA"/>
        </w:rPr>
        <w:t>《房屋所有权证》（通房权证双江字第201517109号），</w:t>
      </w:r>
      <w:r>
        <w:rPr>
          <w:rFonts w:hint="eastAsia" w:ascii="仿宋_GB2312" w:hAnsi="仿宋_GB2312" w:eastAsia="仿宋_GB2312" w:cs="仿宋_GB2312"/>
          <w:bCs/>
          <w:color w:val="auto"/>
          <w:kern w:val="2"/>
          <w:sz w:val="28"/>
          <w:szCs w:val="28"/>
          <w:highlight w:val="none"/>
          <w:lang w:val="en-US" w:eastAsia="zh-CN" w:bidi="ar-SA"/>
        </w:rPr>
        <w:t>住宅建筑面积581.31平方米，商业建筑面积164.16平方米，则商住比为22.02%：77.98%，根据</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土地资产评估委托书</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,估价对象土地用途为商业服务业用地、城镇住宅用地，其中商业服务业用地面积40.38平方米，城镇住宅用地面积142.89平方米，则商住比为22.03%：77.97%，此次评估以</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土地资产评估委托书</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为依据，</w:t>
      </w:r>
      <w:r>
        <w:rPr>
          <w:rFonts w:hint="eastAsia" w:ascii="仿宋_GB2312" w:hAnsi="仿宋_GB2312" w:eastAsia="仿宋_GB2312" w:cs="仿宋_GB2312"/>
          <w:bCs/>
          <w:color w:val="auto"/>
          <w:sz w:val="28"/>
          <w:szCs w:val="28"/>
          <w:highlight w:val="none"/>
          <w:lang w:val="en-GB" w:eastAsia="zh-CN"/>
        </w:rPr>
        <w:t>对照《城市用地分类与规划建设用地标准》（GB50137-2011），结合《土地利用现状分类》（GB/T 21010-2017），此次评估设定估价对象土地用途为</w:t>
      </w:r>
      <w:r>
        <w:rPr>
          <w:rFonts w:hint="eastAsia" w:ascii="仿宋_GB2312" w:hAnsi="仿宋_GB2312" w:eastAsia="仿宋_GB2312" w:cs="仿宋_GB2312"/>
          <w:bCs/>
          <w:color w:val="auto"/>
          <w:sz w:val="28"/>
          <w:szCs w:val="28"/>
          <w:highlight w:val="none"/>
          <w:lang w:val="en-US" w:eastAsia="zh-CN"/>
        </w:rPr>
        <w:t>商服用地、</w:t>
      </w:r>
      <w:r>
        <w:rPr>
          <w:rFonts w:hint="eastAsia" w:ascii="仿宋_GB2312" w:hAnsi="仿宋_GB2312" w:eastAsia="仿宋_GB2312" w:cs="仿宋_GB2312"/>
          <w:bCs/>
          <w:color w:val="auto"/>
          <w:sz w:val="28"/>
          <w:szCs w:val="28"/>
          <w:highlight w:val="none"/>
          <w:lang w:val="en-GB" w:eastAsia="zh-CN"/>
        </w:rPr>
        <w:t>住宅用地（</w:t>
      </w:r>
      <w:r>
        <w:rPr>
          <w:rFonts w:hint="eastAsia" w:ascii="仿宋_GB2312" w:hAnsi="仿宋_GB2312" w:eastAsia="仿宋_GB2312" w:cs="仿宋_GB2312"/>
          <w:bCs/>
          <w:color w:val="auto"/>
          <w:sz w:val="28"/>
          <w:szCs w:val="28"/>
          <w:highlight w:val="none"/>
          <w:lang w:val="en-US" w:eastAsia="zh-CN"/>
        </w:rPr>
        <w:t>商住比22.03%：77.97%</w:t>
      </w:r>
      <w:r>
        <w:rPr>
          <w:rFonts w:hint="eastAsia" w:ascii="仿宋_GB2312" w:hAnsi="仿宋_GB2312" w:eastAsia="仿宋_GB2312" w:cs="仿宋_GB2312"/>
          <w:bCs/>
          <w:color w:val="auto"/>
          <w:sz w:val="28"/>
          <w:szCs w:val="28"/>
          <w:highlight w:val="none"/>
          <w:lang w:val="en-GB" w:eastAsia="zh-CN"/>
        </w:rPr>
        <w:t>）。</w:t>
      </w:r>
    </w:p>
    <w:p w14:paraId="0EC628E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3、土地利用条件设定：</w:t>
      </w:r>
      <w:r>
        <w:rPr>
          <w:rFonts w:hint="eastAsia" w:ascii="仿宋_GB2312" w:hAnsi="仿宋_GB2312" w:eastAsia="仿宋_GB2312" w:cs="仿宋_GB2312"/>
          <w:bCs/>
          <w:color w:val="auto"/>
          <w:sz w:val="28"/>
          <w:szCs w:val="28"/>
          <w:highlight w:val="none"/>
          <w:lang w:val="en-GB" w:eastAsia="zh-CN"/>
        </w:rPr>
        <w:t>经估价人员现场查勘，估价对象为已建成用地，地上有一栋</w:t>
      </w:r>
      <w:r>
        <w:rPr>
          <w:rFonts w:hint="eastAsia" w:ascii="仿宋_GB2312" w:hAnsi="仿宋_GB2312" w:eastAsia="仿宋_GB2312" w:cs="仿宋_GB2312"/>
          <w:bCs/>
          <w:color w:val="auto"/>
          <w:sz w:val="28"/>
          <w:szCs w:val="28"/>
          <w:highlight w:val="none"/>
          <w:lang w:val="en-US" w:eastAsia="zh-CN"/>
        </w:rPr>
        <w:t>4层</w:t>
      </w:r>
      <w:r>
        <w:rPr>
          <w:rFonts w:hint="eastAsia" w:ascii="仿宋_GB2312" w:hAnsi="仿宋_GB2312" w:eastAsia="仿宋_GB2312" w:cs="仿宋_GB2312"/>
          <w:bCs/>
          <w:color w:val="auto"/>
          <w:sz w:val="28"/>
          <w:szCs w:val="28"/>
          <w:highlight w:val="none"/>
          <w:lang w:val="en-GB" w:eastAsia="zh-CN"/>
        </w:rPr>
        <w:t>住宅楼。</w:t>
      </w:r>
      <w:r>
        <w:rPr>
          <w:rFonts w:hint="default" w:ascii="仿宋_GB2312" w:hAnsi="仿宋_GB2312" w:eastAsia="仿宋_GB2312" w:cs="仿宋_GB2312"/>
          <w:bCs/>
          <w:color w:val="auto"/>
          <w:sz w:val="28"/>
          <w:szCs w:val="28"/>
          <w:highlight w:val="none"/>
          <w:lang w:val="en-GB" w:eastAsia="zh-CN"/>
        </w:rPr>
        <w:t>根据</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土地资产评估委托书</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，委托方拟按估价对象现状使用条件进行出让</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根据委托方提供的估价对象</w:t>
      </w:r>
      <w:r>
        <w:rPr>
          <w:rFonts w:hint="eastAsia" w:ascii="仿宋_GB2312" w:hAnsi="仿宋_GB2312" w:eastAsia="仿宋_GB2312" w:cs="仿宋_GB2312"/>
          <w:bCs/>
          <w:color w:val="auto"/>
          <w:sz w:val="28"/>
          <w:szCs w:val="28"/>
          <w:highlight w:val="none"/>
          <w:lang w:val="en-GB" w:eastAsia="zh-CN"/>
        </w:rPr>
        <w:t>《房屋所有权证》（通房权证双江字第201517109号）</w:t>
      </w:r>
      <w:r>
        <w:rPr>
          <w:rFonts w:hint="eastAsia" w:ascii="仿宋_GB2312" w:hAnsi="仿宋_GB2312" w:eastAsia="仿宋_GB2312" w:cs="仿宋_GB2312"/>
          <w:bCs/>
          <w:color w:val="auto"/>
          <w:sz w:val="28"/>
          <w:szCs w:val="28"/>
          <w:highlight w:val="none"/>
          <w:lang w:val="en-US" w:eastAsia="zh-CN"/>
        </w:rPr>
        <w:t>及</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土地分户分摊面积明细表</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估价对象建筑</w:t>
      </w:r>
      <w:r>
        <w:rPr>
          <w:rFonts w:hint="eastAsia" w:ascii="仿宋_GB2312" w:hAnsi="仿宋_GB2312" w:eastAsia="仿宋_GB2312" w:cs="仿宋_GB2312"/>
          <w:bCs/>
          <w:color w:val="auto"/>
          <w:sz w:val="28"/>
          <w:szCs w:val="28"/>
          <w:highlight w:val="none"/>
          <w:lang w:val="en-US" w:eastAsia="zh-CN"/>
        </w:rPr>
        <w:t>总</w:t>
      </w:r>
      <w:r>
        <w:rPr>
          <w:rFonts w:hint="default" w:ascii="仿宋_GB2312" w:hAnsi="仿宋_GB2312" w:eastAsia="仿宋_GB2312" w:cs="仿宋_GB2312"/>
          <w:bCs/>
          <w:color w:val="auto"/>
          <w:sz w:val="28"/>
          <w:szCs w:val="28"/>
          <w:highlight w:val="none"/>
          <w:lang w:val="en-GB" w:eastAsia="zh-CN"/>
        </w:rPr>
        <w:t>面积为</w:t>
      </w:r>
      <w:r>
        <w:rPr>
          <w:rFonts w:hint="eastAsia" w:ascii="仿宋_GB2312" w:hAnsi="仿宋_GB2312" w:eastAsia="仿宋_GB2312" w:cs="仿宋_GB2312"/>
          <w:bCs/>
          <w:color w:val="auto"/>
          <w:sz w:val="28"/>
          <w:szCs w:val="28"/>
          <w:highlight w:val="none"/>
          <w:lang w:val="en-US" w:eastAsia="zh-CN"/>
        </w:rPr>
        <w:t>745.47平方米</w:t>
      </w:r>
      <w:r>
        <w:rPr>
          <w:rFonts w:hint="default" w:ascii="仿宋_GB2312" w:hAnsi="仿宋_GB2312" w:eastAsia="仿宋_GB2312" w:cs="仿宋_GB2312"/>
          <w:bCs/>
          <w:color w:val="auto"/>
          <w:sz w:val="28"/>
          <w:szCs w:val="28"/>
          <w:highlight w:val="none"/>
          <w:lang w:val="en-GB" w:eastAsia="zh-CN"/>
        </w:rPr>
        <w:t>，估价对象分摊土地面积为</w:t>
      </w:r>
      <w:r>
        <w:rPr>
          <w:rFonts w:hint="eastAsia" w:ascii="仿宋_GB2312" w:hAnsi="仿宋_GB2312" w:eastAsia="仿宋_GB2312" w:cs="仿宋_GB2312"/>
          <w:bCs/>
          <w:color w:val="auto"/>
          <w:sz w:val="28"/>
          <w:szCs w:val="28"/>
          <w:highlight w:val="none"/>
          <w:lang w:val="en-US" w:eastAsia="zh-CN"/>
        </w:rPr>
        <w:t>183.27平方米</w:t>
      </w:r>
      <w:r>
        <w:rPr>
          <w:rFonts w:hint="default" w:ascii="仿宋_GB2312" w:hAnsi="仿宋_GB2312" w:eastAsia="仿宋_GB2312" w:cs="仿宋_GB2312"/>
          <w:bCs/>
          <w:color w:val="auto"/>
          <w:sz w:val="28"/>
          <w:szCs w:val="28"/>
          <w:highlight w:val="none"/>
          <w:lang w:val="en-GB" w:eastAsia="zh-CN"/>
        </w:rPr>
        <w:t>，则估价对象现状</w:t>
      </w:r>
      <w:r>
        <w:rPr>
          <w:rFonts w:hint="eastAsia" w:ascii="仿宋_GB2312" w:hAnsi="仿宋_GB2312" w:eastAsia="仿宋_GB2312" w:cs="仿宋_GB2312"/>
          <w:bCs/>
          <w:color w:val="auto"/>
          <w:sz w:val="28"/>
          <w:szCs w:val="28"/>
          <w:highlight w:val="none"/>
          <w:lang w:val="en-GB" w:eastAsia="zh-CN"/>
        </w:rPr>
        <w:t>容积率为4.07</w:t>
      </w:r>
      <w:r>
        <w:rPr>
          <w:rFonts w:hint="default" w:ascii="仿宋_GB2312" w:hAnsi="仿宋_GB2312" w:eastAsia="仿宋_GB2312" w:cs="仿宋_GB2312"/>
          <w:bCs/>
          <w:color w:val="auto"/>
          <w:sz w:val="28"/>
          <w:szCs w:val="28"/>
          <w:highlight w:val="none"/>
          <w:lang w:val="en-GB" w:eastAsia="zh-CN"/>
        </w:rPr>
        <w:t>。本次评估设定土地</w:t>
      </w:r>
      <w:r>
        <w:rPr>
          <w:rFonts w:hint="eastAsia" w:ascii="仿宋_GB2312" w:hAnsi="仿宋_GB2312" w:eastAsia="仿宋_GB2312" w:cs="仿宋_GB2312"/>
          <w:bCs/>
          <w:color w:val="auto"/>
          <w:sz w:val="28"/>
          <w:szCs w:val="28"/>
          <w:highlight w:val="none"/>
          <w:lang w:val="en-GB" w:eastAsia="zh-CN"/>
        </w:rPr>
        <w:t>容积率为4.07</w:t>
      </w:r>
      <w:r>
        <w:rPr>
          <w:rFonts w:hint="default" w:ascii="仿宋_GB2312" w:hAnsi="仿宋_GB2312" w:eastAsia="仿宋_GB2312" w:cs="仿宋_GB2312"/>
          <w:bCs/>
          <w:color w:val="auto"/>
          <w:sz w:val="28"/>
          <w:szCs w:val="28"/>
          <w:highlight w:val="none"/>
          <w:lang w:val="en-GB" w:eastAsia="zh-CN"/>
        </w:rPr>
        <w:t>。</w:t>
      </w:r>
    </w:p>
    <w:p w14:paraId="10A1819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4、土地使用权类型设定：</w:t>
      </w:r>
      <w:r>
        <w:rPr>
          <w:rFonts w:hint="default" w:ascii="仿宋_GB2312" w:hAnsi="仿宋_GB2312" w:eastAsia="仿宋_GB2312" w:cs="仿宋_GB2312"/>
          <w:bCs/>
          <w:color w:val="auto"/>
          <w:sz w:val="28"/>
          <w:szCs w:val="28"/>
          <w:highlight w:val="none"/>
          <w:lang w:val="en-US" w:eastAsia="zh-CN"/>
        </w:rPr>
        <w:t>根据委托方提供的估价对象</w:t>
      </w:r>
      <w:r>
        <w:rPr>
          <w:rFonts w:hint="eastAsia" w:ascii="仿宋_GB2312" w:hAnsi="仿宋_GB2312" w:eastAsia="仿宋_GB2312" w:cs="仿宋_GB2312"/>
          <w:bCs/>
          <w:color w:val="auto"/>
          <w:sz w:val="28"/>
          <w:szCs w:val="28"/>
          <w:highlight w:val="none"/>
          <w:lang w:val="en-US" w:eastAsia="zh-CN"/>
        </w:rPr>
        <w:t>《国有土地使用证》（通国用（2014）第000327号）</w:t>
      </w:r>
      <w:r>
        <w:rPr>
          <w:rFonts w:hint="default" w:ascii="仿宋_GB2312" w:hAnsi="仿宋_GB2312" w:eastAsia="仿宋_GB2312" w:cs="仿宋_GB2312"/>
          <w:bCs/>
          <w:color w:val="auto"/>
          <w:sz w:val="28"/>
          <w:szCs w:val="28"/>
          <w:highlight w:val="none"/>
          <w:lang w:val="en-US" w:eastAsia="zh-CN"/>
        </w:rPr>
        <w:t>，估价对象</w:t>
      </w:r>
      <w:r>
        <w:rPr>
          <w:rFonts w:hint="eastAsia" w:ascii="仿宋_GB2312" w:hAnsi="仿宋_GB2312" w:eastAsia="仿宋_GB2312" w:cs="仿宋_GB2312"/>
          <w:bCs/>
          <w:color w:val="auto"/>
          <w:sz w:val="28"/>
          <w:szCs w:val="28"/>
          <w:highlight w:val="none"/>
          <w:lang w:val="en-US" w:eastAsia="zh-CN"/>
        </w:rPr>
        <w:t>登记</w:t>
      </w:r>
      <w:r>
        <w:rPr>
          <w:rFonts w:hint="default" w:ascii="仿宋_GB2312" w:hAnsi="仿宋_GB2312" w:eastAsia="仿宋_GB2312" w:cs="仿宋_GB2312"/>
          <w:bCs/>
          <w:color w:val="auto"/>
          <w:sz w:val="28"/>
          <w:szCs w:val="28"/>
          <w:highlight w:val="none"/>
          <w:lang w:val="en-US" w:eastAsia="zh-CN"/>
        </w:rPr>
        <w:t>土地使用权类型为</w:t>
      </w:r>
      <w:r>
        <w:rPr>
          <w:rFonts w:hint="eastAsia" w:ascii="仿宋_GB2312" w:hAnsi="仿宋_GB2312" w:eastAsia="仿宋_GB2312" w:cs="仿宋_GB2312"/>
          <w:bCs/>
          <w:color w:val="auto"/>
          <w:sz w:val="28"/>
          <w:szCs w:val="28"/>
          <w:highlight w:val="none"/>
          <w:lang w:val="en-US" w:eastAsia="zh-CN"/>
        </w:rPr>
        <w:t>国有划拨</w:t>
      </w:r>
      <w:r>
        <w:rPr>
          <w:rFonts w:hint="default" w:ascii="仿宋_GB2312" w:hAnsi="仿宋_GB2312" w:eastAsia="仿宋_GB2312" w:cs="仿宋_GB2312"/>
          <w:bCs/>
          <w:color w:val="auto"/>
          <w:sz w:val="28"/>
          <w:szCs w:val="28"/>
          <w:highlight w:val="none"/>
          <w:lang w:val="en-US" w:eastAsia="zh-CN"/>
        </w:rPr>
        <w:t>，委托方拟按现状利用条件为其办理土地使用权出让手续，根据此次评估目的，设定估价对象土地使用权类型为出让。</w:t>
      </w:r>
    </w:p>
    <w:p w14:paraId="459797D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5、土地使用年限设定：</w:t>
      </w:r>
      <w:r>
        <w:rPr>
          <w:rFonts w:hint="default" w:ascii="仿宋_GB2312" w:hAnsi="仿宋_GB2312" w:eastAsia="仿宋_GB2312" w:cs="仿宋_GB2312"/>
          <w:bCs/>
          <w:color w:val="auto"/>
          <w:sz w:val="28"/>
          <w:szCs w:val="28"/>
          <w:highlight w:val="none"/>
          <w:lang w:val="en-US" w:eastAsia="zh-CN"/>
        </w:rPr>
        <w:t>估价对象登记土地使用权类型为</w:t>
      </w:r>
      <w:r>
        <w:rPr>
          <w:rFonts w:hint="eastAsia" w:ascii="仿宋_GB2312" w:hAnsi="仿宋_GB2312" w:eastAsia="仿宋_GB2312" w:cs="仿宋_GB2312"/>
          <w:bCs/>
          <w:color w:val="auto"/>
          <w:sz w:val="28"/>
          <w:szCs w:val="28"/>
          <w:highlight w:val="none"/>
          <w:lang w:val="en-US" w:eastAsia="zh-CN"/>
        </w:rPr>
        <w:t>国有划拨</w:t>
      </w:r>
      <w:r>
        <w:rPr>
          <w:rFonts w:hint="default" w:ascii="仿宋_GB2312" w:hAnsi="仿宋_GB2312" w:eastAsia="仿宋_GB2312" w:cs="仿宋_GB2312"/>
          <w:bCs/>
          <w:color w:val="auto"/>
          <w:sz w:val="28"/>
          <w:szCs w:val="28"/>
          <w:highlight w:val="none"/>
          <w:lang w:val="en-US" w:eastAsia="zh-CN"/>
        </w:rPr>
        <w:t>，土地使用年期为无年期限制</w:t>
      </w:r>
      <w:r>
        <w:rPr>
          <w:rFonts w:hint="eastAsia" w:ascii="仿宋_GB2312" w:hAnsi="仿宋_GB2312" w:eastAsia="仿宋_GB2312" w:cs="仿宋_GB2312"/>
          <w:bCs/>
          <w:color w:val="auto"/>
          <w:sz w:val="28"/>
          <w:szCs w:val="28"/>
          <w:highlight w:val="none"/>
          <w:lang w:val="en-US" w:eastAsia="zh-CN"/>
        </w:rPr>
        <w:t>，</w:t>
      </w:r>
      <w:r>
        <w:rPr>
          <w:rFonts w:hint="default" w:ascii="仿宋_GB2312" w:hAnsi="仿宋_GB2312" w:eastAsia="仿宋_GB2312" w:cs="仿宋_GB2312"/>
          <w:bCs/>
          <w:color w:val="auto"/>
          <w:sz w:val="28"/>
          <w:szCs w:val="28"/>
          <w:highlight w:val="none"/>
          <w:lang w:val="en-US" w:eastAsia="zh-CN"/>
        </w:rPr>
        <w:t>结合《土地</w:t>
      </w:r>
      <w:r>
        <w:rPr>
          <w:rFonts w:hint="eastAsia" w:ascii="仿宋_GB2312" w:hAnsi="仿宋_GB2312" w:eastAsia="仿宋_GB2312" w:cs="仿宋_GB2312"/>
          <w:bCs/>
          <w:color w:val="auto"/>
          <w:sz w:val="28"/>
          <w:szCs w:val="28"/>
          <w:highlight w:val="none"/>
          <w:lang w:val="en-US" w:eastAsia="zh-CN"/>
        </w:rPr>
        <w:t>资产</w:t>
      </w:r>
      <w:r>
        <w:rPr>
          <w:rFonts w:hint="default"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US" w:eastAsia="zh-CN"/>
        </w:rPr>
        <w:t>评估土地使用年限为商服用地40年、住宅用地70年，</w:t>
      </w:r>
      <w:r>
        <w:rPr>
          <w:rFonts w:hint="default" w:ascii="仿宋_GB2312" w:hAnsi="仿宋_GB2312" w:eastAsia="仿宋_GB2312" w:cs="仿宋_GB2312"/>
          <w:bCs/>
          <w:color w:val="auto"/>
          <w:sz w:val="28"/>
          <w:szCs w:val="28"/>
          <w:highlight w:val="none"/>
          <w:lang w:val="en-US" w:eastAsia="zh-CN"/>
        </w:rPr>
        <w:t>结合本次估价目的，此次评估设定土地使用年期为</w:t>
      </w:r>
      <w:r>
        <w:rPr>
          <w:rFonts w:hint="eastAsia" w:ascii="仿宋_GB2312" w:hAnsi="仿宋_GB2312" w:eastAsia="仿宋_GB2312" w:cs="仿宋_GB2312"/>
          <w:bCs/>
          <w:color w:val="auto"/>
          <w:sz w:val="28"/>
          <w:szCs w:val="28"/>
          <w:highlight w:val="none"/>
          <w:lang w:val="en-US" w:eastAsia="zh-CN"/>
        </w:rPr>
        <w:t>商服用地40年、住宅用地70年。</w:t>
      </w:r>
    </w:p>
    <w:p w14:paraId="5E36EF4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6、土地开发程度设定：</w:t>
      </w:r>
      <w:r>
        <w:rPr>
          <w:rFonts w:hint="default" w:ascii="仿宋_GB2312" w:hAnsi="仿宋_GB2312" w:eastAsia="仿宋_GB2312" w:cs="仿宋_GB2312"/>
          <w:bCs/>
          <w:color w:val="auto"/>
          <w:sz w:val="28"/>
          <w:szCs w:val="28"/>
          <w:highlight w:val="none"/>
          <w:lang w:val="en-US" w:eastAsia="zh-CN"/>
        </w:rPr>
        <w:t>估价对象现状土地开发程度为宗地红线内外“</w:t>
      </w:r>
      <w:r>
        <w:rPr>
          <w:rFonts w:hint="eastAsia" w:ascii="仿宋_GB2312" w:hAnsi="仿宋_GB2312" w:eastAsia="仿宋_GB2312" w:cs="仿宋_GB2312"/>
          <w:bCs/>
          <w:color w:val="auto"/>
          <w:sz w:val="28"/>
          <w:szCs w:val="28"/>
          <w:highlight w:val="none"/>
          <w:lang w:val="en-US" w:eastAsia="zh-CN"/>
        </w:rPr>
        <w:t>五</w:t>
      </w:r>
      <w:r>
        <w:rPr>
          <w:rFonts w:hint="default" w:ascii="仿宋_GB2312" w:hAnsi="仿宋_GB2312" w:eastAsia="仿宋_GB2312" w:cs="仿宋_GB2312"/>
          <w:bCs/>
          <w:color w:val="auto"/>
          <w:sz w:val="28"/>
          <w:szCs w:val="28"/>
          <w:highlight w:val="none"/>
          <w:lang w:val="en-US" w:eastAsia="zh-CN"/>
        </w:rPr>
        <w:t>通”（</w:t>
      </w:r>
      <w:r>
        <w:rPr>
          <w:rFonts w:hint="eastAsia" w:ascii="仿宋_GB2312" w:hAnsi="仿宋_GB2312" w:eastAsia="仿宋_GB2312" w:cs="仿宋_GB2312"/>
          <w:bCs/>
          <w:color w:val="auto"/>
          <w:sz w:val="28"/>
          <w:szCs w:val="28"/>
          <w:highlight w:val="none"/>
          <w:lang w:val="en-US" w:eastAsia="zh-CN"/>
        </w:rPr>
        <w:t>通路、通电、供水、排水、通讯</w:t>
      </w:r>
      <w:r>
        <w:rPr>
          <w:rFonts w:hint="default" w:ascii="仿宋_GB2312" w:hAnsi="仿宋_GB2312" w:eastAsia="仿宋_GB2312" w:cs="仿宋_GB2312"/>
          <w:bCs/>
          <w:color w:val="auto"/>
          <w:sz w:val="28"/>
          <w:szCs w:val="28"/>
          <w:highlight w:val="none"/>
          <w:lang w:val="en-US" w:eastAsia="zh-CN"/>
        </w:rPr>
        <w:t>）及红线内场地平整，根据此次评估目的，设定土地开发程度为宗地红线外“</w:t>
      </w:r>
      <w:r>
        <w:rPr>
          <w:rFonts w:hint="eastAsia" w:ascii="仿宋_GB2312" w:hAnsi="仿宋_GB2312" w:eastAsia="仿宋_GB2312" w:cs="仿宋_GB2312"/>
          <w:bCs/>
          <w:color w:val="auto"/>
          <w:sz w:val="28"/>
          <w:szCs w:val="28"/>
          <w:highlight w:val="none"/>
          <w:lang w:val="en-US" w:eastAsia="zh-CN"/>
        </w:rPr>
        <w:t>五</w:t>
      </w:r>
      <w:r>
        <w:rPr>
          <w:rFonts w:hint="default" w:ascii="仿宋_GB2312" w:hAnsi="仿宋_GB2312" w:eastAsia="仿宋_GB2312" w:cs="仿宋_GB2312"/>
          <w:bCs/>
          <w:color w:val="auto"/>
          <w:sz w:val="28"/>
          <w:szCs w:val="28"/>
          <w:highlight w:val="none"/>
          <w:lang w:val="en-US" w:eastAsia="zh-CN"/>
        </w:rPr>
        <w:t>通”（</w:t>
      </w:r>
      <w:r>
        <w:rPr>
          <w:rFonts w:hint="eastAsia" w:ascii="仿宋_GB2312" w:hAnsi="仿宋_GB2312" w:eastAsia="仿宋_GB2312" w:cs="仿宋_GB2312"/>
          <w:bCs/>
          <w:color w:val="auto"/>
          <w:sz w:val="28"/>
          <w:szCs w:val="28"/>
          <w:highlight w:val="none"/>
          <w:lang w:val="en-US" w:eastAsia="zh-CN"/>
        </w:rPr>
        <w:t>通路、通电、供水、排水、通讯</w:t>
      </w:r>
      <w:r>
        <w:rPr>
          <w:rFonts w:hint="default" w:ascii="仿宋_GB2312" w:hAnsi="仿宋_GB2312" w:eastAsia="仿宋_GB2312" w:cs="仿宋_GB2312"/>
          <w:bCs/>
          <w:color w:val="auto"/>
          <w:sz w:val="28"/>
          <w:szCs w:val="28"/>
          <w:highlight w:val="none"/>
          <w:lang w:val="en-US" w:eastAsia="zh-CN"/>
        </w:rPr>
        <w:t>）和红线内场地平整。</w:t>
      </w:r>
    </w:p>
    <w:p w14:paraId="3422D52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7、</w:t>
      </w:r>
      <w:r>
        <w:rPr>
          <w:rFonts w:hint="default" w:ascii="仿宋_GB2312" w:hAnsi="仿宋_GB2312" w:eastAsia="仿宋_GB2312" w:cs="仿宋_GB2312"/>
          <w:bCs/>
          <w:color w:val="auto"/>
          <w:sz w:val="28"/>
          <w:szCs w:val="28"/>
          <w:highlight w:val="none"/>
          <w:lang w:val="en-US" w:eastAsia="zh-CN"/>
        </w:rPr>
        <w:t>权利状态：估价对象未设定他项权利，本次评估设定权利状态为无他项权利的完全权利条件。</w:t>
      </w:r>
    </w:p>
    <w:p w14:paraId="5380669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综上所述，</w:t>
      </w:r>
      <w:r>
        <w:rPr>
          <w:rFonts w:hint="default" w:ascii="仿宋_GB2312" w:hAnsi="仿宋_GB2312" w:eastAsia="仿宋_GB2312" w:cs="仿宋_GB2312"/>
          <w:bCs/>
          <w:color w:val="auto"/>
          <w:sz w:val="28"/>
          <w:szCs w:val="28"/>
          <w:highlight w:val="none"/>
          <w:lang w:val="en-US" w:eastAsia="zh-CN"/>
        </w:rPr>
        <w:t>本次评估现状利用条件下的出让土地使用权价格是指在正常市场条件下，于估价期日</w:t>
      </w:r>
      <w:r>
        <w:rPr>
          <w:rFonts w:hint="eastAsia" w:ascii="仿宋_GB2312" w:hAnsi="仿宋_GB2312" w:eastAsia="仿宋_GB2312" w:cs="仿宋_GB2312"/>
          <w:bCs/>
          <w:color w:val="auto"/>
          <w:sz w:val="28"/>
          <w:szCs w:val="28"/>
          <w:highlight w:val="none"/>
          <w:lang w:val="en-US" w:eastAsia="zh-CN"/>
        </w:rPr>
        <w:t>2026年2月3日</w:t>
      </w:r>
      <w:r>
        <w:rPr>
          <w:rFonts w:hint="default" w:ascii="仿宋_GB2312" w:hAnsi="仿宋_GB2312" w:eastAsia="仿宋_GB2312" w:cs="仿宋_GB2312"/>
          <w:bCs/>
          <w:color w:val="auto"/>
          <w:sz w:val="28"/>
          <w:szCs w:val="28"/>
          <w:highlight w:val="none"/>
          <w:lang w:val="en-US" w:eastAsia="zh-CN"/>
        </w:rPr>
        <w:t>，在设定土地用途为</w:t>
      </w:r>
      <w:r>
        <w:rPr>
          <w:rFonts w:hint="eastAsia" w:ascii="仿宋_GB2312" w:hAnsi="仿宋_GB2312" w:eastAsia="仿宋_GB2312" w:cs="仿宋_GB2312"/>
          <w:bCs/>
          <w:color w:val="auto"/>
          <w:sz w:val="28"/>
          <w:szCs w:val="28"/>
          <w:highlight w:val="none"/>
          <w:lang w:val="en-US" w:eastAsia="zh-CN"/>
        </w:rPr>
        <w:t>商服用地、</w:t>
      </w:r>
      <w:r>
        <w:rPr>
          <w:rFonts w:hint="eastAsia" w:ascii="仿宋_GB2312" w:hAnsi="仿宋_GB2312" w:eastAsia="仿宋_GB2312" w:cs="仿宋_GB2312"/>
          <w:bCs/>
          <w:color w:val="auto"/>
          <w:sz w:val="28"/>
          <w:szCs w:val="28"/>
          <w:highlight w:val="none"/>
          <w:lang w:val="en-GB" w:eastAsia="zh-CN"/>
        </w:rPr>
        <w:t>住宅用地（</w:t>
      </w:r>
      <w:r>
        <w:rPr>
          <w:rFonts w:hint="eastAsia" w:ascii="仿宋_GB2312" w:hAnsi="仿宋_GB2312" w:eastAsia="仿宋_GB2312" w:cs="仿宋_GB2312"/>
          <w:bCs/>
          <w:color w:val="auto"/>
          <w:sz w:val="28"/>
          <w:szCs w:val="28"/>
          <w:highlight w:val="none"/>
          <w:lang w:val="en-US" w:eastAsia="zh-CN"/>
        </w:rPr>
        <w:t>商住比22.03%：77.97%</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US" w:eastAsia="zh-CN"/>
        </w:rPr>
        <w:t>，设定土地使用年期为</w:t>
      </w:r>
      <w:r>
        <w:rPr>
          <w:rFonts w:hint="eastAsia" w:ascii="仿宋_GB2312" w:hAnsi="仿宋_GB2312" w:eastAsia="仿宋_GB2312" w:cs="仿宋_GB2312"/>
          <w:bCs/>
          <w:color w:val="auto"/>
          <w:sz w:val="28"/>
          <w:szCs w:val="28"/>
          <w:highlight w:val="none"/>
          <w:lang w:val="en-US" w:eastAsia="zh-CN"/>
        </w:rPr>
        <w:t>商服用地40年、住宅</w:t>
      </w:r>
      <w:r>
        <w:rPr>
          <w:rFonts w:hint="default" w:ascii="仿宋_GB2312" w:hAnsi="仿宋_GB2312" w:eastAsia="仿宋_GB2312" w:cs="仿宋_GB2312"/>
          <w:bCs/>
          <w:color w:val="auto"/>
          <w:sz w:val="28"/>
          <w:szCs w:val="28"/>
          <w:highlight w:val="none"/>
          <w:lang w:val="en-US" w:eastAsia="zh-CN"/>
        </w:rPr>
        <w:t>用地</w:t>
      </w:r>
      <w:r>
        <w:rPr>
          <w:rFonts w:hint="eastAsia" w:ascii="仿宋_GB2312" w:hAnsi="仿宋_GB2312" w:eastAsia="仿宋_GB2312" w:cs="仿宋_GB2312"/>
          <w:bCs/>
          <w:color w:val="auto"/>
          <w:sz w:val="28"/>
          <w:szCs w:val="28"/>
          <w:highlight w:val="none"/>
          <w:lang w:val="en-US" w:eastAsia="zh-CN"/>
        </w:rPr>
        <w:t>70年</w:t>
      </w:r>
      <w:r>
        <w:rPr>
          <w:rFonts w:hint="default" w:ascii="仿宋_GB2312" w:hAnsi="仿宋_GB2312" w:eastAsia="仿宋_GB2312" w:cs="仿宋_GB2312"/>
          <w:bCs/>
          <w:color w:val="auto"/>
          <w:sz w:val="28"/>
          <w:szCs w:val="28"/>
          <w:highlight w:val="none"/>
          <w:lang w:val="en-US" w:eastAsia="zh-CN"/>
        </w:rPr>
        <w:t>，设定土地使用权类型为出让，设定</w:t>
      </w:r>
      <w:r>
        <w:rPr>
          <w:rFonts w:hint="eastAsia" w:ascii="仿宋_GB2312" w:hAnsi="仿宋_GB2312" w:eastAsia="仿宋_GB2312" w:cs="仿宋_GB2312"/>
          <w:bCs/>
          <w:color w:val="auto"/>
          <w:sz w:val="28"/>
          <w:szCs w:val="28"/>
          <w:highlight w:val="none"/>
          <w:lang w:val="en-US" w:eastAsia="zh-CN"/>
        </w:rPr>
        <w:t>容积率为4.07</w:t>
      </w:r>
      <w:r>
        <w:rPr>
          <w:rFonts w:hint="default" w:ascii="仿宋_GB2312" w:hAnsi="仿宋_GB2312" w:eastAsia="仿宋_GB2312" w:cs="仿宋_GB2312"/>
          <w:bCs/>
          <w:color w:val="auto"/>
          <w:sz w:val="28"/>
          <w:szCs w:val="28"/>
          <w:highlight w:val="none"/>
          <w:lang w:val="en-US" w:eastAsia="zh-CN"/>
        </w:rPr>
        <w:t>，设定土地开发程度为宗地红线外“</w:t>
      </w:r>
      <w:r>
        <w:rPr>
          <w:rFonts w:hint="eastAsia" w:ascii="仿宋_GB2312" w:hAnsi="仿宋_GB2312" w:eastAsia="仿宋_GB2312" w:cs="仿宋_GB2312"/>
          <w:bCs/>
          <w:color w:val="auto"/>
          <w:sz w:val="28"/>
          <w:szCs w:val="28"/>
          <w:highlight w:val="none"/>
          <w:lang w:val="en-US" w:eastAsia="zh-CN"/>
        </w:rPr>
        <w:t>五</w:t>
      </w:r>
      <w:r>
        <w:rPr>
          <w:rFonts w:hint="default" w:ascii="仿宋_GB2312" w:hAnsi="仿宋_GB2312" w:eastAsia="仿宋_GB2312" w:cs="仿宋_GB2312"/>
          <w:bCs/>
          <w:color w:val="auto"/>
          <w:sz w:val="28"/>
          <w:szCs w:val="28"/>
          <w:highlight w:val="none"/>
          <w:lang w:val="en-US" w:eastAsia="zh-CN"/>
        </w:rPr>
        <w:t>通”（通路、通电、供水、排水、通讯）及红线内场地平整条件下的价格</w:t>
      </w:r>
      <w:r>
        <w:rPr>
          <w:rFonts w:hint="eastAsia" w:ascii="仿宋_GB2312" w:hAnsi="仿宋_GB2312" w:eastAsia="仿宋_GB2312" w:cs="仿宋_GB2312"/>
          <w:bCs/>
          <w:color w:val="auto"/>
          <w:sz w:val="28"/>
          <w:szCs w:val="28"/>
          <w:highlight w:val="none"/>
          <w:lang w:val="en-US" w:eastAsia="zh-CN"/>
        </w:rPr>
        <w:t>。</w:t>
      </w:r>
      <w:r>
        <w:rPr>
          <w:rFonts w:hint="eastAsia" w:ascii="仿宋_GB2312" w:hAnsi="仿宋_GB2312" w:eastAsia="仿宋_GB2312" w:cs="仿宋_GB2312"/>
          <w:bCs/>
          <w:color w:val="auto"/>
          <w:sz w:val="28"/>
          <w:szCs w:val="28"/>
          <w:highlight w:val="none"/>
          <w:lang w:val="en-US" w:eastAsia="zh-CN"/>
        </w:rPr>
        <w:br w:type="page"/>
      </w:r>
    </w:p>
    <w:p w14:paraId="430CBE14">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九、估价结果</w:t>
      </w:r>
    </w:p>
    <w:p w14:paraId="70E3711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US" w:eastAsia="zh-CN"/>
        </w:rPr>
        <w:t>通道侗族自治</w:t>
      </w:r>
      <w:r>
        <w:rPr>
          <w:rFonts w:hint="eastAsia" w:ascii="仿宋_GB2312" w:hAnsi="仿宋_GB2312" w:eastAsia="仿宋_GB2312" w:cs="仿宋_GB2312"/>
          <w:bCs/>
          <w:color w:val="auto"/>
          <w:sz w:val="28"/>
          <w:szCs w:val="28"/>
          <w:highlight w:val="none"/>
          <w:lang w:val="en-GB" w:eastAsia="zh-CN"/>
        </w:rPr>
        <w:t>县自然资源局委托评估的，位于</w:t>
      </w:r>
      <w:r>
        <w:rPr>
          <w:rFonts w:hint="eastAsia" w:ascii="仿宋_GB2312" w:hAnsi="仿宋_GB2312" w:eastAsia="仿宋_GB2312" w:cs="仿宋_GB2312"/>
          <w:bCs/>
          <w:color w:val="auto"/>
          <w:sz w:val="28"/>
          <w:szCs w:val="28"/>
          <w:highlight w:val="none"/>
          <w:lang w:val="en-US" w:eastAsia="zh-CN"/>
        </w:rPr>
        <w:t>通道县双江镇行政街</w:t>
      </w:r>
      <w:r>
        <w:rPr>
          <w:rFonts w:hint="eastAsia" w:ascii="仿宋_GB2312" w:hAnsi="仿宋_GB2312" w:eastAsia="仿宋_GB2312" w:cs="仿宋_GB2312"/>
          <w:bCs/>
          <w:color w:val="auto"/>
          <w:sz w:val="28"/>
          <w:szCs w:val="28"/>
          <w:highlight w:val="none"/>
          <w:lang w:val="en-GB" w:eastAsia="zh-CN"/>
        </w:rPr>
        <w:t>的一宗国有土地，土地面积为</w:t>
      </w:r>
      <w:r>
        <w:rPr>
          <w:rFonts w:hint="eastAsia" w:ascii="仿宋_GB2312" w:hAnsi="仿宋_GB2312" w:eastAsia="仿宋_GB2312" w:cs="仿宋_GB2312"/>
          <w:bCs/>
          <w:color w:val="auto"/>
          <w:sz w:val="28"/>
          <w:szCs w:val="28"/>
          <w:highlight w:val="none"/>
          <w:lang w:val="en-US" w:eastAsia="zh-CN"/>
        </w:rPr>
        <w:t>183.27平方米</w:t>
      </w:r>
      <w:r>
        <w:rPr>
          <w:rFonts w:hint="eastAsia" w:ascii="仿宋_GB2312" w:hAnsi="仿宋_GB2312" w:eastAsia="仿宋_GB2312" w:cs="仿宋_GB2312"/>
          <w:bCs/>
          <w:color w:val="auto"/>
          <w:sz w:val="28"/>
          <w:szCs w:val="28"/>
          <w:highlight w:val="none"/>
          <w:lang w:val="en-GB" w:eastAsia="zh-CN"/>
        </w:rPr>
        <w:t>，于估价期日2026年2月3日，在设定土地用途为</w:t>
      </w:r>
      <w:r>
        <w:rPr>
          <w:rFonts w:hint="eastAsia" w:ascii="仿宋_GB2312" w:hAnsi="仿宋_GB2312" w:eastAsia="仿宋_GB2312" w:cs="仿宋_GB2312"/>
          <w:bCs/>
          <w:color w:val="auto"/>
          <w:sz w:val="28"/>
          <w:szCs w:val="28"/>
          <w:highlight w:val="none"/>
          <w:lang w:val="en-US" w:eastAsia="zh-CN"/>
        </w:rPr>
        <w:t>商服用地、</w:t>
      </w:r>
      <w:r>
        <w:rPr>
          <w:rFonts w:hint="eastAsia" w:ascii="仿宋_GB2312" w:hAnsi="仿宋_GB2312" w:eastAsia="仿宋_GB2312" w:cs="仿宋_GB2312"/>
          <w:bCs/>
          <w:color w:val="auto"/>
          <w:sz w:val="28"/>
          <w:szCs w:val="28"/>
          <w:highlight w:val="none"/>
          <w:lang w:val="en-GB" w:eastAsia="zh-CN"/>
        </w:rPr>
        <w:t>住宅用地（</w:t>
      </w:r>
      <w:r>
        <w:rPr>
          <w:rFonts w:hint="eastAsia" w:ascii="仿宋_GB2312" w:hAnsi="仿宋_GB2312" w:eastAsia="仿宋_GB2312" w:cs="仿宋_GB2312"/>
          <w:bCs/>
          <w:color w:val="auto"/>
          <w:sz w:val="28"/>
          <w:szCs w:val="28"/>
          <w:highlight w:val="none"/>
          <w:lang w:val="en-US" w:eastAsia="zh-CN"/>
        </w:rPr>
        <w:t>商住比22.03%：77.97%</w:t>
      </w:r>
      <w:r>
        <w:rPr>
          <w:rFonts w:hint="eastAsia" w:ascii="仿宋_GB2312" w:hAnsi="仿宋_GB2312" w:eastAsia="仿宋_GB2312" w:cs="仿宋_GB2312"/>
          <w:bCs/>
          <w:color w:val="auto"/>
          <w:sz w:val="28"/>
          <w:szCs w:val="28"/>
          <w:highlight w:val="none"/>
          <w:lang w:val="en-GB" w:eastAsia="zh-CN"/>
        </w:rPr>
        <w:t>），设定土地使用权类型为出让，设定土地使用年期为</w:t>
      </w:r>
      <w:r>
        <w:rPr>
          <w:rFonts w:hint="eastAsia" w:ascii="仿宋_GB2312" w:hAnsi="仿宋_GB2312" w:eastAsia="仿宋_GB2312" w:cs="仿宋_GB2312"/>
          <w:bCs/>
          <w:color w:val="auto"/>
          <w:sz w:val="28"/>
          <w:szCs w:val="28"/>
          <w:highlight w:val="none"/>
          <w:lang w:val="en-US" w:eastAsia="zh-CN"/>
        </w:rPr>
        <w:t>商服用地40年、住宅用地70年</w:t>
      </w:r>
      <w:r>
        <w:rPr>
          <w:rFonts w:hint="eastAsia" w:ascii="仿宋_GB2312" w:hAnsi="仿宋_GB2312" w:eastAsia="仿宋_GB2312" w:cs="仿宋_GB2312"/>
          <w:bCs/>
          <w:color w:val="auto"/>
          <w:sz w:val="28"/>
          <w:szCs w:val="28"/>
          <w:highlight w:val="none"/>
          <w:lang w:val="en-GB" w:eastAsia="zh-CN"/>
        </w:rPr>
        <w:t>，设定容积率为4.07，设定土地开发程度为宗地红线外“五通”（通路、供水、排水、通电、通讯）及红线内场地平整，现状利用条件下的出让土地使用权价格如下（币种：人民币）：</w:t>
      </w:r>
    </w:p>
    <w:p w14:paraId="351EC85C">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土地面积：</w:t>
      </w:r>
      <w:r>
        <w:rPr>
          <w:rFonts w:hint="eastAsia" w:ascii="仿宋_GB2312" w:hAnsi="仿宋_GB2312" w:eastAsia="仿宋_GB2312" w:cs="仿宋_GB2312"/>
          <w:b/>
          <w:bCs w:val="0"/>
          <w:color w:val="auto"/>
          <w:sz w:val="28"/>
          <w:szCs w:val="28"/>
          <w:highlight w:val="none"/>
          <w:lang w:val="en-US" w:eastAsia="zh-CN"/>
        </w:rPr>
        <w:t>183.27平方米</w:t>
      </w:r>
    </w:p>
    <w:p w14:paraId="45D88E23">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单位面积地价：</w:t>
      </w:r>
      <w:r>
        <w:rPr>
          <w:rFonts w:hint="eastAsia" w:ascii="仿宋_GB2312" w:hAnsi="仿宋_GB2312" w:eastAsia="仿宋_GB2312" w:cs="仿宋_GB2312"/>
          <w:b/>
          <w:bCs w:val="0"/>
          <w:color w:val="auto"/>
          <w:sz w:val="28"/>
          <w:szCs w:val="28"/>
          <w:highlight w:val="none"/>
          <w:lang w:val="en-US" w:eastAsia="zh-CN"/>
        </w:rPr>
        <w:t>2426</w:t>
      </w:r>
      <w:r>
        <w:rPr>
          <w:rFonts w:hint="eastAsia" w:ascii="仿宋_GB2312" w:hAnsi="仿宋_GB2312" w:eastAsia="仿宋_GB2312" w:cs="仿宋_GB2312"/>
          <w:b/>
          <w:bCs w:val="0"/>
          <w:color w:val="auto"/>
          <w:sz w:val="28"/>
          <w:szCs w:val="28"/>
          <w:highlight w:val="none"/>
          <w:lang w:val="en-GB" w:eastAsia="zh-CN"/>
        </w:rPr>
        <w:t>元/平方米</w:t>
      </w:r>
    </w:p>
    <w:p w14:paraId="2D02F062">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楼面地价：</w:t>
      </w:r>
      <w:r>
        <w:rPr>
          <w:rFonts w:hint="eastAsia" w:ascii="仿宋_GB2312" w:hAnsi="仿宋_GB2312" w:eastAsia="仿宋_GB2312" w:cs="仿宋_GB2312"/>
          <w:b/>
          <w:bCs w:val="0"/>
          <w:color w:val="auto"/>
          <w:sz w:val="28"/>
          <w:szCs w:val="28"/>
          <w:highlight w:val="none"/>
          <w:lang w:val="en-US" w:eastAsia="zh-CN"/>
        </w:rPr>
        <w:t>596.1</w:t>
      </w:r>
      <w:r>
        <w:rPr>
          <w:rFonts w:hint="eastAsia" w:ascii="仿宋_GB2312" w:hAnsi="仿宋_GB2312" w:eastAsia="仿宋_GB2312" w:cs="仿宋_GB2312"/>
          <w:b/>
          <w:bCs w:val="0"/>
          <w:color w:val="auto"/>
          <w:sz w:val="28"/>
          <w:szCs w:val="28"/>
          <w:highlight w:val="none"/>
          <w:lang w:val="en-GB" w:eastAsia="zh-CN"/>
        </w:rPr>
        <w:t>元/平方米</w:t>
      </w:r>
    </w:p>
    <w:p w14:paraId="01DEEE0D">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总 地 价：</w:t>
      </w:r>
      <w:r>
        <w:rPr>
          <w:rFonts w:hint="eastAsia" w:ascii="仿宋_GB2312" w:hAnsi="仿宋_GB2312" w:eastAsia="仿宋_GB2312" w:cs="仿宋_GB2312"/>
          <w:b/>
          <w:bCs w:val="0"/>
          <w:color w:val="auto"/>
          <w:sz w:val="28"/>
          <w:szCs w:val="28"/>
          <w:highlight w:val="none"/>
          <w:lang w:val="en-US" w:eastAsia="zh-CN"/>
        </w:rPr>
        <w:t>44.46</w:t>
      </w:r>
      <w:r>
        <w:rPr>
          <w:rFonts w:hint="eastAsia" w:ascii="仿宋_GB2312" w:hAnsi="仿宋_GB2312" w:eastAsia="仿宋_GB2312" w:cs="仿宋_GB2312"/>
          <w:b/>
          <w:bCs w:val="0"/>
          <w:color w:val="auto"/>
          <w:sz w:val="28"/>
          <w:szCs w:val="28"/>
          <w:highlight w:val="none"/>
          <w:lang w:val="en-GB" w:eastAsia="zh-CN"/>
        </w:rPr>
        <w:t>万元</w:t>
      </w:r>
    </w:p>
    <w:p w14:paraId="40775E4A">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大    写：</w:t>
      </w:r>
      <w:r>
        <w:rPr>
          <w:rFonts w:hint="eastAsia" w:ascii="仿宋_GB2312" w:hAnsi="仿宋_GB2312" w:eastAsia="仿宋_GB2312" w:cs="仿宋_GB2312"/>
          <w:b/>
          <w:bCs w:val="0"/>
          <w:color w:val="auto"/>
          <w:sz w:val="28"/>
          <w:szCs w:val="28"/>
          <w:highlight w:val="none"/>
          <w:lang w:val="en-US" w:eastAsia="zh-CN"/>
        </w:rPr>
        <w:t>肆拾肆万肆仟陆佰</w:t>
      </w:r>
      <w:r>
        <w:rPr>
          <w:rFonts w:hint="eastAsia" w:ascii="仿宋_GB2312" w:hAnsi="仿宋_GB2312" w:eastAsia="仿宋_GB2312" w:cs="仿宋_GB2312"/>
          <w:b/>
          <w:bCs w:val="0"/>
          <w:color w:val="auto"/>
          <w:sz w:val="28"/>
          <w:szCs w:val="28"/>
          <w:highlight w:val="none"/>
          <w:lang w:val="en-GB" w:eastAsia="zh-CN"/>
        </w:rPr>
        <w:t>元整</w:t>
      </w:r>
    </w:p>
    <w:p w14:paraId="4CBC9194">
      <w:pPr>
        <w:spacing w:line="480" w:lineRule="exact"/>
        <w:ind w:firstLine="562" w:firstLineChars="200"/>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其中：</w:t>
      </w:r>
    </w:p>
    <w:p w14:paraId="56CCB9D6">
      <w:pPr>
        <w:overflowPunct w:val="0"/>
        <w:autoSpaceDE w:val="0"/>
        <w:autoSpaceDN w:val="0"/>
        <w:snapToGrid w:val="0"/>
        <w:spacing w:line="460" w:lineRule="exact"/>
        <w:ind w:firstLine="562" w:firstLineChars="200"/>
        <w:rPr>
          <w:rFonts w:hint="eastAsia" w:ascii="仿宋" w:hAnsi="仿宋" w:eastAsia="仿宋"/>
          <w:b/>
          <w:bCs/>
          <w:sz w:val="28"/>
          <w:szCs w:val="28"/>
          <w:highlight w:val="none"/>
        </w:rPr>
      </w:pPr>
      <w:r>
        <w:rPr>
          <w:rFonts w:hint="eastAsia" w:ascii="仿宋" w:hAnsi="仿宋" w:eastAsia="仿宋"/>
          <w:b/>
          <w:bCs/>
          <w:sz w:val="28"/>
          <w:szCs w:val="28"/>
          <w:highlight w:val="none"/>
        </w:rPr>
        <w:t>商服用地面积</w:t>
      </w:r>
      <w:r>
        <w:rPr>
          <w:rFonts w:hint="eastAsia" w:ascii="仿宋" w:hAnsi="仿宋" w:eastAsia="仿宋"/>
          <w:b/>
          <w:bCs/>
          <w:sz w:val="28"/>
          <w:szCs w:val="28"/>
          <w:highlight w:val="none"/>
          <w:lang w:val="en-US" w:eastAsia="zh-CN"/>
        </w:rPr>
        <w:t>:40.38</w:t>
      </w:r>
      <w:r>
        <w:rPr>
          <w:rFonts w:hint="eastAsia" w:ascii="仿宋" w:hAnsi="仿宋" w:eastAsia="仿宋"/>
          <w:b/>
          <w:bCs/>
          <w:sz w:val="28"/>
          <w:szCs w:val="28"/>
          <w:highlight w:val="none"/>
        </w:rPr>
        <w:t>平方米</w:t>
      </w:r>
    </w:p>
    <w:p w14:paraId="15DDC0AE">
      <w:pPr>
        <w:overflowPunct w:val="0"/>
        <w:autoSpaceDE w:val="0"/>
        <w:autoSpaceDN w:val="0"/>
        <w:snapToGrid w:val="0"/>
        <w:spacing w:line="460" w:lineRule="exact"/>
        <w:ind w:firstLine="562" w:firstLineChars="200"/>
        <w:rPr>
          <w:rFonts w:hint="eastAsia" w:ascii="仿宋" w:hAnsi="仿宋" w:eastAsia="仿宋"/>
          <w:b/>
          <w:bCs/>
          <w:sz w:val="28"/>
          <w:szCs w:val="28"/>
          <w:highlight w:val="none"/>
        </w:rPr>
      </w:pPr>
      <w:r>
        <w:rPr>
          <w:rFonts w:hint="eastAsia" w:ascii="仿宋" w:hAnsi="仿宋" w:eastAsia="仿宋"/>
          <w:b/>
          <w:bCs/>
          <w:sz w:val="28"/>
          <w:szCs w:val="28"/>
          <w:highlight w:val="none"/>
        </w:rPr>
        <w:t>商服用地</w:t>
      </w:r>
      <w:r>
        <w:rPr>
          <w:rFonts w:hint="eastAsia" w:ascii="仿宋" w:hAnsi="仿宋" w:eastAsia="仿宋"/>
          <w:b/>
          <w:bCs/>
          <w:sz w:val="28"/>
          <w:szCs w:val="28"/>
          <w:highlight w:val="none"/>
          <w:lang w:val="en-US" w:eastAsia="zh-CN"/>
        </w:rPr>
        <w:t>单</w:t>
      </w:r>
      <w:r>
        <w:rPr>
          <w:rFonts w:hint="eastAsia" w:ascii="仿宋" w:hAnsi="仿宋" w:eastAsia="仿宋"/>
          <w:b/>
          <w:bCs/>
          <w:sz w:val="28"/>
          <w:szCs w:val="28"/>
          <w:highlight w:val="none"/>
        </w:rPr>
        <w:t>价</w:t>
      </w:r>
      <w:r>
        <w:rPr>
          <w:rFonts w:hint="eastAsia" w:ascii="仿宋" w:hAnsi="仿宋" w:eastAsia="仿宋"/>
          <w:b/>
          <w:bCs/>
          <w:sz w:val="28"/>
          <w:szCs w:val="28"/>
          <w:highlight w:val="none"/>
          <w:lang w:val="en-US" w:eastAsia="zh-CN"/>
        </w:rPr>
        <w:t>:6636.00元</w:t>
      </w:r>
      <w:r>
        <w:rPr>
          <w:rFonts w:hint="eastAsia" w:ascii="仿宋" w:hAnsi="仿宋" w:eastAsia="仿宋"/>
          <w:b/>
          <w:bCs/>
          <w:sz w:val="28"/>
          <w:szCs w:val="28"/>
          <w:highlight w:val="none"/>
        </w:rPr>
        <w:t>/平方米</w:t>
      </w:r>
    </w:p>
    <w:p w14:paraId="51B73936">
      <w:pPr>
        <w:overflowPunct w:val="0"/>
        <w:autoSpaceDE w:val="0"/>
        <w:autoSpaceDN w:val="0"/>
        <w:snapToGrid w:val="0"/>
        <w:spacing w:line="460" w:lineRule="exact"/>
        <w:ind w:firstLine="562" w:firstLineChars="200"/>
        <w:rPr>
          <w:rFonts w:hint="eastAsia" w:ascii="仿宋" w:hAnsi="仿宋" w:eastAsia="仿宋"/>
          <w:b/>
          <w:bCs/>
          <w:sz w:val="28"/>
          <w:szCs w:val="28"/>
          <w:highlight w:val="none"/>
        </w:rPr>
      </w:pPr>
      <w:r>
        <w:rPr>
          <w:rFonts w:hint="eastAsia" w:ascii="仿宋" w:hAnsi="仿宋" w:eastAsia="仿宋"/>
          <w:b/>
          <w:bCs/>
          <w:sz w:val="28"/>
          <w:szCs w:val="28"/>
          <w:highlight w:val="none"/>
        </w:rPr>
        <w:t>商服用地楼面地价</w:t>
      </w:r>
      <w:r>
        <w:rPr>
          <w:rFonts w:hint="eastAsia" w:ascii="仿宋" w:hAnsi="仿宋" w:eastAsia="仿宋"/>
          <w:b/>
          <w:bCs/>
          <w:sz w:val="28"/>
          <w:szCs w:val="28"/>
          <w:highlight w:val="none"/>
          <w:lang w:val="en-US" w:eastAsia="zh-CN"/>
        </w:rPr>
        <w:t>:1630.5</w:t>
      </w:r>
      <w:r>
        <w:rPr>
          <w:rFonts w:hint="eastAsia" w:ascii="仿宋" w:hAnsi="仿宋" w:eastAsia="仿宋"/>
          <w:b/>
          <w:bCs/>
          <w:sz w:val="28"/>
          <w:szCs w:val="28"/>
          <w:highlight w:val="none"/>
        </w:rPr>
        <w:t>元/平方米</w:t>
      </w:r>
    </w:p>
    <w:p w14:paraId="6A46A204">
      <w:pPr>
        <w:overflowPunct w:val="0"/>
        <w:autoSpaceDE w:val="0"/>
        <w:autoSpaceDN w:val="0"/>
        <w:snapToGrid w:val="0"/>
        <w:spacing w:line="460" w:lineRule="exact"/>
        <w:ind w:firstLine="562" w:firstLineChars="200"/>
        <w:rPr>
          <w:rFonts w:hint="eastAsia" w:ascii="仿宋" w:hAnsi="仿宋" w:eastAsia="仿宋"/>
          <w:b/>
          <w:bCs/>
          <w:sz w:val="28"/>
          <w:szCs w:val="28"/>
          <w:highlight w:val="none"/>
        </w:rPr>
      </w:pPr>
      <w:r>
        <w:rPr>
          <w:rFonts w:hint="eastAsia" w:ascii="仿宋" w:hAnsi="仿宋" w:eastAsia="仿宋"/>
          <w:b/>
          <w:bCs/>
          <w:sz w:val="28"/>
          <w:szCs w:val="28"/>
          <w:highlight w:val="none"/>
        </w:rPr>
        <w:t>商服用地总价</w:t>
      </w:r>
      <w:r>
        <w:rPr>
          <w:rFonts w:hint="eastAsia" w:ascii="仿宋" w:hAnsi="仿宋" w:eastAsia="仿宋"/>
          <w:b/>
          <w:bCs/>
          <w:sz w:val="28"/>
          <w:szCs w:val="28"/>
          <w:highlight w:val="none"/>
          <w:lang w:val="en-US" w:eastAsia="zh-CN"/>
        </w:rPr>
        <w:t>:26.8</w:t>
      </w:r>
      <w:r>
        <w:rPr>
          <w:rFonts w:hint="eastAsia" w:ascii="仿宋" w:hAnsi="仿宋" w:eastAsia="仿宋"/>
          <w:b/>
          <w:bCs/>
          <w:sz w:val="28"/>
          <w:szCs w:val="28"/>
          <w:highlight w:val="none"/>
        </w:rPr>
        <w:t>万元</w:t>
      </w:r>
    </w:p>
    <w:p w14:paraId="39D1A355">
      <w:pPr>
        <w:overflowPunct w:val="0"/>
        <w:autoSpaceDE w:val="0"/>
        <w:autoSpaceDN w:val="0"/>
        <w:snapToGrid w:val="0"/>
        <w:spacing w:line="460" w:lineRule="exact"/>
        <w:ind w:firstLine="562" w:firstLineChars="200"/>
        <w:rPr>
          <w:rFonts w:hint="eastAsia" w:ascii="仿宋" w:hAnsi="仿宋" w:eastAsia="仿宋"/>
          <w:b/>
          <w:bCs/>
          <w:snapToGrid w:val="0"/>
          <w:kern w:val="0"/>
          <w:sz w:val="28"/>
          <w:szCs w:val="28"/>
          <w:highlight w:val="none"/>
        </w:rPr>
      </w:pPr>
      <w:r>
        <w:rPr>
          <w:rFonts w:hint="eastAsia" w:ascii="仿宋" w:hAnsi="仿宋" w:eastAsia="仿宋"/>
          <w:b/>
          <w:bCs/>
          <w:snapToGrid w:val="0"/>
          <w:kern w:val="0"/>
          <w:sz w:val="28"/>
          <w:szCs w:val="28"/>
          <w:highlight w:val="none"/>
        </w:rPr>
        <w:t>住宅用地面积</w:t>
      </w:r>
      <w:r>
        <w:rPr>
          <w:rFonts w:hint="eastAsia" w:ascii="仿宋" w:hAnsi="仿宋" w:eastAsia="仿宋"/>
          <w:b/>
          <w:bCs/>
          <w:snapToGrid w:val="0"/>
          <w:kern w:val="0"/>
          <w:sz w:val="28"/>
          <w:szCs w:val="28"/>
          <w:highlight w:val="none"/>
          <w:lang w:val="en-US" w:eastAsia="zh-CN"/>
        </w:rPr>
        <w:t>:142.89</w:t>
      </w:r>
      <w:r>
        <w:rPr>
          <w:rFonts w:hint="eastAsia" w:ascii="仿宋" w:hAnsi="仿宋" w:eastAsia="仿宋"/>
          <w:b/>
          <w:bCs/>
          <w:snapToGrid w:val="0"/>
          <w:kern w:val="0"/>
          <w:sz w:val="28"/>
          <w:szCs w:val="28"/>
          <w:highlight w:val="none"/>
        </w:rPr>
        <w:t>平方米</w:t>
      </w:r>
    </w:p>
    <w:p w14:paraId="5617A2B3">
      <w:pPr>
        <w:overflowPunct w:val="0"/>
        <w:autoSpaceDE w:val="0"/>
        <w:autoSpaceDN w:val="0"/>
        <w:snapToGrid w:val="0"/>
        <w:spacing w:line="460" w:lineRule="exact"/>
        <w:ind w:firstLine="562" w:firstLineChars="200"/>
        <w:rPr>
          <w:rFonts w:hint="eastAsia" w:ascii="仿宋" w:hAnsi="仿宋" w:eastAsia="仿宋"/>
          <w:b/>
          <w:bCs/>
          <w:snapToGrid w:val="0"/>
          <w:kern w:val="0"/>
          <w:sz w:val="28"/>
          <w:szCs w:val="28"/>
          <w:highlight w:val="none"/>
        </w:rPr>
      </w:pPr>
      <w:r>
        <w:rPr>
          <w:rFonts w:hint="eastAsia" w:ascii="仿宋" w:hAnsi="仿宋" w:eastAsia="仿宋"/>
          <w:b/>
          <w:bCs/>
          <w:snapToGrid w:val="0"/>
          <w:kern w:val="0"/>
          <w:sz w:val="28"/>
          <w:szCs w:val="28"/>
          <w:highlight w:val="none"/>
        </w:rPr>
        <w:t>住宅用地单价</w:t>
      </w:r>
      <w:r>
        <w:rPr>
          <w:rFonts w:hint="eastAsia" w:ascii="仿宋" w:hAnsi="仿宋" w:eastAsia="仿宋"/>
          <w:b/>
          <w:bCs/>
          <w:snapToGrid w:val="0"/>
          <w:kern w:val="0"/>
          <w:sz w:val="28"/>
          <w:szCs w:val="28"/>
          <w:highlight w:val="none"/>
          <w:lang w:val="en-US" w:eastAsia="zh-CN"/>
        </w:rPr>
        <w:t>:1236.00</w:t>
      </w:r>
      <w:r>
        <w:rPr>
          <w:rFonts w:hint="eastAsia" w:ascii="仿宋" w:hAnsi="仿宋" w:eastAsia="仿宋"/>
          <w:b/>
          <w:bCs/>
          <w:snapToGrid w:val="0"/>
          <w:kern w:val="0"/>
          <w:sz w:val="28"/>
          <w:szCs w:val="28"/>
          <w:highlight w:val="none"/>
        </w:rPr>
        <w:t>元/平方米</w:t>
      </w:r>
    </w:p>
    <w:p w14:paraId="6B0F60A3">
      <w:pPr>
        <w:overflowPunct w:val="0"/>
        <w:autoSpaceDE w:val="0"/>
        <w:autoSpaceDN w:val="0"/>
        <w:snapToGrid w:val="0"/>
        <w:spacing w:line="460" w:lineRule="exact"/>
        <w:ind w:firstLine="562" w:firstLineChars="200"/>
        <w:rPr>
          <w:rFonts w:hint="eastAsia" w:ascii="仿宋" w:hAnsi="仿宋" w:eastAsia="仿宋"/>
          <w:b/>
          <w:bCs/>
          <w:snapToGrid w:val="0"/>
          <w:kern w:val="0"/>
          <w:sz w:val="28"/>
          <w:szCs w:val="28"/>
          <w:highlight w:val="none"/>
        </w:rPr>
      </w:pPr>
      <w:r>
        <w:rPr>
          <w:rFonts w:hint="eastAsia" w:ascii="仿宋" w:hAnsi="仿宋" w:eastAsia="仿宋"/>
          <w:b/>
          <w:bCs/>
          <w:snapToGrid w:val="0"/>
          <w:kern w:val="0"/>
          <w:sz w:val="28"/>
          <w:szCs w:val="28"/>
          <w:highlight w:val="none"/>
        </w:rPr>
        <w:t>住宅用地楼面地价</w:t>
      </w:r>
      <w:r>
        <w:rPr>
          <w:rFonts w:hint="eastAsia" w:ascii="仿宋" w:hAnsi="仿宋" w:eastAsia="仿宋"/>
          <w:b/>
          <w:bCs/>
          <w:snapToGrid w:val="0"/>
          <w:kern w:val="0"/>
          <w:sz w:val="28"/>
          <w:szCs w:val="28"/>
          <w:highlight w:val="none"/>
          <w:lang w:val="en-US" w:eastAsia="zh-CN"/>
        </w:rPr>
        <w:t>:303.7</w:t>
      </w:r>
      <w:r>
        <w:rPr>
          <w:rFonts w:hint="eastAsia" w:ascii="仿宋" w:hAnsi="仿宋" w:eastAsia="仿宋"/>
          <w:b/>
          <w:bCs/>
          <w:snapToGrid w:val="0"/>
          <w:kern w:val="0"/>
          <w:sz w:val="28"/>
          <w:szCs w:val="28"/>
          <w:highlight w:val="none"/>
        </w:rPr>
        <w:t>元/平方米</w:t>
      </w:r>
    </w:p>
    <w:p w14:paraId="1095DDE0">
      <w:pPr>
        <w:overflowPunct w:val="0"/>
        <w:autoSpaceDE w:val="0"/>
        <w:autoSpaceDN w:val="0"/>
        <w:snapToGrid w:val="0"/>
        <w:spacing w:line="460" w:lineRule="exact"/>
        <w:ind w:firstLine="562" w:firstLineChars="200"/>
        <w:rPr>
          <w:rFonts w:hint="eastAsia" w:eastAsia="仿宋_GB2312"/>
          <w:highlight w:val="none"/>
          <w:lang w:val="en-US" w:eastAsia="zh-CN"/>
        </w:rPr>
      </w:pPr>
      <w:r>
        <w:rPr>
          <w:rFonts w:hint="eastAsia" w:ascii="仿宋" w:hAnsi="仿宋" w:eastAsia="仿宋"/>
          <w:b/>
          <w:bCs/>
          <w:snapToGrid w:val="0"/>
          <w:kern w:val="0"/>
          <w:sz w:val="28"/>
          <w:szCs w:val="28"/>
          <w:highlight w:val="none"/>
        </w:rPr>
        <w:t>住宅用地总价</w:t>
      </w:r>
      <w:r>
        <w:rPr>
          <w:rFonts w:hint="eastAsia" w:ascii="仿宋" w:hAnsi="仿宋" w:eastAsia="仿宋"/>
          <w:b/>
          <w:bCs/>
          <w:snapToGrid w:val="0"/>
          <w:kern w:val="0"/>
          <w:sz w:val="28"/>
          <w:szCs w:val="28"/>
          <w:highlight w:val="none"/>
          <w:lang w:val="en-US" w:eastAsia="zh-CN"/>
        </w:rPr>
        <w:t>:17.66</w:t>
      </w:r>
      <w:r>
        <w:rPr>
          <w:rFonts w:hint="eastAsia" w:ascii="仿宋" w:hAnsi="仿宋" w:eastAsia="仿宋"/>
          <w:b/>
          <w:bCs/>
          <w:snapToGrid w:val="0"/>
          <w:kern w:val="0"/>
          <w:sz w:val="28"/>
          <w:szCs w:val="28"/>
          <w:highlight w:val="none"/>
        </w:rPr>
        <w:t>万</w:t>
      </w:r>
      <w:r>
        <w:rPr>
          <w:rFonts w:hint="eastAsia" w:ascii="仿宋" w:hAnsi="仿宋" w:eastAsia="仿宋"/>
          <w:b/>
          <w:bCs/>
          <w:sz w:val="28"/>
          <w:szCs w:val="28"/>
          <w:highlight w:val="none"/>
        </w:rPr>
        <w:t>元</w:t>
      </w:r>
    </w:p>
    <w:p w14:paraId="47B20E95">
      <w:pPr>
        <w:keepNext w:val="0"/>
        <w:keepLines w:val="0"/>
        <w:pageBreakBefore w:val="0"/>
        <w:widowControl w:val="0"/>
        <w:tabs>
          <w:tab w:val="left" w:pos="5400"/>
        </w:tabs>
        <w:kinsoku/>
        <w:wordWrap/>
        <w:overflowPunct/>
        <w:topLinePunct w:val="0"/>
        <w:autoSpaceDE/>
        <w:autoSpaceDN/>
        <w:bidi w:val="0"/>
        <w:spacing w:line="480" w:lineRule="exact"/>
        <w:ind w:left="420" w:leftChars="200" w:firstLine="141" w:firstLineChars="50"/>
        <w:textAlignment w:val="auto"/>
        <w:rPr>
          <w:rFonts w:hint="eastAsia" w:ascii="仿宋_GB2312" w:eastAsia="仿宋_GB2312"/>
          <w:b/>
          <w:bCs/>
          <w:color w:val="000000"/>
          <w:sz w:val="28"/>
          <w:szCs w:val="28"/>
          <w:highlight w:val="none"/>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详见《土地估价结果一览表》</w:t>
      </w:r>
      <w:r>
        <w:rPr>
          <w:rFonts w:hint="eastAsia" w:ascii="仿宋_GB2312" w:eastAsia="仿宋_GB2312"/>
          <w:b/>
          <w:bCs/>
          <w:color w:val="000000"/>
          <w:sz w:val="28"/>
          <w:szCs w:val="28"/>
          <w:highlight w:val="none"/>
        </w:rPr>
        <w:t>。</w:t>
      </w:r>
    </w:p>
    <w:p w14:paraId="0E8A7D3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sectPr>
          <w:headerReference r:id="rId17" w:type="default"/>
          <w:pgSz w:w="11906" w:h="16838"/>
          <w:pgMar w:top="1440" w:right="1800" w:bottom="1440" w:left="1800" w:header="851" w:footer="850" w:gutter="0"/>
          <w:pgNumType w:fmt="decimal"/>
          <w:cols w:space="0" w:num="1"/>
          <w:rtlGutter w:val="0"/>
          <w:docGrid w:type="lines" w:linePitch="312" w:charSpace="0"/>
        </w:sectPr>
      </w:pPr>
      <w:r>
        <w:rPr>
          <w:rFonts w:hint="eastAsia" w:ascii="仿宋_GB2312" w:hAnsi="仿宋_GB2312" w:eastAsia="仿宋_GB2312" w:cs="仿宋_GB2312"/>
          <w:bCs/>
          <w:color w:val="auto"/>
          <w:sz w:val="28"/>
          <w:szCs w:val="28"/>
          <w:highlight w:val="none"/>
          <w:lang w:val="en-US" w:eastAsia="zh-CN"/>
        </w:rPr>
        <w:t>底价建议：根据《国土资源部办公厅关于印发&lt;国有建设用地使用权出让地价评估技术规范&gt;的通知》（国土资厅发[2018]4号），“协议出让评估需在土地估价报告中测算并对比说明该建议出让底价是否符合当地的协议出让最低价标准。当地未公布协议出让最低价标准的，按拟出让土地所在级别基准地价的70％测算对比”，故与</w:t>
      </w:r>
    </w:p>
    <w:p w14:paraId="76D7455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通道侗族自治县人民政府关于更新城镇基准地价标准和等级的通知》（通政发〔2026〕1号，2026年1月6日）的估价对象所在级别基准地价的70％进行测算和对比，估价对象属于通道县商业服务业用地二级、居住用地二级基准地价范围，其商业服务业用地级别楼面地价1040元/平方米，则测算协议最低价标准728元/平方米，居住用地级别楼面地价355元/平方米，则测算协议最低价标准248.5元/平方米，本次评估结果高于拟出让土地所在级别基准地价的70％。</w:t>
      </w:r>
    </w:p>
    <w:p w14:paraId="29C0A55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US" w:eastAsia="zh-CN"/>
        </w:rPr>
        <w:t>综合分析，评估结果符合宗地所在区域地价水平，且高于协议出让最低价标准，建议确定土地出让价格时以此价格作为参考。</w:t>
      </w:r>
    </w:p>
    <w:p w14:paraId="479C495C">
      <w:pPr>
        <w:keepNext w:val="0"/>
        <w:keepLines w:val="0"/>
        <w:pageBreakBefore w:val="0"/>
        <w:widowControl w:val="0"/>
        <w:kinsoku/>
        <w:wordWrap/>
        <w:overflowPunct/>
        <w:topLinePunct w:val="0"/>
        <w:autoSpaceDE/>
        <w:autoSpaceDN/>
        <w:bidi w:val="0"/>
        <w:adjustRightInd w:val="0"/>
        <w:snapToGrid w:val="0"/>
        <w:spacing w:line="480" w:lineRule="exact"/>
        <w:jc w:val="both"/>
        <w:textAlignment w:val="auto"/>
        <w:rPr>
          <w:rFonts w:hint="eastAsia" w:ascii="仿宋_GB2312" w:hAnsi="仿宋_GB2312" w:eastAsia="仿宋_GB2312" w:cs="仿宋_GB2312"/>
          <w:bCs/>
          <w:color w:val="auto"/>
          <w:sz w:val="21"/>
          <w:szCs w:val="21"/>
          <w:highlight w:val="none"/>
          <w:lang w:val="en-US" w:eastAsia="zh-CN"/>
        </w:rPr>
      </w:pPr>
    </w:p>
    <w:p w14:paraId="44C4A2EF">
      <w:pPr>
        <w:rPr>
          <w:rFonts w:hint="eastAsia" w:ascii="仿宋_GB2312" w:hAnsi="仿宋_GB2312" w:eastAsia="仿宋_GB2312" w:cs="仿宋_GB2312"/>
          <w:bCs/>
          <w:color w:val="auto"/>
          <w:sz w:val="21"/>
          <w:szCs w:val="21"/>
          <w:highlight w:val="none"/>
          <w:lang w:val="en-US" w:eastAsia="zh-CN"/>
        </w:rPr>
        <w:sectPr>
          <w:footerReference r:id="rId18" w:type="default"/>
          <w:pgSz w:w="11906" w:h="16838"/>
          <w:pgMar w:top="1440" w:right="1800" w:bottom="1440" w:left="1800" w:header="851" w:footer="850" w:gutter="0"/>
          <w:pgNumType w:fmt="decimal"/>
          <w:cols w:space="0" w:num="1"/>
          <w:rtlGutter w:val="0"/>
          <w:docGrid w:type="lines" w:linePitch="312" w:charSpace="0"/>
        </w:sectPr>
      </w:pPr>
    </w:p>
    <w:p w14:paraId="7E991276">
      <w:pPr>
        <w:jc w:val="center"/>
        <w:outlineLvl w:val="1"/>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US" w:eastAsia="zh-CN"/>
        </w:rPr>
        <w:t xml:space="preserve">表1-1  </w:t>
      </w:r>
      <w:r>
        <w:rPr>
          <w:rFonts w:hint="eastAsia" w:ascii="仿宋_GB2312" w:hAnsi="仿宋_GB2312" w:eastAsia="仿宋_GB2312" w:cs="仿宋_GB2312"/>
          <w:bCs/>
          <w:color w:val="auto"/>
          <w:sz w:val="28"/>
          <w:szCs w:val="28"/>
          <w:highlight w:val="none"/>
          <w:lang w:val="en-GB" w:eastAsia="zh-CN"/>
        </w:rPr>
        <w:t>土地估价结果一览表</w:t>
      </w:r>
    </w:p>
    <w:p w14:paraId="182A85D2">
      <w:pPr>
        <w:keepNext w:val="0"/>
        <w:keepLines w:val="0"/>
        <w:pageBreakBefore w:val="0"/>
        <w:widowControl w:val="0"/>
        <w:kinsoku/>
        <w:wordWrap/>
        <w:overflowPunct/>
        <w:topLinePunct w:val="0"/>
        <w:autoSpaceDE/>
        <w:autoSpaceDN/>
        <w:bidi w:val="0"/>
        <w:adjustRightInd w:val="0"/>
        <w:snapToGrid w:val="0"/>
        <w:spacing w:line="300" w:lineRule="exact"/>
        <w:textAlignment w:val="auto"/>
        <w:rPr>
          <w:rFonts w:hint="eastAsia" w:ascii="仿宋_GB2312" w:hAnsi="仿宋_GB2312" w:eastAsia="仿宋_GB2312" w:cs="仿宋_GB2312"/>
          <w:bCs/>
          <w:color w:val="auto"/>
          <w:sz w:val="21"/>
          <w:szCs w:val="21"/>
          <w:highlight w:val="none"/>
          <w:lang w:val="en-GB" w:eastAsia="zh-CN"/>
        </w:rPr>
      </w:pPr>
      <w:r>
        <w:rPr>
          <w:rFonts w:hint="eastAsia" w:ascii="仿宋_GB2312" w:hAnsi="仿宋_GB2312" w:eastAsia="仿宋_GB2312" w:cs="仿宋_GB2312"/>
          <w:bCs/>
          <w:color w:val="auto"/>
          <w:sz w:val="21"/>
          <w:szCs w:val="21"/>
          <w:highlight w:val="none"/>
          <w:lang w:val="en-GB" w:eastAsia="zh-CN"/>
        </w:rPr>
        <w:t xml:space="preserve">估价机构：湖南兆财不动产规划评估有限公司                                          </w:t>
      </w:r>
      <w:r>
        <w:rPr>
          <w:rFonts w:hint="eastAsia" w:ascii="仿宋_GB2312" w:hAnsi="仿宋_GB2312" w:eastAsia="仿宋_GB2312" w:cs="仿宋_GB2312"/>
          <w:bCs/>
          <w:color w:val="auto"/>
          <w:sz w:val="21"/>
          <w:szCs w:val="21"/>
          <w:highlight w:val="none"/>
          <w:lang w:val="en-US" w:eastAsia="zh-CN"/>
        </w:rPr>
        <w:t xml:space="preserve">                </w:t>
      </w:r>
      <w:r>
        <w:rPr>
          <w:rFonts w:hint="eastAsia" w:ascii="仿宋_GB2312" w:hAnsi="仿宋_GB2312" w:eastAsia="仿宋_GB2312" w:cs="仿宋_GB2312"/>
          <w:bCs/>
          <w:color w:val="auto"/>
          <w:sz w:val="21"/>
          <w:szCs w:val="21"/>
          <w:highlight w:val="none"/>
          <w:lang w:val="en-GB" w:eastAsia="zh-CN"/>
        </w:rPr>
        <w:t>估价期日：202</w:t>
      </w:r>
      <w:r>
        <w:rPr>
          <w:rFonts w:hint="eastAsia" w:ascii="仿宋_GB2312" w:hAnsi="仿宋_GB2312" w:eastAsia="仿宋_GB2312" w:cs="仿宋_GB2312"/>
          <w:bCs/>
          <w:color w:val="auto"/>
          <w:sz w:val="21"/>
          <w:szCs w:val="21"/>
          <w:highlight w:val="none"/>
          <w:lang w:val="en-US" w:eastAsia="zh-CN"/>
        </w:rPr>
        <w:t>6</w:t>
      </w:r>
      <w:r>
        <w:rPr>
          <w:rFonts w:hint="eastAsia" w:ascii="仿宋_GB2312" w:hAnsi="仿宋_GB2312" w:eastAsia="仿宋_GB2312" w:cs="仿宋_GB2312"/>
          <w:bCs/>
          <w:color w:val="auto"/>
          <w:sz w:val="21"/>
          <w:szCs w:val="21"/>
          <w:highlight w:val="none"/>
          <w:lang w:val="en-GB" w:eastAsia="zh-CN"/>
        </w:rPr>
        <w:t>年</w:t>
      </w:r>
      <w:r>
        <w:rPr>
          <w:rFonts w:hint="eastAsia" w:ascii="仿宋_GB2312" w:hAnsi="仿宋_GB2312" w:eastAsia="仿宋_GB2312" w:cs="仿宋_GB2312"/>
          <w:bCs/>
          <w:color w:val="auto"/>
          <w:sz w:val="21"/>
          <w:szCs w:val="21"/>
          <w:highlight w:val="none"/>
          <w:lang w:val="en-US" w:eastAsia="zh-CN"/>
        </w:rPr>
        <w:t>02</w:t>
      </w:r>
      <w:r>
        <w:rPr>
          <w:rFonts w:hint="eastAsia" w:ascii="仿宋_GB2312" w:hAnsi="仿宋_GB2312" w:eastAsia="仿宋_GB2312" w:cs="仿宋_GB2312"/>
          <w:bCs/>
          <w:color w:val="auto"/>
          <w:sz w:val="21"/>
          <w:szCs w:val="21"/>
          <w:highlight w:val="none"/>
          <w:lang w:val="en-GB" w:eastAsia="zh-CN"/>
        </w:rPr>
        <w:t>月</w:t>
      </w:r>
      <w:r>
        <w:rPr>
          <w:rFonts w:hint="eastAsia" w:ascii="仿宋_GB2312" w:hAnsi="仿宋_GB2312" w:eastAsia="仿宋_GB2312" w:cs="仿宋_GB2312"/>
          <w:bCs/>
          <w:color w:val="auto"/>
          <w:sz w:val="21"/>
          <w:szCs w:val="21"/>
          <w:highlight w:val="none"/>
          <w:lang w:val="en-US" w:eastAsia="zh-CN"/>
        </w:rPr>
        <w:t>02</w:t>
      </w:r>
      <w:r>
        <w:rPr>
          <w:rFonts w:hint="eastAsia" w:ascii="仿宋_GB2312" w:hAnsi="仿宋_GB2312" w:eastAsia="仿宋_GB2312" w:cs="仿宋_GB2312"/>
          <w:bCs/>
          <w:color w:val="auto"/>
          <w:sz w:val="21"/>
          <w:szCs w:val="21"/>
          <w:highlight w:val="none"/>
          <w:lang w:val="en-GB" w:eastAsia="zh-CN"/>
        </w:rPr>
        <w:t>日</w:t>
      </w:r>
    </w:p>
    <w:p w14:paraId="6A103844">
      <w:pPr>
        <w:keepNext w:val="0"/>
        <w:keepLines w:val="0"/>
        <w:pageBreakBefore w:val="0"/>
        <w:widowControl w:val="0"/>
        <w:kinsoku/>
        <w:wordWrap/>
        <w:overflowPunct/>
        <w:topLinePunct w:val="0"/>
        <w:autoSpaceDE/>
        <w:autoSpaceDN/>
        <w:bidi w:val="0"/>
        <w:adjustRightInd w:val="0"/>
        <w:snapToGrid w:val="0"/>
        <w:spacing w:line="300" w:lineRule="exact"/>
        <w:textAlignment w:val="auto"/>
        <w:rPr>
          <w:rFonts w:hint="eastAsia" w:ascii="仿宋_GB2312" w:hAnsi="仿宋_GB2312" w:eastAsia="仿宋_GB2312" w:cs="仿宋_GB2312"/>
          <w:bCs/>
          <w:color w:val="auto"/>
          <w:sz w:val="21"/>
          <w:szCs w:val="21"/>
          <w:highlight w:val="none"/>
          <w:lang w:val="en-GB" w:eastAsia="zh-CN"/>
        </w:rPr>
      </w:pPr>
      <w:r>
        <w:rPr>
          <w:rFonts w:hint="eastAsia" w:ascii="仿宋_GB2312" w:hAnsi="仿宋_GB2312" w:eastAsia="仿宋_GB2312" w:cs="仿宋_GB2312"/>
          <w:bCs/>
          <w:color w:val="auto"/>
          <w:sz w:val="21"/>
          <w:szCs w:val="21"/>
          <w:highlight w:val="none"/>
          <w:lang w:val="en-GB" w:eastAsia="zh-CN"/>
        </w:rPr>
        <w:t>估价报告编号：（</w:t>
      </w:r>
      <w:r>
        <w:rPr>
          <w:rFonts w:hint="eastAsia" w:ascii="仿宋_GB2312" w:hAnsi="仿宋_GB2312" w:eastAsia="仿宋_GB2312" w:cs="仿宋_GB2312"/>
          <w:bCs/>
          <w:color w:val="auto"/>
          <w:sz w:val="21"/>
          <w:szCs w:val="21"/>
          <w:highlight w:val="none"/>
          <w:lang w:val="en-US" w:eastAsia="zh-CN"/>
        </w:rPr>
        <w:t>湖南</w:t>
      </w:r>
      <w:r>
        <w:rPr>
          <w:rFonts w:hint="eastAsia" w:ascii="仿宋_GB2312" w:hAnsi="仿宋_GB2312" w:eastAsia="仿宋_GB2312" w:cs="仿宋_GB2312"/>
          <w:bCs/>
          <w:color w:val="auto"/>
          <w:sz w:val="21"/>
          <w:szCs w:val="21"/>
          <w:highlight w:val="none"/>
          <w:lang w:val="en-GB" w:eastAsia="zh-CN"/>
        </w:rPr>
        <w:t>）</w:t>
      </w:r>
      <w:r>
        <w:rPr>
          <w:rFonts w:hint="eastAsia" w:ascii="仿宋_GB2312" w:hAnsi="仿宋_GB2312" w:eastAsia="仿宋_GB2312" w:cs="仿宋_GB2312"/>
          <w:bCs/>
          <w:color w:val="auto"/>
          <w:sz w:val="21"/>
          <w:szCs w:val="21"/>
          <w:highlight w:val="none"/>
          <w:lang w:val="en-US" w:eastAsia="zh-CN"/>
        </w:rPr>
        <w:t>湘兆财土地</w:t>
      </w:r>
      <w:r>
        <w:rPr>
          <w:rFonts w:hint="eastAsia" w:ascii="仿宋_GB2312" w:hAnsi="仿宋_GB2312" w:eastAsia="仿宋_GB2312" w:cs="仿宋_GB2312"/>
          <w:bCs/>
          <w:color w:val="auto"/>
          <w:sz w:val="21"/>
          <w:szCs w:val="21"/>
          <w:highlight w:val="none"/>
          <w:lang w:val="en-GB" w:eastAsia="zh-CN"/>
        </w:rPr>
        <w:t>[202</w:t>
      </w:r>
      <w:r>
        <w:rPr>
          <w:rFonts w:hint="eastAsia" w:ascii="仿宋_GB2312" w:hAnsi="仿宋_GB2312" w:eastAsia="仿宋_GB2312" w:cs="仿宋_GB2312"/>
          <w:bCs/>
          <w:color w:val="auto"/>
          <w:sz w:val="21"/>
          <w:szCs w:val="21"/>
          <w:highlight w:val="none"/>
          <w:lang w:val="en-US" w:eastAsia="zh-CN"/>
        </w:rPr>
        <w:t>6</w:t>
      </w:r>
      <w:r>
        <w:rPr>
          <w:rFonts w:hint="eastAsia" w:ascii="仿宋_GB2312" w:hAnsi="仿宋_GB2312" w:eastAsia="仿宋_GB2312" w:cs="仿宋_GB2312"/>
          <w:bCs/>
          <w:color w:val="auto"/>
          <w:sz w:val="21"/>
          <w:szCs w:val="21"/>
          <w:highlight w:val="none"/>
          <w:lang w:val="en-GB" w:eastAsia="zh-CN"/>
        </w:rPr>
        <w:t>]（</w:t>
      </w:r>
      <w:r>
        <w:rPr>
          <w:rFonts w:hint="eastAsia" w:ascii="仿宋_GB2312" w:hAnsi="仿宋_GB2312" w:eastAsia="仿宋_GB2312" w:cs="仿宋_GB2312"/>
          <w:bCs/>
          <w:color w:val="auto"/>
          <w:sz w:val="21"/>
          <w:szCs w:val="21"/>
          <w:highlight w:val="none"/>
          <w:lang w:val="en-US" w:eastAsia="zh-CN"/>
        </w:rPr>
        <w:t>技</w:t>
      </w:r>
      <w:r>
        <w:rPr>
          <w:rFonts w:hint="eastAsia" w:ascii="仿宋_GB2312" w:hAnsi="仿宋_GB2312" w:eastAsia="仿宋_GB2312" w:cs="仿宋_GB2312"/>
          <w:bCs/>
          <w:color w:val="auto"/>
          <w:sz w:val="21"/>
          <w:szCs w:val="21"/>
          <w:highlight w:val="none"/>
          <w:lang w:val="en-GB" w:eastAsia="zh-CN"/>
        </w:rPr>
        <w:t>）字第</w:t>
      </w:r>
      <w:r>
        <w:rPr>
          <w:rFonts w:hint="eastAsia" w:ascii="仿宋_GB2312" w:hAnsi="仿宋_GB2312" w:eastAsia="仿宋_GB2312" w:cs="仿宋_GB2312"/>
          <w:bCs/>
          <w:color w:val="auto"/>
          <w:sz w:val="21"/>
          <w:szCs w:val="21"/>
          <w:highlight w:val="none"/>
          <w:lang w:val="en-US" w:eastAsia="zh-CN"/>
        </w:rPr>
        <w:t>ZC</w:t>
      </w:r>
      <w:r>
        <w:rPr>
          <w:rFonts w:hint="eastAsia" w:ascii="仿宋_GB2312" w:hAnsi="仿宋_GB2312" w:eastAsia="仿宋_GB2312" w:cs="仿宋_GB2312"/>
          <w:bCs/>
          <w:color w:val="auto"/>
          <w:sz w:val="21"/>
          <w:szCs w:val="21"/>
          <w:highlight w:val="none"/>
          <w:lang w:val="en-GB" w:eastAsia="zh-CN"/>
        </w:rPr>
        <w:t>00</w:t>
      </w:r>
      <w:r>
        <w:rPr>
          <w:rFonts w:hint="eastAsia" w:ascii="仿宋_GB2312" w:hAnsi="仿宋_GB2312" w:eastAsia="仿宋_GB2312" w:cs="仿宋_GB2312"/>
          <w:bCs/>
          <w:color w:val="auto"/>
          <w:sz w:val="21"/>
          <w:szCs w:val="21"/>
          <w:highlight w:val="none"/>
          <w:lang w:val="en-US" w:eastAsia="zh-CN"/>
        </w:rPr>
        <w:t>13</w:t>
      </w:r>
      <w:r>
        <w:rPr>
          <w:rFonts w:hint="eastAsia" w:ascii="仿宋_GB2312" w:hAnsi="仿宋_GB2312" w:eastAsia="仿宋_GB2312" w:cs="仿宋_GB2312"/>
          <w:bCs/>
          <w:color w:val="auto"/>
          <w:sz w:val="21"/>
          <w:szCs w:val="21"/>
          <w:highlight w:val="none"/>
          <w:lang w:val="en-GB" w:eastAsia="zh-CN"/>
        </w:rPr>
        <w:t>号</w:t>
      </w:r>
      <w:r>
        <w:rPr>
          <w:rFonts w:hint="eastAsia" w:ascii="仿宋_GB2312" w:hAnsi="仿宋_GB2312" w:eastAsia="仿宋_GB2312" w:cs="仿宋_GB2312"/>
          <w:bCs/>
          <w:color w:val="auto"/>
          <w:sz w:val="21"/>
          <w:szCs w:val="21"/>
          <w:highlight w:val="none"/>
          <w:lang w:val="en-US" w:eastAsia="zh-CN"/>
        </w:rPr>
        <w:t xml:space="preserve">         </w:t>
      </w:r>
      <w:r>
        <w:rPr>
          <w:rFonts w:hint="eastAsia" w:ascii="仿宋_GB2312" w:hAnsi="仿宋_GB2312" w:eastAsia="仿宋_GB2312" w:cs="仿宋_GB2312"/>
          <w:bCs/>
          <w:color w:val="auto"/>
          <w:sz w:val="21"/>
          <w:szCs w:val="21"/>
          <w:highlight w:val="none"/>
          <w:lang w:val="en-GB" w:eastAsia="zh-CN"/>
        </w:rPr>
        <w:t>估价目的：</w:t>
      </w:r>
      <w:r>
        <w:rPr>
          <w:rFonts w:hint="eastAsia" w:ascii="仿宋_GB2312" w:hAnsi="仿宋_GB2312" w:eastAsia="仿宋_GB2312" w:cs="仿宋_GB2312"/>
          <w:bCs/>
          <w:color w:val="auto"/>
          <w:sz w:val="21"/>
          <w:szCs w:val="21"/>
          <w:highlight w:val="none"/>
          <w:lang w:val="en-US" w:eastAsia="zh-CN"/>
        </w:rPr>
        <w:t>出让</w:t>
      </w:r>
      <w:r>
        <w:rPr>
          <w:rFonts w:hint="eastAsia" w:ascii="仿宋_GB2312" w:hAnsi="仿宋_GB2312" w:eastAsia="仿宋_GB2312" w:cs="仿宋_GB2312"/>
          <w:bCs/>
          <w:color w:val="auto"/>
          <w:sz w:val="21"/>
          <w:szCs w:val="21"/>
          <w:highlight w:val="none"/>
          <w:lang w:val="en-GB" w:eastAsia="zh-CN"/>
        </w:rPr>
        <w:t xml:space="preserve">  </w:t>
      </w:r>
      <w:r>
        <w:rPr>
          <w:rFonts w:hint="eastAsia" w:ascii="仿宋_GB2312" w:hAnsi="仿宋_GB2312" w:eastAsia="仿宋_GB2312" w:cs="仿宋_GB2312"/>
          <w:bCs/>
          <w:color w:val="auto"/>
          <w:sz w:val="21"/>
          <w:szCs w:val="21"/>
          <w:highlight w:val="none"/>
          <w:lang w:val="en-US" w:eastAsia="zh-CN"/>
        </w:rPr>
        <w:t xml:space="preserve">                </w:t>
      </w:r>
      <w:r>
        <w:rPr>
          <w:rFonts w:hint="eastAsia" w:ascii="仿宋_GB2312" w:hAnsi="仿宋_GB2312" w:eastAsia="仿宋_GB2312" w:cs="仿宋_GB2312"/>
          <w:bCs/>
          <w:color w:val="auto"/>
          <w:sz w:val="21"/>
          <w:szCs w:val="21"/>
          <w:highlight w:val="none"/>
          <w:lang w:val="en-GB" w:eastAsia="zh-CN"/>
        </w:rPr>
        <w:t>估价期日的土地使用权性质：</w:t>
      </w:r>
      <w:r>
        <w:rPr>
          <w:rFonts w:hint="eastAsia" w:ascii="仿宋_GB2312" w:hAnsi="仿宋_GB2312" w:eastAsia="仿宋_GB2312" w:cs="仿宋_GB2312"/>
          <w:bCs/>
          <w:color w:val="auto"/>
          <w:sz w:val="21"/>
          <w:szCs w:val="21"/>
          <w:highlight w:val="none"/>
          <w:lang w:val="en-US" w:eastAsia="zh-CN"/>
        </w:rPr>
        <w:t>国有划拨</w:t>
      </w:r>
    </w:p>
    <w:tbl>
      <w:tblPr>
        <w:tblStyle w:val="11"/>
        <w:tblpPr w:leftFromText="180" w:rightFromText="180" w:vertAnchor="text" w:horzAnchor="page" w:tblpX="1276" w:tblpY="12"/>
        <w:tblOverlap w:val="never"/>
        <w:tblW w:w="502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46"/>
        <w:gridCol w:w="574"/>
        <w:gridCol w:w="720"/>
        <w:gridCol w:w="912"/>
        <w:gridCol w:w="809"/>
        <w:gridCol w:w="1000"/>
        <w:gridCol w:w="1000"/>
        <w:gridCol w:w="441"/>
        <w:gridCol w:w="588"/>
        <w:gridCol w:w="633"/>
        <w:gridCol w:w="1073"/>
        <w:gridCol w:w="1030"/>
        <w:gridCol w:w="779"/>
        <w:gridCol w:w="765"/>
        <w:gridCol w:w="706"/>
        <w:gridCol w:w="647"/>
        <w:gridCol w:w="735"/>
        <w:gridCol w:w="792"/>
      </w:tblGrid>
      <w:tr w14:paraId="6F59A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36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EB25EB3">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估价期日土地使用者</w:t>
            </w:r>
          </w:p>
        </w:tc>
        <w:tc>
          <w:tcPr>
            <w:tcW w:w="20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A6D5C92">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宗地</w:t>
            </w:r>
          </w:p>
          <w:p w14:paraId="63E3ACBE">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编号</w:t>
            </w:r>
          </w:p>
        </w:tc>
        <w:tc>
          <w:tcPr>
            <w:tcW w:w="2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53FF398">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宗地名称</w:t>
            </w:r>
          </w:p>
        </w:tc>
        <w:tc>
          <w:tcPr>
            <w:tcW w:w="32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41284CF">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土地使用证编号</w:t>
            </w:r>
          </w:p>
        </w:tc>
        <w:tc>
          <w:tcPr>
            <w:tcW w:w="985"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5CA71E91">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估价期日用途</w:t>
            </w:r>
          </w:p>
        </w:tc>
        <w:tc>
          <w:tcPr>
            <w:tcW w:w="583"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7F5DFC24">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容积率</w:t>
            </w:r>
          </w:p>
        </w:tc>
        <w:tc>
          <w:tcPr>
            <w:tcW w:w="376" w:type="pct"/>
            <w:vMerge w:val="restart"/>
            <w:tcBorders>
              <w:top w:val="single" w:color="000000" w:sz="4" w:space="0"/>
              <w:left w:val="single" w:color="000000" w:sz="4" w:space="0"/>
              <w:right w:val="single" w:color="000000" w:sz="4" w:space="0"/>
            </w:tcBorders>
            <w:shd w:val="clear" w:color="auto" w:fill="auto"/>
            <w:vAlign w:val="center"/>
          </w:tcPr>
          <w:p w14:paraId="0371A2C8">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估价期日的实际土地开发程度</w:t>
            </w:r>
          </w:p>
        </w:tc>
        <w:tc>
          <w:tcPr>
            <w:tcW w:w="361" w:type="pct"/>
            <w:vMerge w:val="restart"/>
            <w:tcBorders>
              <w:top w:val="single" w:color="000000" w:sz="4" w:space="0"/>
              <w:left w:val="single" w:color="000000" w:sz="4" w:space="0"/>
              <w:right w:val="single" w:color="000000" w:sz="4" w:space="0"/>
            </w:tcBorders>
            <w:shd w:val="clear" w:color="auto" w:fill="auto"/>
            <w:vAlign w:val="center"/>
          </w:tcPr>
          <w:p w14:paraId="4F0FD73D">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估价设定的土地开发程度</w:t>
            </w:r>
          </w:p>
        </w:tc>
        <w:tc>
          <w:tcPr>
            <w:tcW w:w="273" w:type="pct"/>
            <w:vMerge w:val="restart"/>
            <w:tcBorders>
              <w:top w:val="single" w:color="000000" w:sz="4" w:space="0"/>
              <w:left w:val="single" w:color="000000" w:sz="4" w:space="0"/>
              <w:right w:val="single" w:color="000000" w:sz="4" w:space="0"/>
            </w:tcBorders>
            <w:shd w:val="clear" w:color="auto" w:fill="auto"/>
            <w:vAlign w:val="center"/>
          </w:tcPr>
          <w:p w14:paraId="4A614619">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剩余土地使用权年限/年</w:t>
            </w:r>
          </w:p>
        </w:tc>
        <w:tc>
          <w:tcPr>
            <w:tcW w:w="268" w:type="pct"/>
            <w:vMerge w:val="restart"/>
            <w:tcBorders>
              <w:top w:val="single" w:color="000000" w:sz="4" w:space="0"/>
              <w:left w:val="single" w:color="000000" w:sz="4" w:space="0"/>
              <w:right w:val="single" w:color="000000" w:sz="4" w:space="0"/>
            </w:tcBorders>
            <w:shd w:val="clear" w:color="auto" w:fill="auto"/>
            <w:vAlign w:val="center"/>
          </w:tcPr>
          <w:p w14:paraId="4AC3FD8A">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面积/m</w:t>
            </w:r>
            <w:r>
              <w:rPr>
                <w:rFonts w:hint="eastAsia" w:ascii="仿宋_GB2312" w:hAnsi="仿宋_GB2312" w:eastAsia="仿宋_GB2312" w:cs="仿宋_GB2312"/>
                <w:bCs/>
                <w:color w:val="auto"/>
                <w:sz w:val="20"/>
                <w:szCs w:val="20"/>
                <w:highlight w:val="none"/>
                <w:vertAlign w:val="superscript"/>
                <w:lang w:val="en-US" w:eastAsia="zh-CN"/>
              </w:rPr>
              <w:t>2</w:t>
            </w:r>
          </w:p>
        </w:tc>
        <w:tc>
          <w:tcPr>
            <w:tcW w:w="247" w:type="pct"/>
            <w:vMerge w:val="restart"/>
            <w:tcBorders>
              <w:top w:val="single" w:color="000000" w:sz="4" w:space="0"/>
              <w:left w:val="single" w:color="000000" w:sz="4" w:space="0"/>
              <w:right w:val="single" w:color="000000" w:sz="4" w:space="0"/>
            </w:tcBorders>
            <w:shd w:val="clear" w:color="auto" w:fill="auto"/>
            <w:vAlign w:val="center"/>
          </w:tcPr>
          <w:p w14:paraId="5DE8C162">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单位面积地价/元/m</w:t>
            </w:r>
            <w:r>
              <w:rPr>
                <w:rFonts w:hint="eastAsia" w:ascii="仿宋_GB2312" w:hAnsi="仿宋_GB2312" w:eastAsia="仿宋_GB2312" w:cs="仿宋_GB2312"/>
                <w:bCs/>
                <w:color w:val="auto"/>
                <w:sz w:val="20"/>
                <w:szCs w:val="20"/>
                <w:highlight w:val="none"/>
                <w:vertAlign w:val="superscript"/>
                <w:lang w:val="en-US" w:eastAsia="zh-CN"/>
              </w:rPr>
              <w:t>2</w:t>
            </w:r>
          </w:p>
        </w:tc>
        <w:tc>
          <w:tcPr>
            <w:tcW w:w="227" w:type="pct"/>
            <w:vMerge w:val="restart"/>
            <w:tcBorders>
              <w:top w:val="single" w:color="000000" w:sz="4" w:space="0"/>
              <w:left w:val="single" w:color="000000" w:sz="4" w:space="0"/>
              <w:right w:val="single" w:color="000000" w:sz="4" w:space="0"/>
            </w:tcBorders>
            <w:shd w:val="clear" w:color="auto" w:fill="auto"/>
            <w:vAlign w:val="center"/>
          </w:tcPr>
          <w:p w14:paraId="455FC13C">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总地价</w:t>
            </w:r>
            <w:r>
              <w:rPr>
                <w:rFonts w:hint="eastAsia" w:ascii="仿宋_GB2312" w:hAnsi="仿宋_GB2312" w:eastAsia="仿宋_GB2312" w:cs="仿宋_GB2312"/>
                <w:bCs/>
                <w:color w:val="auto"/>
                <w:sz w:val="20"/>
                <w:szCs w:val="20"/>
                <w:highlight w:val="none"/>
                <w:lang w:val="en-US" w:eastAsia="zh-CN"/>
              </w:rPr>
              <w:br w:type="textWrapping"/>
            </w:r>
            <w:r>
              <w:rPr>
                <w:rFonts w:hint="eastAsia" w:ascii="仿宋_GB2312" w:hAnsi="仿宋_GB2312" w:eastAsia="仿宋_GB2312" w:cs="仿宋_GB2312"/>
                <w:bCs/>
                <w:color w:val="auto"/>
                <w:sz w:val="20"/>
                <w:szCs w:val="20"/>
                <w:highlight w:val="none"/>
                <w:lang w:val="en-US" w:eastAsia="zh-CN"/>
              </w:rPr>
              <w:t>/万元</w:t>
            </w:r>
          </w:p>
        </w:tc>
        <w:tc>
          <w:tcPr>
            <w:tcW w:w="257" w:type="pct"/>
            <w:vMerge w:val="restart"/>
            <w:tcBorders>
              <w:top w:val="single" w:color="000000" w:sz="4" w:space="0"/>
              <w:left w:val="single" w:color="000000" w:sz="4" w:space="0"/>
              <w:right w:val="single" w:color="000000" w:sz="4" w:space="0"/>
            </w:tcBorders>
            <w:shd w:val="clear" w:color="auto" w:fill="auto"/>
            <w:vAlign w:val="center"/>
          </w:tcPr>
          <w:p w14:paraId="4636B4EF">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楼面地价/元/m</w:t>
            </w:r>
            <w:r>
              <w:rPr>
                <w:rFonts w:hint="eastAsia" w:ascii="仿宋_GB2312" w:hAnsi="仿宋_GB2312" w:eastAsia="仿宋_GB2312" w:cs="仿宋_GB2312"/>
                <w:bCs/>
                <w:color w:val="auto"/>
                <w:sz w:val="20"/>
                <w:szCs w:val="20"/>
                <w:highlight w:val="none"/>
                <w:vertAlign w:val="superscript"/>
                <w:lang w:val="en-US" w:eastAsia="zh-CN"/>
              </w:rPr>
              <w:t>2</w:t>
            </w:r>
          </w:p>
        </w:tc>
        <w:tc>
          <w:tcPr>
            <w:tcW w:w="277" w:type="pct"/>
            <w:vMerge w:val="restart"/>
            <w:tcBorders>
              <w:top w:val="single" w:color="000000" w:sz="4" w:space="0"/>
              <w:left w:val="single" w:color="000000" w:sz="4" w:space="0"/>
              <w:right w:val="single" w:color="000000" w:sz="4" w:space="0"/>
            </w:tcBorders>
            <w:shd w:val="clear" w:color="auto" w:fill="auto"/>
            <w:vAlign w:val="center"/>
          </w:tcPr>
          <w:p w14:paraId="654E36FD">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备注</w:t>
            </w:r>
          </w:p>
        </w:tc>
      </w:tr>
      <w:tr w14:paraId="7F08A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9" w:hRule="atLeast"/>
        </w:trPr>
        <w:tc>
          <w:tcPr>
            <w:tcW w:w="36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5D2580">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20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3947F4">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2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1E9487">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3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F2CB59">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2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B84054">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证载（或批准）</w:t>
            </w:r>
          </w:p>
        </w:tc>
        <w:tc>
          <w:tcPr>
            <w:tcW w:w="3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CF328E">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实际</w:t>
            </w:r>
          </w:p>
        </w:tc>
        <w:tc>
          <w:tcPr>
            <w:tcW w:w="3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101D84">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设定</w:t>
            </w:r>
          </w:p>
        </w:tc>
        <w:tc>
          <w:tcPr>
            <w:tcW w:w="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E02A4A">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规划</w:t>
            </w:r>
          </w:p>
        </w:tc>
        <w:tc>
          <w:tcPr>
            <w:tcW w:w="2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8FAA5E">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实际</w:t>
            </w:r>
          </w:p>
        </w:tc>
        <w:tc>
          <w:tcPr>
            <w:tcW w:w="22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1F8FCB">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r>
              <w:rPr>
                <w:rFonts w:hint="eastAsia" w:ascii="仿宋_GB2312" w:hAnsi="仿宋_GB2312" w:eastAsia="仿宋_GB2312" w:cs="仿宋_GB2312"/>
                <w:bCs/>
                <w:color w:val="auto"/>
                <w:sz w:val="20"/>
                <w:szCs w:val="20"/>
                <w:highlight w:val="none"/>
                <w:lang w:val="en-US" w:eastAsia="zh-CN"/>
              </w:rPr>
              <w:t>设定</w:t>
            </w:r>
          </w:p>
        </w:tc>
        <w:tc>
          <w:tcPr>
            <w:tcW w:w="376" w:type="pct"/>
            <w:vMerge w:val="continue"/>
            <w:tcBorders>
              <w:left w:val="single" w:color="000000" w:sz="4" w:space="0"/>
              <w:right w:val="single" w:color="000000" w:sz="4" w:space="0"/>
            </w:tcBorders>
            <w:shd w:val="clear" w:color="auto" w:fill="auto"/>
            <w:vAlign w:val="center"/>
          </w:tcPr>
          <w:p w14:paraId="36AEE513">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361" w:type="pct"/>
            <w:vMerge w:val="continue"/>
            <w:tcBorders>
              <w:left w:val="single" w:color="000000" w:sz="4" w:space="0"/>
              <w:right w:val="single" w:color="000000" w:sz="4" w:space="0"/>
            </w:tcBorders>
            <w:shd w:val="clear" w:color="auto" w:fill="auto"/>
            <w:vAlign w:val="center"/>
          </w:tcPr>
          <w:p w14:paraId="2C976551">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273" w:type="pct"/>
            <w:vMerge w:val="continue"/>
            <w:tcBorders>
              <w:left w:val="single" w:color="000000" w:sz="4" w:space="0"/>
              <w:right w:val="single" w:color="000000" w:sz="4" w:space="0"/>
            </w:tcBorders>
            <w:shd w:val="clear" w:color="auto" w:fill="auto"/>
            <w:vAlign w:val="center"/>
          </w:tcPr>
          <w:p w14:paraId="394430B7">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268" w:type="pct"/>
            <w:vMerge w:val="continue"/>
            <w:tcBorders>
              <w:left w:val="single" w:color="000000" w:sz="4" w:space="0"/>
              <w:right w:val="single" w:color="000000" w:sz="4" w:space="0"/>
            </w:tcBorders>
            <w:shd w:val="clear" w:color="auto" w:fill="auto"/>
            <w:vAlign w:val="center"/>
          </w:tcPr>
          <w:p w14:paraId="749E9584">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247" w:type="pct"/>
            <w:vMerge w:val="continue"/>
            <w:tcBorders>
              <w:left w:val="single" w:color="000000" w:sz="4" w:space="0"/>
              <w:right w:val="single" w:color="000000" w:sz="4" w:space="0"/>
            </w:tcBorders>
            <w:shd w:val="clear" w:color="auto" w:fill="auto"/>
            <w:vAlign w:val="center"/>
          </w:tcPr>
          <w:p w14:paraId="06284BC4">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227" w:type="pct"/>
            <w:vMerge w:val="continue"/>
            <w:tcBorders>
              <w:left w:val="single" w:color="000000" w:sz="4" w:space="0"/>
              <w:right w:val="single" w:color="000000" w:sz="4" w:space="0"/>
            </w:tcBorders>
            <w:shd w:val="clear" w:color="auto" w:fill="auto"/>
            <w:vAlign w:val="center"/>
          </w:tcPr>
          <w:p w14:paraId="21FE3072">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257" w:type="pct"/>
            <w:vMerge w:val="continue"/>
            <w:tcBorders>
              <w:left w:val="single" w:color="000000" w:sz="4" w:space="0"/>
              <w:right w:val="single" w:color="000000" w:sz="4" w:space="0"/>
            </w:tcBorders>
            <w:shd w:val="clear" w:color="auto" w:fill="auto"/>
            <w:vAlign w:val="center"/>
          </w:tcPr>
          <w:p w14:paraId="558322AF">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c>
          <w:tcPr>
            <w:tcW w:w="277" w:type="pct"/>
            <w:vMerge w:val="continue"/>
            <w:tcBorders>
              <w:left w:val="single" w:color="000000" w:sz="4" w:space="0"/>
              <w:right w:val="single" w:color="000000" w:sz="4" w:space="0"/>
            </w:tcBorders>
            <w:shd w:val="clear" w:color="auto" w:fill="auto"/>
            <w:vAlign w:val="center"/>
          </w:tcPr>
          <w:p w14:paraId="403567CD">
            <w:pPr>
              <w:keepNext w:val="0"/>
              <w:keepLines w:val="0"/>
              <w:pageBreakBefore w:val="0"/>
              <w:widowControl w:val="0"/>
              <w:kinsoku/>
              <w:wordWrap/>
              <w:overflowPunct/>
              <w:topLinePunct w:val="0"/>
              <w:autoSpaceDE/>
              <w:autoSpaceDN/>
              <w:bidi w:val="0"/>
              <w:adjustRightInd/>
              <w:snapToGrid/>
              <w:spacing w:line="240" w:lineRule="exact"/>
              <w:ind w:left="-107" w:leftChars="-51" w:right="-107" w:rightChars="-51"/>
              <w:jc w:val="center"/>
              <w:textAlignment w:val="auto"/>
              <w:rPr>
                <w:rFonts w:hint="eastAsia" w:ascii="仿宋_GB2312" w:hAnsi="仿宋_GB2312" w:eastAsia="仿宋_GB2312" w:cs="仿宋_GB2312"/>
                <w:bCs/>
                <w:color w:val="auto"/>
                <w:sz w:val="20"/>
                <w:szCs w:val="20"/>
                <w:highlight w:val="none"/>
                <w:lang w:val="en-US" w:eastAsia="zh-CN"/>
              </w:rPr>
            </w:pPr>
          </w:p>
        </w:tc>
      </w:tr>
      <w:tr w14:paraId="41171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1" w:hRule="atLeast"/>
        </w:trPr>
        <w:tc>
          <w:tcPr>
            <w:tcW w:w="367" w:type="pct"/>
            <w:vMerge w:val="restart"/>
            <w:tcBorders>
              <w:top w:val="single" w:color="000000" w:sz="4" w:space="0"/>
              <w:left w:val="single" w:color="000000" w:sz="4" w:space="0"/>
              <w:right w:val="single" w:color="000000" w:sz="4" w:space="0"/>
            </w:tcBorders>
            <w:shd w:val="clear" w:color="auto" w:fill="auto"/>
            <w:vAlign w:val="center"/>
          </w:tcPr>
          <w:p w14:paraId="1B25E76F">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通道侗族自治县国有资产监督管理办公室</w:t>
            </w:r>
          </w:p>
        </w:tc>
        <w:tc>
          <w:tcPr>
            <w:tcW w:w="201" w:type="pct"/>
            <w:vMerge w:val="restart"/>
            <w:tcBorders>
              <w:top w:val="single" w:color="000000" w:sz="4" w:space="0"/>
              <w:left w:val="single" w:color="000000" w:sz="4" w:space="0"/>
              <w:right w:val="single" w:color="000000" w:sz="4" w:space="0"/>
            </w:tcBorders>
            <w:shd w:val="clear" w:color="auto" w:fill="auto"/>
            <w:vAlign w:val="center"/>
          </w:tcPr>
          <w:p w14:paraId="016A00A4">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252" w:type="pct"/>
            <w:vMerge w:val="restart"/>
            <w:tcBorders>
              <w:top w:val="single" w:color="000000" w:sz="4" w:space="0"/>
              <w:left w:val="single" w:color="000000" w:sz="4" w:space="0"/>
              <w:right w:val="single" w:color="000000" w:sz="4" w:space="0"/>
            </w:tcBorders>
            <w:shd w:val="clear" w:color="auto" w:fill="auto"/>
            <w:vAlign w:val="center"/>
          </w:tcPr>
          <w:p w14:paraId="73D0BD14">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通道县双江镇行政街宗地</w:t>
            </w:r>
          </w:p>
        </w:tc>
        <w:tc>
          <w:tcPr>
            <w:tcW w:w="320" w:type="pct"/>
            <w:vMerge w:val="restart"/>
            <w:tcBorders>
              <w:top w:val="single" w:color="000000" w:sz="4" w:space="0"/>
              <w:left w:val="single" w:color="000000" w:sz="4" w:space="0"/>
              <w:right w:val="single" w:color="000000" w:sz="4" w:space="0"/>
            </w:tcBorders>
            <w:shd w:val="clear" w:color="auto" w:fill="auto"/>
            <w:vAlign w:val="center"/>
          </w:tcPr>
          <w:p w14:paraId="5172A457">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通国用（2014）第000327号</w:t>
            </w:r>
          </w:p>
        </w:tc>
        <w:tc>
          <w:tcPr>
            <w:tcW w:w="283" w:type="pct"/>
            <w:vMerge w:val="restart"/>
            <w:tcBorders>
              <w:top w:val="single" w:color="000000" w:sz="4" w:space="0"/>
              <w:left w:val="single" w:color="000000" w:sz="4" w:space="0"/>
              <w:right w:val="single" w:color="000000" w:sz="4" w:space="0"/>
            </w:tcBorders>
            <w:shd w:val="clear" w:color="auto" w:fill="auto"/>
            <w:vAlign w:val="center"/>
          </w:tcPr>
          <w:p w14:paraId="7147F61F">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机关团体用地</w:t>
            </w:r>
          </w:p>
        </w:tc>
        <w:tc>
          <w:tcPr>
            <w:tcW w:w="3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5623AA">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商服用地（22.03%）</w:t>
            </w:r>
          </w:p>
        </w:tc>
        <w:tc>
          <w:tcPr>
            <w:tcW w:w="3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91B46D">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商服用地（22.03%）</w:t>
            </w:r>
          </w:p>
        </w:tc>
        <w:tc>
          <w:tcPr>
            <w:tcW w:w="154" w:type="pct"/>
            <w:vMerge w:val="restart"/>
            <w:tcBorders>
              <w:top w:val="single" w:color="000000" w:sz="4" w:space="0"/>
              <w:left w:val="single" w:color="000000" w:sz="4" w:space="0"/>
              <w:right w:val="single" w:color="000000" w:sz="4" w:space="0"/>
            </w:tcBorders>
            <w:shd w:val="clear" w:color="auto" w:fill="auto"/>
            <w:vAlign w:val="center"/>
          </w:tcPr>
          <w:p w14:paraId="5A7CDC5A">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206" w:type="pct"/>
            <w:vMerge w:val="restart"/>
            <w:tcBorders>
              <w:top w:val="single" w:color="000000" w:sz="4" w:space="0"/>
              <w:left w:val="single" w:color="000000" w:sz="4" w:space="0"/>
              <w:right w:val="single" w:color="000000" w:sz="4" w:space="0"/>
            </w:tcBorders>
            <w:shd w:val="clear" w:color="auto" w:fill="auto"/>
            <w:vAlign w:val="center"/>
          </w:tcPr>
          <w:p w14:paraId="5F34684F">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4.07</w:t>
            </w:r>
          </w:p>
        </w:tc>
        <w:tc>
          <w:tcPr>
            <w:tcW w:w="222" w:type="pct"/>
            <w:vMerge w:val="restart"/>
            <w:tcBorders>
              <w:top w:val="single" w:color="000000" w:sz="4" w:space="0"/>
              <w:left w:val="single" w:color="000000" w:sz="4" w:space="0"/>
              <w:right w:val="single" w:color="000000" w:sz="4" w:space="0"/>
            </w:tcBorders>
            <w:shd w:val="clear" w:color="auto" w:fill="auto"/>
            <w:vAlign w:val="center"/>
          </w:tcPr>
          <w:p w14:paraId="254A7B71">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4.07</w:t>
            </w:r>
          </w:p>
        </w:tc>
        <w:tc>
          <w:tcPr>
            <w:tcW w:w="376" w:type="pct"/>
            <w:vMerge w:val="restart"/>
            <w:tcBorders>
              <w:top w:val="single" w:color="000000" w:sz="4" w:space="0"/>
              <w:left w:val="single" w:color="000000" w:sz="4" w:space="0"/>
              <w:right w:val="single" w:color="000000" w:sz="4" w:space="0"/>
            </w:tcBorders>
            <w:shd w:val="clear" w:color="auto" w:fill="auto"/>
            <w:vAlign w:val="center"/>
          </w:tcPr>
          <w:p w14:paraId="62A22383">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宗地红线外“五通”，红线内场地平整</w:t>
            </w:r>
          </w:p>
        </w:tc>
        <w:tc>
          <w:tcPr>
            <w:tcW w:w="361" w:type="pct"/>
            <w:vMerge w:val="restart"/>
            <w:tcBorders>
              <w:top w:val="single" w:color="000000" w:sz="4" w:space="0"/>
              <w:left w:val="single" w:color="000000" w:sz="4" w:space="0"/>
              <w:right w:val="single" w:color="000000" w:sz="4" w:space="0"/>
            </w:tcBorders>
            <w:shd w:val="clear" w:color="auto" w:fill="auto"/>
            <w:vAlign w:val="center"/>
          </w:tcPr>
          <w:p w14:paraId="5DE13FC7">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宗地红线外“五通”，红线内场地平整</w:t>
            </w:r>
          </w:p>
        </w:tc>
        <w:tc>
          <w:tcPr>
            <w:tcW w:w="2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BF5DE2">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40</w:t>
            </w:r>
          </w:p>
        </w:tc>
        <w:tc>
          <w:tcPr>
            <w:tcW w:w="26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AE434F">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40.38</w:t>
            </w:r>
          </w:p>
        </w:tc>
        <w:tc>
          <w:tcPr>
            <w:tcW w:w="2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55334E">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6636</w:t>
            </w:r>
          </w:p>
        </w:tc>
        <w:tc>
          <w:tcPr>
            <w:tcW w:w="2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8E7433">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26.8</w:t>
            </w:r>
          </w:p>
        </w:tc>
        <w:tc>
          <w:tcPr>
            <w:tcW w:w="25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97A993">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1630.5</w:t>
            </w:r>
          </w:p>
        </w:tc>
        <w:tc>
          <w:tcPr>
            <w:tcW w:w="277" w:type="pct"/>
            <w:vMerge w:val="restart"/>
            <w:tcBorders>
              <w:top w:val="single" w:color="000000" w:sz="4" w:space="0"/>
              <w:left w:val="single" w:color="000000" w:sz="4" w:space="0"/>
              <w:right w:val="single" w:color="000000" w:sz="4" w:space="0"/>
            </w:tcBorders>
            <w:shd w:val="clear" w:color="auto" w:fill="auto"/>
            <w:vAlign w:val="center"/>
          </w:tcPr>
          <w:p w14:paraId="12798AD6">
            <w:pPr>
              <w:keepNext w:val="0"/>
              <w:keepLines w:val="0"/>
              <w:pageBreakBefore w:val="0"/>
              <w:widowControl w:val="0"/>
              <w:kinsoku/>
              <w:wordWrap/>
              <w:overflowPunct/>
              <w:topLinePunct w:val="0"/>
              <w:autoSpaceDE w:val="0"/>
              <w:autoSpaceDN w:val="0"/>
              <w:bidi w:val="0"/>
              <w:adjustRightInd w:val="0"/>
              <w:snapToGrid w:val="0"/>
              <w:spacing w:line="22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土地级别为二级</w:t>
            </w:r>
          </w:p>
        </w:tc>
      </w:tr>
      <w:tr w14:paraId="17C06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01" w:hRule="atLeast"/>
        </w:trPr>
        <w:tc>
          <w:tcPr>
            <w:tcW w:w="367" w:type="pct"/>
            <w:vMerge w:val="continue"/>
            <w:tcBorders>
              <w:left w:val="single" w:color="000000" w:sz="4" w:space="0"/>
              <w:bottom w:val="single" w:color="000000" w:sz="4" w:space="0"/>
              <w:right w:val="single" w:color="000000" w:sz="4" w:space="0"/>
            </w:tcBorders>
            <w:shd w:val="clear" w:color="auto" w:fill="auto"/>
            <w:vAlign w:val="center"/>
          </w:tcPr>
          <w:p w14:paraId="7F5F18CD">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201" w:type="pct"/>
            <w:vMerge w:val="continue"/>
            <w:tcBorders>
              <w:left w:val="single" w:color="000000" w:sz="4" w:space="0"/>
              <w:bottom w:val="single" w:color="000000" w:sz="4" w:space="0"/>
              <w:right w:val="single" w:color="000000" w:sz="4" w:space="0"/>
            </w:tcBorders>
            <w:shd w:val="clear" w:color="auto" w:fill="auto"/>
            <w:vAlign w:val="center"/>
          </w:tcPr>
          <w:p w14:paraId="64DCB572">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252" w:type="pct"/>
            <w:vMerge w:val="continue"/>
            <w:tcBorders>
              <w:left w:val="single" w:color="000000" w:sz="4" w:space="0"/>
              <w:bottom w:val="single" w:color="000000" w:sz="4" w:space="0"/>
              <w:right w:val="single" w:color="000000" w:sz="4" w:space="0"/>
            </w:tcBorders>
            <w:shd w:val="clear" w:color="auto" w:fill="auto"/>
            <w:vAlign w:val="center"/>
          </w:tcPr>
          <w:p w14:paraId="324859D1">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320" w:type="pct"/>
            <w:vMerge w:val="continue"/>
            <w:tcBorders>
              <w:left w:val="single" w:color="000000" w:sz="4" w:space="0"/>
              <w:bottom w:val="single" w:color="000000" w:sz="4" w:space="0"/>
              <w:right w:val="single" w:color="000000" w:sz="4" w:space="0"/>
            </w:tcBorders>
            <w:shd w:val="clear" w:color="auto" w:fill="auto"/>
            <w:vAlign w:val="center"/>
          </w:tcPr>
          <w:p w14:paraId="7C35913B">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283" w:type="pct"/>
            <w:vMerge w:val="continue"/>
            <w:tcBorders>
              <w:left w:val="single" w:color="000000" w:sz="4" w:space="0"/>
              <w:bottom w:val="single" w:color="000000" w:sz="4" w:space="0"/>
              <w:right w:val="single" w:color="000000" w:sz="4" w:space="0"/>
            </w:tcBorders>
            <w:shd w:val="clear" w:color="auto" w:fill="auto"/>
            <w:vAlign w:val="center"/>
          </w:tcPr>
          <w:p w14:paraId="3F816A57">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3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55BEF9">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住宅用地（77.97%）</w:t>
            </w:r>
          </w:p>
        </w:tc>
        <w:tc>
          <w:tcPr>
            <w:tcW w:w="3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DD1EB2">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住宅用地（77.97%）</w:t>
            </w:r>
          </w:p>
        </w:tc>
        <w:tc>
          <w:tcPr>
            <w:tcW w:w="154" w:type="pct"/>
            <w:vMerge w:val="continue"/>
            <w:tcBorders>
              <w:left w:val="single" w:color="000000" w:sz="4" w:space="0"/>
              <w:bottom w:val="single" w:color="000000" w:sz="4" w:space="0"/>
              <w:right w:val="single" w:color="000000" w:sz="4" w:space="0"/>
            </w:tcBorders>
            <w:shd w:val="clear" w:color="auto" w:fill="auto"/>
            <w:vAlign w:val="center"/>
          </w:tcPr>
          <w:p w14:paraId="18D5E947">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206" w:type="pct"/>
            <w:vMerge w:val="continue"/>
            <w:tcBorders>
              <w:left w:val="single" w:color="000000" w:sz="4" w:space="0"/>
              <w:bottom w:val="single" w:color="000000" w:sz="4" w:space="0"/>
              <w:right w:val="single" w:color="000000" w:sz="4" w:space="0"/>
            </w:tcBorders>
            <w:shd w:val="clear" w:color="auto" w:fill="auto"/>
            <w:vAlign w:val="center"/>
          </w:tcPr>
          <w:p w14:paraId="2C4727B8">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222" w:type="pct"/>
            <w:vMerge w:val="continue"/>
            <w:tcBorders>
              <w:left w:val="single" w:color="000000" w:sz="4" w:space="0"/>
              <w:bottom w:val="single" w:color="000000" w:sz="4" w:space="0"/>
              <w:right w:val="single" w:color="000000" w:sz="4" w:space="0"/>
            </w:tcBorders>
            <w:shd w:val="clear" w:color="auto" w:fill="auto"/>
            <w:vAlign w:val="center"/>
          </w:tcPr>
          <w:p w14:paraId="15DC9123">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376" w:type="pct"/>
            <w:vMerge w:val="continue"/>
            <w:tcBorders>
              <w:left w:val="single" w:color="000000" w:sz="4" w:space="0"/>
              <w:bottom w:val="single" w:color="000000" w:sz="4" w:space="0"/>
              <w:right w:val="single" w:color="000000" w:sz="4" w:space="0"/>
            </w:tcBorders>
            <w:shd w:val="clear" w:color="auto" w:fill="auto"/>
            <w:vAlign w:val="center"/>
          </w:tcPr>
          <w:p w14:paraId="77EA91CD">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361" w:type="pct"/>
            <w:vMerge w:val="continue"/>
            <w:tcBorders>
              <w:left w:val="single" w:color="000000" w:sz="4" w:space="0"/>
              <w:bottom w:val="single" w:color="000000" w:sz="4" w:space="0"/>
              <w:right w:val="single" w:color="000000" w:sz="4" w:space="0"/>
            </w:tcBorders>
            <w:shd w:val="clear" w:color="auto" w:fill="auto"/>
            <w:vAlign w:val="center"/>
          </w:tcPr>
          <w:p w14:paraId="0292B881">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c>
          <w:tcPr>
            <w:tcW w:w="2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54BC1E">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70</w:t>
            </w:r>
          </w:p>
        </w:tc>
        <w:tc>
          <w:tcPr>
            <w:tcW w:w="26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703AA1">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142.89</w:t>
            </w:r>
          </w:p>
        </w:tc>
        <w:tc>
          <w:tcPr>
            <w:tcW w:w="2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6C6E80">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1236</w:t>
            </w:r>
          </w:p>
        </w:tc>
        <w:tc>
          <w:tcPr>
            <w:tcW w:w="2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3F034D">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17.66</w:t>
            </w:r>
          </w:p>
        </w:tc>
        <w:tc>
          <w:tcPr>
            <w:tcW w:w="25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B4B3E8">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303.7</w:t>
            </w:r>
          </w:p>
        </w:tc>
        <w:tc>
          <w:tcPr>
            <w:tcW w:w="277" w:type="pct"/>
            <w:vMerge w:val="continue"/>
            <w:tcBorders>
              <w:left w:val="single" w:color="000000" w:sz="4" w:space="0"/>
              <w:bottom w:val="single" w:color="000000" w:sz="4" w:space="0"/>
              <w:right w:val="single" w:color="000000" w:sz="4" w:space="0"/>
            </w:tcBorders>
            <w:shd w:val="clear" w:color="auto" w:fill="auto"/>
            <w:vAlign w:val="center"/>
          </w:tcPr>
          <w:p w14:paraId="25EB8BA1">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p>
        </w:tc>
      </w:tr>
      <w:tr w14:paraId="3303C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 w:hRule="atLeast"/>
        </w:trPr>
        <w:tc>
          <w:tcPr>
            <w:tcW w:w="36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50E411">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合计</w:t>
            </w:r>
          </w:p>
        </w:tc>
        <w:tc>
          <w:tcPr>
            <w:tcW w:w="2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537010">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2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CE488B">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3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911D6D">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2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1CC565">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3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F81F6D">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3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92A810">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1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27A302">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20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872498">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22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481E57">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3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EFAFDF">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36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2BE3C7">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2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AE1024">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c>
          <w:tcPr>
            <w:tcW w:w="26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6D4D92">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183.27</w:t>
            </w:r>
          </w:p>
        </w:tc>
        <w:tc>
          <w:tcPr>
            <w:tcW w:w="24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6C9D27">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2426</w:t>
            </w:r>
          </w:p>
        </w:tc>
        <w:tc>
          <w:tcPr>
            <w:tcW w:w="22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8B5C31">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44.46</w:t>
            </w:r>
          </w:p>
        </w:tc>
        <w:tc>
          <w:tcPr>
            <w:tcW w:w="25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12FD0B">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default"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596.1</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0359E1">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w:t>
            </w:r>
          </w:p>
        </w:tc>
      </w:tr>
    </w:tbl>
    <w:p w14:paraId="35D0772D">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_GB2312" w:eastAsia="仿宋_GB2312" w:cs="仿宋_GB2312"/>
          <w:bCs/>
          <w:color w:val="auto"/>
          <w:kern w:val="2"/>
          <w:sz w:val="21"/>
          <w:szCs w:val="21"/>
          <w:highlight w:val="none"/>
          <w:lang w:val="en-US" w:eastAsia="zh-CN" w:bidi="ar-SA"/>
        </w:rPr>
      </w:pPr>
      <w:r>
        <w:rPr>
          <w:rFonts w:hint="eastAsia" w:ascii="仿宋_GB2312" w:hAnsi="仿宋_GB2312" w:eastAsia="仿宋_GB2312" w:cs="仿宋_GB2312"/>
          <w:bCs/>
          <w:color w:val="auto"/>
          <w:kern w:val="2"/>
          <w:sz w:val="21"/>
          <w:szCs w:val="21"/>
          <w:highlight w:val="none"/>
          <w:lang w:val="en-US" w:eastAsia="zh-CN" w:bidi="ar-SA"/>
        </w:rPr>
        <w:t>注：“五通”指：通路、通电、供水、排水、通讯</w:t>
      </w:r>
    </w:p>
    <w:p w14:paraId="4F976D78">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一、上述土地估价结果的限定条件：</w:t>
      </w:r>
    </w:p>
    <w:p w14:paraId="3CC1B832">
      <w:pPr>
        <w:keepNext w:val="0"/>
        <w:keepLines w:val="0"/>
        <w:pageBreakBefore w:val="0"/>
        <w:widowControl w:val="0"/>
        <w:tabs>
          <w:tab w:val="left" w:pos="560"/>
        </w:tabs>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sz w:val="20"/>
          <w:szCs w:val="20"/>
          <w:highlight w:val="none"/>
        </w:rPr>
      </w:pPr>
      <w:r>
        <w:rPr>
          <w:rFonts w:hint="eastAsia" w:ascii="仿宋_GB2312" w:hAnsi="仿宋_GB2312" w:eastAsia="仿宋_GB2312" w:cs="仿宋_GB2312"/>
          <w:sz w:val="21"/>
          <w:szCs w:val="21"/>
          <w:highlight w:val="none"/>
        </w:rPr>
        <w:t>一、上述土地估价结果的限定条</w:t>
      </w:r>
      <w:r>
        <w:rPr>
          <w:rFonts w:hint="eastAsia" w:ascii="仿宋_GB2312" w:hAnsi="仿宋_GB2312" w:eastAsia="仿宋_GB2312" w:cs="仿宋_GB2312"/>
          <w:color w:val="auto"/>
          <w:sz w:val="21"/>
          <w:szCs w:val="21"/>
          <w:highlight w:val="none"/>
        </w:rPr>
        <w:t>件</w:t>
      </w:r>
      <w:r>
        <w:rPr>
          <w:rFonts w:hint="eastAsia" w:ascii="仿宋_GB2312" w:hAnsi="仿宋_GB2312" w:eastAsia="仿宋_GB2312" w:cs="仿宋_GB2312"/>
          <w:color w:val="auto"/>
          <w:sz w:val="21"/>
          <w:szCs w:val="21"/>
          <w:highlight w:val="none"/>
          <w:lang w:eastAsia="zh-CN"/>
        </w:rPr>
        <w:t>：</w:t>
      </w:r>
      <w:r>
        <w:rPr>
          <w:rFonts w:hint="eastAsia" w:ascii="仿宋_GB2312" w:hAnsi="仿宋_GB2312" w:eastAsia="仿宋_GB2312" w:cs="仿宋_GB2312"/>
          <w:color w:val="auto"/>
          <w:sz w:val="21"/>
          <w:szCs w:val="21"/>
          <w:highlight w:val="none"/>
        </w:rPr>
        <w:t>1.根据</w:t>
      </w:r>
      <w:r>
        <w:rPr>
          <w:rFonts w:hint="eastAsia" w:ascii="仿宋_GB2312" w:hAnsi="仿宋_GB2312" w:eastAsia="仿宋_GB2312" w:cs="仿宋_GB2312"/>
          <w:color w:val="auto"/>
          <w:sz w:val="21"/>
          <w:szCs w:val="21"/>
          <w:highlight w:val="none"/>
          <w:lang w:eastAsia="zh-CN"/>
        </w:rPr>
        <w:t>《国有土地使用证》（通国用（2014）第000327号）</w:t>
      </w:r>
      <w:r>
        <w:rPr>
          <w:rFonts w:hint="eastAsia" w:ascii="仿宋_GB2312" w:hAnsi="仿宋_GB2312" w:eastAsia="仿宋_GB2312" w:cs="仿宋_GB2312"/>
          <w:color w:val="auto"/>
          <w:sz w:val="21"/>
          <w:szCs w:val="21"/>
          <w:highlight w:val="none"/>
        </w:rPr>
        <w:t>，估价对象位于</w:t>
      </w:r>
      <w:r>
        <w:rPr>
          <w:rFonts w:hint="eastAsia" w:ascii="仿宋_GB2312" w:hAnsi="仿宋_GB2312" w:eastAsia="仿宋_GB2312" w:cs="仿宋_GB2312"/>
          <w:color w:val="auto"/>
          <w:sz w:val="21"/>
          <w:szCs w:val="21"/>
          <w:highlight w:val="none"/>
          <w:lang w:val="en-US" w:eastAsia="zh-CN"/>
        </w:rPr>
        <w:t>通道县双江镇行政街</w:t>
      </w:r>
      <w:r>
        <w:rPr>
          <w:rFonts w:hint="eastAsia" w:ascii="仿宋_GB2312" w:hAnsi="仿宋_GB2312" w:eastAsia="仿宋_GB2312" w:cs="仿宋_GB2312"/>
          <w:color w:val="auto"/>
          <w:sz w:val="21"/>
          <w:szCs w:val="21"/>
          <w:highlight w:val="none"/>
          <w:lang w:eastAsia="zh-CN"/>
        </w:rPr>
        <w:t>，</w:t>
      </w:r>
      <w:r>
        <w:rPr>
          <w:rFonts w:hint="eastAsia" w:ascii="仿宋_GB2312" w:hAnsi="仿宋_GB2312" w:eastAsia="仿宋_GB2312" w:cs="仿宋_GB2312"/>
          <w:color w:val="auto"/>
          <w:sz w:val="21"/>
          <w:szCs w:val="21"/>
          <w:highlight w:val="none"/>
        </w:rPr>
        <w:t>估价对象土地所有权为国有，土地使用权性质为</w:t>
      </w:r>
      <w:r>
        <w:rPr>
          <w:rFonts w:hint="eastAsia" w:ascii="仿宋_GB2312" w:hAnsi="仿宋_GB2312" w:eastAsia="仿宋_GB2312" w:cs="仿宋_GB2312"/>
          <w:color w:val="auto"/>
          <w:sz w:val="21"/>
          <w:szCs w:val="21"/>
          <w:highlight w:val="none"/>
          <w:lang w:val="en-US" w:eastAsia="zh-CN"/>
        </w:rPr>
        <w:t>国有划拨</w:t>
      </w:r>
      <w:r>
        <w:rPr>
          <w:rFonts w:hint="eastAsia" w:ascii="仿宋_GB2312" w:hAnsi="仿宋_GB2312" w:eastAsia="仿宋_GB2312" w:cs="仿宋_GB2312"/>
          <w:color w:val="auto"/>
          <w:sz w:val="21"/>
          <w:szCs w:val="21"/>
          <w:highlight w:val="none"/>
        </w:rPr>
        <w:t>，土地使用者</w:t>
      </w:r>
      <w:r>
        <w:rPr>
          <w:rFonts w:hint="eastAsia" w:ascii="仿宋_GB2312" w:hAnsi="仿宋_GB2312" w:eastAsia="仿宋_GB2312" w:cs="仿宋_GB2312"/>
          <w:color w:val="auto"/>
          <w:sz w:val="21"/>
          <w:szCs w:val="21"/>
          <w:highlight w:val="none"/>
          <w:lang w:val="en-US" w:eastAsia="zh-CN"/>
        </w:rPr>
        <w:t>为通道侗族自治县国有资产监督管理办公室</w:t>
      </w:r>
      <w:r>
        <w:rPr>
          <w:rFonts w:hint="eastAsia" w:ascii="仿宋_GB2312" w:hAnsi="仿宋_GB2312" w:eastAsia="仿宋_GB2312" w:cs="仿宋_GB2312"/>
          <w:color w:val="auto"/>
          <w:sz w:val="21"/>
          <w:szCs w:val="21"/>
          <w:highlight w:val="none"/>
        </w:rPr>
        <w:t>。根据委托方提供相关资料和估价人员调查结果</w:t>
      </w:r>
      <w:r>
        <w:rPr>
          <w:rFonts w:hint="eastAsia" w:ascii="仿宋_GB2312" w:hAnsi="仿宋_GB2312" w:eastAsia="仿宋_GB2312" w:cs="仿宋_GB2312"/>
          <w:sz w:val="21"/>
          <w:szCs w:val="21"/>
          <w:highlight w:val="none"/>
        </w:rPr>
        <w:t>，截至估价期日估价对象未有抵押权、地役权、租赁权等他项权利登记，本次评估设定估价对象地上无抵押权、地役权、租赁权等他项权利登记；2.基础设施条件：估价对象土地实际开发程度为宗地红线外“</w:t>
      </w:r>
      <w:r>
        <w:rPr>
          <w:rFonts w:hint="eastAsia" w:ascii="仿宋_GB2312" w:hAnsi="仿宋_GB2312" w:eastAsia="仿宋_GB2312" w:cs="仿宋_GB2312"/>
          <w:sz w:val="21"/>
          <w:szCs w:val="21"/>
          <w:highlight w:val="none"/>
          <w:lang w:val="en-US" w:eastAsia="zh-CN"/>
        </w:rPr>
        <w:t>五通</w:t>
      </w:r>
      <w:r>
        <w:rPr>
          <w:rFonts w:hint="eastAsia" w:ascii="仿宋_GB2312" w:hAnsi="仿宋_GB2312" w:eastAsia="仿宋_GB2312" w:cs="仿宋_GB2312"/>
          <w:sz w:val="21"/>
          <w:szCs w:val="21"/>
          <w:highlight w:val="none"/>
        </w:rPr>
        <w:t>”（即通路、通讯</w:t>
      </w:r>
      <w:r>
        <w:rPr>
          <w:rFonts w:hint="eastAsia" w:ascii="仿宋_GB2312" w:hAnsi="仿宋_GB2312" w:eastAsia="仿宋_GB2312" w:cs="仿宋_GB2312"/>
          <w:sz w:val="21"/>
          <w:szCs w:val="21"/>
          <w:highlight w:val="none"/>
          <w:lang w:eastAsia="zh-CN"/>
        </w:rPr>
        <w:t>、</w:t>
      </w:r>
      <w:r>
        <w:rPr>
          <w:rFonts w:hint="eastAsia" w:ascii="仿宋_GB2312" w:hAnsi="仿宋_GB2312" w:eastAsia="仿宋_GB2312" w:cs="仿宋_GB2312"/>
          <w:sz w:val="21"/>
          <w:szCs w:val="21"/>
          <w:highlight w:val="none"/>
          <w:lang w:val="en-US" w:eastAsia="zh-CN"/>
        </w:rPr>
        <w:t>供水、排水</w:t>
      </w:r>
      <w:r>
        <w:rPr>
          <w:rFonts w:hint="eastAsia" w:ascii="仿宋_GB2312" w:hAnsi="仿宋_GB2312" w:eastAsia="仿宋_GB2312" w:cs="仿宋_GB2312"/>
          <w:sz w:val="21"/>
          <w:szCs w:val="21"/>
          <w:highlight w:val="none"/>
        </w:rPr>
        <w:t>、通讯），</w:t>
      </w:r>
      <w:r>
        <w:rPr>
          <w:rFonts w:hint="eastAsia" w:ascii="仿宋_GB2312" w:hAnsi="仿宋_GB2312" w:eastAsia="仿宋_GB2312" w:cs="仿宋_GB2312"/>
          <w:sz w:val="21"/>
          <w:szCs w:val="21"/>
          <w:highlight w:val="none"/>
          <w:lang w:eastAsia="zh-CN"/>
        </w:rPr>
        <w:t>红线内场地平整</w:t>
      </w:r>
      <w:r>
        <w:rPr>
          <w:rFonts w:hint="eastAsia" w:ascii="仿宋_GB2312" w:hAnsi="仿宋_GB2312" w:eastAsia="仿宋_GB2312" w:cs="仿宋_GB2312"/>
          <w:sz w:val="21"/>
          <w:szCs w:val="21"/>
          <w:highlight w:val="none"/>
        </w:rPr>
        <w:t>，详见下表。</w:t>
      </w:r>
    </w:p>
    <w:tbl>
      <w:tblPr>
        <w:tblStyle w:val="11"/>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4"/>
        <w:gridCol w:w="1610"/>
        <w:gridCol w:w="2194"/>
        <w:gridCol w:w="1601"/>
        <w:gridCol w:w="2117"/>
        <w:gridCol w:w="4787"/>
      </w:tblGrid>
      <w:tr w14:paraId="6FEDB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654" w:type="pct"/>
            <w:noWrap w:val="0"/>
            <w:vAlign w:val="center"/>
          </w:tcPr>
          <w:p w14:paraId="0309D46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20"/>
                <w:szCs w:val="20"/>
                <w:highlight w:val="none"/>
              </w:rPr>
            </w:pPr>
            <w:r>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t>地面平整状况</w:t>
            </w:r>
          </w:p>
        </w:tc>
        <w:tc>
          <w:tcPr>
            <w:tcW w:w="568" w:type="pct"/>
            <w:noWrap w:val="0"/>
            <w:vAlign w:val="center"/>
          </w:tcPr>
          <w:p w14:paraId="1376815D">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t>周围道路状况</w:t>
            </w:r>
          </w:p>
        </w:tc>
        <w:tc>
          <w:tcPr>
            <w:tcW w:w="774" w:type="pct"/>
            <w:noWrap w:val="0"/>
            <w:vAlign w:val="center"/>
          </w:tcPr>
          <w:p w14:paraId="66C60CA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t>供电状况</w:t>
            </w:r>
          </w:p>
        </w:tc>
        <w:tc>
          <w:tcPr>
            <w:tcW w:w="565" w:type="pct"/>
            <w:noWrap w:val="0"/>
            <w:vAlign w:val="center"/>
          </w:tcPr>
          <w:p w14:paraId="5D36EE1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t>供水状况</w:t>
            </w:r>
          </w:p>
        </w:tc>
        <w:tc>
          <w:tcPr>
            <w:tcW w:w="747" w:type="pct"/>
            <w:noWrap w:val="0"/>
            <w:vAlign w:val="center"/>
          </w:tcPr>
          <w:p w14:paraId="1CECC046">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t>排水状况</w:t>
            </w:r>
          </w:p>
        </w:tc>
        <w:tc>
          <w:tcPr>
            <w:tcW w:w="1689" w:type="pct"/>
            <w:noWrap w:val="0"/>
            <w:vAlign w:val="center"/>
          </w:tcPr>
          <w:p w14:paraId="2486CBA7">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0"/>
                <w:szCs w:val="20"/>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0"/>
                <w:szCs w:val="20"/>
                <w:highlight w:val="none"/>
                <w14:textFill>
                  <w14:solidFill>
                    <w14:schemeClr w14:val="tx1"/>
                  </w14:solidFill>
                </w14:textFill>
              </w:rPr>
              <w:t>状况</w:t>
            </w:r>
          </w:p>
        </w:tc>
      </w:tr>
      <w:tr w14:paraId="099D1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654" w:type="pct"/>
            <w:noWrap w:val="0"/>
            <w:vAlign w:val="center"/>
          </w:tcPr>
          <w:p w14:paraId="3BBD666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20"/>
                <w:szCs w:val="20"/>
                <w:highlight w:val="none"/>
                <w:lang w:val="en-US" w:eastAsia="zh-CN"/>
              </w:rPr>
            </w:pPr>
            <w:r>
              <w:rPr>
                <w:rFonts w:hint="eastAsia" w:ascii="仿宋_GB2312" w:hAnsi="仿宋_GB2312" w:eastAsia="仿宋_GB2312" w:cs="仿宋_GB2312"/>
                <w:snapToGrid/>
                <w:color w:val="000000" w:themeColor="text1"/>
                <w:spacing w:val="-20"/>
                <w:sz w:val="20"/>
                <w:szCs w:val="20"/>
                <w:highlight w:val="none"/>
                <w:lang w:val="en-US" w:eastAsia="zh-CN"/>
                <w14:textFill>
                  <w14:solidFill>
                    <w14:schemeClr w14:val="tx1"/>
                  </w14:solidFill>
                </w14:textFill>
              </w:rPr>
              <w:t>宗地红线外“五通”宗地红线内场地平整</w:t>
            </w:r>
          </w:p>
        </w:tc>
        <w:tc>
          <w:tcPr>
            <w:tcW w:w="568" w:type="pct"/>
            <w:noWrap w:val="0"/>
            <w:vAlign w:val="center"/>
          </w:tcPr>
          <w:p w14:paraId="17E79653">
            <w:pPr>
              <w:keepNext w:val="0"/>
              <w:keepLines w:val="0"/>
              <w:pageBreakBefore w:val="0"/>
              <w:widowControl w:val="0"/>
              <w:kinsoku/>
              <w:wordWrap/>
              <w:overflowPunct/>
              <w:topLinePunct w:val="0"/>
              <w:autoSpaceDE/>
              <w:autoSpaceDN/>
              <w:bidi w:val="0"/>
              <w:adjustRightInd/>
              <w:snapToGrid/>
              <w:spacing w:line="220" w:lineRule="exact"/>
              <w:jc w:val="center"/>
              <w:textAlignment w:val="auto"/>
              <w:outlineLvl w:val="9"/>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 w:val="20"/>
                <w:szCs w:val="20"/>
                <w:highlight w:val="none"/>
                <w:lang w:val="en-US" w:eastAsia="zh-CN"/>
                <w14:textFill>
                  <w14:solidFill>
                    <w14:schemeClr w14:val="tx1"/>
                  </w14:solidFill>
                </w14:textFill>
              </w:rPr>
              <w:t>临行政街，沥青路面，通行较顺畅</w:t>
            </w:r>
          </w:p>
        </w:tc>
        <w:tc>
          <w:tcPr>
            <w:tcW w:w="774" w:type="pct"/>
            <w:noWrap w:val="0"/>
            <w:vAlign w:val="center"/>
          </w:tcPr>
          <w:p w14:paraId="30A910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0"/>
                <w:szCs w:val="20"/>
                <w:highlight w:val="none"/>
                <w:lang w:val="en-US" w:eastAsia="zh-CN"/>
                <w14:textFill>
                  <w14:solidFill>
                    <w14:schemeClr w14:val="tx1"/>
                  </w14:solidFill>
                </w14:textFill>
              </w:rPr>
              <w:t>区域内接市政双回路110KV供电管网，供电保证率高</w:t>
            </w:r>
          </w:p>
        </w:tc>
        <w:tc>
          <w:tcPr>
            <w:tcW w:w="565" w:type="pct"/>
            <w:noWrap w:val="0"/>
            <w:vAlign w:val="center"/>
          </w:tcPr>
          <w:p w14:paraId="6716B1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0"/>
                <w:szCs w:val="20"/>
                <w:highlight w:val="none"/>
                <w:lang w:val="en-US" w:eastAsia="zh-CN"/>
                <w14:textFill>
                  <w14:solidFill>
                    <w14:schemeClr w14:val="tx1"/>
                  </w14:solidFill>
                </w14:textFill>
              </w:rPr>
              <w:t>区域内供水主要来自区内的市政供水</w:t>
            </w:r>
          </w:p>
        </w:tc>
        <w:tc>
          <w:tcPr>
            <w:tcW w:w="747" w:type="pct"/>
            <w:noWrap w:val="0"/>
            <w:vAlign w:val="center"/>
          </w:tcPr>
          <w:p w14:paraId="33B16A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0"/>
                <w:szCs w:val="20"/>
                <w:highlight w:val="none"/>
                <w:lang w:val="en-US" w:eastAsia="zh-CN"/>
                <w14:textFill>
                  <w14:solidFill>
                    <w14:schemeClr w14:val="tx1"/>
                  </w14:solidFill>
                </w14:textFill>
              </w:rPr>
              <w:t>宗地外接排水设施，在雨水大的情况下无洪涝和积水</w:t>
            </w:r>
          </w:p>
        </w:tc>
        <w:tc>
          <w:tcPr>
            <w:tcW w:w="1689" w:type="pct"/>
            <w:noWrap w:val="0"/>
            <w:vAlign w:val="center"/>
          </w:tcPr>
          <w:p w14:paraId="63A3E49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0"/>
                <w:szCs w:val="20"/>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0"/>
                <w:szCs w:val="20"/>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2FC89A3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sz w:val="21"/>
          <w:szCs w:val="21"/>
          <w:highlight w:val="none"/>
        </w:rPr>
        <w:t>3.规划限制条件：根据</w:t>
      </w:r>
      <w:r>
        <w:rPr>
          <w:rFonts w:hint="eastAsia" w:ascii="仿宋_GB2312" w:hAnsi="仿宋_GB2312" w:eastAsia="仿宋_GB2312" w:cs="仿宋_GB2312"/>
          <w:color w:val="auto"/>
          <w:sz w:val="21"/>
          <w:szCs w:val="21"/>
          <w:highlight w:val="none"/>
          <w:lang w:eastAsia="zh-CN"/>
        </w:rPr>
        <w:t>《国有土地使用证》（通国用（2014）第000327号）</w:t>
      </w:r>
      <w:r>
        <w:rPr>
          <w:rFonts w:hint="eastAsia" w:ascii="仿宋_GB2312" w:hAnsi="仿宋_GB2312" w:eastAsia="仿宋_GB2312" w:cs="仿宋_GB2312"/>
          <w:sz w:val="21"/>
          <w:szCs w:val="21"/>
          <w:highlight w:val="none"/>
        </w:rPr>
        <w:t>，估价对象位于</w:t>
      </w:r>
      <w:r>
        <w:rPr>
          <w:rFonts w:hint="eastAsia" w:ascii="仿宋_GB2312" w:hAnsi="仿宋_GB2312" w:eastAsia="仿宋_GB2312" w:cs="仿宋_GB2312"/>
          <w:color w:val="auto"/>
          <w:sz w:val="21"/>
          <w:szCs w:val="21"/>
          <w:highlight w:val="none"/>
          <w:lang w:val="en-US" w:eastAsia="zh-CN"/>
        </w:rPr>
        <w:t>通道县双江镇行政街</w:t>
      </w:r>
      <w:r>
        <w:rPr>
          <w:rFonts w:hint="eastAsia" w:ascii="仿宋_GB2312" w:hAnsi="仿宋_GB2312" w:eastAsia="仿宋_GB2312" w:cs="仿宋_GB2312"/>
          <w:sz w:val="21"/>
          <w:szCs w:val="21"/>
          <w:highlight w:val="none"/>
        </w:rPr>
        <w:t>，</w:t>
      </w:r>
      <w:r>
        <w:rPr>
          <w:rFonts w:hint="eastAsia" w:ascii="仿宋_GB2312" w:hAnsi="仿宋_GB2312" w:eastAsia="仿宋_GB2312" w:cs="仿宋_GB2312"/>
          <w:sz w:val="21"/>
          <w:szCs w:val="21"/>
          <w:highlight w:val="none"/>
          <w:lang w:val="en-US" w:eastAsia="zh-CN"/>
        </w:rPr>
        <w:t>根据《土地分户分摊面积明细表》，估价对象分摊土地使用权面积为183.27平方米。</w:t>
      </w:r>
      <w:r>
        <w:rPr>
          <w:rFonts w:hint="eastAsia" w:ascii="仿宋_GB2312" w:hAnsi="仿宋_GB2312" w:eastAsia="仿宋_GB2312" w:cs="仿宋_GB2312"/>
          <w:sz w:val="21"/>
          <w:szCs w:val="21"/>
          <w:highlight w:val="none"/>
        </w:rPr>
        <w:t>4.影响土地价值的其他限定条件：无。</w:t>
      </w:r>
    </w:p>
    <w:p w14:paraId="71D15839">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二、其他需要说明的事项：</w:t>
      </w:r>
    </w:p>
    <w:p w14:paraId="65AD237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1、评估价格仅为委托方了解土地使用权价值提供客观、公正、合理的价格参考依据。</w:t>
      </w:r>
    </w:p>
    <w:p w14:paraId="1417FE10">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2、评估结果自报告提交之日起壹年内有效。</w:t>
      </w:r>
    </w:p>
    <w:p w14:paraId="7492DC43">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3、此次评估结果是估价对象于估价期日在设定土地用途、设定使用年期、设定容积率、现状利用条件下的土地使用权价格。</w:t>
      </w:r>
    </w:p>
    <w:p w14:paraId="063D07F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default" w:ascii="仿宋_GB2312" w:hAnsi="仿宋_GB2312" w:eastAsia="仿宋_GB2312" w:cs="仿宋_GB2312"/>
          <w:bCs/>
          <w:color w:val="auto"/>
          <w:kern w:val="2"/>
          <w:sz w:val="21"/>
          <w:szCs w:val="21"/>
          <w:highlight w:val="none"/>
          <w:lang w:val="en-US" w:eastAsia="zh-CN" w:bidi="ar-SA"/>
        </w:rPr>
      </w:pPr>
      <w:r>
        <w:rPr>
          <w:rFonts w:hint="eastAsia" w:ascii="仿宋_GB2312" w:hAnsi="仿宋_GB2312" w:eastAsia="仿宋_GB2312" w:cs="仿宋_GB2312"/>
          <w:bCs/>
          <w:color w:val="auto"/>
          <w:kern w:val="2"/>
          <w:sz w:val="21"/>
          <w:szCs w:val="21"/>
          <w:highlight w:val="none"/>
          <w:lang w:val="en-GB" w:eastAsia="zh-CN" w:bidi="ar-SA"/>
        </w:rPr>
        <w:t>4、估价对象土地权属以《国有土地使用证》（通国用（2014）第000327号）为依据，建筑面积</w:t>
      </w:r>
      <w:r>
        <w:rPr>
          <w:rFonts w:hint="eastAsia" w:ascii="仿宋_GB2312" w:hAnsi="仿宋_GB2312" w:eastAsia="仿宋_GB2312" w:cs="仿宋_GB2312"/>
          <w:bCs/>
          <w:color w:val="auto"/>
          <w:kern w:val="2"/>
          <w:sz w:val="21"/>
          <w:szCs w:val="21"/>
          <w:highlight w:val="none"/>
          <w:lang w:val="en-US" w:eastAsia="zh-CN" w:bidi="ar-SA"/>
        </w:rPr>
        <w:t>以</w:t>
      </w:r>
      <w:r>
        <w:rPr>
          <w:rFonts w:hint="eastAsia" w:ascii="仿宋_GB2312" w:hAnsi="仿宋_GB2312" w:eastAsia="仿宋_GB2312" w:cs="仿宋_GB2312"/>
          <w:sz w:val="21"/>
          <w:szCs w:val="21"/>
          <w:highlight w:val="none"/>
          <w:lang w:val="en-US" w:eastAsia="zh-CN"/>
        </w:rPr>
        <w:t>《土地分户分摊面积明细表》</w:t>
      </w:r>
      <w:r>
        <w:rPr>
          <w:rFonts w:hint="eastAsia" w:ascii="仿宋_GB2312" w:hAnsi="仿宋_GB2312" w:eastAsia="仿宋_GB2312" w:cs="仿宋_GB2312"/>
          <w:bCs/>
          <w:color w:val="auto"/>
          <w:kern w:val="2"/>
          <w:sz w:val="21"/>
          <w:szCs w:val="21"/>
          <w:highlight w:val="none"/>
          <w:lang w:val="en-GB" w:eastAsia="zh-CN" w:bidi="ar-SA"/>
        </w:rPr>
        <w:t>为依据，土地使用权面积</w:t>
      </w:r>
      <w:r>
        <w:rPr>
          <w:rFonts w:hint="eastAsia" w:ascii="仿宋_GB2312" w:hAnsi="仿宋_GB2312" w:eastAsia="仿宋_GB2312" w:cs="仿宋_GB2312"/>
          <w:bCs/>
          <w:color w:val="auto"/>
          <w:kern w:val="2"/>
          <w:sz w:val="21"/>
          <w:szCs w:val="21"/>
          <w:highlight w:val="none"/>
          <w:lang w:val="en-US" w:eastAsia="zh-CN" w:bidi="ar-SA"/>
        </w:rPr>
        <w:t>以《土地分户分摊面积明细表》和《土地资产评估委托书》为依据</w:t>
      </w:r>
      <w:r>
        <w:rPr>
          <w:rFonts w:hint="eastAsia" w:ascii="仿宋_GB2312" w:hAnsi="仿宋_GB2312" w:eastAsia="仿宋_GB2312" w:cs="仿宋_GB2312"/>
          <w:bCs/>
          <w:color w:val="auto"/>
          <w:kern w:val="2"/>
          <w:sz w:val="21"/>
          <w:szCs w:val="21"/>
          <w:highlight w:val="none"/>
          <w:lang w:val="en-GB" w:eastAsia="zh-CN" w:bidi="ar-SA"/>
        </w:rPr>
        <w:t>，确定本次评估面积为</w:t>
      </w:r>
      <w:r>
        <w:rPr>
          <w:rFonts w:hint="eastAsia" w:ascii="仿宋_GB2312" w:hAnsi="仿宋_GB2312" w:eastAsia="仿宋_GB2312" w:cs="仿宋_GB2312"/>
          <w:bCs/>
          <w:color w:val="auto"/>
          <w:kern w:val="2"/>
          <w:sz w:val="21"/>
          <w:szCs w:val="21"/>
          <w:highlight w:val="none"/>
          <w:lang w:val="en-US" w:eastAsia="zh-CN" w:bidi="ar-SA"/>
        </w:rPr>
        <w:t>183.27平方米</w:t>
      </w:r>
      <w:r>
        <w:rPr>
          <w:rFonts w:hint="eastAsia" w:ascii="仿宋_GB2312" w:hAnsi="仿宋_GB2312" w:eastAsia="仿宋_GB2312" w:cs="仿宋_GB2312"/>
          <w:bCs/>
          <w:color w:val="auto"/>
          <w:kern w:val="2"/>
          <w:sz w:val="21"/>
          <w:szCs w:val="21"/>
          <w:highlight w:val="none"/>
          <w:lang w:val="en-GB" w:eastAsia="zh-CN" w:bidi="ar-SA"/>
        </w:rPr>
        <w:t>，最终土地面积以当地自然资源局核定面积为准，若土地面积发生变化，评估结果应做相应调整。</w:t>
      </w:r>
      <w:r>
        <w:rPr>
          <w:rFonts w:hint="eastAsia" w:ascii="仿宋_GB2312" w:hAnsi="仿宋_GB2312" w:eastAsia="仿宋_GB2312" w:cs="仿宋_GB2312"/>
          <w:bCs/>
          <w:color w:val="auto"/>
          <w:kern w:val="2"/>
          <w:sz w:val="21"/>
          <w:szCs w:val="21"/>
          <w:highlight w:val="none"/>
          <w:lang w:val="en-US" w:eastAsia="zh-CN" w:bidi="ar-SA"/>
        </w:rPr>
        <w:t xml:space="preserve">  </w:t>
      </w:r>
    </w:p>
    <w:p w14:paraId="474F890E">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5、其他特殊说明事项详见本报告第</w:t>
      </w:r>
      <w:r>
        <w:rPr>
          <w:rFonts w:hint="eastAsia" w:ascii="仿宋_GB2312" w:hAnsi="仿宋_GB2312" w:eastAsia="仿宋_GB2312" w:cs="仿宋_GB2312"/>
          <w:bCs/>
          <w:color w:val="auto"/>
          <w:kern w:val="2"/>
          <w:sz w:val="21"/>
          <w:szCs w:val="21"/>
          <w:highlight w:val="none"/>
          <w:lang w:val="en-US" w:eastAsia="zh-CN" w:bidi="ar-SA"/>
        </w:rPr>
        <w:t>一</w:t>
      </w:r>
      <w:r>
        <w:rPr>
          <w:rFonts w:hint="eastAsia" w:ascii="仿宋_GB2312" w:hAnsi="仿宋_GB2312" w:eastAsia="仿宋_GB2312" w:cs="仿宋_GB2312"/>
          <w:bCs/>
          <w:color w:val="auto"/>
          <w:kern w:val="2"/>
          <w:sz w:val="21"/>
          <w:szCs w:val="21"/>
          <w:highlight w:val="none"/>
          <w:lang w:val="en-GB" w:eastAsia="zh-CN" w:bidi="ar-SA"/>
        </w:rPr>
        <w:t>部分第</w:t>
      </w:r>
      <w:r>
        <w:rPr>
          <w:rFonts w:hint="eastAsia" w:ascii="仿宋_GB2312" w:hAnsi="仿宋_GB2312" w:eastAsia="仿宋_GB2312" w:cs="仿宋_GB2312"/>
          <w:bCs/>
          <w:color w:val="auto"/>
          <w:kern w:val="2"/>
          <w:sz w:val="21"/>
          <w:szCs w:val="21"/>
          <w:highlight w:val="none"/>
          <w:lang w:val="en-US" w:eastAsia="zh-CN" w:bidi="ar-SA"/>
        </w:rPr>
        <w:t>十</w:t>
      </w:r>
      <w:r>
        <w:rPr>
          <w:rFonts w:hint="eastAsia" w:ascii="仿宋_GB2312" w:hAnsi="仿宋_GB2312" w:eastAsia="仿宋_GB2312" w:cs="仿宋_GB2312"/>
          <w:bCs/>
          <w:color w:val="auto"/>
          <w:kern w:val="2"/>
          <w:sz w:val="21"/>
          <w:szCs w:val="21"/>
          <w:highlight w:val="none"/>
          <w:lang w:val="en-GB" w:eastAsia="zh-CN" w:bidi="ar-SA"/>
        </w:rPr>
        <w:t>项。</w:t>
      </w:r>
    </w:p>
    <w:p w14:paraId="6D48B889">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湖南兆财不动产规划评估有限公司</w:t>
      </w:r>
    </w:p>
    <w:p w14:paraId="2865B4CF">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rPr>
          <w:rFonts w:hint="eastAsia" w:ascii="仿宋_GB2312" w:hAnsi="仿宋_GB2312" w:eastAsia="仿宋_GB2312" w:cs="仿宋_GB2312"/>
          <w:bCs/>
          <w:color w:val="auto"/>
          <w:kern w:val="2"/>
          <w:sz w:val="22"/>
          <w:szCs w:val="22"/>
          <w:highlight w:val="none"/>
          <w:lang w:val="en-GB" w:eastAsia="zh-CN" w:bidi="ar-SA"/>
        </w:rPr>
        <w:sectPr>
          <w:headerReference r:id="rId19" w:type="default"/>
          <w:footerReference r:id="rId20" w:type="default"/>
          <w:pgSz w:w="16838" w:h="11906" w:orient="landscape"/>
          <w:pgMar w:top="1417" w:right="1440" w:bottom="1417" w:left="1440" w:header="851" w:footer="992" w:gutter="0"/>
          <w:pgNumType w:fmt="decimal"/>
          <w:cols w:space="425" w:num="1"/>
          <w:docGrid w:type="lines" w:linePitch="312" w:charSpace="0"/>
        </w:sectPr>
      </w:pPr>
      <w:r>
        <w:rPr>
          <w:rFonts w:hint="eastAsia" w:ascii="仿宋_GB2312" w:hAnsi="仿宋_GB2312" w:eastAsia="仿宋_GB2312" w:cs="仿宋_GB2312"/>
          <w:bCs/>
          <w:color w:val="auto"/>
          <w:kern w:val="2"/>
          <w:sz w:val="21"/>
          <w:szCs w:val="21"/>
          <w:highlight w:val="none"/>
          <w:lang w:val="en-GB" w:eastAsia="zh-CN" w:bidi="ar-SA"/>
        </w:rPr>
        <w:t>二〇二六年</w:t>
      </w:r>
      <w:r>
        <w:rPr>
          <w:rFonts w:hint="eastAsia" w:ascii="仿宋_GB2312" w:hAnsi="仿宋_GB2312" w:eastAsia="仿宋_GB2312" w:cs="仿宋_GB2312"/>
          <w:bCs/>
          <w:color w:val="auto"/>
          <w:kern w:val="2"/>
          <w:sz w:val="21"/>
          <w:szCs w:val="21"/>
          <w:highlight w:val="none"/>
          <w:lang w:val="en-US" w:eastAsia="zh-CN" w:bidi="ar-SA"/>
        </w:rPr>
        <w:t>二</w:t>
      </w:r>
      <w:r>
        <w:rPr>
          <w:rFonts w:hint="eastAsia" w:ascii="仿宋_GB2312" w:hAnsi="仿宋_GB2312" w:eastAsia="仿宋_GB2312" w:cs="仿宋_GB2312"/>
          <w:bCs/>
          <w:color w:val="auto"/>
          <w:kern w:val="2"/>
          <w:sz w:val="21"/>
          <w:szCs w:val="21"/>
          <w:highlight w:val="none"/>
          <w:lang w:val="en-GB" w:eastAsia="zh-CN" w:bidi="ar-SA"/>
        </w:rPr>
        <w:t>月</w:t>
      </w:r>
      <w:r>
        <w:rPr>
          <w:rFonts w:hint="eastAsia" w:ascii="仿宋_GB2312" w:hAnsi="仿宋_GB2312" w:eastAsia="仿宋_GB2312" w:cs="仿宋_GB2312"/>
          <w:bCs/>
          <w:color w:val="auto"/>
          <w:kern w:val="2"/>
          <w:sz w:val="21"/>
          <w:szCs w:val="21"/>
          <w:highlight w:val="none"/>
          <w:lang w:val="en-US" w:eastAsia="zh-CN" w:bidi="ar-SA"/>
        </w:rPr>
        <w:t>四</w:t>
      </w:r>
      <w:r>
        <w:rPr>
          <w:rFonts w:hint="eastAsia" w:ascii="仿宋_GB2312" w:hAnsi="仿宋_GB2312" w:eastAsia="仿宋_GB2312" w:cs="仿宋_GB2312"/>
          <w:bCs/>
          <w:color w:val="auto"/>
          <w:kern w:val="2"/>
          <w:sz w:val="21"/>
          <w:szCs w:val="21"/>
          <w:highlight w:val="none"/>
          <w:lang w:val="en-GB" w:eastAsia="zh-CN" w:bidi="ar-SA"/>
        </w:rPr>
        <w:t>日</w:t>
      </w:r>
    </w:p>
    <w:p w14:paraId="216BAF41">
      <w:pPr>
        <w:pStyle w:val="2"/>
        <w:keepNext w:val="0"/>
        <w:keepLines w:val="0"/>
        <w:pageBreakBefore w:val="0"/>
        <w:widowControl w:val="0"/>
        <w:numPr>
          <w:ilvl w:val="0"/>
          <w:numId w:val="0"/>
        </w:numPr>
        <w:kinsoku/>
        <w:wordWrap/>
        <w:overflowPunct/>
        <w:topLinePunct w:val="0"/>
        <w:autoSpaceDE/>
        <w:autoSpaceDN/>
        <w:bidi w:val="0"/>
        <w:adjustRightInd/>
        <w:snapToGrid/>
        <w:spacing w:line="220" w:lineRule="exact"/>
        <w:ind w:firstLine="420" w:firstLineChars="200"/>
        <w:textAlignment w:val="auto"/>
        <w:rPr>
          <w:rFonts w:hint="eastAsia" w:ascii="仿宋" w:hAnsi="仿宋" w:eastAsia="仿宋" w:cs="仿宋"/>
          <w:sz w:val="21"/>
          <w:szCs w:val="21"/>
          <w:highlight w:val="none"/>
          <w:lang w:val="en-US" w:eastAsia="zh-CN"/>
        </w:rPr>
      </w:pPr>
    </w:p>
    <w:p w14:paraId="0B024E4F">
      <w:pPr>
        <w:pStyle w:val="6"/>
        <w:keepLines w:val="0"/>
        <w:pageBreakBefore w:val="0"/>
        <w:widowControl w:val="0"/>
        <w:kinsoku/>
        <w:wordWrap/>
        <w:overflowPunct/>
        <w:topLinePunct w:val="0"/>
        <w:autoSpaceDE/>
        <w:autoSpaceDN/>
        <w:bidi w:val="0"/>
        <w:spacing w:line="480" w:lineRule="exact"/>
        <w:ind w:left="0" w:right="0" w:firstLine="0"/>
        <w:jc w:val="left"/>
        <w:textAlignment w:val="auto"/>
        <w:rPr>
          <w:rFonts w:hint="default" w:ascii="仿宋_GB2312" w:hAnsi="仿宋_GB2312" w:eastAsia="仿宋_GB2312" w:cs="仿宋_GB2312"/>
          <w:b/>
          <w:bCs w:val="0"/>
          <w:color w:val="auto"/>
          <w:kern w:val="2"/>
          <w:sz w:val="28"/>
          <w:szCs w:val="28"/>
          <w:highlight w:val="none"/>
          <w:lang w:val="en-GB" w:eastAsia="zh-CN" w:bidi="ar-SA"/>
        </w:rPr>
      </w:pPr>
      <w:bookmarkStart w:id="20" w:name="_Toc4839"/>
      <w:bookmarkStart w:id="21" w:name="_Toc20425"/>
      <w:r>
        <w:rPr>
          <w:rFonts w:hint="eastAsia" w:ascii="仿宋_GB2312" w:hAnsi="仿宋_GB2312" w:eastAsia="仿宋_GB2312" w:cs="仿宋_GB2312"/>
          <w:b/>
          <w:bCs w:val="0"/>
          <w:color w:val="auto"/>
          <w:kern w:val="2"/>
          <w:sz w:val="28"/>
          <w:szCs w:val="28"/>
          <w:highlight w:val="none"/>
          <w:lang w:val="en-US" w:eastAsia="zh-CN" w:bidi="ar-SA"/>
        </w:rPr>
        <w:t>十</w:t>
      </w:r>
      <w:r>
        <w:rPr>
          <w:rFonts w:hint="default" w:ascii="仿宋_GB2312" w:hAnsi="仿宋_GB2312" w:eastAsia="仿宋_GB2312" w:cs="仿宋_GB2312"/>
          <w:b/>
          <w:bCs w:val="0"/>
          <w:color w:val="auto"/>
          <w:kern w:val="2"/>
          <w:sz w:val="28"/>
          <w:szCs w:val="28"/>
          <w:highlight w:val="none"/>
          <w:lang w:val="en-GB" w:eastAsia="zh-CN" w:bidi="ar-SA"/>
        </w:rPr>
        <w:t>、需要特殊说明的事项</w:t>
      </w:r>
      <w:bookmarkEnd w:id="20"/>
      <w:bookmarkEnd w:id="21"/>
    </w:p>
    <w:p w14:paraId="67F7FF12">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（一）估价的前提条件和假设条件</w:t>
      </w:r>
    </w:p>
    <w:p w14:paraId="765B3F9D">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1、前提条件：</w:t>
      </w:r>
    </w:p>
    <w:p w14:paraId="5D9736EA">
      <w:pPr>
        <w:pStyle w:val="2"/>
        <w:spacing w:line="480" w:lineRule="exact"/>
        <w:ind w:firstLine="560"/>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（1）本次估价以委托方提供的有关资料为重要依据，包括了</w:t>
      </w:r>
      <w:r>
        <w:rPr>
          <w:rFonts w:hint="eastAsia" w:ascii="仿宋_GB2312" w:hAnsi="仿宋_GB2312" w:cs="仿宋_GB2312"/>
          <w:bCs/>
          <w:color w:val="auto"/>
          <w:kern w:val="2"/>
          <w:sz w:val="28"/>
          <w:szCs w:val="28"/>
          <w:highlight w:val="none"/>
          <w:lang w:val="en-GB" w:eastAsia="zh-CN" w:bidi="ar-SA"/>
        </w:rPr>
        <w:t>《国有土地使用证》（通国用（2014）第000327号）</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cs="仿宋_GB2312"/>
          <w:bCs/>
          <w:color w:val="auto"/>
          <w:kern w:val="2"/>
          <w:sz w:val="28"/>
          <w:szCs w:val="28"/>
          <w:highlight w:val="none"/>
          <w:lang w:val="en-GB" w:eastAsia="zh-CN" w:bidi="ar-SA"/>
        </w:rPr>
        <w:t>《房屋所有权证》（通房权证双江字第201517109号）</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土地分户分摊面积明细表</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cs="仿宋_GB2312"/>
          <w:bCs/>
          <w:color w:val="auto"/>
          <w:kern w:val="2"/>
          <w:sz w:val="28"/>
          <w:szCs w:val="28"/>
          <w:highlight w:val="none"/>
          <w:lang w:val="en-GB" w:eastAsia="zh-CN" w:bidi="ar-SA"/>
        </w:rPr>
        <w:t>、《通道县自然资源局行政许可申请受理决定书》（2026年1月22日）、《通道侗族自治县自然资源局关于通道县政府大院内各建筑性质的认定》（2026年1月28日）</w:t>
      </w:r>
      <w:r>
        <w:rPr>
          <w:rFonts w:hint="default" w:ascii="仿宋_GB2312" w:hAnsi="仿宋_GB2312" w:eastAsia="仿宋_GB2312" w:cs="仿宋_GB2312"/>
          <w:bCs/>
          <w:color w:val="auto"/>
          <w:kern w:val="2"/>
          <w:sz w:val="28"/>
          <w:szCs w:val="28"/>
          <w:highlight w:val="none"/>
          <w:lang w:val="en-GB" w:eastAsia="zh-CN" w:bidi="ar-SA"/>
        </w:rPr>
        <w:t>等，并以这些资料的合法性为前提。</w:t>
      </w:r>
    </w:p>
    <w:p w14:paraId="7C95DCD1">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（2）估价对象与其它生产要素相结合，能满足设定土地使用年限内经营管理的正常进行，保证持续发展。</w:t>
      </w:r>
    </w:p>
    <w:p w14:paraId="4FC271D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（3）估价期日地产市场为公正、公开、公平的均衡市场。</w:t>
      </w:r>
    </w:p>
    <w:p w14:paraId="5BE7EDD3">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（4）任何有关估价对象的运作方式、程序符合国家、地方的有关法律、法规。</w:t>
      </w:r>
    </w:p>
    <w:p w14:paraId="34B8F351">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（5）估价对象按照设定用途，得到有效合理地利用，并会产生相应的土地收益。</w:t>
      </w:r>
    </w:p>
    <w:p w14:paraId="2EA56D6F">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2、假设条件</w:t>
      </w:r>
    </w:p>
    <w:p w14:paraId="62C5845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（1）估价期日设定为</w:t>
      </w:r>
      <w:r>
        <w:rPr>
          <w:rFonts w:hint="eastAsia" w:ascii="仿宋_GB2312" w:hAnsi="仿宋_GB2312" w:eastAsia="仿宋_GB2312" w:cs="仿宋_GB2312"/>
          <w:bCs/>
          <w:color w:val="auto"/>
          <w:kern w:val="2"/>
          <w:sz w:val="28"/>
          <w:szCs w:val="28"/>
          <w:highlight w:val="none"/>
          <w:lang w:val="en-GB" w:eastAsia="zh-CN" w:bidi="ar-SA"/>
        </w:rPr>
        <w:t>2026年2月3日</w:t>
      </w:r>
      <w:r>
        <w:rPr>
          <w:rFonts w:hint="default" w:ascii="仿宋_GB2312" w:hAnsi="仿宋_GB2312" w:eastAsia="仿宋_GB2312" w:cs="仿宋_GB2312"/>
          <w:bCs/>
          <w:color w:val="auto"/>
          <w:kern w:val="2"/>
          <w:sz w:val="28"/>
          <w:szCs w:val="28"/>
          <w:highlight w:val="none"/>
          <w:lang w:val="en-GB" w:eastAsia="zh-CN" w:bidi="ar-SA"/>
        </w:rPr>
        <w:t>。</w:t>
      </w:r>
    </w:p>
    <w:p w14:paraId="16261538">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（2）现状利用条件下的出让土地使用权价格的土地用途设定为</w:t>
      </w:r>
      <w:r>
        <w:rPr>
          <w:rFonts w:hint="eastAsia" w:ascii="仿宋_GB2312" w:hAnsi="仿宋_GB2312" w:eastAsia="仿宋_GB2312" w:cs="仿宋_GB2312"/>
          <w:bCs/>
          <w:color w:val="auto"/>
          <w:kern w:val="2"/>
          <w:sz w:val="28"/>
          <w:szCs w:val="28"/>
          <w:highlight w:val="none"/>
          <w:lang w:val="en-GB" w:eastAsia="zh-CN" w:bidi="ar-SA"/>
        </w:rPr>
        <w:t>住宅</w:t>
      </w:r>
      <w:r>
        <w:rPr>
          <w:rFonts w:hint="default" w:ascii="仿宋_GB2312" w:hAnsi="仿宋_GB2312" w:eastAsia="仿宋_GB2312" w:cs="仿宋_GB2312"/>
          <w:bCs/>
          <w:color w:val="auto"/>
          <w:kern w:val="2"/>
          <w:sz w:val="28"/>
          <w:szCs w:val="28"/>
          <w:highlight w:val="none"/>
          <w:lang w:val="en-GB" w:eastAsia="zh-CN" w:bidi="ar-SA"/>
        </w:rPr>
        <w:t>用地。</w:t>
      </w:r>
    </w:p>
    <w:p w14:paraId="1424A10A">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（3）现状利用条件下的出让土地使用权价格的容积率设定为</w:t>
      </w:r>
      <w:r>
        <w:rPr>
          <w:rFonts w:hint="eastAsia" w:ascii="仿宋_GB2312" w:hAnsi="仿宋_GB2312" w:eastAsia="仿宋_GB2312" w:cs="仿宋_GB2312"/>
          <w:bCs/>
          <w:color w:val="auto"/>
          <w:kern w:val="2"/>
          <w:sz w:val="28"/>
          <w:szCs w:val="28"/>
          <w:highlight w:val="none"/>
          <w:lang w:val="en-US" w:eastAsia="zh-CN" w:bidi="ar-SA"/>
        </w:rPr>
        <w:t>4.07</w:t>
      </w:r>
      <w:r>
        <w:rPr>
          <w:rFonts w:hint="default" w:ascii="仿宋_GB2312" w:hAnsi="仿宋_GB2312" w:eastAsia="仿宋_GB2312" w:cs="仿宋_GB2312"/>
          <w:bCs/>
          <w:color w:val="auto"/>
          <w:kern w:val="2"/>
          <w:sz w:val="28"/>
          <w:szCs w:val="28"/>
          <w:highlight w:val="none"/>
          <w:lang w:val="en-GB" w:eastAsia="zh-CN" w:bidi="ar-SA"/>
        </w:rPr>
        <w:t>。</w:t>
      </w:r>
    </w:p>
    <w:p w14:paraId="7B31CDD3">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（4）估价对象基础设施条件设定为宗地红线外“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w:t>
      </w:r>
    </w:p>
    <w:p w14:paraId="756C68B5">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（5）土地使用权类型设定为：土地使用权类型为出让。</w:t>
      </w:r>
    </w:p>
    <w:p w14:paraId="439079E8">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（6）土地使用权年限设定</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土地使用权年限为</w:t>
      </w:r>
      <w:r>
        <w:rPr>
          <w:rFonts w:hint="eastAsia" w:ascii="仿宋_GB2312" w:hAnsi="仿宋_GB2312" w:eastAsia="仿宋_GB2312" w:cs="仿宋_GB2312"/>
          <w:bCs/>
          <w:color w:val="auto"/>
          <w:kern w:val="2"/>
          <w:sz w:val="28"/>
          <w:szCs w:val="28"/>
          <w:highlight w:val="none"/>
          <w:lang w:val="en-US" w:eastAsia="zh-CN" w:bidi="ar-SA"/>
        </w:rPr>
        <w:t>70年</w:t>
      </w:r>
      <w:r>
        <w:rPr>
          <w:rFonts w:hint="default" w:ascii="仿宋_GB2312" w:hAnsi="仿宋_GB2312" w:eastAsia="仿宋_GB2312" w:cs="仿宋_GB2312"/>
          <w:bCs/>
          <w:color w:val="auto"/>
          <w:kern w:val="2"/>
          <w:sz w:val="28"/>
          <w:szCs w:val="28"/>
          <w:highlight w:val="none"/>
          <w:lang w:val="en-GB" w:eastAsia="zh-CN" w:bidi="ar-SA"/>
        </w:rPr>
        <w:t>。</w:t>
      </w:r>
    </w:p>
    <w:p w14:paraId="2BC4FA13">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（二）估价结果和估价报告的使用</w:t>
      </w:r>
    </w:p>
    <w:p w14:paraId="4928C6C7">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1、估价报告和估价结果发生效力的法律依据</w:t>
      </w:r>
    </w:p>
    <w:p w14:paraId="70C56192">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（1）本次估价依据《中华人民共和国资产评估法》及中华人民共和国国家标准《城镇土地估价规程》（GB/T18508-2014）、《国土资源部办公厅关于发布&lt;国有建设用地使用权出让地价评估技术规范</w:t>
      </w:r>
      <w:r>
        <w:rPr>
          <w:rFonts w:hint="default" w:ascii="仿宋_GB2312" w:hAnsi="仿宋_GB2312" w:eastAsia="仿宋_GB2312" w:cs="仿宋_GB2312"/>
          <w:bCs/>
          <w:color w:val="auto"/>
          <w:kern w:val="2"/>
          <w:sz w:val="28"/>
          <w:szCs w:val="28"/>
          <w:highlight w:val="none"/>
          <w:lang w:val="en-US" w:eastAsia="zh-CN" w:bidi="ar-SA"/>
        </w:rPr>
        <w:t>&gt;</w:t>
      </w:r>
      <w:r>
        <w:rPr>
          <w:rFonts w:hint="default" w:ascii="仿宋_GB2312" w:hAnsi="仿宋_GB2312" w:eastAsia="仿宋_GB2312" w:cs="仿宋_GB2312"/>
          <w:bCs/>
          <w:color w:val="auto"/>
          <w:kern w:val="2"/>
          <w:sz w:val="28"/>
          <w:szCs w:val="28"/>
          <w:highlight w:val="none"/>
          <w:lang w:val="en-GB" w:eastAsia="zh-CN" w:bidi="ar-SA"/>
        </w:rPr>
        <w:t>的通知》（国土资厅发[2018]4号）等展开评估工作、撰写本估价报告、形成意见和结论。</w:t>
      </w:r>
    </w:p>
    <w:p w14:paraId="3D25962F">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（2）估价报告和估价结果的作用依照《中华人民共和国资产评估法》、《中华人民共和国土地管理法》等所列明法律、法规的有关规定发生法律效力。</w:t>
      </w:r>
    </w:p>
    <w:p w14:paraId="27728898">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（3）本报告需在取得电子备案号后，由土地估价师、土地机构法定代表人签名及土地估价机构盖章后方能生效。</w:t>
      </w:r>
    </w:p>
    <w:p w14:paraId="1611AB95">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2、估价报告和估价结果使用的方向及限制条件</w:t>
      </w:r>
    </w:p>
    <w:p w14:paraId="7911E14B">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（1）本报告仅为委托方办理土地使用权出让手续提供价格参考，本次评估结果仅用于本次评估目的时才有效，报告使用人或其他第三方因不当引用本评估结果造成的损失，与本评估机构无关。</w:t>
      </w:r>
    </w:p>
    <w:p w14:paraId="3BCD8D8F">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（2）《土地估价报告》和《土地估价技术报告（评估工作底稿）》均提供给委托方使用和土地上级行政主管部门备案审查。</w:t>
      </w:r>
    </w:p>
    <w:p w14:paraId="15A6AAFA">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（3）本报告必须完整使用，对仅使用报告中的部分内容所导致的有关损失，估价机构不承担责任。任何单位和个人未经估价机构书面同意，不得以任何形式发表、肢解本报告。</w:t>
      </w:r>
    </w:p>
    <w:p w14:paraId="5AEC9A6F">
      <w:pPr>
        <w:pStyle w:val="19"/>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3、土地估价结果的有效期</w:t>
      </w:r>
    </w:p>
    <w:p w14:paraId="154E209A">
      <w:pPr>
        <w:pStyle w:val="19"/>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本估价报告和估价结果自报告提交之日起壹年内有效。</w:t>
      </w:r>
    </w:p>
    <w:p w14:paraId="10612EB8">
      <w:pPr>
        <w:pStyle w:val="19"/>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4、估价报告的使用权和解释权</w:t>
      </w:r>
    </w:p>
    <w:p w14:paraId="3F50DB72">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本估价报告和估价结果的使用权归委托方所有，湖南</w:t>
      </w:r>
      <w:r>
        <w:rPr>
          <w:rFonts w:hint="eastAsia" w:ascii="仿宋_GB2312" w:hAnsi="仿宋_GB2312" w:eastAsia="仿宋_GB2312" w:cs="仿宋_GB2312"/>
          <w:bCs/>
          <w:color w:val="auto"/>
          <w:kern w:val="2"/>
          <w:sz w:val="28"/>
          <w:szCs w:val="28"/>
          <w:highlight w:val="none"/>
          <w:lang w:val="en-US" w:eastAsia="zh-CN" w:bidi="ar-SA"/>
        </w:rPr>
        <w:t>兆财不动产规划评估有限</w:t>
      </w:r>
      <w:r>
        <w:rPr>
          <w:rFonts w:hint="default" w:ascii="仿宋_GB2312" w:hAnsi="仿宋_GB2312" w:eastAsia="仿宋_GB2312" w:cs="仿宋_GB2312"/>
          <w:bCs/>
          <w:color w:val="auto"/>
          <w:kern w:val="2"/>
          <w:sz w:val="28"/>
          <w:szCs w:val="28"/>
          <w:highlight w:val="none"/>
          <w:lang w:val="en-GB" w:eastAsia="zh-CN" w:bidi="ar-SA"/>
        </w:rPr>
        <w:t>公司对估价结果有解释权。</w:t>
      </w:r>
    </w:p>
    <w:p w14:paraId="3FF87AFF">
      <w:pPr>
        <w:pStyle w:val="19"/>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5、违规使用土地估价报告和估价结果的法律责任</w:t>
      </w:r>
    </w:p>
    <w:p w14:paraId="4C46C225">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违背规定或超越本报告特定目的及限制条件使用本土地估价报告和土地估价结果，土地估价机构不承担任何法律责任。</w:t>
      </w:r>
    </w:p>
    <w:p w14:paraId="4468C190">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（三）需要特殊说明的事项</w:t>
      </w:r>
    </w:p>
    <w:p w14:paraId="5633A96F">
      <w:pPr>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1、有关资料来源</w:t>
      </w:r>
      <w:r>
        <w:rPr>
          <w:rFonts w:hint="eastAsia" w:ascii="仿宋_GB2312" w:hAnsi="仿宋_GB2312" w:eastAsia="仿宋_GB2312" w:cs="仿宋_GB2312"/>
          <w:bCs/>
          <w:color w:val="auto"/>
          <w:kern w:val="2"/>
          <w:sz w:val="28"/>
          <w:szCs w:val="28"/>
          <w:highlight w:val="none"/>
          <w:lang w:val="en-US" w:eastAsia="zh-CN" w:bidi="ar-SA"/>
        </w:rPr>
        <w:t>说明</w:t>
      </w:r>
    </w:p>
    <w:p w14:paraId="202A9DF2">
      <w:pPr>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（1）资料来源</w:t>
      </w:r>
    </w:p>
    <w:p w14:paraId="46026E83">
      <w:pPr>
        <w:pStyle w:val="2"/>
        <w:spacing w:line="480" w:lineRule="exact"/>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ja-JP" w:bidi="ar-SA"/>
        </w:rPr>
        <w:t>①</w:t>
      </w:r>
      <w:r>
        <w:rPr>
          <w:rFonts w:hint="default" w:ascii="仿宋_GB2312" w:hAnsi="仿宋_GB2312" w:eastAsia="仿宋_GB2312" w:cs="仿宋_GB2312"/>
          <w:bCs/>
          <w:color w:val="auto"/>
          <w:kern w:val="2"/>
          <w:sz w:val="28"/>
          <w:szCs w:val="28"/>
          <w:highlight w:val="none"/>
          <w:lang w:val="en-GB" w:eastAsia="zh-CN" w:bidi="ar-SA"/>
        </w:rPr>
        <w:t>估价对象的</w:t>
      </w:r>
      <w:r>
        <w:rPr>
          <w:rFonts w:hint="eastAsia" w:ascii="仿宋_GB2312" w:hAnsi="仿宋_GB2312" w:cs="仿宋_GB2312"/>
          <w:bCs/>
          <w:color w:val="auto"/>
          <w:kern w:val="2"/>
          <w:sz w:val="28"/>
          <w:szCs w:val="28"/>
          <w:highlight w:val="none"/>
          <w:lang w:val="en-GB" w:eastAsia="zh-CN" w:bidi="ar-SA"/>
        </w:rPr>
        <w:t>《国有土地使用证》（通国用（2014）第000327号）</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cs="仿宋_GB2312"/>
          <w:bCs/>
          <w:color w:val="auto"/>
          <w:kern w:val="2"/>
          <w:sz w:val="28"/>
          <w:szCs w:val="28"/>
          <w:highlight w:val="none"/>
          <w:lang w:val="en-GB" w:eastAsia="zh-CN" w:bidi="ar-SA"/>
        </w:rPr>
        <w:t>《房屋所有权证》（通房权证双江字第201517109号）</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土地分户分摊面积明细表</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cs="仿宋_GB2312"/>
          <w:bCs/>
          <w:color w:val="auto"/>
          <w:kern w:val="2"/>
          <w:sz w:val="28"/>
          <w:szCs w:val="28"/>
          <w:highlight w:val="none"/>
          <w:lang w:val="en-GB" w:eastAsia="zh-CN" w:bidi="ar-SA"/>
        </w:rPr>
        <w:t>、《通道县自然资源局行政许可申请受理决定书》（2026年1月22日）、《通道侗族自治县自然资源局关于通道县政府大院内各建筑性质的认定》（2026年1月28日）</w:t>
      </w:r>
      <w:r>
        <w:rPr>
          <w:rFonts w:hint="default" w:ascii="仿宋_GB2312" w:hAnsi="仿宋_GB2312" w:eastAsia="仿宋_GB2312" w:cs="仿宋_GB2312"/>
          <w:bCs/>
          <w:color w:val="auto"/>
          <w:kern w:val="2"/>
          <w:sz w:val="28"/>
          <w:szCs w:val="28"/>
          <w:highlight w:val="none"/>
          <w:lang w:val="en-GB" w:eastAsia="zh-CN" w:bidi="ar-SA"/>
        </w:rPr>
        <w:t>等资料由委托方提供，现场估价人员已进行核对确认，为保证本报告所使用评估数据的准确性、有效性，委托方需要对所提供资料的真实性负责；估价机构对所收集资料的真实性、准确性负责。</w:t>
      </w:r>
    </w:p>
    <w:p w14:paraId="33E07398">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②估价对象的区位条件、土地利用现状照片及交易案例的现状条件等估价相关资料由估价人员实地调查取得。</w:t>
      </w:r>
    </w:p>
    <w:p w14:paraId="27D4903C">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③区域经济发展状况、统计数据、城市规划资料、基准地价资料等由土地估价师向相关部门收集获取。</w:t>
      </w:r>
    </w:p>
    <w:p w14:paraId="255A123A">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④估价中的相关基础资料、地产市场交易案例资料，由</w:t>
      </w:r>
      <w:r>
        <w:rPr>
          <w:rFonts w:hint="eastAsia" w:ascii="仿宋_GB2312" w:hAnsi="仿宋_GB2312" w:eastAsia="仿宋_GB2312" w:cs="仿宋_GB2312"/>
          <w:bCs/>
          <w:color w:val="auto"/>
          <w:kern w:val="2"/>
          <w:sz w:val="28"/>
          <w:szCs w:val="28"/>
          <w:highlight w:val="none"/>
          <w:lang w:val="en-US" w:eastAsia="zh-CN" w:bidi="ar-SA"/>
        </w:rPr>
        <w:t>湖南兆财不动产规划评估有限公司</w:t>
      </w:r>
      <w:r>
        <w:rPr>
          <w:rFonts w:hint="default" w:ascii="仿宋_GB2312" w:hAnsi="仿宋_GB2312" w:eastAsia="仿宋_GB2312" w:cs="仿宋_GB2312"/>
          <w:bCs/>
          <w:color w:val="auto"/>
          <w:kern w:val="2"/>
          <w:sz w:val="28"/>
          <w:szCs w:val="28"/>
          <w:highlight w:val="none"/>
          <w:lang w:val="en-GB" w:eastAsia="zh-CN" w:bidi="ar-SA"/>
        </w:rPr>
        <w:t>的土地估价师通过政府部门相关文件规定、公开媒体、网络平台等多种途径获取。</w:t>
      </w:r>
    </w:p>
    <w:p w14:paraId="25932923">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⑤土地估价师结合执业经验，对上述相关评估资料的真实性、合法性、有效性、适用性进行了尽职核实和专业判断。</w:t>
      </w:r>
    </w:p>
    <w:p w14:paraId="65A19EDE">
      <w:pPr>
        <w:keepLines w:val="0"/>
        <w:pageBreakBefore w:val="0"/>
        <w:widowControl w:val="0"/>
        <w:kinsoku/>
        <w:wordWrap/>
        <w:overflowPunct/>
        <w:topLinePunct w:val="0"/>
        <w:autoSpaceDE/>
        <w:autoSpaceDN/>
        <w:bidi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（2）估价人员对估价现场勘查仅限于可观察和可接触到的部分，对被遮盖、未暴露以及难以接触部分，因无法调查而不能实地确认，评估以委托方提供的资料和估价人员实地调查掌握的资料为准。</w:t>
      </w:r>
    </w:p>
    <w:p w14:paraId="099429AE">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2、估价中经济技术指标来源</w:t>
      </w:r>
    </w:p>
    <w:p w14:paraId="6EF53BDA">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（1）估价对象所在整体宗地的土地总面积以</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土地资产评估委托书</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为依据，土地总面积</w:t>
      </w:r>
      <w:r>
        <w:rPr>
          <w:rFonts w:hint="eastAsia" w:ascii="仿宋_GB2312" w:hAnsi="仿宋_GB2312" w:eastAsia="仿宋_GB2312" w:cs="仿宋_GB2312"/>
          <w:bCs/>
          <w:color w:val="auto"/>
          <w:kern w:val="2"/>
          <w:sz w:val="28"/>
          <w:szCs w:val="28"/>
          <w:highlight w:val="none"/>
          <w:lang w:val="en-US" w:eastAsia="zh-CN" w:bidi="ar-SA"/>
        </w:rPr>
        <w:t>183.27平方米。根据委托方提供的估价对象《房屋所有权证》（通房权证双江字第201517109号）及《土地资产评估委托书》，估价对象建筑面积为745.47平方米，估价对象分摊土地面积为183.27平方米，则估价对象现状容积率为4.07。</w:t>
      </w:r>
      <w:r>
        <w:rPr>
          <w:rFonts w:hint="default" w:ascii="仿宋_GB2312" w:hAnsi="仿宋_GB2312" w:eastAsia="仿宋_GB2312" w:cs="仿宋_GB2312"/>
          <w:bCs/>
          <w:color w:val="auto"/>
          <w:kern w:val="2"/>
          <w:sz w:val="28"/>
          <w:szCs w:val="28"/>
          <w:highlight w:val="none"/>
          <w:lang w:val="en-GB" w:eastAsia="zh-CN" w:bidi="ar-SA"/>
        </w:rPr>
        <w:t>根据估价目的，本次评估现状利用条件下的出让土地使用权价格容积率均设定为</w:t>
      </w:r>
      <w:r>
        <w:rPr>
          <w:rFonts w:hint="eastAsia" w:ascii="仿宋_GB2312" w:hAnsi="仿宋_GB2312" w:eastAsia="仿宋_GB2312" w:cs="仿宋_GB2312"/>
          <w:bCs/>
          <w:color w:val="auto"/>
          <w:kern w:val="2"/>
          <w:sz w:val="28"/>
          <w:szCs w:val="28"/>
          <w:highlight w:val="none"/>
          <w:lang w:val="en-US" w:eastAsia="zh-CN" w:bidi="ar-SA"/>
        </w:rPr>
        <w:t>4.07</w:t>
      </w:r>
      <w:r>
        <w:rPr>
          <w:rFonts w:hint="default" w:ascii="仿宋_GB2312" w:hAnsi="仿宋_GB2312" w:eastAsia="仿宋_GB2312" w:cs="仿宋_GB2312"/>
          <w:bCs/>
          <w:color w:val="auto"/>
          <w:kern w:val="2"/>
          <w:sz w:val="28"/>
          <w:szCs w:val="28"/>
          <w:highlight w:val="none"/>
          <w:lang w:val="en-GB" w:eastAsia="zh-CN" w:bidi="ar-SA"/>
        </w:rPr>
        <w:t>。实际需以当地自然资源部门核定为准。</w:t>
      </w:r>
    </w:p>
    <w:p w14:paraId="5BC1ED2F">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（2）其他经济技术指标</w:t>
      </w:r>
      <w:r>
        <w:rPr>
          <w:rFonts w:hint="eastAsia" w:ascii="仿宋_GB2312" w:hAnsi="仿宋_GB2312" w:eastAsia="仿宋_GB2312" w:cs="仿宋_GB2312"/>
          <w:bCs/>
          <w:color w:val="auto"/>
          <w:kern w:val="2"/>
          <w:sz w:val="28"/>
          <w:szCs w:val="28"/>
          <w:highlight w:val="none"/>
          <w:lang w:val="en-US" w:eastAsia="zh-CN" w:bidi="ar-SA"/>
        </w:rPr>
        <w:t>结合政府政策文件及</w:t>
      </w:r>
      <w:r>
        <w:rPr>
          <w:rFonts w:hint="default" w:ascii="仿宋_GB2312" w:hAnsi="仿宋_GB2312" w:eastAsia="仿宋_GB2312" w:cs="仿宋_GB2312"/>
          <w:bCs/>
          <w:color w:val="auto"/>
          <w:kern w:val="2"/>
          <w:sz w:val="28"/>
          <w:szCs w:val="28"/>
          <w:highlight w:val="none"/>
          <w:lang w:val="en-GB" w:eastAsia="zh-CN" w:bidi="ar-SA"/>
        </w:rPr>
        <w:t>地方税费文件等资料和市场调查综合确定</w:t>
      </w:r>
    </w:p>
    <w:p w14:paraId="1A745EBF">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3、对估价结果和估价工作可能产生影响的变化事项</w:t>
      </w:r>
    </w:p>
    <w:p w14:paraId="7A43049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（1）估价对象的土地面积与现状利用条件以委托方提供的资料为依据，若土地面积和现状利用条件发生变化，评估结果应作相应调整。</w:t>
      </w:r>
    </w:p>
    <w:p w14:paraId="6DB66E2E">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本报告估价结果是在满足地价定义所设定条件下的土地使用权价格，若估价对象的土地利用方式、估价期日、土地开发状况、土地使用年限、土地面积等影响地价的因素发生变化，该评估价格应作相应调整。</w:t>
      </w:r>
    </w:p>
    <w:p w14:paraId="1CF9BF86">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（3）本次评估中关于宗地开发程度的设定</w:t>
      </w:r>
    </w:p>
    <w:p w14:paraId="4DAB316B">
      <w:pPr>
        <w:pStyle w:val="2"/>
        <w:spacing w:line="480" w:lineRule="exact"/>
        <w:ind w:firstLine="560"/>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根据委托方提供的资料及估价人员的现场勘查，估价对象于估价期日实际开发程度为宗地红线内外“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通”（通路、通电、供水、排水、通讯）及宗地红线内场地平整，估价对象所在整体宗地上有一栋</w:t>
      </w:r>
      <w:r>
        <w:rPr>
          <w:rFonts w:hint="eastAsia" w:ascii="仿宋_GB2312" w:hAnsi="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default" w:ascii="仿宋_GB2312" w:hAnsi="仿宋_GB2312" w:eastAsia="仿宋_GB2312" w:cs="仿宋_GB2312"/>
          <w:bCs/>
          <w:color w:val="auto"/>
          <w:kern w:val="2"/>
          <w:sz w:val="28"/>
          <w:szCs w:val="28"/>
          <w:highlight w:val="none"/>
          <w:lang w:val="en-GB" w:eastAsia="zh-CN" w:bidi="ar-SA"/>
        </w:rPr>
        <w:t>。根据估价目的，本次评估是为委托方办理土地使用权出让手续提供参考依据，宗地红线内的其他基础设施费用非出让方付出，不应将其重复计入土地价值，故本次评估设定待估宗地开发程度为宗地红线外“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w:t>
      </w:r>
    </w:p>
    <w:p w14:paraId="5FFB90DA">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4、估价对象的特殊性、估价中未考虑的因素及采取的特殊性处理</w:t>
      </w:r>
    </w:p>
    <w:p w14:paraId="2A2040C3">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（1）估价对象的特殊性</w:t>
      </w:r>
    </w:p>
    <w:p w14:paraId="40448CEB">
      <w:pPr>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根据委托方提供的估价对象</w:t>
      </w:r>
      <w:r>
        <w:rPr>
          <w:rFonts w:hint="eastAsia" w:ascii="仿宋_GB2312" w:hAnsi="仿宋_GB2312" w:eastAsia="仿宋_GB2312" w:cs="仿宋_GB2312"/>
          <w:bCs/>
          <w:color w:val="auto"/>
          <w:kern w:val="2"/>
          <w:sz w:val="28"/>
          <w:szCs w:val="28"/>
          <w:highlight w:val="none"/>
          <w:lang w:val="en-GB" w:eastAsia="zh-CN" w:bidi="ar-SA"/>
        </w:rPr>
        <w:t>《国有土地使用证》（通国用（2014）第000327号），</w:t>
      </w:r>
      <w:r>
        <w:rPr>
          <w:rFonts w:hint="default" w:ascii="仿宋_GB2312" w:hAnsi="仿宋_GB2312" w:eastAsia="仿宋_GB2312" w:cs="仿宋_GB2312"/>
          <w:bCs/>
          <w:color w:val="auto"/>
          <w:kern w:val="2"/>
          <w:sz w:val="28"/>
          <w:szCs w:val="28"/>
          <w:highlight w:val="none"/>
          <w:lang w:val="en-GB" w:eastAsia="zh-CN" w:bidi="ar-SA"/>
        </w:rPr>
        <w:t>土地使用权</w:t>
      </w:r>
      <w:r>
        <w:rPr>
          <w:rFonts w:hint="eastAsia" w:ascii="仿宋_GB2312" w:hAnsi="仿宋_GB2312" w:eastAsia="仿宋_GB2312" w:cs="仿宋_GB2312"/>
          <w:bCs/>
          <w:color w:val="auto"/>
          <w:kern w:val="2"/>
          <w:sz w:val="28"/>
          <w:szCs w:val="28"/>
          <w:highlight w:val="none"/>
          <w:lang w:val="en-US" w:eastAsia="zh-CN" w:bidi="ar-SA"/>
        </w:rPr>
        <w:t>者通道侗族自治县国有资产监督管理办公室，共有使用权面积11030.64平方米，共有分摊面积0。根据</w:t>
      </w:r>
      <w:r>
        <w:rPr>
          <w:rFonts w:hint="eastAsia" w:ascii="仿宋_GB2312" w:hAnsi="仿宋_GB2312" w:eastAsia="仿宋_GB2312" w:cs="仿宋_GB2312"/>
          <w:bCs/>
          <w:color w:val="auto"/>
          <w:kern w:val="2"/>
          <w:sz w:val="28"/>
          <w:szCs w:val="28"/>
          <w:highlight w:val="none"/>
          <w:lang w:val="en-GB" w:eastAsia="zh-CN" w:bidi="ar-SA"/>
        </w:rPr>
        <w:t>《房屋所有权证》（通房权证双江字第201517109号）</w:t>
      </w:r>
      <w:r>
        <w:rPr>
          <w:rFonts w:hint="default" w:ascii="仿宋_GB2312" w:hAnsi="仿宋_GB2312" w:eastAsia="仿宋_GB2312" w:cs="仿宋_GB2312"/>
          <w:bCs/>
          <w:color w:val="auto"/>
          <w:kern w:val="2"/>
          <w:sz w:val="28"/>
          <w:szCs w:val="28"/>
          <w:highlight w:val="none"/>
          <w:lang w:val="en-GB" w:eastAsia="zh-CN" w:bidi="ar-SA"/>
        </w:rPr>
        <w:t>，估价对象位于</w:t>
      </w:r>
      <w:r>
        <w:rPr>
          <w:rFonts w:hint="eastAsia" w:ascii="仿宋_GB2312" w:hAnsi="仿宋_GB2312" w:eastAsia="仿宋_GB2312" w:cs="仿宋_GB2312"/>
          <w:bCs/>
          <w:color w:val="auto"/>
          <w:kern w:val="2"/>
          <w:sz w:val="28"/>
          <w:szCs w:val="28"/>
          <w:highlight w:val="none"/>
          <w:lang w:val="en-US" w:eastAsia="zh-CN" w:bidi="ar-SA"/>
        </w:rPr>
        <w:t>通道县双江镇行政街331/1-2幢整栋</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房屋所有权人为通道侗族自治县国有资产监督管理办公室，建筑总面积745.47平方米</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其中商业用房建筑面积164.16平方米、住宅用房面积581.31平方米，根据《土地分户分摊面积明细表》，</w:t>
      </w:r>
      <w:r>
        <w:rPr>
          <w:rFonts w:hint="default" w:ascii="仿宋_GB2312" w:hAnsi="仿宋_GB2312" w:eastAsia="仿宋_GB2312" w:cs="仿宋_GB2312"/>
          <w:bCs/>
          <w:color w:val="auto"/>
          <w:kern w:val="2"/>
          <w:sz w:val="28"/>
          <w:szCs w:val="28"/>
          <w:highlight w:val="none"/>
          <w:lang w:val="en-GB" w:eastAsia="zh-CN" w:bidi="ar-SA"/>
        </w:rPr>
        <w:t>分摊土地使用权面积为</w:t>
      </w:r>
      <w:r>
        <w:rPr>
          <w:rFonts w:hint="eastAsia" w:ascii="仿宋_GB2312" w:hAnsi="仿宋_GB2312" w:eastAsia="仿宋_GB2312" w:cs="仿宋_GB2312"/>
          <w:bCs/>
          <w:color w:val="auto"/>
          <w:kern w:val="2"/>
          <w:sz w:val="28"/>
          <w:szCs w:val="28"/>
          <w:highlight w:val="none"/>
          <w:lang w:val="en-US" w:eastAsia="zh-CN" w:bidi="ar-SA"/>
        </w:rPr>
        <w:t>183.27平方米，建筑面积745.47平方米</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通道侗族自治县自然资源局关于通道县政府大院内各建筑性质的认定》（2026年1月28日），估价对象建筑性质为城镇住宅，其中商业建筑占比25%，根据委托方提供的《土地资产评估委托书》，商业服务业用地40.38平方米、住宅用地142.89平方米，则估价对象土地面积183.27平方米，商住比22.03%：77.97%，本次评估以《土地资产评估委托书》为依据，</w:t>
      </w:r>
      <w:r>
        <w:rPr>
          <w:rFonts w:hint="default" w:ascii="仿宋_GB2312" w:hAnsi="仿宋_GB2312" w:eastAsia="仿宋_GB2312" w:cs="仿宋_GB2312"/>
          <w:bCs/>
          <w:color w:val="auto"/>
          <w:kern w:val="2"/>
          <w:sz w:val="28"/>
          <w:szCs w:val="28"/>
          <w:highlight w:val="none"/>
          <w:lang w:val="en-GB" w:eastAsia="zh-CN" w:bidi="ar-SA"/>
        </w:rPr>
        <w:t>委托方拟按现状利用条件为其办理土地使用权出让手续。</w:t>
      </w:r>
    </w:p>
    <w:p w14:paraId="2085ABCF">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（2）估价中未考虑的因素</w:t>
      </w:r>
    </w:p>
    <w:p w14:paraId="1BF4368E">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次估价结果是反映估价对象在本次估价目的下的公开市场价格水平，估价时没有考虑未来国家宏观经济政策发生变化、市场供应变化、市场结构转变、遇有自然力和其他不可抗力等因素对土地使用权价值的影响，也没有考虑特殊交易方式下的特殊交易价格等对评估价值的影响。当上述条件发生变化时，评估结果应做相应调整。</w:t>
      </w:r>
    </w:p>
    <w:p w14:paraId="48C0FE15">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（3）采取的特殊处理方式</w:t>
      </w:r>
    </w:p>
    <w:p w14:paraId="636CA9C5">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估价对象于估价期日土地使用权类型为划拨，根据《国土资源部办公厅关于发布&lt;国有建设用地使用权出让地价评估技术规范&gt;的通知》（国土资厅发[2018]4号），划拨土地办理协议出让时，不改变土地及建筑物、构筑物现状的，应按本规范评估在现状利用条件下的出让土地使用权正常市场价格，减去划拨土地使用权价格。根据《土地资产评估委托书》和相关部门要求，本次评估仅需评估估价对象于估价日期在现状利用条件下的出让土地使用权价格，为</w:t>
      </w:r>
      <w:r>
        <w:rPr>
          <w:rFonts w:hint="eastAsia" w:ascii="仿宋_GB2312" w:hAnsi="仿宋_GB2312" w:eastAsia="仿宋_GB2312" w:cs="仿宋_GB2312"/>
          <w:bCs/>
          <w:color w:val="auto"/>
          <w:kern w:val="2"/>
          <w:sz w:val="28"/>
          <w:szCs w:val="28"/>
          <w:highlight w:val="none"/>
          <w:lang w:val="en-US" w:eastAsia="zh-CN" w:bidi="ar-SA"/>
        </w:rPr>
        <w:t>通道</w:t>
      </w:r>
      <w:r>
        <w:rPr>
          <w:rFonts w:hint="default" w:ascii="仿宋_GB2312" w:hAnsi="仿宋_GB2312" w:eastAsia="仿宋_GB2312" w:cs="仿宋_GB2312"/>
          <w:bCs/>
          <w:color w:val="auto"/>
          <w:kern w:val="2"/>
          <w:sz w:val="28"/>
          <w:szCs w:val="28"/>
          <w:highlight w:val="none"/>
          <w:lang w:val="en-GB" w:eastAsia="zh-CN" w:bidi="ar-SA"/>
        </w:rPr>
        <w:t>侗族自治县自然资源局办理土地使用权出让手续提供参考，故本报告未对估价对象的划拨土地使用权价格进行评估。</w:t>
      </w:r>
    </w:p>
    <w:p w14:paraId="26A345F1">
      <w:pPr>
        <w:rPr>
          <w:rFonts w:hint="default" w:ascii="仿宋_GB2312" w:hAnsi="仿宋_GB2312" w:eastAsia="仿宋_GB2312" w:cs="仿宋_GB2312"/>
          <w:b/>
          <w:bCs w:val="0"/>
          <w:color w:val="auto"/>
          <w:kern w:val="2"/>
          <w:sz w:val="28"/>
          <w:szCs w:val="28"/>
          <w:highlight w:val="none"/>
          <w:lang w:val="en-GB" w:eastAsia="zh-CN" w:bidi="ar-SA"/>
        </w:rPr>
      </w:pPr>
      <w:bookmarkStart w:id="22" w:name="_Toc19403"/>
      <w:bookmarkStart w:id="23" w:name="_Toc23550"/>
      <w:r>
        <w:rPr>
          <w:rFonts w:hint="default" w:ascii="仿宋_GB2312" w:hAnsi="仿宋_GB2312" w:eastAsia="仿宋_GB2312" w:cs="仿宋_GB2312"/>
          <w:b/>
          <w:bCs w:val="0"/>
          <w:color w:val="auto"/>
          <w:kern w:val="2"/>
          <w:sz w:val="28"/>
          <w:szCs w:val="28"/>
          <w:highlight w:val="none"/>
          <w:lang w:val="en-GB" w:eastAsia="zh-CN" w:bidi="ar-SA"/>
        </w:rPr>
        <w:br w:type="page"/>
      </w:r>
    </w:p>
    <w:p w14:paraId="62EC9FBA">
      <w:pPr>
        <w:pStyle w:val="6"/>
        <w:keepLines w:val="0"/>
        <w:pageBreakBefore w:val="0"/>
        <w:widowControl w:val="0"/>
        <w:kinsoku/>
        <w:wordWrap/>
        <w:overflowPunct/>
        <w:topLinePunct w:val="0"/>
        <w:autoSpaceDE/>
        <w:autoSpaceDN/>
        <w:bidi w:val="0"/>
        <w:spacing w:line="480" w:lineRule="exact"/>
        <w:ind w:left="0" w:right="0" w:firstLine="0"/>
        <w:jc w:val="left"/>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
          <w:bCs w:val="0"/>
          <w:color w:val="auto"/>
          <w:kern w:val="2"/>
          <w:sz w:val="28"/>
          <w:szCs w:val="28"/>
          <w:highlight w:val="none"/>
          <w:lang w:val="en-GB" w:eastAsia="zh-CN" w:bidi="ar-SA"/>
        </w:rPr>
        <w:t>十一、土地估价师签字</w:t>
      </w:r>
      <w:bookmarkEnd w:id="22"/>
      <w:bookmarkEnd w:id="23"/>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9965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1641" w:type="pct"/>
            <w:tcBorders>
              <w:tl2br w:val="nil"/>
              <w:tr2bl w:val="nil"/>
            </w:tcBorders>
            <w:vAlign w:val="center"/>
          </w:tcPr>
          <w:p w14:paraId="71109A33">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估价师姓名</w:t>
            </w:r>
          </w:p>
        </w:tc>
        <w:tc>
          <w:tcPr>
            <w:tcW w:w="1716" w:type="pct"/>
            <w:tcBorders>
              <w:tl2br w:val="nil"/>
              <w:tr2bl w:val="nil"/>
            </w:tcBorders>
            <w:vAlign w:val="center"/>
          </w:tcPr>
          <w:p w14:paraId="152C403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土地估价师资格证号</w:t>
            </w:r>
          </w:p>
        </w:tc>
        <w:tc>
          <w:tcPr>
            <w:tcW w:w="1642" w:type="pct"/>
            <w:tcBorders>
              <w:tl2br w:val="nil"/>
              <w:tr2bl w:val="nil"/>
            </w:tcBorders>
            <w:vAlign w:val="center"/>
          </w:tcPr>
          <w:p w14:paraId="765A3CED">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签    字</w:t>
            </w:r>
          </w:p>
        </w:tc>
      </w:tr>
      <w:tr w14:paraId="6D362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1641" w:type="pct"/>
            <w:tcBorders>
              <w:tl2br w:val="nil"/>
              <w:tr2bl w:val="nil"/>
            </w:tcBorders>
            <w:vAlign w:val="center"/>
          </w:tcPr>
          <w:p w14:paraId="2B36C455">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sz w:val="28"/>
                <w:szCs w:val="18"/>
                <w:highlight w:val="none"/>
                <w:lang w:val="en-US" w:eastAsia="zh-CN"/>
              </w:rPr>
            </w:pPr>
            <w:r>
              <w:rPr>
                <w:rFonts w:hint="eastAsia" w:ascii="仿宋_GB2312" w:hAnsi="仿宋_GB2312" w:eastAsia="仿宋_GB2312" w:cs="仿宋_GB2312"/>
                <w:sz w:val="28"/>
                <w:szCs w:val="18"/>
                <w:highlight w:val="none"/>
                <w:lang w:val="en-US" w:eastAsia="zh-CN"/>
              </w:rPr>
              <w:t>谢良元</w:t>
            </w:r>
          </w:p>
        </w:tc>
        <w:tc>
          <w:tcPr>
            <w:tcW w:w="1716" w:type="pct"/>
            <w:tcBorders>
              <w:tl2br w:val="nil"/>
              <w:tr2bl w:val="nil"/>
            </w:tcBorders>
            <w:vAlign w:val="center"/>
          </w:tcPr>
          <w:p w14:paraId="3A782436">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sz w:val="28"/>
                <w:szCs w:val="18"/>
                <w:highlight w:val="none"/>
                <w:lang w:eastAsia="zh-CN"/>
              </w:rPr>
            </w:pPr>
            <w:r>
              <w:rPr>
                <w:rFonts w:hint="eastAsia" w:ascii="仿宋_GB2312" w:hAnsi="仿宋_GB2312" w:eastAsia="仿宋_GB2312" w:cs="仿宋_GB2312"/>
                <w:sz w:val="28"/>
                <w:szCs w:val="18"/>
                <w:highlight w:val="none"/>
                <w:lang w:val="en-US" w:eastAsia="zh-CN"/>
              </w:rPr>
              <w:t>2019430003</w:t>
            </w:r>
          </w:p>
        </w:tc>
        <w:tc>
          <w:tcPr>
            <w:tcW w:w="1642" w:type="pct"/>
            <w:tcBorders>
              <w:tl2br w:val="nil"/>
              <w:tr2bl w:val="nil"/>
            </w:tcBorders>
          </w:tcPr>
          <w:p w14:paraId="5F8335E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p>
        </w:tc>
      </w:tr>
      <w:tr w14:paraId="58152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1641" w:type="pct"/>
            <w:tcBorders>
              <w:tl2br w:val="nil"/>
              <w:tr2bl w:val="nil"/>
            </w:tcBorders>
            <w:vAlign w:val="center"/>
          </w:tcPr>
          <w:p w14:paraId="6B4F9B5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sz w:val="28"/>
                <w:szCs w:val="18"/>
                <w:highlight w:val="none"/>
                <w:lang w:val="en-US" w:eastAsia="zh-CN"/>
              </w:rPr>
            </w:pPr>
            <w:r>
              <w:rPr>
                <w:rFonts w:hint="eastAsia" w:ascii="仿宋_GB2312" w:hAnsi="仿宋_GB2312" w:eastAsia="仿宋_GB2312" w:cs="仿宋_GB2312"/>
                <w:sz w:val="28"/>
                <w:szCs w:val="18"/>
                <w:highlight w:val="none"/>
                <w:lang w:val="en-US" w:eastAsia="zh-CN"/>
              </w:rPr>
              <w:t>彭翀</w:t>
            </w:r>
          </w:p>
        </w:tc>
        <w:tc>
          <w:tcPr>
            <w:tcW w:w="1716" w:type="pct"/>
            <w:tcBorders>
              <w:tl2br w:val="nil"/>
              <w:tr2bl w:val="nil"/>
            </w:tcBorders>
            <w:vAlign w:val="center"/>
          </w:tcPr>
          <w:p w14:paraId="75570887">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sz w:val="28"/>
                <w:szCs w:val="18"/>
                <w:highlight w:val="none"/>
                <w:lang w:eastAsia="zh-CN"/>
              </w:rPr>
            </w:pPr>
            <w:r>
              <w:rPr>
                <w:rFonts w:hint="eastAsia" w:ascii="仿宋_GB2312" w:hAnsi="仿宋_GB2312" w:eastAsia="仿宋_GB2312" w:cs="仿宋_GB2312"/>
                <w:sz w:val="28"/>
                <w:szCs w:val="18"/>
                <w:highlight w:val="none"/>
                <w:lang w:val="en-US" w:eastAsia="zh-CN"/>
              </w:rPr>
              <w:t>2004450008</w:t>
            </w:r>
          </w:p>
        </w:tc>
        <w:tc>
          <w:tcPr>
            <w:tcW w:w="1642" w:type="pct"/>
            <w:tcBorders>
              <w:tl2br w:val="nil"/>
              <w:tr2bl w:val="nil"/>
            </w:tcBorders>
          </w:tcPr>
          <w:p w14:paraId="1D92584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p>
        </w:tc>
      </w:tr>
    </w:tbl>
    <w:p w14:paraId="0FB7E2C3">
      <w:pPr>
        <w:keepLines w:val="0"/>
        <w:pageBreakBefore w:val="0"/>
        <w:widowControl w:val="0"/>
        <w:kinsoku/>
        <w:wordWrap/>
        <w:overflowPunct/>
        <w:topLinePunct w:val="0"/>
        <w:autoSpaceDE/>
        <w:autoSpaceDN/>
        <w:bidi w:val="0"/>
        <w:spacing w:line="480" w:lineRule="exact"/>
        <w:ind w:right="0"/>
        <w:textAlignment w:val="auto"/>
        <w:outlineLvl w:val="1"/>
        <w:rPr>
          <w:rFonts w:hint="default" w:ascii="仿宋_GB2312" w:hAnsi="仿宋_GB2312" w:eastAsia="仿宋_GB2312" w:cs="仿宋_GB2312"/>
          <w:bCs/>
          <w:color w:val="auto"/>
          <w:kern w:val="2"/>
          <w:sz w:val="28"/>
          <w:szCs w:val="28"/>
          <w:highlight w:val="none"/>
          <w:lang w:val="en-GB" w:eastAsia="zh-CN" w:bidi="ar-SA"/>
        </w:rPr>
      </w:pPr>
      <w:bookmarkStart w:id="24" w:name="_Toc5315"/>
      <w:bookmarkStart w:id="25" w:name="_Toc9299"/>
      <w:r>
        <w:rPr>
          <w:rFonts w:hint="default" w:ascii="仿宋_GB2312" w:hAnsi="仿宋_GB2312" w:eastAsia="仿宋_GB2312" w:cs="仿宋_GB2312"/>
          <w:b/>
          <w:bCs w:val="0"/>
          <w:color w:val="auto"/>
          <w:kern w:val="2"/>
          <w:sz w:val="28"/>
          <w:szCs w:val="28"/>
          <w:highlight w:val="none"/>
          <w:lang w:val="en-GB" w:eastAsia="zh-CN" w:bidi="ar-SA"/>
        </w:rPr>
        <w:t>十二、土地估价机构</w:t>
      </w:r>
      <w:bookmarkEnd w:id="24"/>
      <w:bookmarkEnd w:id="25"/>
      <w:r>
        <w:rPr>
          <w:rFonts w:hint="default" w:ascii="仿宋_GB2312" w:hAnsi="仿宋_GB2312" w:eastAsia="仿宋_GB2312" w:cs="仿宋_GB2312"/>
          <w:bCs/>
          <w:color w:val="auto"/>
          <w:kern w:val="2"/>
          <w:sz w:val="28"/>
          <w:szCs w:val="28"/>
          <w:highlight w:val="none"/>
          <w:lang w:val="en-GB" w:eastAsia="zh-CN" w:bidi="ar-SA"/>
        </w:rPr>
        <w:t xml:space="preserve">                </w:t>
      </w:r>
    </w:p>
    <w:p w14:paraId="086F5309">
      <w:pPr>
        <w:keepLines w:val="0"/>
        <w:pageBreakBefore w:val="0"/>
        <w:widowControl w:val="0"/>
        <w:kinsoku/>
        <w:wordWrap/>
        <w:overflowPunct/>
        <w:topLinePunct w:val="0"/>
        <w:autoSpaceDE/>
        <w:autoSpaceDN/>
        <w:bidi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 xml:space="preserve"> 估价机构法定代表人签字：</w:t>
      </w:r>
    </w:p>
    <w:p w14:paraId="56F9AF5E">
      <w:pPr>
        <w:keepLines w:val="0"/>
        <w:pageBreakBefore w:val="0"/>
        <w:widowControl w:val="0"/>
        <w:kinsoku/>
        <w:wordWrap/>
        <w:overflowPunct/>
        <w:topLinePunct w:val="0"/>
        <w:autoSpaceDE/>
        <w:autoSpaceDN/>
        <w:bidi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p>
    <w:p w14:paraId="56FE67B4">
      <w:pPr>
        <w:pStyle w:val="2"/>
        <w:rPr>
          <w:rFonts w:hint="default"/>
          <w:highlight w:val="none"/>
          <w:lang w:val="en-GB" w:eastAsia="zh-CN"/>
        </w:rPr>
      </w:pPr>
    </w:p>
    <w:p w14:paraId="305A06C9">
      <w:pPr>
        <w:keepNext w:val="0"/>
        <w:keepLines w:val="0"/>
        <w:pageBreakBefore w:val="0"/>
        <w:widowControl w:val="0"/>
        <w:kinsoku/>
        <w:wordWrap/>
        <w:overflowPunct/>
        <w:topLinePunct w:val="0"/>
        <w:autoSpaceDE/>
        <w:autoSpaceDN/>
        <w:bidi w:val="0"/>
        <w:adjustRightInd/>
        <w:snapToGrid/>
        <w:spacing w:line="480" w:lineRule="exact"/>
        <w:ind w:right="0"/>
        <w:jc w:val="right"/>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湖南</w:t>
      </w:r>
      <w:r>
        <w:rPr>
          <w:rFonts w:hint="eastAsia" w:ascii="仿宋_GB2312" w:hAnsi="仿宋_GB2312" w:eastAsia="仿宋_GB2312" w:cs="仿宋_GB2312"/>
          <w:bCs/>
          <w:color w:val="auto"/>
          <w:kern w:val="2"/>
          <w:sz w:val="28"/>
          <w:szCs w:val="28"/>
          <w:highlight w:val="none"/>
          <w:lang w:val="en-US" w:eastAsia="zh-CN" w:bidi="ar-SA"/>
        </w:rPr>
        <w:t>兆财不动产规划评估有限</w:t>
      </w:r>
      <w:r>
        <w:rPr>
          <w:rFonts w:hint="default" w:ascii="仿宋_GB2312" w:hAnsi="仿宋_GB2312" w:eastAsia="仿宋_GB2312" w:cs="仿宋_GB2312"/>
          <w:bCs/>
          <w:color w:val="auto"/>
          <w:kern w:val="2"/>
          <w:sz w:val="28"/>
          <w:szCs w:val="28"/>
          <w:highlight w:val="none"/>
          <w:lang w:val="en-GB" w:eastAsia="zh-CN" w:bidi="ar-SA"/>
        </w:rPr>
        <w:t>公司</w:t>
      </w:r>
    </w:p>
    <w:p w14:paraId="6C36FAFD">
      <w:pPr>
        <w:keepNext w:val="0"/>
        <w:keepLines w:val="0"/>
        <w:pageBreakBefore w:val="0"/>
        <w:widowControl w:val="0"/>
        <w:kinsoku/>
        <w:wordWrap/>
        <w:overflowPunct/>
        <w:topLinePunct w:val="0"/>
        <w:autoSpaceDE/>
        <w:autoSpaceDN/>
        <w:bidi w:val="0"/>
        <w:adjustRightInd/>
        <w:snapToGrid/>
        <w:spacing w:line="480" w:lineRule="exact"/>
        <w:jc w:val="right"/>
        <w:textAlignment w:val="auto"/>
        <w:rPr>
          <w:rFonts w:hint="default"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US" w:eastAsia="zh-CN" w:bidi="ar-SA"/>
        </w:rPr>
        <w:t>二〇二六年二月四日</w:t>
      </w:r>
    </w:p>
    <w:p w14:paraId="44068CE2">
      <w:pPr>
        <w:pStyle w:val="5"/>
        <w:ind w:firstLine="0"/>
        <w:jc w:val="center"/>
        <w:rPr>
          <w:rFonts w:hint="default" w:ascii="Times New Roman" w:hAnsi="Times New Roman" w:eastAsia="仿宋" w:cs="Times New Roman"/>
          <w:sz w:val="28"/>
          <w:szCs w:val="28"/>
          <w:highlight w:val="none"/>
        </w:rPr>
      </w:pPr>
      <w:r>
        <w:rPr>
          <w:rFonts w:hint="default" w:ascii="Times New Roman" w:hAnsi="Times New Roman" w:eastAsia="仿宋_GB2312" w:cs="Times New Roman"/>
          <w:color w:val="FF0000"/>
          <w:szCs w:val="28"/>
          <w:highlight w:val="none"/>
        </w:rPr>
        <w:br w:type="page"/>
      </w:r>
      <w:r>
        <w:rPr>
          <w:rFonts w:hint="eastAsia" w:asciiTheme="majorEastAsia" w:hAnsiTheme="majorEastAsia" w:eastAsiaTheme="majorEastAsia" w:cstheme="majorEastAsia"/>
          <w:b/>
          <w:bCs/>
          <w:sz w:val="32"/>
          <w:highlight w:val="none"/>
        </w:rPr>
        <w:t>第二部分  估价对象描述及地价影响因素分析</w:t>
      </w:r>
    </w:p>
    <w:p w14:paraId="5DC51525">
      <w:pPr>
        <w:pStyle w:val="6"/>
        <w:keepLines w:val="0"/>
        <w:pageBreakBefore w:val="0"/>
        <w:kinsoku/>
        <w:wordWrap/>
        <w:overflowPunct/>
        <w:topLinePunct w:val="0"/>
        <w:autoSpaceDE/>
        <w:autoSpaceDN/>
        <w:bidi w:val="0"/>
        <w:spacing w:line="480" w:lineRule="exact"/>
        <w:ind w:left="0" w:firstLine="0"/>
        <w:jc w:val="left"/>
        <w:textAlignment w:val="auto"/>
        <w:rPr>
          <w:rFonts w:hint="eastAsia" w:ascii="仿宋" w:hAnsi="仿宋" w:eastAsia="仿宋" w:cs="仿宋"/>
          <w:b/>
          <w:bCs w:val="0"/>
          <w:sz w:val="28"/>
          <w:szCs w:val="28"/>
          <w:highlight w:val="none"/>
        </w:rPr>
      </w:pPr>
      <w:r>
        <w:rPr>
          <w:rFonts w:hint="eastAsia" w:ascii="仿宋" w:hAnsi="仿宋" w:eastAsia="仿宋" w:cs="仿宋"/>
          <w:b/>
          <w:bCs w:val="0"/>
          <w:sz w:val="28"/>
          <w:szCs w:val="28"/>
          <w:highlight w:val="none"/>
        </w:rPr>
        <w:t>一、估价对象描述</w:t>
      </w:r>
    </w:p>
    <w:p w14:paraId="5FC5D16F">
      <w:pPr>
        <w:pStyle w:val="7"/>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 w:hAnsi="仿宋" w:eastAsia="仿宋" w:cs="仿宋"/>
          <w:bCs/>
          <w:sz w:val="28"/>
          <w:szCs w:val="28"/>
          <w:highlight w:val="none"/>
        </w:rPr>
        <w:t>1、</w:t>
      </w:r>
      <w:r>
        <w:rPr>
          <w:rFonts w:hint="eastAsia" w:ascii="仿宋_GB2312" w:hAnsi="仿宋_GB2312" w:eastAsia="仿宋_GB2312" w:cs="仿宋_GB2312"/>
          <w:bCs/>
          <w:color w:val="auto"/>
          <w:kern w:val="2"/>
          <w:sz w:val="28"/>
          <w:szCs w:val="28"/>
          <w:highlight w:val="none"/>
          <w:lang w:val="en-GB" w:eastAsia="zh-CN" w:bidi="ar-SA"/>
        </w:rPr>
        <w:t>土地登记状况</w:t>
      </w:r>
    </w:p>
    <w:p w14:paraId="538CE103">
      <w:pPr>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估价对象的权属性质、权源及权属变更情况：</w:t>
      </w:r>
      <w:r>
        <w:rPr>
          <w:rFonts w:hint="eastAsia" w:ascii="仿宋_GB2312" w:hAnsi="仿宋_GB2312" w:eastAsia="仿宋_GB2312" w:cs="仿宋_GB2312"/>
          <w:bCs/>
          <w:color w:val="auto"/>
          <w:kern w:val="2"/>
          <w:sz w:val="28"/>
          <w:szCs w:val="28"/>
          <w:highlight w:val="none"/>
          <w:lang w:val="en-US" w:eastAsia="zh-CN" w:bidi="ar-SA"/>
        </w:rPr>
        <w:t>根据《房屋所有权证》（通房权证双江字第201517109号）,估价对象位于通道县双江镇行政街331/1-2幢整栋，根据</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土地分户分摊面积明细表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分摊土地使用权面积</w:t>
      </w:r>
      <w:r>
        <w:rPr>
          <w:rFonts w:hint="eastAsia" w:ascii="仿宋_GB2312" w:hAnsi="仿宋_GB2312" w:eastAsia="仿宋_GB2312" w:cs="仿宋_GB2312"/>
          <w:bCs/>
          <w:color w:val="auto"/>
          <w:kern w:val="2"/>
          <w:sz w:val="28"/>
          <w:szCs w:val="28"/>
          <w:highlight w:val="none"/>
          <w:lang w:val="en-US" w:eastAsia="zh-CN" w:bidi="ar-SA"/>
        </w:rPr>
        <w:t>合计</w:t>
      </w:r>
      <w:r>
        <w:rPr>
          <w:rFonts w:hint="default"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183.27平方米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土地资产评估委托书</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资料，</w:t>
      </w:r>
      <w:r>
        <w:rPr>
          <w:rFonts w:hint="default" w:ascii="仿宋_GB2312" w:hAnsi="仿宋_GB2312" w:eastAsia="仿宋_GB2312" w:cs="仿宋_GB2312"/>
          <w:bCs/>
          <w:color w:val="auto"/>
          <w:kern w:val="2"/>
          <w:sz w:val="28"/>
          <w:szCs w:val="28"/>
          <w:highlight w:val="none"/>
          <w:lang w:val="en-GB" w:eastAsia="zh-CN" w:bidi="ar-SA"/>
        </w:rPr>
        <w:t>委托方拟按现状利用条件为其办理土地使用权出让手续。</w:t>
      </w:r>
      <w:r>
        <w:rPr>
          <w:rFonts w:hint="eastAsia" w:ascii="仿宋_GB2312" w:hAnsi="仿宋_GB2312" w:eastAsia="仿宋_GB2312" w:cs="仿宋_GB2312"/>
          <w:bCs/>
          <w:color w:val="auto"/>
          <w:kern w:val="2"/>
          <w:sz w:val="28"/>
          <w:szCs w:val="28"/>
          <w:highlight w:val="none"/>
          <w:lang w:val="en-US" w:eastAsia="zh-CN" w:bidi="ar-SA"/>
        </w:rPr>
        <w:t>根据</w:t>
      </w:r>
      <w:r>
        <w:rPr>
          <w:rFonts w:hint="default" w:ascii="仿宋_GB2312" w:hAnsi="仿宋_GB2312" w:eastAsia="仿宋_GB2312" w:cs="仿宋_GB2312"/>
          <w:bCs/>
          <w:color w:val="auto"/>
          <w:kern w:val="2"/>
          <w:sz w:val="28"/>
          <w:szCs w:val="28"/>
          <w:highlight w:val="none"/>
          <w:lang w:val="en-GB" w:eastAsia="zh-CN" w:bidi="ar-SA"/>
        </w:rPr>
        <w:t>委托方提供的</w:t>
      </w:r>
      <w:r>
        <w:rPr>
          <w:rFonts w:hint="eastAsia" w:ascii="仿宋_GB2312" w:hAnsi="仿宋_GB2312" w:eastAsia="仿宋_GB2312" w:cs="仿宋_GB2312"/>
          <w:bCs/>
          <w:color w:val="auto"/>
          <w:kern w:val="2"/>
          <w:sz w:val="28"/>
          <w:szCs w:val="28"/>
          <w:highlight w:val="none"/>
          <w:lang w:val="en-GB" w:eastAsia="zh-CN" w:bidi="ar-SA"/>
        </w:rPr>
        <w:t>《国有土地使用证》（通国用（2014）第000327号）</w:t>
      </w:r>
      <w:r>
        <w:rPr>
          <w:rFonts w:hint="default" w:ascii="仿宋_GB2312" w:hAnsi="仿宋_GB2312" w:eastAsia="仿宋_GB2312" w:cs="仿宋_GB2312"/>
          <w:bCs/>
          <w:color w:val="auto"/>
          <w:kern w:val="2"/>
          <w:sz w:val="28"/>
          <w:szCs w:val="28"/>
          <w:highlight w:val="none"/>
          <w:lang w:val="en-GB" w:eastAsia="zh-CN" w:bidi="ar-SA"/>
        </w:rPr>
        <w:t>，估价对象所属宗地由</w:t>
      </w:r>
      <w:r>
        <w:rPr>
          <w:rFonts w:hint="eastAsia" w:ascii="仿宋_GB2312" w:hAnsi="仿宋_GB2312" w:eastAsia="仿宋_GB2312" w:cs="仿宋_GB2312"/>
          <w:bCs/>
          <w:color w:val="auto"/>
          <w:kern w:val="2"/>
          <w:sz w:val="28"/>
          <w:szCs w:val="28"/>
          <w:highlight w:val="none"/>
          <w:lang w:val="en-US" w:eastAsia="zh-CN" w:bidi="ar-SA"/>
        </w:rPr>
        <w:t>通道侗族自治县国有资产监督管理办公室</w:t>
      </w:r>
      <w:r>
        <w:rPr>
          <w:rFonts w:hint="default" w:ascii="仿宋_GB2312" w:hAnsi="仿宋_GB2312" w:eastAsia="仿宋_GB2312" w:cs="仿宋_GB2312"/>
          <w:bCs/>
          <w:color w:val="auto"/>
          <w:kern w:val="2"/>
          <w:sz w:val="28"/>
          <w:szCs w:val="28"/>
          <w:highlight w:val="none"/>
          <w:lang w:val="en-GB" w:eastAsia="zh-CN" w:bidi="ar-SA"/>
        </w:rPr>
        <w:t>通过</w:t>
      </w:r>
      <w:r>
        <w:rPr>
          <w:rFonts w:hint="eastAsia" w:ascii="仿宋_GB2312" w:hAnsi="仿宋_GB2312" w:eastAsia="仿宋_GB2312" w:cs="仿宋_GB2312"/>
          <w:bCs/>
          <w:color w:val="auto"/>
          <w:kern w:val="2"/>
          <w:sz w:val="28"/>
          <w:szCs w:val="28"/>
          <w:highlight w:val="none"/>
          <w:lang w:val="en-US" w:eastAsia="zh-CN" w:bidi="ar-SA"/>
        </w:rPr>
        <w:t>国有</w:t>
      </w:r>
      <w:r>
        <w:rPr>
          <w:rFonts w:hint="default" w:ascii="仿宋_GB2312" w:hAnsi="仿宋_GB2312" w:eastAsia="仿宋_GB2312" w:cs="仿宋_GB2312"/>
          <w:bCs/>
          <w:color w:val="auto"/>
          <w:kern w:val="2"/>
          <w:sz w:val="28"/>
          <w:szCs w:val="28"/>
          <w:highlight w:val="none"/>
          <w:lang w:val="en-GB" w:eastAsia="zh-CN" w:bidi="ar-SA"/>
        </w:rPr>
        <w:t>划拨方式取得，并于</w:t>
      </w:r>
      <w:r>
        <w:rPr>
          <w:rFonts w:hint="eastAsia" w:ascii="仿宋_GB2312" w:hAnsi="仿宋_GB2312" w:eastAsia="仿宋_GB2312" w:cs="仿宋_GB2312"/>
          <w:bCs/>
          <w:color w:val="auto"/>
          <w:kern w:val="2"/>
          <w:sz w:val="28"/>
          <w:szCs w:val="28"/>
          <w:highlight w:val="none"/>
          <w:lang w:val="en-US" w:eastAsia="zh-CN" w:bidi="ar-SA"/>
        </w:rPr>
        <w:t>2014</w:t>
      </w:r>
      <w:r>
        <w:rPr>
          <w:rFonts w:hint="default" w:ascii="仿宋_GB2312" w:hAnsi="仿宋_GB2312" w:eastAsia="仿宋_GB2312" w:cs="仿宋_GB2312"/>
          <w:bCs/>
          <w:color w:val="auto"/>
          <w:kern w:val="2"/>
          <w:sz w:val="28"/>
          <w:szCs w:val="28"/>
          <w:highlight w:val="none"/>
          <w:lang w:val="en-GB" w:eastAsia="zh-CN" w:bidi="ar-SA"/>
        </w:rPr>
        <w:t>年</w:t>
      </w:r>
      <w:r>
        <w:rPr>
          <w:rFonts w:hint="eastAsia" w:ascii="仿宋_GB2312" w:hAnsi="仿宋_GB2312" w:eastAsia="仿宋_GB2312" w:cs="仿宋_GB2312"/>
          <w:bCs/>
          <w:color w:val="auto"/>
          <w:kern w:val="2"/>
          <w:sz w:val="28"/>
          <w:szCs w:val="28"/>
          <w:highlight w:val="none"/>
          <w:lang w:val="en-US" w:eastAsia="zh-CN" w:bidi="ar-SA"/>
        </w:rPr>
        <w:t>9</w:t>
      </w:r>
      <w:r>
        <w:rPr>
          <w:rFonts w:hint="default" w:ascii="仿宋_GB2312" w:hAnsi="仿宋_GB2312" w:eastAsia="仿宋_GB2312" w:cs="仿宋_GB2312"/>
          <w:bCs/>
          <w:color w:val="auto"/>
          <w:kern w:val="2"/>
          <w:sz w:val="28"/>
          <w:szCs w:val="28"/>
          <w:highlight w:val="none"/>
          <w:lang w:val="en-GB" w:eastAsia="zh-CN" w:bidi="ar-SA"/>
        </w:rPr>
        <w:t>月</w:t>
      </w:r>
      <w:r>
        <w:rPr>
          <w:rFonts w:hint="eastAsia" w:ascii="仿宋_GB2312" w:hAnsi="仿宋_GB2312" w:eastAsia="仿宋_GB2312" w:cs="仿宋_GB2312"/>
          <w:bCs/>
          <w:color w:val="auto"/>
          <w:kern w:val="2"/>
          <w:sz w:val="28"/>
          <w:szCs w:val="28"/>
          <w:highlight w:val="none"/>
          <w:lang w:val="en-US" w:eastAsia="zh-CN" w:bidi="ar-SA"/>
        </w:rPr>
        <w:t>18日</w:t>
      </w:r>
      <w:r>
        <w:rPr>
          <w:rFonts w:hint="default" w:ascii="仿宋_GB2312" w:hAnsi="仿宋_GB2312" w:eastAsia="仿宋_GB2312" w:cs="仿宋_GB2312"/>
          <w:bCs/>
          <w:color w:val="auto"/>
          <w:kern w:val="2"/>
          <w:sz w:val="28"/>
          <w:szCs w:val="28"/>
          <w:highlight w:val="none"/>
          <w:lang w:val="en-GB" w:eastAsia="zh-CN" w:bidi="ar-SA"/>
        </w:rPr>
        <w:t>取得</w:t>
      </w:r>
      <w:r>
        <w:rPr>
          <w:rFonts w:hint="eastAsia" w:ascii="仿宋_GB2312" w:hAnsi="仿宋_GB2312" w:eastAsia="仿宋_GB2312" w:cs="仿宋_GB2312"/>
          <w:bCs/>
          <w:color w:val="auto"/>
          <w:kern w:val="2"/>
          <w:sz w:val="28"/>
          <w:szCs w:val="28"/>
          <w:highlight w:val="none"/>
          <w:lang w:val="en-US" w:eastAsia="zh-CN" w:bidi="ar-SA"/>
        </w:rPr>
        <w:t>通道县</w:t>
      </w:r>
      <w:r>
        <w:rPr>
          <w:rFonts w:hint="default" w:ascii="仿宋_GB2312" w:hAnsi="仿宋_GB2312" w:eastAsia="仿宋_GB2312" w:cs="仿宋_GB2312"/>
          <w:bCs/>
          <w:color w:val="auto"/>
          <w:kern w:val="2"/>
          <w:sz w:val="28"/>
          <w:szCs w:val="28"/>
          <w:highlight w:val="none"/>
          <w:lang w:val="en-GB" w:eastAsia="zh-CN" w:bidi="ar-SA"/>
        </w:rPr>
        <w:t>人民政府颁发的</w:t>
      </w:r>
      <w:r>
        <w:rPr>
          <w:rFonts w:hint="eastAsia" w:ascii="仿宋_GB2312" w:hAnsi="仿宋_GB2312" w:eastAsia="仿宋_GB2312" w:cs="仿宋_GB2312"/>
          <w:bCs/>
          <w:color w:val="auto"/>
          <w:kern w:val="2"/>
          <w:sz w:val="28"/>
          <w:szCs w:val="28"/>
          <w:highlight w:val="none"/>
          <w:lang w:val="en-GB" w:eastAsia="zh-CN" w:bidi="ar-SA"/>
        </w:rPr>
        <w:t>《国有土地使用证》（通国用（2014）第000327号）详细登记状况如下：</w:t>
      </w:r>
    </w:p>
    <w:p w14:paraId="7150432A">
      <w:pPr>
        <w:keepLines w:val="0"/>
        <w:pageBreakBefore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国土证书登记号：NO.</w:t>
      </w:r>
      <w:r>
        <w:rPr>
          <w:rFonts w:hint="eastAsia" w:ascii="仿宋_GB2312" w:hAnsi="仿宋_GB2312" w:eastAsia="仿宋_GB2312" w:cs="仿宋_GB2312"/>
          <w:bCs/>
          <w:color w:val="auto"/>
          <w:kern w:val="2"/>
          <w:sz w:val="28"/>
          <w:szCs w:val="28"/>
          <w:highlight w:val="none"/>
          <w:lang w:val="en-US" w:eastAsia="zh-CN" w:bidi="ar-SA"/>
        </w:rPr>
        <w:t>031501685</w:t>
      </w:r>
      <w:r>
        <w:rPr>
          <w:rFonts w:hint="eastAsia" w:ascii="仿宋_GB2312" w:hAnsi="仿宋_GB2312" w:eastAsia="仿宋_GB2312" w:cs="仿宋_GB2312"/>
          <w:bCs/>
          <w:color w:val="auto"/>
          <w:kern w:val="2"/>
          <w:sz w:val="28"/>
          <w:szCs w:val="28"/>
          <w:highlight w:val="none"/>
          <w:lang w:val="en-GB" w:eastAsia="zh-CN" w:bidi="ar-SA"/>
        </w:rPr>
        <w:t>;</w:t>
      </w:r>
    </w:p>
    <w:p w14:paraId="7EA904CA">
      <w:pPr>
        <w:keepLines w:val="0"/>
        <w:pageBreakBefore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国有土地使用证号：通国用（2014）第000327号；</w:t>
      </w:r>
    </w:p>
    <w:p w14:paraId="12FAF4E8">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土地使用权人：</w:t>
      </w:r>
      <w:r>
        <w:rPr>
          <w:rFonts w:hint="eastAsia" w:ascii="仿宋_GB2312" w:hAnsi="仿宋_GB2312" w:eastAsia="仿宋_GB2312" w:cs="仿宋_GB2312"/>
          <w:bCs/>
          <w:color w:val="auto"/>
          <w:kern w:val="2"/>
          <w:sz w:val="28"/>
          <w:szCs w:val="28"/>
          <w:highlight w:val="none"/>
          <w:lang w:val="en-US" w:eastAsia="zh-CN" w:bidi="ar-SA"/>
        </w:rPr>
        <w:t>通道侗族自治县国有资产监督管理办公室</w:t>
      </w:r>
      <w:r>
        <w:rPr>
          <w:rFonts w:hint="default" w:ascii="仿宋_GB2312" w:hAnsi="仿宋_GB2312" w:eastAsia="仿宋_GB2312" w:cs="仿宋_GB2312"/>
          <w:bCs/>
          <w:color w:val="auto"/>
          <w:kern w:val="2"/>
          <w:sz w:val="28"/>
          <w:szCs w:val="28"/>
          <w:highlight w:val="none"/>
          <w:lang w:val="en-GB" w:eastAsia="zh-CN" w:bidi="ar-SA"/>
        </w:rPr>
        <w:t>；</w:t>
      </w:r>
    </w:p>
    <w:p w14:paraId="29F34A39">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图号：</w:t>
      </w:r>
      <w:r>
        <w:rPr>
          <w:rFonts w:hint="eastAsia" w:ascii="仿宋_GB2312" w:hAnsi="仿宋_GB2312" w:eastAsia="仿宋_GB2312" w:cs="仿宋_GB2312"/>
          <w:bCs/>
          <w:color w:val="auto"/>
          <w:kern w:val="2"/>
          <w:sz w:val="28"/>
          <w:szCs w:val="28"/>
          <w:highlight w:val="none"/>
          <w:lang w:val="en-US" w:eastAsia="zh-CN" w:bidi="ar-SA"/>
        </w:rPr>
        <w:t>/</w:t>
      </w:r>
      <w:r>
        <w:rPr>
          <w:rFonts w:hint="default" w:ascii="仿宋_GB2312" w:hAnsi="仿宋_GB2312" w:eastAsia="仿宋_GB2312" w:cs="仿宋_GB2312"/>
          <w:bCs/>
          <w:color w:val="auto"/>
          <w:kern w:val="2"/>
          <w:sz w:val="28"/>
          <w:szCs w:val="28"/>
          <w:highlight w:val="none"/>
          <w:lang w:val="en-GB" w:eastAsia="zh-CN" w:bidi="ar-SA"/>
        </w:rPr>
        <w:t>；</w:t>
      </w:r>
    </w:p>
    <w:p w14:paraId="252E4C2F">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地号：</w:t>
      </w:r>
      <w:r>
        <w:rPr>
          <w:rFonts w:hint="eastAsia" w:ascii="仿宋_GB2312" w:hAnsi="仿宋_GB2312" w:eastAsia="仿宋_GB2312" w:cs="仿宋_GB2312"/>
          <w:bCs/>
          <w:color w:val="auto"/>
          <w:kern w:val="2"/>
          <w:sz w:val="28"/>
          <w:szCs w:val="28"/>
          <w:highlight w:val="none"/>
          <w:lang w:val="en-US" w:eastAsia="zh-CN" w:bidi="ar-SA"/>
        </w:rPr>
        <w:t>/</w:t>
      </w:r>
      <w:r>
        <w:rPr>
          <w:rFonts w:hint="default" w:ascii="仿宋_GB2312" w:hAnsi="仿宋_GB2312" w:eastAsia="仿宋_GB2312" w:cs="仿宋_GB2312"/>
          <w:bCs/>
          <w:color w:val="auto"/>
          <w:kern w:val="2"/>
          <w:sz w:val="28"/>
          <w:szCs w:val="28"/>
          <w:highlight w:val="none"/>
          <w:lang w:val="en-GB" w:eastAsia="zh-CN" w:bidi="ar-SA"/>
        </w:rPr>
        <w:t>；</w:t>
      </w:r>
    </w:p>
    <w:p w14:paraId="1CFC40F5">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坐落：</w:t>
      </w:r>
      <w:r>
        <w:rPr>
          <w:rFonts w:hint="eastAsia" w:ascii="仿宋_GB2312" w:hAnsi="仿宋_GB2312" w:eastAsia="仿宋_GB2312" w:cs="仿宋_GB2312"/>
          <w:bCs/>
          <w:color w:val="auto"/>
          <w:kern w:val="2"/>
          <w:sz w:val="28"/>
          <w:szCs w:val="28"/>
          <w:highlight w:val="none"/>
          <w:lang w:val="en-US" w:eastAsia="zh-CN" w:bidi="ar-SA"/>
        </w:rPr>
        <w:t>双江镇行政街</w:t>
      </w:r>
      <w:r>
        <w:rPr>
          <w:rFonts w:hint="default" w:ascii="仿宋_GB2312" w:hAnsi="仿宋_GB2312" w:eastAsia="仿宋_GB2312" w:cs="仿宋_GB2312"/>
          <w:bCs/>
          <w:color w:val="auto"/>
          <w:kern w:val="2"/>
          <w:sz w:val="28"/>
          <w:szCs w:val="28"/>
          <w:highlight w:val="none"/>
          <w:lang w:val="en-GB" w:eastAsia="zh-CN" w:bidi="ar-SA"/>
        </w:rPr>
        <w:t>；</w:t>
      </w:r>
    </w:p>
    <w:p w14:paraId="569DF8BC">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土地用途：</w:t>
      </w:r>
      <w:r>
        <w:rPr>
          <w:rFonts w:hint="eastAsia" w:ascii="仿宋_GB2312" w:hAnsi="仿宋_GB2312" w:eastAsia="仿宋_GB2312" w:cs="仿宋_GB2312"/>
          <w:bCs/>
          <w:color w:val="auto"/>
          <w:kern w:val="2"/>
          <w:sz w:val="28"/>
          <w:szCs w:val="28"/>
          <w:highlight w:val="none"/>
          <w:lang w:val="en-US" w:eastAsia="zh-CN" w:bidi="ar-SA"/>
        </w:rPr>
        <w:t>机关团体用地</w:t>
      </w:r>
      <w:r>
        <w:rPr>
          <w:rFonts w:hint="default" w:ascii="仿宋_GB2312" w:hAnsi="仿宋_GB2312" w:eastAsia="仿宋_GB2312" w:cs="仿宋_GB2312"/>
          <w:bCs/>
          <w:color w:val="auto"/>
          <w:kern w:val="2"/>
          <w:sz w:val="28"/>
          <w:szCs w:val="28"/>
          <w:highlight w:val="none"/>
          <w:lang w:val="en-GB" w:eastAsia="zh-CN" w:bidi="ar-SA"/>
        </w:rPr>
        <w:t>；</w:t>
      </w:r>
    </w:p>
    <w:p w14:paraId="16E1CFD9">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土地使用权类型：</w:t>
      </w:r>
      <w:r>
        <w:rPr>
          <w:rFonts w:hint="eastAsia" w:ascii="仿宋_GB2312" w:hAnsi="仿宋_GB2312" w:eastAsia="仿宋_GB2312" w:cs="仿宋_GB2312"/>
          <w:bCs/>
          <w:color w:val="auto"/>
          <w:kern w:val="2"/>
          <w:sz w:val="28"/>
          <w:szCs w:val="28"/>
          <w:highlight w:val="none"/>
          <w:lang w:val="en-US" w:eastAsia="zh-CN" w:bidi="ar-SA"/>
        </w:rPr>
        <w:t>国有</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w:t>
      </w:r>
    </w:p>
    <w:p w14:paraId="7DBDB89D">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共</w:t>
      </w:r>
      <w:r>
        <w:rPr>
          <w:rFonts w:hint="eastAsia" w:ascii="仿宋_GB2312" w:hAnsi="仿宋_GB2312" w:eastAsia="仿宋_GB2312" w:cs="仿宋_GB2312"/>
          <w:bCs/>
          <w:color w:val="auto"/>
          <w:kern w:val="2"/>
          <w:sz w:val="28"/>
          <w:szCs w:val="28"/>
          <w:highlight w:val="none"/>
          <w:lang w:val="en-US" w:eastAsia="zh-CN" w:bidi="ar-SA"/>
        </w:rPr>
        <w:t>用</w:t>
      </w:r>
      <w:r>
        <w:rPr>
          <w:rFonts w:hint="default" w:ascii="仿宋_GB2312" w:hAnsi="仿宋_GB2312" w:eastAsia="仿宋_GB2312" w:cs="仿宋_GB2312"/>
          <w:bCs/>
          <w:color w:val="auto"/>
          <w:kern w:val="2"/>
          <w:sz w:val="28"/>
          <w:szCs w:val="28"/>
          <w:highlight w:val="none"/>
          <w:lang w:val="en-GB" w:eastAsia="zh-CN" w:bidi="ar-SA"/>
        </w:rPr>
        <w:t>使用权面积：</w:t>
      </w:r>
      <w:r>
        <w:rPr>
          <w:rFonts w:hint="eastAsia" w:ascii="仿宋_GB2312" w:hAnsi="仿宋_GB2312" w:eastAsia="仿宋_GB2312" w:cs="仿宋_GB2312"/>
          <w:bCs/>
          <w:color w:val="auto"/>
          <w:kern w:val="2"/>
          <w:sz w:val="28"/>
          <w:szCs w:val="28"/>
          <w:highlight w:val="none"/>
          <w:lang w:val="en-US" w:eastAsia="zh-CN" w:bidi="ar-SA"/>
        </w:rPr>
        <w:t>11030.64平方米</w:t>
      </w:r>
      <w:r>
        <w:rPr>
          <w:rFonts w:hint="default" w:ascii="仿宋_GB2312" w:hAnsi="仿宋_GB2312" w:eastAsia="仿宋_GB2312" w:cs="仿宋_GB2312"/>
          <w:bCs/>
          <w:color w:val="auto"/>
          <w:kern w:val="2"/>
          <w:sz w:val="28"/>
          <w:szCs w:val="28"/>
          <w:highlight w:val="none"/>
          <w:lang w:val="en-GB" w:eastAsia="zh-CN" w:bidi="ar-SA"/>
        </w:rPr>
        <w:t>；</w:t>
      </w:r>
    </w:p>
    <w:p w14:paraId="7DC127C2">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其中</w:t>
      </w:r>
      <w:r>
        <w:rPr>
          <w:rFonts w:hint="eastAsia" w:ascii="仿宋_GB2312" w:hAnsi="仿宋_GB2312" w:eastAsia="仿宋_GB2312" w:cs="仿宋_GB2312"/>
          <w:bCs/>
          <w:color w:val="auto"/>
          <w:kern w:val="2"/>
          <w:sz w:val="28"/>
          <w:szCs w:val="28"/>
          <w:highlight w:val="none"/>
          <w:lang w:val="en-US" w:eastAsia="zh-CN" w:bidi="ar-SA"/>
        </w:rPr>
        <w:t>共用</w:t>
      </w:r>
      <w:r>
        <w:rPr>
          <w:rFonts w:hint="default" w:ascii="仿宋_GB2312" w:hAnsi="仿宋_GB2312" w:eastAsia="仿宋_GB2312" w:cs="仿宋_GB2312"/>
          <w:bCs/>
          <w:color w:val="auto"/>
          <w:kern w:val="2"/>
          <w:sz w:val="28"/>
          <w:szCs w:val="28"/>
          <w:highlight w:val="none"/>
          <w:lang w:val="en-GB" w:eastAsia="zh-CN" w:bidi="ar-SA"/>
        </w:rPr>
        <w:t>分摊面积：</w:t>
      </w:r>
      <w:r>
        <w:rPr>
          <w:rFonts w:hint="eastAsia" w:ascii="仿宋_GB2312" w:hAnsi="仿宋_GB2312" w:eastAsia="仿宋_GB2312" w:cs="仿宋_GB2312"/>
          <w:bCs/>
          <w:color w:val="auto"/>
          <w:kern w:val="2"/>
          <w:sz w:val="28"/>
          <w:szCs w:val="28"/>
          <w:highlight w:val="none"/>
          <w:lang w:val="en-US" w:eastAsia="zh-CN" w:bidi="ar-SA"/>
        </w:rPr>
        <w:t>0</w:t>
      </w:r>
      <w:r>
        <w:rPr>
          <w:rFonts w:hint="default" w:ascii="仿宋_GB2312" w:hAnsi="仿宋_GB2312" w:eastAsia="仿宋_GB2312" w:cs="仿宋_GB2312"/>
          <w:bCs/>
          <w:color w:val="auto"/>
          <w:kern w:val="2"/>
          <w:sz w:val="28"/>
          <w:szCs w:val="28"/>
          <w:highlight w:val="none"/>
          <w:lang w:val="en-GB" w:eastAsia="zh-CN" w:bidi="ar-SA"/>
        </w:rPr>
        <w:t>；</w:t>
      </w:r>
    </w:p>
    <w:p w14:paraId="1A21DD93">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登记时间：</w:t>
      </w:r>
      <w:r>
        <w:rPr>
          <w:rFonts w:hint="eastAsia" w:ascii="仿宋_GB2312" w:hAnsi="仿宋_GB2312" w:eastAsia="仿宋_GB2312" w:cs="仿宋_GB2312"/>
          <w:bCs/>
          <w:color w:val="auto"/>
          <w:kern w:val="2"/>
          <w:sz w:val="28"/>
          <w:szCs w:val="28"/>
          <w:highlight w:val="none"/>
          <w:lang w:val="en-US" w:eastAsia="zh-CN" w:bidi="ar-SA"/>
        </w:rPr>
        <w:t>2014</w:t>
      </w:r>
      <w:r>
        <w:rPr>
          <w:rFonts w:hint="default" w:ascii="仿宋_GB2312" w:hAnsi="仿宋_GB2312" w:eastAsia="仿宋_GB2312" w:cs="仿宋_GB2312"/>
          <w:bCs/>
          <w:color w:val="auto"/>
          <w:kern w:val="2"/>
          <w:sz w:val="28"/>
          <w:szCs w:val="28"/>
          <w:highlight w:val="none"/>
          <w:lang w:val="en-GB" w:eastAsia="zh-CN" w:bidi="ar-SA"/>
        </w:rPr>
        <w:t>年</w:t>
      </w:r>
      <w:r>
        <w:rPr>
          <w:rFonts w:hint="eastAsia" w:ascii="仿宋_GB2312" w:hAnsi="仿宋_GB2312" w:eastAsia="仿宋_GB2312" w:cs="仿宋_GB2312"/>
          <w:bCs/>
          <w:color w:val="auto"/>
          <w:kern w:val="2"/>
          <w:sz w:val="28"/>
          <w:szCs w:val="28"/>
          <w:highlight w:val="none"/>
          <w:lang w:val="en-US" w:eastAsia="zh-CN" w:bidi="ar-SA"/>
        </w:rPr>
        <w:t>9</w:t>
      </w:r>
      <w:r>
        <w:rPr>
          <w:rFonts w:hint="default" w:ascii="仿宋_GB2312" w:hAnsi="仿宋_GB2312" w:eastAsia="仿宋_GB2312" w:cs="仿宋_GB2312"/>
          <w:bCs/>
          <w:color w:val="auto"/>
          <w:kern w:val="2"/>
          <w:sz w:val="28"/>
          <w:szCs w:val="28"/>
          <w:highlight w:val="none"/>
          <w:lang w:val="en-GB" w:eastAsia="zh-CN" w:bidi="ar-SA"/>
        </w:rPr>
        <w:t>月</w:t>
      </w:r>
      <w:r>
        <w:rPr>
          <w:rFonts w:hint="eastAsia" w:ascii="仿宋_GB2312" w:hAnsi="仿宋_GB2312" w:eastAsia="仿宋_GB2312" w:cs="仿宋_GB2312"/>
          <w:bCs/>
          <w:color w:val="auto"/>
          <w:kern w:val="2"/>
          <w:sz w:val="28"/>
          <w:szCs w:val="28"/>
          <w:highlight w:val="none"/>
          <w:lang w:val="en-US" w:eastAsia="zh-CN" w:bidi="ar-SA"/>
        </w:rPr>
        <w:t>18日</w:t>
      </w:r>
      <w:r>
        <w:rPr>
          <w:rFonts w:hint="default" w:ascii="仿宋_GB2312" w:hAnsi="仿宋_GB2312" w:eastAsia="仿宋_GB2312" w:cs="仿宋_GB2312"/>
          <w:bCs/>
          <w:color w:val="auto"/>
          <w:kern w:val="2"/>
          <w:sz w:val="28"/>
          <w:szCs w:val="28"/>
          <w:highlight w:val="none"/>
          <w:lang w:val="en-GB" w:eastAsia="zh-CN" w:bidi="ar-SA"/>
        </w:rPr>
        <w:t>；</w:t>
      </w:r>
    </w:p>
    <w:p w14:paraId="6D49777E">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登记机关：</w:t>
      </w:r>
      <w:r>
        <w:rPr>
          <w:rFonts w:hint="eastAsia" w:ascii="仿宋_GB2312" w:hAnsi="仿宋_GB2312" w:eastAsia="仿宋_GB2312" w:cs="仿宋_GB2312"/>
          <w:bCs/>
          <w:color w:val="auto"/>
          <w:kern w:val="2"/>
          <w:sz w:val="28"/>
          <w:szCs w:val="28"/>
          <w:highlight w:val="none"/>
          <w:lang w:val="en-US" w:eastAsia="zh-CN" w:bidi="ar-SA"/>
        </w:rPr>
        <w:t>通道侗族自治县</w:t>
      </w:r>
      <w:r>
        <w:rPr>
          <w:rFonts w:hint="default" w:ascii="仿宋_GB2312" w:hAnsi="仿宋_GB2312" w:eastAsia="仿宋_GB2312" w:cs="仿宋_GB2312"/>
          <w:bCs/>
          <w:color w:val="auto"/>
          <w:kern w:val="2"/>
          <w:sz w:val="28"/>
          <w:szCs w:val="28"/>
          <w:highlight w:val="none"/>
          <w:lang w:val="en-GB" w:eastAsia="zh-CN" w:bidi="ar-SA"/>
        </w:rPr>
        <w:t>国土</w:t>
      </w:r>
      <w:r>
        <w:rPr>
          <w:rFonts w:hint="eastAsia" w:ascii="仿宋_GB2312" w:hAnsi="仿宋_GB2312" w:eastAsia="仿宋_GB2312" w:cs="仿宋_GB2312"/>
          <w:bCs/>
          <w:color w:val="auto"/>
          <w:kern w:val="2"/>
          <w:sz w:val="28"/>
          <w:szCs w:val="28"/>
          <w:highlight w:val="none"/>
          <w:lang w:val="en-US" w:eastAsia="zh-CN" w:bidi="ar-SA"/>
        </w:rPr>
        <w:t>资源局</w:t>
      </w:r>
      <w:r>
        <w:rPr>
          <w:rFonts w:hint="default" w:ascii="仿宋_GB2312" w:hAnsi="仿宋_GB2312" w:eastAsia="仿宋_GB2312" w:cs="仿宋_GB2312"/>
          <w:bCs/>
          <w:color w:val="auto"/>
          <w:kern w:val="2"/>
          <w:sz w:val="28"/>
          <w:szCs w:val="28"/>
          <w:highlight w:val="none"/>
          <w:lang w:val="en-GB" w:eastAsia="zh-CN" w:bidi="ar-SA"/>
        </w:rPr>
        <w:t>（现为</w:t>
      </w:r>
      <w:r>
        <w:rPr>
          <w:rFonts w:hint="eastAsia" w:ascii="仿宋_GB2312" w:hAnsi="仿宋_GB2312" w:eastAsia="仿宋_GB2312" w:cs="仿宋_GB2312"/>
          <w:bCs/>
          <w:color w:val="auto"/>
          <w:kern w:val="2"/>
          <w:sz w:val="28"/>
          <w:szCs w:val="28"/>
          <w:highlight w:val="none"/>
          <w:lang w:val="en-US" w:eastAsia="zh-CN" w:bidi="ar-SA"/>
        </w:rPr>
        <w:t>通道侗族自治县</w:t>
      </w:r>
      <w:r>
        <w:rPr>
          <w:rFonts w:hint="default" w:ascii="仿宋_GB2312" w:hAnsi="仿宋_GB2312" w:eastAsia="仿宋_GB2312" w:cs="仿宋_GB2312"/>
          <w:bCs/>
          <w:color w:val="auto"/>
          <w:kern w:val="2"/>
          <w:sz w:val="28"/>
          <w:szCs w:val="28"/>
          <w:highlight w:val="none"/>
          <w:lang w:val="en-GB" w:eastAsia="zh-CN" w:bidi="ar-SA"/>
        </w:rPr>
        <w:t>自然资源）；</w:t>
      </w:r>
    </w:p>
    <w:p w14:paraId="375F921B">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宗地四至：</w:t>
      </w:r>
      <w:r>
        <w:rPr>
          <w:rFonts w:hint="eastAsia" w:ascii="仿宋_GB2312" w:hAnsi="仿宋_GB2312" w:eastAsia="仿宋_GB2312" w:cs="仿宋_GB2312"/>
          <w:bCs/>
          <w:color w:val="auto"/>
          <w:kern w:val="2"/>
          <w:sz w:val="28"/>
          <w:szCs w:val="28"/>
          <w:highlight w:val="none"/>
          <w:lang w:val="en-GB" w:eastAsia="zh-CN" w:bidi="ar-SA"/>
        </w:rPr>
        <w:t>东临双江镇市场，南临县政府办，西临行政街，北临县政法委</w:t>
      </w:r>
      <w:r>
        <w:rPr>
          <w:rFonts w:hint="default" w:ascii="仿宋_GB2312" w:hAnsi="仿宋_GB2312" w:eastAsia="仿宋_GB2312" w:cs="仿宋_GB2312"/>
          <w:bCs/>
          <w:color w:val="auto"/>
          <w:kern w:val="2"/>
          <w:sz w:val="28"/>
          <w:szCs w:val="28"/>
          <w:highlight w:val="none"/>
          <w:lang w:val="en-GB" w:eastAsia="zh-CN" w:bidi="ar-SA"/>
        </w:rPr>
        <w:t>；</w:t>
      </w:r>
    </w:p>
    <w:p w14:paraId="1743067F">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US" w:eastAsia="zh-CN" w:bidi="ar-SA"/>
        </w:rPr>
      </w:pPr>
      <w:r>
        <w:rPr>
          <w:rFonts w:hint="eastAsia" w:ascii="仿宋_GB2312" w:hAnsi="仿宋_GB2312" w:eastAsia="仿宋_GB2312" w:cs="仿宋_GB2312"/>
          <w:bCs/>
          <w:color w:val="auto"/>
          <w:kern w:val="2"/>
          <w:sz w:val="28"/>
          <w:szCs w:val="28"/>
          <w:highlight w:val="none"/>
          <w:lang w:val="en-US" w:eastAsia="zh-CN" w:bidi="ar-SA"/>
        </w:rPr>
        <w:t>土地级别：土地级别：通道</w:t>
      </w:r>
      <w:r>
        <w:rPr>
          <w:rFonts w:hint="eastAsia" w:ascii="仿宋_GB2312" w:hAnsi="仿宋_GB2312" w:eastAsia="仿宋_GB2312" w:cs="仿宋_GB2312"/>
          <w:bCs/>
          <w:color w:val="auto"/>
          <w:kern w:val="2"/>
          <w:sz w:val="28"/>
          <w:szCs w:val="28"/>
          <w:highlight w:val="none"/>
          <w:lang w:val="en-GB" w:eastAsia="zh-CN" w:bidi="ar-SA"/>
        </w:rPr>
        <w:t>县城镇基准地价的颁布实施时间为</w:t>
      </w:r>
      <w:r>
        <w:rPr>
          <w:rFonts w:hint="eastAsia" w:ascii="仿宋_GB2312" w:hAnsi="仿宋_GB2312" w:eastAsia="仿宋_GB2312" w:cs="仿宋_GB2312"/>
          <w:bCs/>
          <w:color w:val="auto"/>
          <w:kern w:val="2"/>
          <w:sz w:val="28"/>
          <w:szCs w:val="28"/>
          <w:highlight w:val="none"/>
          <w:lang w:val="en-US" w:eastAsia="zh-CN" w:bidi="ar-SA"/>
        </w:rPr>
        <w:t>2026</w:t>
      </w:r>
      <w:r>
        <w:rPr>
          <w:rFonts w:hint="eastAsia" w:ascii="仿宋_GB2312" w:hAnsi="仿宋_GB2312" w:eastAsia="仿宋_GB2312" w:cs="仿宋_GB2312"/>
          <w:bCs/>
          <w:color w:val="auto"/>
          <w:kern w:val="2"/>
          <w:sz w:val="28"/>
          <w:szCs w:val="28"/>
          <w:highlight w:val="none"/>
          <w:lang w:val="en-GB" w:eastAsia="zh-CN" w:bidi="ar-SA"/>
        </w:rPr>
        <w:t>年1月</w:t>
      </w:r>
      <w:r>
        <w:rPr>
          <w:rFonts w:hint="eastAsia" w:ascii="仿宋_GB2312" w:hAnsi="仿宋_GB2312" w:eastAsia="仿宋_GB2312" w:cs="仿宋_GB2312"/>
          <w:bCs/>
          <w:color w:val="auto"/>
          <w:kern w:val="2"/>
          <w:sz w:val="28"/>
          <w:szCs w:val="28"/>
          <w:highlight w:val="none"/>
          <w:lang w:val="en-US" w:eastAsia="zh-CN" w:bidi="ar-SA"/>
        </w:rPr>
        <w:t>6</w:t>
      </w:r>
      <w:r>
        <w:rPr>
          <w:rFonts w:hint="eastAsia" w:ascii="仿宋_GB2312" w:hAnsi="仿宋_GB2312" w:eastAsia="仿宋_GB2312" w:cs="仿宋_GB2312"/>
          <w:bCs/>
          <w:color w:val="auto"/>
          <w:kern w:val="2"/>
          <w:sz w:val="28"/>
          <w:szCs w:val="28"/>
          <w:highlight w:val="none"/>
          <w:lang w:val="en-GB" w:eastAsia="zh-CN" w:bidi="ar-SA"/>
        </w:rPr>
        <w:t>日，批准文号为通政发〔202</w:t>
      </w:r>
      <w:r>
        <w:rPr>
          <w:rFonts w:hint="eastAsia" w:ascii="仿宋_GB2312" w:hAnsi="仿宋_GB2312" w:eastAsia="仿宋_GB2312" w:cs="仿宋_GB2312"/>
          <w:bCs/>
          <w:color w:val="auto"/>
          <w:kern w:val="2"/>
          <w:sz w:val="28"/>
          <w:szCs w:val="28"/>
          <w:highlight w:val="none"/>
          <w:lang w:val="en-US" w:eastAsia="zh-CN" w:bidi="ar-SA"/>
        </w:rPr>
        <w:t>6</w:t>
      </w:r>
      <w:r>
        <w:rPr>
          <w:rFonts w:hint="eastAsia" w:ascii="仿宋_GB2312" w:hAnsi="仿宋_GB2312" w:eastAsia="仿宋_GB2312" w:cs="仿宋_GB2312"/>
          <w:bCs/>
          <w:color w:val="auto"/>
          <w:kern w:val="2"/>
          <w:sz w:val="28"/>
          <w:szCs w:val="28"/>
          <w:highlight w:val="none"/>
          <w:lang w:val="en-GB" w:eastAsia="zh-CN" w:bidi="ar-SA"/>
        </w:rPr>
        <w:t>〕1号,文件名称为《通道侗族自治县人民政府关于更新城镇基准地价标准和等级的通知》（通政发〔202</w:t>
      </w:r>
      <w:r>
        <w:rPr>
          <w:rFonts w:hint="eastAsia" w:ascii="仿宋_GB2312" w:hAnsi="仿宋_GB2312" w:eastAsia="仿宋_GB2312" w:cs="仿宋_GB2312"/>
          <w:bCs/>
          <w:color w:val="auto"/>
          <w:kern w:val="2"/>
          <w:sz w:val="28"/>
          <w:szCs w:val="28"/>
          <w:highlight w:val="none"/>
          <w:lang w:val="en-US" w:eastAsia="zh-CN" w:bidi="ar-SA"/>
        </w:rPr>
        <w:t>6</w:t>
      </w:r>
      <w:r>
        <w:rPr>
          <w:rFonts w:hint="eastAsia" w:ascii="仿宋_GB2312" w:hAnsi="仿宋_GB2312" w:eastAsia="仿宋_GB2312" w:cs="仿宋_GB2312"/>
          <w:bCs/>
          <w:color w:val="auto"/>
          <w:kern w:val="2"/>
          <w:sz w:val="28"/>
          <w:szCs w:val="28"/>
          <w:highlight w:val="none"/>
          <w:lang w:val="en-GB" w:eastAsia="zh-CN" w:bidi="ar-SA"/>
        </w:rPr>
        <w:t>〕1号，20</w:t>
      </w:r>
      <w:r>
        <w:rPr>
          <w:rFonts w:hint="eastAsia" w:ascii="仿宋_GB2312" w:hAnsi="仿宋_GB2312" w:eastAsia="仿宋_GB2312" w:cs="仿宋_GB2312"/>
          <w:bCs/>
          <w:color w:val="auto"/>
          <w:kern w:val="2"/>
          <w:sz w:val="28"/>
          <w:szCs w:val="28"/>
          <w:highlight w:val="none"/>
          <w:lang w:val="en-US" w:eastAsia="zh-CN" w:bidi="ar-SA"/>
        </w:rPr>
        <w:t>26</w:t>
      </w:r>
      <w:r>
        <w:rPr>
          <w:rFonts w:hint="eastAsia" w:ascii="仿宋_GB2312" w:hAnsi="仿宋_GB2312" w:eastAsia="仿宋_GB2312" w:cs="仿宋_GB2312"/>
          <w:bCs/>
          <w:color w:val="auto"/>
          <w:kern w:val="2"/>
          <w:sz w:val="28"/>
          <w:szCs w:val="28"/>
          <w:highlight w:val="none"/>
          <w:lang w:val="en-GB" w:eastAsia="zh-CN" w:bidi="ar-SA"/>
        </w:rPr>
        <w:t>年</w:t>
      </w:r>
      <w:r>
        <w:rPr>
          <w:rFonts w:hint="eastAsia" w:ascii="仿宋_GB2312" w:hAnsi="仿宋_GB2312" w:eastAsia="仿宋_GB2312" w:cs="仿宋_GB2312"/>
          <w:bCs/>
          <w:color w:val="auto"/>
          <w:kern w:val="2"/>
          <w:sz w:val="28"/>
          <w:szCs w:val="28"/>
          <w:highlight w:val="none"/>
          <w:lang w:val="en-US" w:eastAsia="zh-CN" w:bidi="ar-SA"/>
        </w:rPr>
        <w:t>1</w:t>
      </w:r>
      <w:r>
        <w:rPr>
          <w:rFonts w:hint="eastAsia" w:ascii="仿宋_GB2312" w:hAnsi="仿宋_GB2312" w:eastAsia="仿宋_GB2312" w:cs="仿宋_GB2312"/>
          <w:bCs/>
          <w:color w:val="auto"/>
          <w:kern w:val="2"/>
          <w:sz w:val="28"/>
          <w:szCs w:val="28"/>
          <w:highlight w:val="none"/>
          <w:lang w:val="en-GB" w:eastAsia="zh-CN" w:bidi="ar-SA"/>
        </w:rPr>
        <w:t>月</w:t>
      </w:r>
      <w:r>
        <w:rPr>
          <w:rFonts w:hint="eastAsia" w:ascii="仿宋_GB2312" w:hAnsi="仿宋_GB2312" w:eastAsia="仿宋_GB2312" w:cs="仿宋_GB2312"/>
          <w:bCs/>
          <w:color w:val="auto"/>
          <w:kern w:val="2"/>
          <w:sz w:val="28"/>
          <w:szCs w:val="28"/>
          <w:highlight w:val="none"/>
          <w:lang w:val="en-US" w:eastAsia="zh-CN" w:bidi="ar-SA"/>
        </w:rPr>
        <w:t>6</w:t>
      </w:r>
      <w:r>
        <w:rPr>
          <w:rFonts w:hint="eastAsia" w:ascii="仿宋_GB2312" w:hAnsi="仿宋_GB2312" w:eastAsia="仿宋_GB2312" w:cs="仿宋_GB2312"/>
          <w:bCs/>
          <w:color w:val="auto"/>
          <w:kern w:val="2"/>
          <w:sz w:val="28"/>
          <w:szCs w:val="28"/>
          <w:highlight w:val="none"/>
          <w:lang w:val="en-GB" w:eastAsia="zh-CN" w:bidi="ar-SA"/>
        </w:rPr>
        <w:t>日），批准机关为</w:t>
      </w:r>
      <w:r>
        <w:rPr>
          <w:rFonts w:hint="eastAsia" w:ascii="仿宋_GB2312" w:hAnsi="仿宋_GB2312" w:eastAsia="仿宋_GB2312" w:cs="仿宋_GB2312"/>
          <w:bCs/>
          <w:color w:val="auto"/>
          <w:kern w:val="2"/>
          <w:sz w:val="28"/>
          <w:szCs w:val="28"/>
          <w:highlight w:val="none"/>
          <w:lang w:val="en-US" w:eastAsia="zh-CN" w:bidi="ar-SA"/>
        </w:rPr>
        <w:t>通道侗族自治</w:t>
      </w:r>
      <w:r>
        <w:rPr>
          <w:rFonts w:hint="eastAsia" w:ascii="仿宋_GB2312" w:hAnsi="仿宋_GB2312" w:eastAsia="仿宋_GB2312" w:cs="仿宋_GB2312"/>
          <w:bCs/>
          <w:color w:val="auto"/>
          <w:kern w:val="2"/>
          <w:sz w:val="28"/>
          <w:szCs w:val="28"/>
          <w:highlight w:val="none"/>
          <w:lang w:val="en-GB" w:eastAsia="zh-CN" w:bidi="ar-SA"/>
        </w:rPr>
        <w:t>县人民政府，估价期日为</w:t>
      </w:r>
      <w:r>
        <w:rPr>
          <w:rFonts w:hint="eastAsia" w:ascii="仿宋_GB2312" w:hAnsi="仿宋_GB2312" w:eastAsia="仿宋_GB2312" w:cs="仿宋_GB2312"/>
          <w:bCs/>
          <w:color w:val="auto"/>
          <w:kern w:val="2"/>
          <w:sz w:val="28"/>
          <w:szCs w:val="28"/>
          <w:highlight w:val="none"/>
          <w:lang w:val="en-US" w:eastAsia="zh-CN" w:bidi="ar-SA"/>
        </w:rPr>
        <w:t>2025</w:t>
      </w:r>
      <w:r>
        <w:rPr>
          <w:rFonts w:hint="eastAsia" w:ascii="仿宋_GB2312" w:hAnsi="仿宋_GB2312" w:eastAsia="仿宋_GB2312" w:cs="仿宋_GB2312"/>
          <w:bCs/>
          <w:color w:val="auto"/>
          <w:kern w:val="2"/>
          <w:sz w:val="28"/>
          <w:szCs w:val="28"/>
          <w:highlight w:val="none"/>
          <w:lang w:val="en-GB" w:eastAsia="zh-CN" w:bidi="ar-SA"/>
        </w:rPr>
        <w:t>年</w:t>
      </w:r>
      <w:r>
        <w:rPr>
          <w:rFonts w:hint="eastAsia" w:ascii="仿宋_GB2312" w:hAnsi="仿宋_GB2312" w:eastAsia="仿宋_GB2312" w:cs="仿宋_GB2312"/>
          <w:bCs/>
          <w:color w:val="auto"/>
          <w:kern w:val="2"/>
          <w:sz w:val="28"/>
          <w:szCs w:val="28"/>
          <w:highlight w:val="none"/>
          <w:lang w:val="en-US" w:eastAsia="zh-CN" w:bidi="ar-SA"/>
        </w:rPr>
        <w:t>4</w:t>
      </w:r>
      <w:r>
        <w:rPr>
          <w:rFonts w:hint="eastAsia" w:ascii="仿宋_GB2312" w:hAnsi="仿宋_GB2312" w:eastAsia="仿宋_GB2312" w:cs="仿宋_GB2312"/>
          <w:bCs/>
          <w:color w:val="auto"/>
          <w:kern w:val="2"/>
          <w:sz w:val="28"/>
          <w:szCs w:val="28"/>
          <w:highlight w:val="none"/>
          <w:lang w:val="en-GB" w:eastAsia="zh-CN" w:bidi="ar-SA"/>
        </w:rPr>
        <w:t>月1日，</w:t>
      </w:r>
      <w:r>
        <w:rPr>
          <w:rFonts w:hint="eastAsia" w:ascii="仿宋_GB2312" w:hAnsi="仿宋_GB2312" w:eastAsia="仿宋_GB2312" w:cs="仿宋_GB2312"/>
          <w:bCs/>
          <w:color w:val="auto"/>
          <w:kern w:val="2"/>
          <w:sz w:val="28"/>
          <w:szCs w:val="28"/>
          <w:highlight w:val="none"/>
          <w:lang w:val="en-US" w:eastAsia="zh-CN" w:bidi="ar-SA"/>
        </w:rPr>
        <w:t>估价对象属于通道县商业服务业用地二级、居住用地二级。</w:t>
      </w:r>
    </w:p>
    <w:p w14:paraId="51459ADF">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2、土地权利状况</w:t>
      </w:r>
    </w:p>
    <w:p w14:paraId="6E438837">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（1）估价对象的土地所有权状况：估价对象的土地所有权属国家所有。</w:t>
      </w:r>
    </w:p>
    <w:p w14:paraId="6332BD82">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（2）估价对象的土地使用权状况：根据委托方提供的</w:t>
      </w:r>
      <w:r>
        <w:rPr>
          <w:rFonts w:hint="eastAsia" w:ascii="仿宋_GB2312" w:hAnsi="仿宋_GB2312" w:eastAsia="仿宋_GB2312" w:cs="仿宋_GB2312"/>
          <w:bCs/>
          <w:color w:val="auto"/>
          <w:kern w:val="2"/>
          <w:sz w:val="28"/>
          <w:szCs w:val="28"/>
          <w:highlight w:val="none"/>
          <w:lang w:val="en-GB" w:eastAsia="zh-CN" w:bidi="ar-SA"/>
        </w:rPr>
        <w:t>《国有土地使用证》（通国用（2014）第000327号）</w:t>
      </w:r>
      <w:r>
        <w:rPr>
          <w:rFonts w:hint="default" w:ascii="仿宋_GB2312" w:hAnsi="仿宋_GB2312" w:eastAsia="仿宋_GB2312" w:cs="仿宋_GB2312"/>
          <w:bCs/>
          <w:color w:val="auto"/>
          <w:kern w:val="2"/>
          <w:sz w:val="28"/>
          <w:szCs w:val="28"/>
          <w:highlight w:val="none"/>
          <w:lang w:val="en-GB" w:eastAsia="zh-CN" w:bidi="ar-SA"/>
        </w:rPr>
        <w:t>，估价对象现为国有</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用地；至估价期日，仍为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用地，使用年期为无年期限制。委托方拟按现状办理出让手续，根据评估目的并结合国务院第55号令《中华人民共和国城镇国有土地使用权出让和转让暂行条例》</w:t>
      </w:r>
      <w:r>
        <w:rPr>
          <w:rFonts w:hint="eastAsia" w:ascii="仿宋_GB2312" w:hAnsi="仿宋_GB2312" w:eastAsia="仿宋_GB2312" w:cs="仿宋_GB2312"/>
          <w:bCs/>
          <w:color w:val="auto"/>
          <w:kern w:val="2"/>
          <w:sz w:val="28"/>
          <w:szCs w:val="28"/>
          <w:highlight w:val="none"/>
          <w:lang w:val="en-US" w:eastAsia="zh-CN" w:bidi="ar-SA"/>
        </w:rPr>
        <w:t>和《土地资产评估委托书》</w:t>
      </w:r>
      <w:r>
        <w:rPr>
          <w:rFonts w:hint="default" w:ascii="仿宋_GB2312" w:hAnsi="仿宋_GB2312" w:eastAsia="仿宋_GB2312" w:cs="仿宋_GB2312"/>
          <w:bCs/>
          <w:color w:val="auto"/>
          <w:kern w:val="2"/>
          <w:sz w:val="28"/>
          <w:szCs w:val="28"/>
          <w:highlight w:val="none"/>
          <w:lang w:val="en-GB" w:eastAsia="zh-CN" w:bidi="ar-SA"/>
        </w:rPr>
        <w:t>，本次评估设定土地用途为</w:t>
      </w:r>
      <w:r>
        <w:rPr>
          <w:rFonts w:hint="eastAsia" w:ascii="仿宋_GB2312" w:hAnsi="仿宋_GB2312" w:eastAsia="仿宋_GB2312" w:cs="仿宋_GB2312"/>
          <w:bCs/>
          <w:color w:val="auto"/>
          <w:kern w:val="2"/>
          <w:sz w:val="28"/>
          <w:szCs w:val="28"/>
          <w:highlight w:val="none"/>
          <w:lang w:val="en-US" w:eastAsia="zh-CN" w:bidi="ar-SA"/>
        </w:rPr>
        <w:t>商服用地、</w:t>
      </w:r>
      <w:r>
        <w:rPr>
          <w:rFonts w:hint="default" w:ascii="仿宋_GB2312" w:hAnsi="仿宋_GB2312" w:eastAsia="仿宋_GB2312" w:cs="仿宋_GB2312"/>
          <w:bCs/>
          <w:color w:val="auto"/>
          <w:kern w:val="2"/>
          <w:sz w:val="28"/>
          <w:szCs w:val="28"/>
          <w:highlight w:val="none"/>
          <w:lang w:val="en-GB" w:eastAsia="zh-CN" w:bidi="ar-SA"/>
        </w:rPr>
        <w:t>住宅用地</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商住比22.03%：77.97%</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，本次评估现状利用条件下的出让土地使用权价格的土地使用权年限为</w:t>
      </w:r>
      <w:r>
        <w:rPr>
          <w:rFonts w:hint="eastAsia" w:ascii="仿宋_GB2312" w:hAnsi="仿宋_GB2312" w:eastAsia="仿宋_GB2312" w:cs="仿宋_GB2312"/>
          <w:bCs/>
          <w:color w:val="auto"/>
          <w:kern w:val="2"/>
          <w:sz w:val="28"/>
          <w:szCs w:val="28"/>
          <w:highlight w:val="none"/>
          <w:lang w:val="en-US" w:eastAsia="zh-CN" w:bidi="ar-SA"/>
        </w:rPr>
        <w:t>商服用地40年、住宅用地70年</w:t>
      </w:r>
      <w:r>
        <w:rPr>
          <w:rFonts w:hint="default" w:ascii="仿宋_GB2312" w:hAnsi="仿宋_GB2312" w:eastAsia="仿宋_GB2312" w:cs="仿宋_GB2312"/>
          <w:bCs/>
          <w:color w:val="auto"/>
          <w:kern w:val="2"/>
          <w:sz w:val="28"/>
          <w:szCs w:val="28"/>
          <w:highlight w:val="none"/>
          <w:lang w:val="en-GB" w:eastAsia="zh-CN" w:bidi="ar-SA"/>
        </w:rPr>
        <w:t>。</w:t>
      </w:r>
    </w:p>
    <w:p w14:paraId="27B21BDA">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（3）根据委托方提供的资料，估价对象土地权属来源合法、界址清楚，在估价基准日，估价对象土地使用权未设置租赁、抵押权等他项权利。</w:t>
      </w:r>
    </w:p>
    <w:p w14:paraId="0602E70C">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3、土地利用状况</w:t>
      </w:r>
    </w:p>
    <w:p w14:paraId="1961B730">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（1）现状利用状况</w:t>
      </w:r>
    </w:p>
    <w:p w14:paraId="6C4E122E">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default" w:ascii="仿宋_GB2312" w:hAnsi="仿宋_GB2312" w:eastAsia="仿宋_GB2312" w:cs="仿宋_GB2312"/>
          <w:bCs/>
          <w:color w:val="auto"/>
          <w:kern w:val="2"/>
          <w:sz w:val="28"/>
          <w:szCs w:val="28"/>
          <w:highlight w:val="none"/>
          <w:lang w:val="en-GB" w:eastAsia="zh-CN" w:bidi="ar-SA"/>
        </w:rPr>
        <w:t>。</w:t>
      </w:r>
    </w:p>
    <w:p w14:paraId="35F600CC">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估价对象现状使用状况如下图：</w:t>
      </w:r>
    </w:p>
    <w:tbl>
      <w:tblPr>
        <w:tblStyle w:val="12"/>
        <w:tblW w:w="475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2"/>
        <w:gridCol w:w="4026"/>
      </w:tblGrid>
      <w:tr w14:paraId="655B5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3" w:hRule="atLeast"/>
          <w:jc w:val="center"/>
        </w:trPr>
        <w:tc>
          <w:tcPr>
            <w:tcW w:w="2517" w:type="pct"/>
            <w:noWrap w:val="0"/>
            <w:vAlign w:val="top"/>
          </w:tcPr>
          <w:p w14:paraId="102DBEEF">
            <w:pPr>
              <w:spacing w:line="300" w:lineRule="auto"/>
              <w:jc w:val="center"/>
              <w:rPr>
                <w:rFonts w:hint="default" w:ascii="Times New Roman" w:hAnsi="Times New Roman" w:eastAsia="仿宋" w:cs="Times New Roman"/>
                <w:b/>
                <w:bCs/>
                <w:sz w:val="28"/>
                <w:szCs w:val="28"/>
                <w:highlight w:val="none"/>
                <w:lang w:eastAsia="zh-CN"/>
              </w:rPr>
            </w:pPr>
            <w:r>
              <w:rPr>
                <w:rFonts w:hint="default" w:ascii="Times New Roman" w:hAnsi="Times New Roman" w:eastAsia="仿宋" w:cs="Times New Roman"/>
                <w:b/>
                <w:bCs/>
                <w:sz w:val="28"/>
                <w:szCs w:val="28"/>
                <w:highlight w:val="none"/>
                <w:lang w:eastAsia="zh-CN"/>
              </w:rPr>
              <w:drawing>
                <wp:inline distT="0" distB="0" distL="114300" distR="114300">
                  <wp:extent cx="2430780" cy="1723390"/>
                  <wp:effectExtent l="0" t="0" r="7620" b="10160"/>
                  <wp:docPr id="5" name="图片 5" descr="现状7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现状7 (2)"/>
                          <pic:cNvPicPr>
                            <a:picLocks noChangeAspect="1"/>
                          </pic:cNvPicPr>
                        </pic:nvPicPr>
                        <pic:blipFill>
                          <a:blip r:embed="rId24"/>
                          <a:stretch>
                            <a:fillRect/>
                          </a:stretch>
                        </pic:blipFill>
                        <pic:spPr>
                          <a:xfrm>
                            <a:off x="0" y="0"/>
                            <a:ext cx="2430780" cy="1723390"/>
                          </a:xfrm>
                          <a:prstGeom prst="rect">
                            <a:avLst/>
                          </a:prstGeom>
                        </pic:spPr>
                      </pic:pic>
                    </a:graphicData>
                  </a:graphic>
                </wp:inline>
              </w:drawing>
            </w:r>
          </w:p>
        </w:tc>
        <w:tc>
          <w:tcPr>
            <w:tcW w:w="2482" w:type="pct"/>
            <w:noWrap w:val="0"/>
            <w:vAlign w:val="top"/>
          </w:tcPr>
          <w:p w14:paraId="2FC19EE8">
            <w:pPr>
              <w:spacing w:line="300" w:lineRule="auto"/>
              <w:jc w:val="center"/>
              <w:rPr>
                <w:rFonts w:hint="default" w:ascii="Times New Roman" w:hAnsi="Times New Roman" w:eastAsia="仿宋" w:cs="Times New Roman"/>
                <w:sz w:val="28"/>
                <w:szCs w:val="28"/>
                <w:highlight w:val="none"/>
                <w:lang w:eastAsia="zh-CN"/>
              </w:rPr>
            </w:pPr>
            <w:r>
              <w:rPr>
                <w:rFonts w:hint="default" w:ascii="Times New Roman" w:hAnsi="Times New Roman" w:eastAsia="仿宋" w:cs="Times New Roman"/>
                <w:sz w:val="28"/>
                <w:szCs w:val="28"/>
                <w:highlight w:val="none"/>
                <w:lang w:eastAsia="zh-CN"/>
              </w:rPr>
              <w:drawing>
                <wp:inline distT="0" distB="0" distL="114300" distR="114300">
                  <wp:extent cx="2413000" cy="1750060"/>
                  <wp:effectExtent l="0" t="0" r="6350" b="2540"/>
                  <wp:docPr id="6" name="图片 6" descr="现状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现状1"/>
                          <pic:cNvPicPr>
                            <a:picLocks noChangeAspect="1"/>
                          </pic:cNvPicPr>
                        </pic:nvPicPr>
                        <pic:blipFill>
                          <a:blip r:embed="rId25"/>
                          <a:stretch>
                            <a:fillRect/>
                          </a:stretch>
                        </pic:blipFill>
                        <pic:spPr>
                          <a:xfrm>
                            <a:off x="0" y="0"/>
                            <a:ext cx="2413000" cy="1750060"/>
                          </a:xfrm>
                          <a:prstGeom prst="rect">
                            <a:avLst/>
                          </a:prstGeom>
                        </pic:spPr>
                      </pic:pic>
                    </a:graphicData>
                  </a:graphic>
                </wp:inline>
              </w:drawing>
            </w:r>
          </w:p>
        </w:tc>
      </w:tr>
    </w:tbl>
    <w:p w14:paraId="2837D4E5">
      <w:pPr>
        <w:keepLines w:val="0"/>
        <w:pageBreakBefore w:val="0"/>
        <w:kinsoku/>
        <w:wordWrap/>
        <w:overflowPunct/>
        <w:topLinePunct w:val="0"/>
        <w:autoSpaceDE/>
        <w:autoSpaceDN/>
        <w:bidi w:val="0"/>
        <w:spacing w:line="480" w:lineRule="exact"/>
        <w:ind w:firstLine="560" w:firstLineChars="200"/>
        <w:jc w:val="center"/>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图2-1  估价对象现状利用照片</w:t>
      </w:r>
    </w:p>
    <w:p w14:paraId="15FAF880">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对象位于通道县双江镇行政街331/1-2幢整栋</w:t>
      </w:r>
      <w:r>
        <w:rPr>
          <w:rFonts w:hint="default" w:ascii="仿宋_GB2312" w:hAnsi="仿宋_GB2312" w:eastAsia="仿宋_GB2312" w:cs="仿宋_GB2312"/>
          <w:bCs/>
          <w:color w:val="auto"/>
          <w:kern w:val="2"/>
          <w:sz w:val="28"/>
          <w:szCs w:val="28"/>
          <w:highlight w:val="none"/>
          <w:lang w:val="en-GB" w:eastAsia="zh-CN" w:bidi="ar-SA"/>
        </w:rPr>
        <w:t>，所在宗地上有独栋建筑物，建成年份为</w:t>
      </w:r>
      <w:r>
        <w:rPr>
          <w:rFonts w:hint="eastAsia" w:ascii="仿宋_GB2312" w:hAnsi="仿宋_GB2312" w:eastAsia="仿宋_GB2312" w:cs="仿宋_GB2312"/>
          <w:bCs/>
          <w:color w:val="auto"/>
          <w:kern w:val="2"/>
          <w:sz w:val="28"/>
          <w:szCs w:val="28"/>
          <w:highlight w:val="none"/>
          <w:lang w:val="en-US" w:eastAsia="zh-CN" w:bidi="ar-SA"/>
        </w:rPr>
        <w:t>2015</w:t>
      </w:r>
      <w:r>
        <w:rPr>
          <w:rFonts w:hint="default" w:ascii="仿宋_GB2312" w:hAnsi="仿宋_GB2312" w:eastAsia="仿宋_GB2312" w:cs="仿宋_GB2312"/>
          <w:bCs/>
          <w:color w:val="auto"/>
          <w:kern w:val="2"/>
          <w:sz w:val="28"/>
          <w:szCs w:val="28"/>
          <w:highlight w:val="none"/>
          <w:lang w:val="en-GB" w:eastAsia="zh-CN" w:bidi="ar-SA"/>
        </w:rPr>
        <w:t>年，总层数为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，建筑物为混合结构，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不锈钢及木质入户门，塑钢窗户，铁艺防盗网，外墙贴瓷砖，屋内地贴瓷砖，顶棚木质装饰吊顶，简单装修，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八成新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10年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40</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hAnsi="仿宋_GB2312" w:eastAsia="仿宋_GB2312" w:cs="仿宋_GB2312"/>
          <w:bCs/>
          <w:color w:val="auto"/>
          <w:kern w:val="2"/>
          <w:sz w:val="28"/>
          <w:szCs w:val="28"/>
          <w:highlight w:val="none"/>
          <w:lang w:val="en-GB" w:eastAsia="zh-CN" w:bidi="ar-SA"/>
        </w:rPr>
        <w:t>《房屋所有权证》（通房权证双江字第201517109号）</w:t>
      </w:r>
      <w:r>
        <w:rPr>
          <w:rFonts w:hint="eastAsia" w:ascii="仿宋_GB2312" w:hAnsi="仿宋_GB2312" w:eastAsia="仿宋_GB2312" w:cs="仿宋_GB2312"/>
          <w:bCs/>
          <w:color w:val="auto"/>
          <w:kern w:val="2"/>
          <w:sz w:val="28"/>
          <w:szCs w:val="28"/>
          <w:highlight w:val="none"/>
          <w:lang w:val="en-US" w:eastAsia="zh-CN" w:bidi="ar-SA"/>
        </w:rPr>
        <w:t>及</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土地分户分摊面积明细表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w:t>
      </w:r>
      <w:r>
        <w:rPr>
          <w:rFonts w:hint="eastAsia" w:ascii="仿宋_GB2312" w:hAnsi="仿宋_GB2312" w:eastAsia="仿宋_GB2312" w:cs="仿宋_GB2312"/>
          <w:bCs/>
          <w:color w:val="auto"/>
          <w:kern w:val="2"/>
          <w:sz w:val="28"/>
          <w:szCs w:val="28"/>
          <w:highlight w:val="none"/>
          <w:lang w:val="en-US" w:eastAsia="zh-CN" w:bidi="ar-SA"/>
        </w:rPr>
        <w:t>总</w:t>
      </w:r>
      <w:r>
        <w:rPr>
          <w:rFonts w:hint="default" w:ascii="仿宋_GB2312" w:hAnsi="仿宋_GB2312" w:eastAsia="仿宋_GB2312" w:cs="仿宋_GB2312"/>
          <w:bCs/>
          <w:color w:val="auto"/>
          <w:kern w:val="2"/>
          <w:sz w:val="28"/>
          <w:szCs w:val="28"/>
          <w:highlight w:val="none"/>
          <w:lang w:val="en-GB" w:eastAsia="zh-CN" w:bidi="ar-SA"/>
        </w:rPr>
        <w:t>建筑面积为</w:t>
      </w:r>
      <w:r>
        <w:rPr>
          <w:rFonts w:hint="eastAsia" w:ascii="仿宋_GB2312" w:hAnsi="仿宋_GB2312" w:eastAsia="仿宋_GB2312" w:cs="仿宋_GB2312"/>
          <w:bCs/>
          <w:color w:val="auto"/>
          <w:kern w:val="2"/>
          <w:sz w:val="28"/>
          <w:szCs w:val="28"/>
          <w:highlight w:val="none"/>
          <w:lang w:val="en-US" w:eastAsia="zh-CN" w:bidi="ar-SA"/>
        </w:rPr>
        <w:t>745.47平方米，分摊土地面积总计183.27平方米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根据《土地资产评估委托书》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估价对象分摊土地面积为</w:t>
      </w:r>
      <w:r>
        <w:rPr>
          <w:rFonts w:hint="eastAsia" w:ascii="仿宋_GB2312" w:hAnsi="仿宋_GB2312" w:eastAsia="仿宋_GB2312" w:cs="仿宋_GB2312"/>
          <w:bCs/>
          <w:color w:val="auto"/>
          <w:kern w:val="2"/>
          <w:sz w:val="28"/>
          <w:szCs w:val="28"/>
          <w:highlight w:val="none"/>
          <w:lang w:val="en-US" w:eastAsia="zh-CN" w:bidi="ar-SA"/>
        </w:rPr>
        <w:t>183.27平方米</w:t>
      </w:r>
      <w:r>
        <w:rPr>
          <w:rFonts w:hint="default" w:ascii="仿宋_GB2312" w:hAnsi="仿宋_GB2312" w:eastAsia="仿宋_GB2312" w:cs="仿宋_GB2312"/>
          <w:bCs/>
          <w:color w:val="auto"/>
          <w:kern w:val="2"/>
          <w:sz w:val="28"/>
          <w:szCs w:val="28"/>
          <w:highlight w:val="none"/>
          <w:lang w:val="en-GB" w:eastAsia="zh-CN" w:bidi="ar-SA"/>
        </w:rPr>
        <w:t>，则估价对象现状</w:t>
      </w:r>
      <w:r>
        <w:rPr>
          <w:rFonts w:hint="eastAsia" w:ascii="仿宋_GB2312" w:hAnsi="仿宋_GB2312" w:eastAsia="仿宋_GB2312" w:cs="仿宋_GB2312"/>
          <w:bCs/>
          <w:color w:val="auto"/>
          <w:kern w:val="2"/>
          <w:sz w:val="28"/>
          <w:szCs w:val="28"/>
          <w:highlight w:val="none"/>
          <w:lang w:val="en-GB" w:eastAsia="zh-CN" w:bidi="ar-SA"/>
        </w:rPr>
        <w:t>容积率为4.07</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w:t>
      </w:r>
      <w:r>
        <w:rPr>
          <w:rFonts w:hint="eastAsia" w:ascii="仿宋_GB2312" w:hAnsi="仿宋_GB2312" w:eastAsia="仿宋_GB2312" w:cs="仿宋_GB2312"/>
          <w:bCs/>
          <w:color w:val="auto"/>
          <w:kern w:val="2"/>
          <w:sz w:val="28"/>
          <w:szCs w:val="28"/>
          <w:highlight w:val="none"/>
          <w:lang w:val="en-GB" w:eastAsia="zh-CN" w:bidi="ar-SA"/>
        </w:rPr>
        <w:t>容积率为4.07</w:t>
      </w:r>
      <w:r>
        <w:rPr>
          <w:rFonts w:hint="default" w:ascii="仿宋_GB2312" w:hAnsi="仿宋_GB2312" w:eastAsia="仿宋_GB2312" w:cs="仿宋_GB2312"/>
          <w:bCs/>
          <w:color w:val="auto"/>
          <w:kern w:val="2"/>
          <w:sz w:val="28"/>
          <w:szCs w:val="28"/>
          <w:highlight w:val="none"/>
          <w:lang w:val="en-GB" w:eastAsia="zh-CN" w:bidi="ar-SA"/>
        </w:rPr>
        <w:t>。</w:t>
      </w:r>
    </w:p>
    <w:p w14:paraId="49FF02BE">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US" w:eastAsia="zh-CN" w:bidi="ar-SA"/>
        </w:rPr>
        <w:t>2</w:t>
      </w:r>
      <w:r>
        <w:rPr>
          <w:rFonts w:hint="default" w:ascii="仿宋_GB2312" w:hAnsi="仿宋_GB2312" w:eastAsia="仿宋_GB2312" w:cs="仿宋_GB2312"/>
          <w:bCs/>
          <w:color w:val="auto"/>
          <w:kern w:val="2"/>
          <w:sz w:val="28"/>
          <w:szCs w:val="28"/>
          <w:highlight w:val="none"/>
          <w:lang w:val="en-GB" w:eastAsia="zh-CN" w:bidi="ar-SA"/>
        </w:rPr>
        <w:t>）规划利用条件</w:t>
      </w:r>
    </w:p>
    <w:p w14:paraId="0E0C1955">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745.47平方米</w:t>
      </w:r>
      <w:r>
        <w:rPr>
          <w:rFonts w:hint="default" w:ascii="仿宋_GB2312" w:hAnsi="仿宋_GB2312" w:eastAsia="仿宋_GB2312" w:cs="仿宋_GB2312"/>
          <w:bCs/>
          <w:color w:val="auto"/>
          <w:kern w:val="2"/>
          <w:sz w:val="28"/>
          <w:szCs w:val="28"/>
          <w:highlight w:val="none"/>
          <w:lang w:val="en-GB" w:eastAsia="zh-CN" w:bidi="ar-SA"/>
        </w:rPr>
        <w:t>，估价对象分摊土地面积为</w:t>
      </w:r>
      <w:r>
        <w:rPr>
          <w:rFonts w:hint="eastAsia" w:ascii="仿宋_GB2312" w:hAnsi="仿宋_GB2312" w:eastAsia="仿宋_GB2312" w:cs="仿宋_GB2312"/>
          <w:bCs/>
          <w:color w:val="auto"/>
          <w:kern w:val="2"/>
          <w:sz w:val="28"/>
          <w:szCs w:val="28"/>
          <w:highlight w:val="none"/>
          <w:lang w:val="en-US" w:eastAsia="zh-CN" w:bidi="ar-SA"/>
        </w:rPr>
        <w:t>183.27平方米</w:t>
      </w:r>
      <w:r>
        <w:rPr>
          <w:rFonts w:hint="default" w:ascii="仿宋_GB2312" w:hAnsi="仿宋_GB2312" w:eastAsia="仿宋_GB2312" w:cs="仿宋_GB2312"/>
          <w:bCs/>
          <w:color w:val="auto"/>
          <w:kern w:val="2"/>
          <w:sz w:val="28"/>
          <w:szCs w:val="28"/>
          <w:highlight w:val="none"/>
          <w:lang w:val="en-GB" w:eastAsia="zh-CN" w:bidi="ar-SA"/>
        </w:rPr>
        <w:t>，则估价对象现状</w:t>
      </w:r>
      <w:r>
        <w:rPr>
          <w:rFonts w:hint="eastAsia" w:ascii="仿宋_GB2312" w:hAnsi="仿宋_GB2312" w:eastAsia="仿宋_GB2312" w:cs="仿宋_GB2312"/>
          <w:bCs/>
          <w:color w:val="auto"/>
          <w:kern w:val="2"/>
          <w:sz w:val="28"/>
          <w:szCs w:val="28"/>
          <w:highlight w:val="none"/>
          <w:lang w:val="en-GB" w:eastAsia="zh-CN" w:bidi="ar-SA"/>
        </w:rPr>
        <w:t>容积率为4.07</w:t>
      </w:r>
      <w:r>
        <w:rPr>
          <w:rFonts w:hint="eastAsia" w:ascii="仿宋_GB2312" w:hAnsi="仿宋_GB2312" w:eastAsia="仿宋_GB2312" w:cs="仿宋_GB2312"/>
          <w:bCs/>
          <w:color w:val="auto"/>
          <w:kern w:val="2"/>
          <w:sz w:val="28"/>
          <w:szCs w:val="28"/>
          <w:highlight w:val="none"/>
          <w:lang w:val="en-US" w:eastAsia="zh-CN" w:bidi="ar-SA"/>
        </w:rPr>
        <w:t>。</w:t>
      </w:r>
      <w:r>
        <w:rPr>
          <w:rFonts w:hint="default" w:ascii="仿宋_GB2312" w:hAnsi="仿宋_GB2312" w:eastAsia="仿宋_GB2312" w:cs="仿宋_GB2312"/>
          <w:bCs/>
          <w:color w:val="auto"/>
          <w:kern w:val="2"/>
          <w:sz w:val="28"/>
          <w:szCs w:val="28"/>
          <w:highlight w:val="none"/>
          <w:lang w:val="en-GB" w:eastAsia="zh-CN" w:bidi="ar-SA"/>
        </w:rPr>
        <w:t>按照现状利用条件不变。</w:t>
      </w:r>
    </w:p>
    <w:p w14:paraId="73860907">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3</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最佳利用方式</w:t>
      </w:r>
    </w:p>
    <w:p w14:paraId="4BFDB048">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根据最有效利用原则，本次评估设定估价对象</w:t>
      </w:r>
      <w:r>
        <w:rPr>
          <w:rFonts w:hint="eastAsia" w:ascii="仿宋_GB2312" w:hAnsi="仿宋_GB2312" w:eastAsia="仿宋_GB2312" w:cs="仿宋_GB2312"/>
          <w:bCs/>
          <w:color w:val="auto"/>
          <w:kern w:val="2"/>
          <w:sz w:val="28"/>
          <w:szCs w:val="28"/>
          <w:highlight w:val="none"/>
          <w:lang w:val="en-GB" w:eastAsia="zh-CN" w:bidi="ar-SA"/>
        </w:rPr>
        <w:t>容积率为4.07</w:t>
      </w:r>
      <w:r>
        <w:rPr>
          <w:rFonts w:hint="default" w:ascii="仿宋_GB2312" w:hAnsi="仿宋_GB2312" w:eastAsia="仿宋_GB2312" w:cs="仿宋_GB2312"/>
          <w:bCs/>
          <w:color w:val="auto"/>
          <w:kern w:val="2"/>
          <w:sz w:val="28"/>
          <w:szCs w:val="28"/>
          <w:highlight w:val="none"/>
          <w:lang w:val="en-GB" w:eastAsia="zh-CN" w:bidi="ar-SA"/>
        </w:rPr>
        <w:t>，设定土地用途为</w:t>
      </w:r>
      <w:r>
        <w:rPr>
          <w:rFonts w:hint="eastAsia" w:ascii="仿宋_GB2312" w:hAnsi="仿宋_GB2312" w:eastAsia="仿宋_GB2312" w:cs="仿宋_GB2312"/>
          <w:bCs/>
          <w:color w:val="auto"/>
          <w:kern w:val="2"/>
          <w:sz w:val="28"/>
          <w:szCs w:val="28"/>
          <w:highlight w:val="none"/>
          <w:lang w:val="en-US" w:eastAsia="zh-CN" w:bidi="ar-SA"/>
        </w:rPr>
        <w:t>商服用地、</w:t>
      </w:r>
      <w:r>
        <w:rPr>
          <w:rFonts w:hint="default" w:ascii="仿宋_GB2312" w:hAnsi="仿宋_GB2312" w:eastAsia="仿宋_GB2312" w:cs="仿宋_GB2312"/>
          <w:bCs/>
          <w:color w:val="auto"/>
          <w:kern w:val="2"/>
          <w:sz w:val="28"/>
          <w:szCs w:val="28"/>
          <w:highlight w:val="none"/>
          <w:lang w:val="en-GB" w:eastAsia="zh-CN" w:bidi="ar-SA"/>
        </w:rPr>
        <w:t>住宅用地</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商住比22.03%：77.97%</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w:t>
      </w:r>
    </w:p>
    <w:p w14:paraId="3290C59B">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4</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土地闲置状况</w:t>
      </w:r>
    </w:p>
    <w:p w14:paraId="022EA857">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估价对象为已开发用地，于估价期日属于已供土地，不属于闲置土地。</w:t>
      </w:r>
    </w:p>
    <w:p w14:paraId="2CBD82F9">
      <w:pPr>
        <w:keepLines w:val="0"/>
        <w:pageBreakBefore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5</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规划限制</w:t>
      </w:r>
    </w:p>
    <w:p w14:paraId="08A6EC01">
      <w:pPr>
        <w:keepLines w:val="0"/>
        <w:pageBreakBefore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根据委托方提供的资料及估价人员了解，宗地无明显利用限制和缺陷。</w:t>
      </w:r>
    </w:p>
    <w:p w14:paraId="788703E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val="0"/>
          <w:color w:val="auto"/>
          <w:sz w:val="28"/>
          <w:szCs w:val="28"/>
          <w:highlight w:val="none"/>
          <w:lang w:val="en-US" w:eastAsia="zh-CN"/>
        </w:rPr>
      </w:pPr>
      <w:r>
        <w:rPr>
          <w:rFonts w:hint="default" w:ascii="仿宋_GB2312" w:hAnsi="仿宋_GB2312" w:eastAsia="仿宋_GB2312" w:cs="仿宋_GB2312"/>
          <w:b/>
          <w:bCs w:val="0"/>
          <w:color w:val="auto"/>
          <w:sz w:val="28"/>
          <w:szCs w:val="28"/>
          <w:highlight w:val="none"/>
          <w:lang w:val="en-US" w:eastAsia="zh-CN"/>
        </w:rPr>
        <w:t>二、地价影响因素分析</w:t>
      </w:r>
    </w:p>
    <w:p w14:paraId="7856C8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2"/>
        <w:rPr>
          <w:rFonts w:hint="default" w:ascii="仿宋_GB2312" w:hAnsi="仿宋_GB2312" w:eastAsia="仿宋_GB2312" w:cs="仿宋_GB2312"/>
          <w:bCs/>
          <w:color w:val="auto"/>
          <w:sz w:val="28"/>
          <w:szCs w:val="28"/>
          <w:highlight w:val="none"/>
          <w:lang w:val="en-US" w:eastAsia="zh-CN"/>
        </w:rPr>
      </w:pPr>
      <w:r>
        <w:rPr>
          <w:rFonts w:hint="default" w:ascii="仿宋_GB2312" w:hAnsi="仿宋_GB2312" w:eastAsia="仿宋_GB2312" w:cs="仿宋_GB2312"/>
          <w:bCs/>
          <w:color w:val="auto"/>
          <w:sz w:val="28"/>
          <w:szCs w:val="28"/>
          <w:highlight w:val="none"/>
          <w:lang w:val="en-US" w:eastAsia="zh-CN"/>
        </w:rPr>
        <w:t>（一）一般因素</w:t>
      </w:r>
    </w:p>
    <w:p w14:paraId="1E418C6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GB" w:eastAsia="zh-CN"/>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6F9A220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1、城市概况</w:t>
      </w:r>
    </w:p>
    <w:p w14:paraId="616800D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通道侗族自治县位于湖南省西部、怀化市最南端，是湖南、广西、贵州三省（区）交界处，通往中国大西南的要道，地处云贵高原东缘向南岭山脉过渡地带，雪峰山西南余脉延伸境内，分属长江、珠江两大水系。东邻湖南省绥宁县、城步苗族自治县，北接靖州苗族侗族自治县，南毗广西壮族自治区三江侗族自治县、龙胜各族自治县，西连贵州省黔东南苗族侗族自治州黎平县。全境东西宽58千米，南北长68千米，总面积2224平方公里，总人口19.67万人。辖坪坦乡、大高坪苗族乡，两个乡，双江镇、县溪镇、万佛山镇、溪口镇、独坡镇、菁芜洲镇、牙屯堡镇、播阳镇、陇城镇9个镇，县人民政府驻双江镇1954年5月7日，经中央人民政府政务院批准成立通道侗族自治县，是湖南省成立最早的少数民族自治县。</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2F29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93" w:hRule="atLeast"/>
          <w:jc w:val="center"/>
        </w:trPr>
        <w:tc>
          <w:tcPr>
            <w:tcW w:w="4261" w:type="dxa"/>
          </w:tcPr>
          <w:p w14:paraId="6A72EA6F">
            <w:pPr>
              <w:pStyle w:val="2"/>
              <w:ind w:left="0" w:leftChars="0" w:firstLine="0" w:firstLineChars="0"/>
              <w:jc w:val="center"/>
              <w:rPr>
                <w:rFonts w:hint="default"/>
                <w:highlight w:val="none"/>
                <w:vertAlign w:val="baseline"/>
                <w:lang w:val="en-US" w:eastAsia="zh-CN"/>
              </w:rPr>
            </w:pPr>
            <w:r>
              <w:rPr>
                <w:rFonts w:hint="eastAsia" w:ascii="仿宋_GB2312" w:hAnsi="仿宋_GB2312" w:eastAsia="仿宋_GB2312" w:cs="仿宋_GB2312"/>
                <w:bCs/>
                <w:color w:val="auto"/>
                <w:sz w:val="28"/>
                <w:szCs w:val="28"/>
                <w:highlight w:val="none"/>
                <w:lang w:val="en-US" w:eastAsia="zh-CN"/>
              </w:rPr>
              <w:drawing>
                <wp:anchor distT="0" distB="0" distL="114300" distR="114300" simplePos="0" relativeHeight="251664384" behindDoc="0" locked="0" layoutInCell="1" allowOverlap="1">
                  <wp:simplePos x="0" y="0"/>
                  <wp:positionH relativeFrom="column">
                    <wp:posOffset>-20955</wp:posOffset>
                  </wp:positionH>
                  <wp:positionV relativeFrom="paragraph">
                    <wp:posOffset>147955</wp:posOffset>
                  </wp:positionV>
                  <wp:extent cx="2520315" cy="3599815"/>
                  <wp:effectExtent l="0" t="0" r="13335" b="635"/>
                  <wp:wrapTopAndBottom/>
                  <wp:docPr id="19" name="图片 19" descr="td"/>
                  <wp:cNvGraphicFramePr/>
                  <a:graphic xmlns:a="http://schemas.openxmlformats.org/drawingml/2006/main">
                    <a:graphicData uri="http://schemas.openxmlformats.org/drawingml/2006/picture">
                      <pic:pic xmlns:pic="http://schemas.openxmlformats.org/drawingml/2006/picture">
                        <pic:nvPicPr>
                          <pic:cNvPr id="19" name="图片 19" descr="td"/>
                          <pic:cNvPicPr/>
                        </pic:nvPicPr>
                        <pic:blipFill>
                          <a:blip r:embed="rId26"/>
                          <a:srcRect l="3736" t="5538" r="3832" b="5215"/>
                          <a:stretch>
                            <a:fillRect/>
                          </a:stretch>
                        </pic:blipFill>
                        <pic:spPr>
                          <a:xfrm>
                            <a:off x="0" y="0"/>
                            <a:ext cx="2520315" cy="3599815"/>
                          </a:xfrm>
                          <a:prstGeom prst="rect">
                            <a:avLst/>
                          </a:prstGeom>
                        </pic:spPr>
                      </pic:pic>
                    </a:graphicData>
                  </a:graphic>
                </wp:anchor>
              </w:drawing>
            </w:r>
            <w:r>
              <w:rPr>
                <w:rFonts w:hint="default" w:ascii="仿宋_GB2312" w:hAnsi="仿宋_GB2312" w:eastAsia="仿宋_GB2312" w:cs="仿宋_GB2312"/>
                <w:bCs/>
                <w:color w:val="auto"/>
                <w:sz w:val="28"/>
                <w:szCs w:val="28"/>
                <w:highlight w:val="none"/>
                <w:lang w:val="en-US" w:eastAsia="zh-CN"/>
              </w:rPr>
              <w:t xml:space="preserve">图2-2 </w:t>
            </w:r>
            <w:r>
              <w:rPr>
                <w:rFonts w:hint="eastAsia" w:ascii="仿宋_GB2312" w:hAnsi="仿宋_GB2312" w:eastAsia="仿宋_GB2312" w:cs="仿宋_GB2312"/>
                <w:bCs/>
                <w:color w:val="auto"/>
                <w:sz w:val="28"/>
                <w:szCs w:val="28"/>
                <w:highlight w:val="none"/>
                <w:lang w:val="en-US" w:eastAsia="zh-CN"/>
              </w:rPr>
              <w:t>通道县地理区位</w:t>
            </w:r>
            <w:r>
              <w:rPr>
                <w:rFonts w:hint="default" w:ascii="仿宋_GB2312" w:hAnsi="仿宋_GB2312" w:eastAsia="仿宋_GB2312" w:cs="仿宋_GB2312"/>
                <w:bCs/>
                <w:color w:val="auto"/>
                <w:sz w:val="28"/>
                <w:szCs w:val="28"/>
                <w:highlight w:val="none"/>
                <w:lang w:val="en-US" w:eastAsia="zh-CN"/>
              </w:rPr>
              <w:t>图</w:t>
            </w:r>
          </w:p>
        </w:tc>
        <w:tc>
          <w:tcPr>
            <w:tcW w:w="4261" w:type="dxa"/>
          </w:tcPr>
          <w:p w14:paraId="34CB22A7">
            <w:pPr>
              <w:pStyle w:val="2"/>
              <w:ind w:left="0" w:leftChars="0" w:firstLine="0" w:firstLineChars="0"/>
              <w:jc w:val="center"/>
              <w:rPr>
                <w:rFonts w:hint="default"/>
                <w:highlight w:val="none"/>
                <w:vertAlign w:val="baseline"/>
                <w:lang w:val="en-US" w:eastAsia="zh-CN"/>
              </w:rPr>
            </w:pPr>
            <w:r>
              <w:rPr>
                <w:rFonts w:hint="default" w:ascii="仿宋_GB2312" w:hAnsi="仿宋_GB2312" w:eastAsia="仿宋_GB2312" w:cs="仿宋_GB2312"/>
                <w:bCs/>
                <w:color w:val="auto"/>
                <w:sz w:val="28"/>
                <w:szCs w:val="28"/>
                <w:highlight w:val="none"/>
                <w:lang w:val="en-US" w:eastAsia="zh-CN"/>
              </w:rPr>
              <w:drawing>
                <wp:anchor distT="0" distB="0" distL="114300" distR="114300" simplePos="0" relativeHeight="251665408" behindDoc="0" locked="0" layoutInCell="1" allowOverlap="1">
                  <wp:simplePos x="0" y="0"/>
                  <wp:positionH relativeFrom="column">
                    <wp:posOffset>0</wp:posOffset>
                  </wp:positionH>
                  <wp:positionV relativeFrom="paragraph">
                    <wp:posOffset>156210</wp:posOffset>
                  </wp:positionV>
                  <wp:extent cx="2520315" cy="3599815"/>
                  <wp:effectExtent l="0" t="0" r="13335" b="635"/>
                  <wp:wrapTopAndBottom/>
                  <wp:docPr id="20" name="图片 20" descr="通道位置图"/>
                  <wp:cNvGraphicFramePr/>
                  <a:graphic xmlns:a="http://schemas.openxmlformats.org/drawingml/2006/main">
                    <a:graphicData uri="http://schemas.openxmlformats.org/drawingml/2006/picture">
                      <pic:pic xmlns:pic="http://schemas.openxmlformats.org/drawingml/2006/picture">
                        <pic:nvPicPr>
                          <pic:cNvPr id="20" name="图片 20" descr="通道位置图"/>
                          <pic:cNvPicPr/>
                        </pic:nvPicPr>
                        <pic:blipFill>
                          <a:blip r:embed="rId27"/>
                          <a:srcRect l="2326" t="5641" r="2483"/>
                          <a:stretch>
                            <a:fillRect/>
                          </a:stretch>
                        </pic:blipFill>
                        <pic:spPr>
                          <a:xfrm>
                            <a:off x="0" y="0"/>
                            <a:ext cx="2520315" cy="3599815"/>
                          </a:xfrm>
                          <a:prstGeom prst="rect">
                            <a:avLst/>
                          </a:prstGeom>
                        </pic:spPr>
                      </pic:pic>
                    </a:graphicData>
                  </a:graphic>
                </wp:anchor>
              </w:drawing>
            </w:r>
            <w:r>
              <w:rPr>
                <w:rFonts w:hint="default" w:ascii="仿宋_GB2312" w:hAnsi="仿宋_GB2312" w:eastAsia="仿宋_GB2312" w:cs="仿宋_GB2312"/>
                <w:bCs/>
                <w:color w:val="auto"/>
                <w:sz w:val="28"/>
                <w:szCs w:val="28"/>
                <w:highlight w:val="none"/>
                <w:lang w:val="en-US" w:eastAsia="zh-CN"/>
              </w:rPr>
              <w:t xml:space="preserve">图2-3 </w:t>
            </w:r>
            <w:r>
              <w:rPr>
                <w:rFonts w:hint="eastAsia" w:ascii="仿宋_GB2312" w:hAnsi="仿宋_GB2312" w:eastAsia="仿宋_GB2312" w:cs="仿宋_GB2312"/>
                <w:bCs/>
                <w:color w:val="auto"/>
                <w:sz w:val="28"/>
                <w:szCs w:val="28"/>
                <w:highlight w:val="none"/>
                <w:lang w:val="en-US" w:eastAsia="zh-CN"/>
              </w:rPr>
              <w:t>通道县</w:t>
            </w:r>
            <w:r>
              <w:rPr>
                <w:rFonts w:hint="default" w:ascii="仿宋_GB2312" w:hAnsi="仿宋_GB2312" w:eastAsia="仿宋_GB2312" w:cs="仿宋_GB2312"/>
                <w:bCs/>
                <w:color w:val="auto"/>
                <w:sz w:val="28"/>
                <w:szCs w:val="28"/>
                <w:highlight w:val="none"/>
                <w:lang w:val="en-US" w:eastAsia="zh-CN"/>
              </w:rPr>
              <w:t>行政区域示意图</w:t>
            </w:r>
          </w:p>
        </w:tc>
      </w:tr>
    </w:tbl>
    <w:p w14:paraId="550273A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通道是一方红色圣地。红色侗乡，好运通道。1934年12月12日，中共中央领导人在县溪恭城书院召开的“通道会议”，采纳毛泽东同志的正确主张，作出“放弃原定计划、转兵西进贵州”的正确抉择。中央红军过境通道期间，留下“一盏马灯”“一担皮箩”等红色故事，诠释着浓浓的军民鱼水之情。“通道转兵”是实现红军长征伟大转折的历史开端，这一历史地位得到党中央肯定。</w:t>
      </w:r>
    </w:p>
    <w:p w14:paraId="0E845E8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通道是生态宜居绿地。绿色侗乡，美丽通道。全县森林覆盖率达79．54％，年平均气温16．6℃，空气质量平均优良天数比例100％以上，是国家生态文明示范县，被联合国教科文组织誉为“未被污染的神奇绿洲”。2019年被国家气象部门授予“中国天然氧吧”称号，连续四年入列“全国百佳深呼吸小城”，入列全国文明城市提名城市名单。</w:t>
      </w:r>
    </w:p>
    <w:p w14:paraId="2176DF2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通道是侗族集聚福地。古色侗乡，神奇通道。全县侗族人口占77．9％，是侗族群众核心聚居区。侗族建筑、歌舞、服饰、习俗保存完整，被誉为“侗族文化活态博物馆”，有全国唯一侗锦织造技艺国家生产性保护示范基地，是文化和旅游部命名中国民间文化艺术之乡。通道侗族村寨入列中国世界文化遗产预备名录，芋头古侗寨、恭城书院、马田鼓楼等6处14个单位被列为国家级重点文物保护单位。</w:t>
      </w:r>
    </w:p>
    <w:p w14:paraId="24C5FA2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通道是全域旅游胜地。这里红色、绿色、古色资源丰富，“三色”资源交相辉映，集生态旅游、民俗旅游、红色旅游于一地，境内有万佛山、皇都侗文化村、通道转兵纪念地、芋头侗寨等4个4A级景区，横岭侗寨等3个3A级景区，是首批国家全域旅游示范区创建县、湖南省旅游强县、湖南省特色县域经济（文化旅游）重点县，2019年获批湖南省全域旅游示范区。</w:t>
      </w:r>
    </w:p>
    <w:p w14:paraId="1BFA74D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通道是三省交融要地。通道位于湘、桂、黔三省（区）交界处，自古为楚越分界的走廊地带、中原通往西南的通衢要地，素有“南楚极地，百越襟喉”之称。先后建立湘桂跨省基层党组织—将王屯党支部、湘黔桂三省坡联合人民调解委员会，实现了组织共建、党员共管、产业共兴、纠纷共调、和谐共创、发展共谋。</w:t>
      </w:r>
    </w:p>
    <w:p w14:paraId="7D66C2A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2、</w:t>
      </w:r>
      <w:r>
        <w:rPr>
          <w:rFonts w:hint="default" w:ascii="仿宋_GB2312" w:hAnsi="仿宋_GB2312" w:eastAsia="仿宋_GB2312" w:cs="仿宋_GB2312"/>
          <w:bCs/>
          <w:color w:val="auto"/>
          <w:sz w:val="28"/>
          <w:szCs w:val="28"/>
          <w:highlight w:val="none"/>
          <w:lang w:val="en-US" w:eastAsia="zh-CN"/>
        </w:rPr>
        <w:t>不动产制度与不动产市场状况</w:t>
      </w:r>
    </w:p>
    <w:p w14:paraId="15B612D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default" w:ascii="仿宋_GB2312" w:hAnsi="仿宋_GB2312" w:eastAsia="仿宋_GB2312" w:cs="仿宋_GB2312"/>
          <w:bCs/>
          <w:color w:val="auto"/>
          <w:sz w:val="28"/>
          <w:szCs w:val="28"/>
          <w:highlight w:val="none"/>
          <w:lang w:val="en-US" w:eastAsia="zh-CN"/>
        </w:rPr>
        <w:t>（1）不动产制度</w:t>
      </w:r>
    </w:p>
    <w:p w14:paraId="7B94A0B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1）</w:t>
      </w:r>
      <w:r>
        <w:rPr>
          <w:rFonts w:hint="default" w:ascii="仿宋_GB2312" w:hAnsi="仿宋_GB2312" w:eastAsia="仿宋_GB2312" w:cs="仿宋_GB2312"/>
          <w:bCs/>
          <w:color w:val="auto"/>
          <w:sz w:val="28"/>
          <w:szCs w:val="28"/>
          <w:highlight w:val="none"/>
          <w:lang w:val="en-US" w:eastAsia="zh-CN"/>
        </w:rPr>
        <w:t>土地使用制度与土地管理制度</w:t>
      </w:r>
    </w:p>
    <w:p w14:paraId="2DE2746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通道县土地</w:t>
      </w:r>
      <w:r>
        <w:rPr>
          <w:rFonts w:hint="default" w:ascii="仿宋_GB2312" w:hAnsi="仿宋_GB2312" w:eastAsia="仿宋_GB2312" w:cs="仿宋_GB2312"/>
          <w:bCs/>
          <w:color w:val="auto"/>
          <w:sz w:val="28"/>
          <w:szCs w:val="28"/>
          <w:highlight w:val="none"/>
          <w:lang w:val="en-US" w:eastAsia="zh-CN"/>
        </w:rPr>
        <w:t>市场经过多年发展，在规范管理经营方面取得较大成绩，土地资产管理已经纳入法制化的轨道。建立健全了土地收购、储备及供应等制度，特别是出让土地使用权过程中采用的招拍挂方式，更加增加了土地市场的透明度，规范了土地市场交易行为，使土地资产价值能较好的体现。</w:t>
      </w:r>
      <w:r>
        <w:rPr>
          <w:rFonts w:hint="eastAsia" w:ascii="仿宋_GB2312" w:hAnsi="仿宋_GB2312" w:eastAsia="仿宋_GB2312" w:cs="仿宋_GB2312"/>
          <w:bCs/>
          <w:color w:val="auto"/>
          <w:sz w:val="28"/>
          <w:szCs w:val="28"/>
          <w:highlight w:val="none"/>
          <w:lang w:val="en-US" w:eastAsia="zh-CN"/>
        </w:rPr>
        <w:t>通道县</w:t>
      </w:r>
      <w:r>
        <w:rPr>
          <w:rFonts w:hint="default" w:ascii="仿宋_GB2312" w:hAnsi="仿宋_GB2312" w:eastAsia="仿宋_GB2312" w:cs="仿宋_GB2312"/>
          <w:bCs/>
          <w:color w:val="auto"/>
          <w:sz w:val="28"/>
          <w:szCs w:val="28"/>
          <w:highlight w:val="none"/>
          <w:lang w:val="en-US" w:eastAsia="zh-CN"/>
        </w:rPr>
        <w:t>制定了大开放、大招商、大发展的政策，外来投资的房地产开发、工业、基础设施投资等项目不断增加，刺激了土地需求。并制定了合理的土地供应制度。完善建设用地审批制度，简化程序，保障重点工程建设项目用地，优先安排符合条件的产业项目用地。根据《不动产登记暂行条例》（国务院令第656号）规定，</w:t>
      </w:r>
      <w:r>
        <w:rPr>
          <w:rFonts w:hint="eastAsia" w:ascii="仿宋_GB2312" w:hAnsi="仿宋_GB2312" w:eastAsia="仿宋_GB2312" w:cs="仿宋_GB2312"/>
          <w:bCs/>
          <w:color w:val="auto"/>
          <w:sz w:val="28"/>
          <w:szCs w:val="28"/>
          <w:highlight w:val="none"/>
          <w:lang w:val="en-US" w:eastAsia="zh-CN"/>
        </w:rPr>
        <w:t>通道县</w:t>
      </w:r>
      <w:r>
        <w:rPr>
          <w:rFonts w:hint="default" w:ascii="仿宋_GB2312" w:hAnsi="仿宋_GB2312" w:eastAsia="仿宋_GB2312" w:cs="仿宋_GB2312"/>
          <w:bCs/>
          <w:color w:val="auto"/>
          <w:sz w:val="28"/>
          <w:szCs w:val="28"/>
          <w:highlight w:val="none"/>
          <w:lang w:val="en-US" w:eastAsia="zh-CN"/>
        </w:rPr>
        <w:t>已实施不动产统一登记。</w:t>
      </w:r>
    </w:p>
    <w:p w14:paraId="50C99D3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2）住房制度</w:t>
      </w:r>
    </w:p>
    <w:p w14:paraId="038E471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自1998年7月《国务院关于进一步深化城镇住房制度改革加快住房建设的通知》(国发[1998]23号)颁布以来，我国住房制度实行住房市场化改革，停止了住房的实物分配，逐步实现了住房分配货币化。中国住房制度由其进入了全新的市场化时代，住房供应机制与体系为之发生翻天覆地的变化。与全国相统一，通道县住房制度已经进入市场化时代，政府的住房政策着眼点已经从微观的住房实物生产与分配转到宏观的市场调控。通道县着眼于住房供求关系，建立了具有地方特色的住房保障制度，明确了住房保障是政府公共服务的一项重要职责，将廉租房、经济适用房等保障性住房作为政府提供的重要公共产品</w:t>
      </w:r>
    </w:p>
    <w:p w14:paraId="6403646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（2）不动产市场状况</w:t>
      </w:r>
    </w:p>
    <w:p w14:paraId="4281A658">
      <w:pPr>
        <w:keepNext w:val="0"/>
        <w:keepLines w:val="0"/>
        <w:pageBreakBefore w:val="0"/>
        <w:widowControl w:val="0"/>
        <w:kinsoku/>
        <w:wordWrap/>
        <w:overflowPunct/>
        <w:topLinePunct w:val="0"/>
        <w:autoSpaceDE/>
        <w:autoSpaceDN/>
        <w:bidi w:val="0"/>
        <w:adjustRightInd w:val="0"/>
        <w:snapToGrid w:val="0"/>
        <w:spacing w:line="480" w:lineRule="exact"/>
        <w:ind w:firstLine="840" w:firstLineChars="3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1）土地市场状况</w:t>
      </w:r>
    </w:p>
    <w:p w14:paraId="4C57EF8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①土地供应总量</w:t>
      </w:r>
    </w:p>
    <w:p w14:paraId="034BB33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根据表2-1，通道县城区2020-2024年土地出让总量出现波动变化，整体上2024年相较于2020年供应总量略有增长，年平均增幅约4.12%；其中，商业服务业用地供应量年均下降约10.5%，居住用地年均下降2.17%，商住综合用地年均下降约34.44%。</w:t>
      </w:r>
    </w:p>
    <w:p w14:paraId="14B1F91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从用地类型上看，通道县近五年工矿、仓储、公共管理与公共服务、公用设施用地市场需求较低，土地供应情况不稳定。工矿用地出现集中整体供应现象，2022年通道产业开发区以挂牌出让方式取得74633.67平方米工业用地使用权，双江镇209国道塘冲段塘冲屠宰场项目供应15223.83平方米工业用地，使该年工矿用地供应量呈爆发式增长，2023年工矿用地供应量迅速跌落至0。仓储用地在2020-2023年无项目建设需求，2024年通道县在转兵北路商贸物流中心东侧打造农产品现代化智慧物流仓储基地，共供应22102.1平方米仓储用地。公用设施用地和公共管理与公共服务用地以行政划拨供应为主，土地需求受政策影响较大，规律性不强。</w:t>
      </w:r>
    </w:p>
    <w:p w14:paraId="0793E1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从房地产开发用地上看，通道县房地产用地整体上呈下降趋势。其中商业服务业用地供应量较少，主要为加油站用地和城区临街门面协议出让，房地产开发用地供应量受居住用地和商住综合用地主导。居住用地供应量峰值出现在2020年，2021-2023年供应量较少，2024年出现反弹式增长，但较2020年仍有差距，根据台账，2020年通道县城区共出让五宗房地产开发项目土地，其中面积较大的为湖南楚置业有限公司取得位于双江镇转兵中路西北侧（原种牛场）27572.81平方米居住用地土地使用权，2024年山水民居二期和礼雅新城楼盘项目分别供应居住用地7636.93平方米、36568.24平方米，新楼盘的用地需求导致居住用地供应增长。商住综合用地供应峰值出现在2021年，2022年出现下滑，2023年跌至谷底。根据台账，怀化九州房地产开发有限公司2021年在双江镇萨岁广场东北片区取得67326.7平方米土地使用权用于建设公园世家楼盘，该年商住综合用地供应量大幅上升。</w:t>
      </w:r>
    </w:p>
    <w:p w14:paraId="4FCA642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从土地供应总量上看，通道县近五年土地出让供应总面积出现波动变化，其中2022年为土地供应高峰，根据上文分析，该年为工矿用地供应量高峰期，同时商住综合用地虽有下滑但幅度不大。2023年为土地出让低谷期，受疫情影响，无开发商拿地，同时工业发展滞缓。根据图2-4，居住用地和商住综合用地年供应总量在近五年出现此长彼消的形态，这也导致2020和2021年在居住用地和商住综合用地分别大幅下跌情况下土地供应总量依然维持在稳定水平。2024年各类用地有复苏迹象，通道县城区土地市场回温，与2020年基本持平。</w:t>
      </w:r>
    </w:p>
    <w:p w14:paraId="50054F7B">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ab/>
      </w:r>
      <w:r>
        <w:rPr>
          <w:rFonts w:hint="eastAsia" w:ascii="仿宋_GB2312" w:hAnsi="仿宋_GB2312" w:eastAsia="仿宋_GB2312" w:cs="仿宋_GB2312"/>
          <w:bCs/>
          <w:color w:val="auto"/>
          <w:sz w:val="28"/>
          <w:szCs w:val="28"/>
          <w:highlight w:val="none"/>
          <w:lang w:val="en-US" w:eastAsia="zh-CN"/>
        </w:rPr>
        <w:t>表2-1 通道县城区2020-2024年土地招拍挂出让总量</w:t>
      </w:r>
    </w:p>
    <w:p w14:paraId="5C9DA39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jc w:val="righ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单位：平方米</w:t>
      </w:r>
    </w:p>
    <w:tbl>
      <w:tblPr>
        <w:tblStyle w:val="11"/>
        <w:tblW w:w="487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641"/>
        <w:gridCol w:w="1451"/>
        <w:gridCol w:w="1384"/>
        <w:gridCol w:w="1303"/>
        <w:gridCol w:w="1170"/>
        <w:gridCol w:w="1368"/>
      </w:tblGrid>
      <w:tr w14:paraId="1A2AA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3" w:hRule="atLeast"/>
        </w:trPr>
        <w:tc>
          <w:tcPr>
            <w:tcW w:w="9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29E8F7">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用地类型</w:t>
            </w:r>
          </w:p>
        </w:tc>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A50875">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2020</w:t>
            </w:r>
          </w:p>
        </w:tc>
        <w:tc>
          <w:tcPr>
            <w:tcW w:w="8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529F1B">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2021</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4A24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2022</w:t>
            </w:r>
          </w:p>
        </w:tc>
        <w:tc>
          <w:tcPr>
            <w:tcW w:w="7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7A8E75">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2023</w:t>
            </w:r>
          </w:p>
        </w:tc>
        <w:tc>
          <w:tcPr>
            <w:tcW w:w="8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C967FF">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2024</w:t>
            </w:r>
          </w:p>
        </w:tc>
      </w:tr>
      <w:tr w14:paraId="2E625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3" w:hRule="atLeast"/>
        </w:trPr>
        <w:tc>
          <w:tcPr>
            <w:tcW w:w="9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2309E1">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商业服务业用地</w:t>
            </w:r>
          </w:p>
        </w:tc>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029D65">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2352.68</w:t>
            </w:r>
          </w:p>
        </w:tc>
        <w:tc>
          <w:tcPr>
            <w:tcW w:w="8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5571AA">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5477.69</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0901F">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7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19B1EE">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8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F895C7">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1509.36</w:t>
            </w:r>
          </w:p>
        </w:tc>
      </w:tr>
      <w:tr w14:paraId="32BA3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3" w:hRule="atLeast"/>
        </w:trPr>
        <w:tc>
          <w:tcPr>
            <w:tcW w:w="9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7601E8">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商住用地</w:t>
            </w:r>
          </w:p>
        </w:tc>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CD8B0">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12396.72</w:t>
            </w:r>
          </w:p>
        </w:tc>
        <w:tc>
          <w:tcPr>
            <w:tcW w:w="8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DF0390">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68336.07</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8FFF1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52339.5</w:t>
            </w:r>
          </w:p>
        </w:tc>
        <w:tc>
          <w:tcPr>
            <w:tcW w:w="7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59A1E">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1080</w:t>
            </w:r>
          </w:p>
        </w:tc>
        <w:tc>
          <w:tcPr>
            <w:tcW w:w="8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AD0D3E">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2289.57</w:t>
            </w:r>
          </w:p>
        </w:tc>
      </w:tr>
      <w:tr w14:paraId="65F3F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3" w:hRule="atLeast"/>
        </w:trPr>
        <w:tc>
          <w:tcPr>
            <w:tcW w:w="9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63CDF0">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居住用地</w:t>
            </w:r>
          </w:p>
        </w:tc>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8B497">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48253.9</w:t>
            </w:r>
          </w:p>
        </w:tc>
        <w:tc>
          <w:tcPr>
            <w:tcW w:w="8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729075">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300.77</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29D22">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2256.12</w:t>
            </w:r>
          </w:p>
        </w:tc>
        <w:tc>
          <w:tcPr>
            <w:tcW w:w="7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E3AA1">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8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588E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44205.17</w:t>
            </w:r>
          </w:p>
        </w:tc>
      </w:tr>
      <w:tr w14:paraId="0DD46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3" w:hRule="atLeast"/>
        </w:trPr>
        <w:tc>
          <w:tcPr>
            <w:tcW w:w="9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E8D83">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工矿用地</w:t>
            </w:r>
          </w:p>
        </w:tc>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9E02B">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8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938B5">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389038">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89857.5</w:t>
            </w:r>
          </w:p>
        </w:tc>
        <w:tc>
          <w:tcPr>
            <w:tcW w:w="7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1840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8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AE5FB6">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14914.88</w:t>
            </w:r>
          </w:p>
        </w:tc>
      </w:tr>
      <w:tr w14:paraId="0D351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3" w:hRule="atLeast"/>
        </w:trPr>
        <w:tc>
          <w:tcPr>
            <w:tcW w:w="9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E27164">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仓储用地</w:t>
            </w:r>
          </w:p>
        </w:tc>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DD34DF">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8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C0753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F8ACC5">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7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3A3FD6">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8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CBCF21">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22102.1</w:t>
            </w:r>
          </w:p>
        </w:tc>
      </w:tr>
      <w:tr w14:paraId="2B2E7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3" w:hRule="atLeast"/>
        </w:trPr>
        <w:tc>
          <w:tcPr>
            <w:tcW w:w="9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503C74">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公共管理与公共服务用地</w:t>
            </w:r>
          </w:p>
        </w:tc>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797AB">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9350</w:t>
            </w:r>
          </w:p>
        </w:tc>
        <w:tc>
          <w:tcPr>
            <w:tcW w:w="8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A3733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075D7">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7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94A66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8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59933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r>
      <w:tr w14:paraId="51601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3" w:hRule="atLeast"/>
        </w:trPr>
        <w:tc>
          <w:tcPr>
            <w:tcW w:w="9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8EE7D2">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公用设施用地</w:t>
            </w:r>
          </w:p>
        </w:tc>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0F7C9F">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8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1AA7D3">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6F0B8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19068</w:t>
            </w:r>
          </w:p>
        </w:tc>
        <w:tc>
          <w:tcPr>
            <w:tcW w:w="7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50ACA0">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4251.86</w:t>
            </w:r>
          </w:p>
        </w:tc>
        <w:tc>
          <w:tcPr>
            <w:tcW w:w="8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546930">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r>
      <w:tr w14:paraId="0B4C9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2" w:hRule="atLeast"/>
        </w:trPr>
        <w:tc>
          <w:tcPr>
            <w:tcW w:w="9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3FD1F">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合计</w:t>
            </w:r>
          </w:p>
        </w:tc>
        <w:tc>
          <w:tcPr>
            <w:tcW w:w="87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B95738">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72353.3</w:t>
            </w:r>
          </w:p>
        </w:tc>
        <w:tc>
          <w:tcPr>
            <w:tcW w:w="83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BB4E17">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74114.53</w:t>
            </w:r>
          </w:p>
        </w:tc>
        <w:tc>
          <w:tcPr>
            <w:tcW w:w="7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0F9076">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163521.12</w:t>
            </w:r>
          </w:p>
        </w:tc>
        <w:tc>
          <w:tcPr>
            <w:tcW w:w="7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09D49">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5331.86</w:t>
            </w:r>
          </w:p>
        </w:tc>
        <w:tc>
          <w:tcPr>
            <w:tcW w:w="82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8903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85021.08</w:t>
            </w:r>
          </w:p>
        </w:tc>
      </w:tr>
    </w:tbl>
    <w:p w14:paraId="7681BBBF">
      <w:pPr>
        <w:widowControl w:val="0"/>
        <w:kinsoku/>
        <w:autoSpaceDE/>
        <w:autoSpaceDN/>
        <w:adjustRightInd/>
        <w:snapToGrid/>
        <w:jc w:val="both"/>
        <w:textAlignment w:val="auto"/>
        <w:rPr>
          <w:highlight w:val="none"/>
        </w:rPr>
      </w:pPr>
      <w:r>
        <w:rPr>
          <w:highlight w:val="none"/>
        </w:rPr>
        <w:drawing>
          <wp:anchor distT="0" distB="0" distL="114300" distR="114300" simplePos="0" relativeHeight="251663360" behindDoc="0" locked="0" layoutInCell="1" allowOverlap="1">
            <wp:simplePos x="0" y="0"/>
            <wp:positionH relativeFrom="column">
              <wp:posOffset>574675</wp:posOffset>
            </wp:positionH>
            <wp:positionV relativeFrom="paragraph">
              <wp:posOffset>95885</wp:posOffset>
            </wp:positionV>
            <wp:extent cx="4114800" cy="2577465"/>
            <wp:effectExtent l="4445" t="4445" r="14605" b="8890"/>
            <wp:wrapTopAndBottom/>
            <wp:docPr id="1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anchor>
        </w:drawing>
      </w:r>
    </w:p>
    <w:p w14:paraId="31AA578E">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highlight w:val="none"/>
          <w:lang w:val="en-US" w:eastAsia="zh-CN"/>
        </w:rPr>
      </w:pPr>
      <w:r>
        <w:rPr>
          <w:rFonts w:hint="eastAsia" w:ascii="仿宋_GB2312" w:hAnsi="仿宋_GB2312" w:eastAsia="仿宋_GB2312" w:cs="仿宋_GB2312"/>
          <w:bCs/>
          <w:color w:val="auto"/>
          <w:sz w:val="28"/>
          <w:szCs w:val="28"/>
          <w:highlight w:val="none"/>
          <w:lang w:val="en-US" w:eastAsia="zh-CN"/>
        </w:rPr>
        <w:t>图2-4 通道县城区2020-2024年土地招拍挂出让总量</w:t>
      </w:r>
    </w:p>
    <w:p w14:paraId="29E2741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②土地供应收入</w:t>
      </w:r>
    </w:p>
    <w:p w14:paraId="34E28C5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从图2-5看，通道县城区土地招拍挂收入主要受房地产用地影响，近五年城区土地供应年收入出现较大波动，其中变化幅度最大的为2021年和2023年。根据前文对土地供应面积的分析，2021年公园世家项目收取土地出让金13000万元，该年土地出让收入一跃成为近几年土地出让最高收入。2022年房地产项目用地规模减小，但是工矿用地供应出现小高峰，因此土地供应总收入降幅较缓。2023年房地产开发滞缓，城区土地收入跌至谷值，2024年山水民居二期、礼雅新城和通道县农产品现代化智慧物流仓储基地项目供地使城区土地供应收入反弹增长，土地出让总收入与2020年基本持平。</w:t>
      </w:r>
    </w:p>
    <w:p w14:paraId="5E56AC5B">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表2-2  通道县城区2020-2024年土地招拍挂出让总收入情况</w:t>
      </w:r>
    </w:p>
    <w:p w14:paraId="6E33A954">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righ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单位：万元</w:t>
      </w:r>
    </w:p>
    <w:tbl>
      <w:tblPr>
        <w:tblStyle w:val="11"/>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31"/>
        <w:gridCol w:w="1052"/>
        <w:gridCol w:w="1212"/>
        <w:gridCol w:w="1212"/>
        <w:gridCol w:w="1098"/>
        <w:gridCol w:w="1214"/>
      </w:tblGrid>
      <w:tr w14:paraId="4CD93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blHeader/>
        </w:trPr>
        <w:tc>
          <w:tcPr>
            <w:tcW w:w="16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A27621">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用地类型</w:t>
            </w:r>
          </w:p>
        </w:tc>
        <w:tc>
          <w:tcPr>
            <w:tcW w:w="6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C4C2E4">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2020</w:t>
            </w:r>
          </w:p>
        </w:tc>
        <w:tc>
          <w:tcPr>
            <w:tcW w:w="7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F5C221">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2021</w:t>
            </w:r>
          </w:p>
        </w:tc>
        <w:tc>
          <w:tcPr>
            <w:tcW w:w="7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C66C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2022</w:t>
            </w:r>
          </w:p>
        </w:tc>
        <w:tc>
          <w:tcPr>
            <w:tcW w:w="64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3F563">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2023</w:t>
            </w:r>
          </w:p>
        </w:tc>
        <w:tc>
          <w:tcPr>
            <w:tcW w:w="7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6AF89">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2024</w:t>
            </w:r>
          </w:p>
        </w:tc>
      </w:tr>
      <w:tr w14:paraId="291D3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53AA80">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商业服务业用地</w:t>
            </w:r>
          </w:p>
        </w:tc>
        <w:tc>
          <w:tcPr>
            <w:tcW w:w="10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EAC65B">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150</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9D85B5">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529</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2B132A">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5B92A">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A1911A">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554</w:t>
            </w:r>
          </w:p>
        </w:tc>
      </w:tr>
      <w:tr w14:paraId="4DF9C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34978">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商住用地</w:t>
            </w:r>
          </w:p>
        </w:tc>
        <w:tc>
          <w:tcPr>
            <w:tcW w:w="10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A68378">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1624.9</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EA9BDB">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13114</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55B12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7337</w:t>
            </w: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2E9B38">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145</w:t>
            </w:r>
          </w:p>
        </w:tc>
        <w:tc>
          <w:tcPr>
            <w:tcW w:w="1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11B0DB">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176</w:t>
            </w:r>
          </w:p>
        </w:tc>
      </w:tr>
      <w:tr w14:paraId="210D7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6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F8712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居住用地</w:t>
            </w:r>
          </w:p>
        </w:tc>
        <w:tc>
          <w:tcPr>
            <w:tcW w:w="10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EFF54">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3188</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8E916">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25</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5B7A8">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266</w:t>
            </w: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465E5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42EDF">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4024</w:t>
            </w:r>
          </w:p>
        </w:tc>
      </w:tr>
      <w:tr w14:paraId="5A4EF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2D53B">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工矿用地</w:t>
            </w:r>
          </w:p>
        </w:tc>
        <w:tc>
          <w:tcPr>
            <w:tcW w:w="10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570D0F">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997BE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648C5">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2761</w:t>
            </w: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B39C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8202E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423</w:t>
            </w:r>
          </w:p>
        </w:tc>
      </w:tr>
      <w:tr w14:paraId="6E2AC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B970F1">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仓储用地</w:t>
            </w:r>
          </w:p>
        </w:tc>
        <w:tc>
          <w:tcPr>
            <w:tcW w:w="10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374C0E">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4310AF">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84E66B">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421DA1">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7E22B">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1649</w:t>
            </w:r>
          </w:p>
        </w:tc>
      </w:tr>
      <w:tr w14:paraId="61105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D636C0">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公共管理与公共服务用地</w:t>
            </w:r>
          </w:p>
        </w:tc>
        <w:tc>
          <w:tcPr>
            <w:tcW w:w="10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C7D768">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550</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FF7A9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F39C9">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09E225">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BE482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r>
      <w:tr w14:paraId="7B4CC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36EC81">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公用设施用地</w:t>
            </w:r>
          </w:p>
        </w:tc>
        <w:tc>
          <w:tcPr>
            <w:tcW w:w="10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8F9501">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B9C6C0">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D8AA48">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842</w:t>
            </w: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BFE4DA">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190</w:t>
            </w:r>
          </w:p>
        </w:tc>
        <w:tc>
          <w:tcPr>
            <w:tcW w:w="1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6BBBB2">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0</w:t>
            </w:r>
          </w:p>
        </w:tc>
      </w:tr>
      <w:tr w14:paraId="45A5F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6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41EA93">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合计</w:t>
            </w:r>
          </w:p>
        </w:tc>
        <w:tc>
          <w:tcPr>
            <w:tcW w:w="105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02796">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5514.07</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B857A">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13668</w:t>
            </w:r>
          </w:p>
        </w:tc>
        <w:tc>
          <w:tcPr>
            <w:tcW w:w="12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A633D">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11206</w:t>
            </w:r>
          </w:p>
        </w:tc>
        <w:tc>
          <w:tcPr>
            <w:tcW w:w="10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5A99CC">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335</w:t>
            </w:r>
          </w:p>
        </w:tc>
        <w:tc>
          <w:tcPr>
            <w:tcW w:w="12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633987">
            <w:pPr>
              <w:jc w:val="center"/>
              <w:rPr>
                <w:rFonts w:hint="eastAsia" w:ascii="仿宋_GB2312" w:hAnsi="仿宋_GB2312" w:eastAsia="仿宋_GB2312" w:cs="仿宋_GB2312"/>
                <w:bCs/>
                <w:color w:val="auto"/>
                <w:sz w:val="22"/>
                <w:szCs w:val="22"/>
                <w:highlight w:val="none"/>
                <w:lang w:val="en-US" w:eastAsia="zh-CN"/>
              </w:rPr>
            </w:pPr>
            <w:r>
              <w:rPr>
                <w:rFonts w:hint="eastAsia" w:ascii="仿宋_GB2312" w:hAnsi="仿宋_GB2312" w:eastAsia="仿宋_GB2312" w:cs="仿宋_GB2312"/>
                <w:bCs/>
                <w:color w:val="auto"/>
                <w:sz w:val="22"/>
                <w:szCs w:val="22"/>
                <w:highlight w:val="none"/>
                <w:lang w:val="en-US" w:eastAsia="zh-CN"/>
              </w:rPr>
              <w:t>6826</w:t>
            </w:r>
          </w:p>
        </w:tc>
      </w:tr>
    </w:tbl>
    <w:p w14:paraId="5FDFFFF5">
      <w:pPr>
        <w:kinsoku/>
        <w:spacing w:line="360" w:lineRule="auto"/>
        <w:jc w:val="center"/>
        <w:rPr>
          <w:rFonts w:hint="eastAsia" w:ascii="仿宋" w:hAnsi="仿宋" w:eastAsia="仿宋" w:cs="仿宋"/>
          <w:highlight w:val="none"/>
        </w:rPr>
      </w:pPr>
      <w:r>
        <w:rPr>
          <w:rFonts w:hint="eastAsia" w:ascii="仿宋" w:hAnsi="仿宋" w:eastAsia="仿宋" w:cs="仿宋"/>
          <w:highlight w:val="none"/>
        </w:rPr>
        <w:drawing>
          <wp:inline distT="0" distB="0" distL="114300" distR="114300">
            <wp:extent cx="4403090" cy="2632075"/>
            <wp:effectExtent l="4445" t="4445" r="12065" b="11430"/>
            <wp:docPr id="1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11343265">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 w:hAnsi="仿宋" w:eastAsia="仿宋" w:cs="仿宋"/>
          <w:highlight w:val="none"/>
        </w:rPr>
      </w:pPr>
      <w:r>
        <w:rPr>
          <w:rFonts w:hint="eastAsia" w:ascii="仿宋_GB2312" w:hAnsi="仿宋_GB2312" w:eastAsia="仿宋_GB2312" w:cs="仿宋_GB2312"/>
          <w:bCs/>
          <w:color w:val="auto"/>
          <w:sz w:val="28"/>
          <w:szCs w:val="28"/>
          <w:highlight w:val="none"/>
          <w:lang w:val="en-US" w:eastAsia="zh-CN"/>
        </w:rPr>
        <w:t>图2-5 通道县城区2020-2024年土地招拍挂出让收入</w:t>
      </w:r>
    </w:p>
    <w:p w14:paraId="1C521D62">
      <w:pPr>
        <w:keepNext w:val="0"/>
        <w:keepLines w:val="0"/>
        <w:pageBreakBefore w:val="0"/>
        <w:widowControl w:val="0"/>
        <w:kinsoku/>
        <w:wordWrap/>
        <w:overflowPunct/>
        <w:topLinePunct w:val="0"/>
        <w:autoSpaceDE/>
        <w:autoSpaceDN/>
        <w:bidi w:val="0"/>
        <w:adjustRightInd w:val="0"/>
        <w:snapToGrid w:val="0"/>
        <w:spacing w:line="480" w:lineRule="exact"/>
        <w:ind w:firstLine="840" w:firstLineChars="3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2）房地产市场状况</w:t>
      </w:r>
    </w:p>
    <w:p w14:paraId="73F26A8A">
      <w:pPr>
        <w:keepNext w:val="0"/>
        <w:keepLines w:val="0"/>
        <w:pageBreakBefore w:val="0"/>
        <w:widowControl w:val="0"/>
        <w:kinsoku/>
        <w:wordWrap/>
        <w:overflowPunct/>
        <w:topLinePunct w:val="0"/>
        <w:autoSpaceDE/>
        <w:autoSpaceDN/>
        <w:bidi w:val="0"/>
        <w:adjustRightInd w:val="0"/>
        <w:snapToGrid w:val="0"/>
        <w:spacing w:line="480" w:lineRule="exact"/>
        <w:ind w:firstLine="840" w:firstLineChars="3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根据通道县住建部门提供的通道县2020-2024年房地产交易数据，结合项目组实地调查城区23个在售楼盘的买卖和租赁情况，通道县楼盘多位于城区中部片区，城区南部和北部片区有少量分布，老城区和城东工业园片区暂无在售楼盘。</w:t>
      </w:r>
    </w:p>
    <w:p w14:paraId="50404A14">
      <w:pPr>
        <w:keepNext w:val="0"/>
        <w:keepLines w:val="0"/>
        <w:pageBreakBefore w:val="0"/>
        <w:widowControl w:val="0"/>
        <w:kinsoku/>
        <w:wordWrap/>
        <w:overflowPunct/>
        <w:topLinePunct w:val="0"/>
        <w:autoSpaceDE/>
        <w:autoSpaceDN/>
        <w:bidi w:val="0"/>
        <w:adjustRightInd w:val="0"/>
        <w:snapToGrid w:val="0"/>
        <w:spacing w:line="480" w:lineRule="exact"/>
        <w:ind w:firstLine="840" w:firstLineChars="3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通道县城区居住生活区主要分布在城北、城中等环境、设施配套完善区域；商业商务区主要分布在城东大桥东段、城东开发规划区域等重点区域；综合服务区主要分布在城区行政管理设施较集中区域。</w:t>
      </w:r>
    </w:p>
    <w:p w14:paraId="23B16880">
      <w:pPr>
        <w:keepNext w:val="0"/>
        <w:keepLines w:val="0"/>
        <w:pageBreakBefore w:val="0"/>
        <w:widowControl w:val="0"/>
        <w:kinsoku/>
        <w:wordWrap/>
        <w:overflowPunct/>
        <w:topLinePunct w:val="0"/>
        <w:autoSpaceDE/>
        <w:autoSpaceDN/>
        <w:bidi w:val="0"/>
        <w:adjustRightInd w:val="0"/>
        <w:snapToGrid w:val="0"/>
        <w:spacing w:line="480" w:lineRule="exact"/>
        <w:ind w:firstLine="840" w:firstLineChars="3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城中片区作为规划的居住生活区和商业商务区，城市主干道交通路网密集、分布有大型公园广场、商业综合体和对外交通枢纽，生活便利，环境优美，交通便捷，汇集了城区大部分中高档楼盘，城北受规划引导，有少量楼盘建成在售；老城区主要是建成年代较久老旧建筑，建筑楼层低，装修档次、绿化率、建筑密度等较落后，逐渐由商住聚集地转换成为行政管理集中的综合服务区，居民从老旧住房和商铺中迁移至装修档次更高的城中片区，老城区无中高档在售楼盘。城南依托独岩公园，规划建设为山地康养文旅风貌区，分布有盛世侗乡、礼雅新城等楼盘。</w:t>
      </w:r>
    </w:p>
    <w:p w14:paraId="186602CA">
      <w:pPr>
        <w:widowControl w:val="0"/>
        <w:kinsoku/>
        <w:autoSpaceDE/>
        <w:autoSpaceDN/>
        <w:adjustRightInd/>
        <w:snapToGrid/>
        <w:spacing w:line="360" w:lineRule="auto"/>
        <w:jc w:val="center"/>
        <w:textAlignment w:val="auto"/>
        <w:rPr>
          <w:rFonts w:hint="eastAsia" w:ascii="Times New Roman" w:hAnsi="Times New Roman" w:eastAsia="宋体" w:cs="Times New Roman"/>
          <w:sz w:val="24"/>
          <w:szCs w:val="24"/>
          <w:highlight w:val="none"/>
          <w:lang w:val="en-US" w:eastAsia="zh-CN"/>
        </w:rPr>
      </w:pPr>
      <w:r>
        <w:rPr>
          <w:rFonts w:hint="eastAsia" w:ascii="Times New Roman" w:hAnsi="Times New Roman" w:eastAsia="宋体" w:cs="Times New Roman"/>
          <w:sz w:val="24"/>
          <w:szCs w:val="24"/>
          <w:highlight w:val="none"/>
          <w:lang w:val="en-US" w:eastAsia="zh-CN"/>
        </w:rPr>
        <w:drawing>
          <wp:inline distT="0" distB="0" distL="114300" distR="114300">
            <wp:extent cx="2555875" cy="3032125"/>
            <wp:effectExtent l="9525" t="9525" r="25400" b="25400"/>
            <wp:docPr id="16" name="图片 16" descr="在售楼盘分布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在售楼盘分布图2"/>
                    <pic:cNvPicPr>
                      <a:picLocks noChangeAspect="1"/>
                    </pic:cNvPicPr>
                  </pic:nvPicPr>
                  <pic:blipFill>
                    <a:blip r:embed="rId30"/>
                    <a:srcRect l="7938" t="13865" r="8010" b="15662"/>
                    <a:stretch>
                      <a:fillRect/>
                    </a:stretch>
                  </pic:blipFill>
                  <pic:spPr>
                    <a:xfrm>
                      <a:off x="0" y="0"/>
                      <a:ext cx="2555875" cy="3032125"/>
                    </a:xfrm>
                    <a:prstGeom prst="rect">
                      <a:avLst/>
                    </a:prstGeom>
                    <a:ln>
                      <a:solidFill>
                        <a:schemeClr val="tx1"/>
                      </a:solidFill>
                    </a:ln>
                  </pic:spPr>
                </pic:pic>
              </a:graphicData>
            </a:graphic>
          </wp:inline>
        </w:drawing>
      </w:r>
    </w:p>
    <w:p w14:paraId="09025ED9">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center"/>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图2-6通道县楼盘分布图</w:t>
      </w:r>
    </w:p>
    <w:p w14:paraId="0CE13A98">
      <w:pPr>
        <w:pStyle w:val="2"/>
        <w:keepNext w:val="0"/>
        <w:keepLines w:val="0"/>
        <w:pageBreakBefore w:val="0"/>
        <w:widowControl w:val="0"/>
        <w:numPr>
          <w:ilvl w:val="0"/>
          <w:numId w:val="0"/>
        </w:numPr>
        <w:kinsoku/>
        <w:wordWrap/>
        <w:overflowPunct/>
        <w:topLinePunct w:val="0"/>
        <w:autoSpaceDE/>
        <w:autoSpaceDN/>
        <w:bidi w:val="0"/>
        <w:adjustRightInd/>
        <w:snapToGrid/>
        <w:spacing w:line="480" w:lineRule="exact"/>
        <w:ind w:left="75" w:leftChars="0" w:firstLine="555" w:firstLineChars="0"/>
        <w:textAlignment w:val="auto"/>
        <w:rPr>
          <w:rFonts w:hint="default" w:ascii="Times New Roman" w:hAnsi="Times New Roman" w:eastAsia="仿宋" w:cs="Times New Roman"/>
          <w:bCs/>
          <w:color w:val="auto"/>
          <w:sz w:val="28"/>
          <w:szCs w:val="28"/>
          <w:highlight w:val="none"/>
        </w:rPr>
      </w:pPr>
      <w:r>
        <w:rPr>
          <w:rFonts w:hint="eastAsia" w:eastAsia="仿宋" w:cs="Times New Roman"/>
          <w:bCs/>
          <w:color w:val="auto"/>
          <w:kern w:val="2"/>
          <w:sz w:val="28"/>
          <w:szCs w:val="28"/>
          <w:highlight w:val="none"/>
          <w:lang w:val="en-US" w:eastAsia="zh-CN" w:bidi="ar-SA"/>
        </w:rPr>
        <w:t>3</w:t>
      </w:r>
      <w:r>
        <w:rPr>
          <w:rFonts w:hint="default" w:ascii="Times New Roman" w:hAnsi="Times New Roman" w:eastAsia="仿宋" w:cs="Times New Roman"/>
          <w:bCs/>
          <w:color w:val="auto"/>
          <w:kern w:val="2"/>
          <w:sz w:val="28"/>
          <w:szCs w:val="28"/>
          <w:highlight w:val="none"/>
          <w:lang w:val="en-US" w:eastAsia="zh-CN" w:bidi="ar-SA"/>
        </w:rPr>
        <w:t>、</w:t>
      </w:r>
      <w:r>
        <w:rPr>
          <w:rFonts w:hint="default" w:ascii="Times New Roman" w:hAnsi="Times New Roman" w:eastAsia="仿宋" w:cs="Times New Roman"/>
          <w:bCs/>
          <w:color w:val="auto"/>
          <w:sz w:val="28"/>
          <w:szCs w:val="28"/>
          <w:highlight w:val="none"/>
        </w:rPr>
        <w:t>产业政策</w:t>
      </w:r>
      <w:r>
        <w:rPr>
          <w:rFonts w:hint="eastAsia" w:ascii="Times New Roman" w:hAnsi="Times New Roman" w:eastAsia="仿宋" w:cs="Times New Roman"/>
          <w:bCs/>
          <w:color w:val="auto"/>
          <w:sz w:val="28"/>
          <w:szCs w:val="28"/>
          <w:highlight w:val="none"/>
          <w:lang w:eastAsia="zh-CN"/>
        </w:rPr>
        <w:t>、</w:t>
      </w:r>
      <w:r>
        <w:rPr>
          <w:rFonts w:hint="eastAsia" w:ascii="Times New Roman" w:hAnsi="Times New Roman" w:eastAsia="仿宋" w:cs="Times New Roman"/>
          <w:bCs/>
          <w:color w:val="auto"/>
          <w:sz w:val="28"/>
          <w:szCs w:val="28"/>
          <w:highlight w:val="none"/>
          <w:lang w:val="en-US" w:eastAsia="zh-CN"/>
        </w:rPr>
        <w:t>税收政策</w:t>
      </w:r>
    </w:p>
    <w:p w14:paraId="29DF3B6B">
      <w:pPr>
        <w:keepNext w:val="0"/>
        <w:keepLines w:val="0"/>
        <w:pageBreakBefore w:val="0"/>
        <w:widowControl w:val="0"/>
        <w:kinsoku/>
        <w:wordWrap/>
        <w:overflowPunct/>
        <w:topLinePunct w:val="0"/>
        <w:autoSpaceDE/>
        <w:autoSpaceDN/>
        <w:bidi w:val="0"/>
        <w:adjustRightInd w:val="0"/>
        <w:snapToGrid w:val="0"/>
        <w:spacing w:line="480" w:lineRule="exact"/>
        <w:ind w:firstLine="840" w:firstLineChars="3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（1）产业政策</w:t>
      </w:r>
    </w:p>
    <w:p w14:paraId="3CB55057">
      <w:pPr>
        <w:keepNext w:val="0"/>
        <w:keepLines w:val="0"/>
        <w:pageBreakBefore w:val="0"/>
        <w:widowControl w:val="0"/>
        <w:kinsoku/>
        <w:wordWrap/>
        <w:overflowPunct/>
        <w:topLinePunct w:val="0"/>
        <w:autoSpaceDE/>
        <w:autoSpaceDN/>
        <w:bidi w:val="0"/>
        <w:adjustRightInd w:val="0"/>
        <w:snapToGrid w:val="0"/>
        <w:spacing w:line="480" w:lineRule="exact"/>
        <w:ind w:firstLine="840" w:firstLineChars="3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近年来，通道县委、县政府高度重视产业发展工作，先后出台了《通道侗族自治县工业集中区招商引资若干优惠政策》、《通道侗族自治县促进生态文化旅游产业高质量发展奖励办法》等多项激励政策措施，大幅度增加了产业发展投入。同时积极发展优势产业，县委做出大力发展油茶产业的决策，相继出台了《关于加快油茶产业发展的意见》等一系列政策，把发展油茶产业作为现代农业的一个支柱产业。立足稳增长，坚持高质量发展理念，全面落实产业及产业园区三年提升行动，着力调结构、促转型，推动一二三产业融合发展，实现产业层次新提升。强力推进项目建设。围绕强基础补短板，聚焦关键领域和薄弱环节，谋划一批符合国家产业政策导向、引领产业转型升级和增强长远发展后劲的大项目、好项目。</w:t>
      </w:r>
    </w:p>
    <w:p w14:paraId="36353E9C">
      <w:pPr>
        <w:keepNext w:val="0"/>
        <w:keepLines w:val="0"/>
        <w:pageBreakBefore w:val="0"/>
        <w:widowControl w:val="0"/>
        <w:kinsoku/>
        <w:wordWrap/>
        <w:overflowPunct/>
        <w:topLinePunct w:val="0"/>
        <w:autoSpaceDE/>
        <w:autoSpaceDN/>
        <w:bidi w:val="0"/>
        <w:adjustRightInd w:val="0"/>
        <w:snapToGrid w:val="0"/>
        <w:spacing w:line="480" w:lineRule="exact"/>
        <w:ind w:firstLine="840" w:firstLineChars="300"/>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（2）税收政策</w:t>
      </w:r>
    </w:p>
    <w:p w14:paraId="01DF2876">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自2016年5月1日起，中国全面推开营改增试点，将建筑业、房地产业、金融业、生活服务业全部纳入营改增试点，至此，营业税退出历史舞台，增值税制度将更加规范。这是自1994年分税制改革以来，财税体制的又一次深刻变革。财政部、税务总局发布《关于调整增值税税率的通知》（财税〔2018〕32号）后，规定纳税人发生增值税应税销售行为或者进口货物，原适用17%和11%税率的，税率分别调整为16%、10%，所以销售不动产，转让土地使用权，税率由11%调整为10%。</w:t>
      </w:r>
    </w:p>
    <w:p w14:paraId="5CA8BB20">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财政部、税务总局、海关总署《关于深化增值税改革有关政策的公告》（财政部 税务总局 海关总署公告2019年第39号）相关规定，自2019年4月1日起：增值税一般纳税人（以下称纳税人）发生增值税应税销售行为或者进口货物，原适用16%税率的，税率调整为13%；原适用10%税率的，税率调整为9%。</w:t>
      </w:r>
    </w:p>
    <w:p w14:paraId="5A9F22BA">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营改增有助于房企减轻税负，相对企业的利润率也会因为税负的降低而提升，同时，营改增后将所有企业新增不动产所含增值税纳入抵扣，对于楼市而言也有积极影响。</w:t>
      </w:r>
    </w:p>
    <w:p w14:paraId="6930F728">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4</w:t>
      </w:r>
      <w:r>
        <w:rPr>
          <w:rFonts w:hint="default" w:ascii="仿宋_GB2312" w:hAnsi="仿宋_GB2312" w:eastAsia="仿宋_GB2312" w:cs="仿宋_GB2312"/>
          <w:bCs/>
          <w:color w:val="auto"/>
          <w:sz w:val="28"/>
          <w:szCs w:val="28"/>
          <w:highlight w:val="none"/>
          <w:lang w:val="en-US" w:eastAsia="zh-CN"/>
        </w:rPr>
        <w:t>、城市规划与发展目标</w:t>
      </w:r>
    </w:p>
    <w:p w14:paraId="6FF97D01">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根据《通道侗族自治县国土空间总体规划（2021-2035年）》，通道县需与国家建设社会主义现代化国家新征程的新时代、新阶段相适应，依据全省全面建设社会主义现代化新湖南目标任务和“一圈一群三轴多点”的区域城镇空间格局，按照“生态立县、旅游兴县、产业强县”发展思路，奋力实施“一堡三区”战略：怀化国际陆港向南开放桥头堡、文化旅游示范区、绿色发展示范区、侗族民俗保护示范区。</w:t>
      </w:r>
    </w:p>
    <w:p w14:paraId="6825593E">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基于通道县生态、农业、城镇三大空间本底特征，推动形成生态文明导向下的高质量国土空间，围绕“一堡三区”的目标愿景，应对未来的空间风险与挑战，优化主体功能区战略格局，最终在空间结构上构建“一核三带，一屏多廊，三区五特”的县域空间开发保护总体格局。</w:t>
      </w:r>
    </w:p>
    <w:p w14:paraId="67FE9F1E">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构建“一核三带”的高质量城镇发展格局。推动以县城为中心的县域经济核心统筹发展，实现城市功能扩容提质，成为县域高质量发展和城乡现代化发展的核心引擎。打造包茂高速沿线、G209沿线以及国际铁海联运大通道（焦柳铁路沿线）为主体的三大经济示范带，形成对外开放和区域融合的发展轴，加强县域片区化主题分工协同，全面提升通道县区域联动能力。统筹全域区域协调和城乡融合发展，健全市场一体化发展、区域合作互助等机制，更好促进全县共同发展。</w:t>
      </w:r>
    </w:p>
    <w:p w14:paraId="73149F9B">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筑牢“一屏多廊”的高水平生态保护格局。牢固县域东北部生态保护红线集中分布的万佛山生态屏障区，打造以玉带河湿地生态景观廊道和县域河流干线为主、公路网体系作为补充的多条生态廊道，促进完善生态网络空间，依托通道县自然保护区、森林公园、湿地公园、风景名胜区、大型水库等多个生态保护核心节点，发挥涵养水源、保持水土、调蓄洪水、维护生物多样性等生态功能和保护作用，构建通道县“一屏多廊”全域高水平生态保护格局。</w:t>
      </w:r>
    </w:p>
    <w:p w14:paraId="41210088">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夯实“三区五特”的现代农业发展格局。立足通道县特色生物资源和生态环境资源，加快建设通道县万佛山生态农业科技示范园区，打造东部休闲观光农业区、中部高质高效农业区及西部生态特色农业区三大农业发展片区。以特色基地为依托，加大对通道县黑老虎、生姜、优质油茶、优质茶叶、优质中药材等五个特色产业的扶持力度，打响通道县农产品品牌，推动连片乡村振兴，从而实现通道县现代农业、生态农业和高效农业的发展，构建通道县特色鲜明、高质高效的现代农业发展格局。</w:t>
      </w:r>
    </w:p>
    <w:p w14:paraId="2B75DBBE">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5、城市社会经济发展状况</w:t>
      </w:r>
    </w:p>
    <w:p w14:paraId="12001F6D">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初步核算，2024年全县地区生产总值75．11亿元，比上年增长5．0％。其中：第一产业增加值11．17亿元，增长3．4％；第二产业增加值25．41亿元，增长7．6％，第三产业增加值38．53亿元，增长3．6％。三次产业结构比为14．9：33．8：51．3。第一、二、三产业对经济增长的贡献率分别为11．4％、52．3％和36．3％。按常住人口计算，人均地区生产总值38470元，比上年增长6．3％。全县城镇新增就业1770人，失业人员再就业933人。</w:t>
      </w:r>
    </w:p>
    <w:p w14:paraId="798DD27F">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outlineLvl w:val="2"/>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（二）区域因素</w:t>
      </w:r>
    </w:p>
    <w:p w14:paraId="58EA7D17">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区域因素指宗地所在城镇对地价有影响的内部区域条件，即影响因素主要有：区域概况、交通条件、基础设施条件、环境条件、商服繁华情况、规划限制利等。</w:t>
      </w:r>
    </w:p>
    <w:p w14:paraId="05F1A034">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1.区域概况</w:t>
      </w:r>
    </w:p>
    <w:p w14:paraId="4E786044">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（1）区域位置</w:t>
      </w:r>
    </w:p>
    <w:p w14:paraId="528310C1">
      <w:pPr>
        <w:keepNext w:val="0"/>
        <w:keepLines w:val="0"/>
        <w:pageBreakBefore w:val="0"/>
        <w:widowControl w:val="0"/>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US" w:eastAsia="zh-CN"/>
        </w:rPr>
        <w:t>①区域位置、级别及人口：估价对象位于通道县双江镇行政街，通道县辖9个镇、2个乡。县政府驻双江镇行政街17号。县城总人口19.67万人</w:t>
      </w:r>
    </w:p>
    <w:p w14:paraId="785B5AD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sz w:val="28"/>
          <w:szCs w:val="30"/>
          <w:highlight w:val="none"/>
        </w:rPr>
      </w:pPr>
      <w:r>
        <w:rPr>
          <w:rFonts w:hint="eastAsia" w:ascii="仿宋_GB2312" w:hAnsi="仿宋_GB2312" w:eastAsia="仿宋_GB2312" w:cs="仿宋_GB2312"/>
          <w:sz w:val="28"/>
          <w:szCs w:val="28"/>
          <w:highlight w:val="none"/>
          <w:lang w:val="en-US" w:eastAsia="zh-CN"/>
        </w:rPr>
        <w:t>②土地级别：</w:t>
      </w:r>
      <w:r>
        <w:rPr>
          <w:rFonts w:hint="eastAsia" w:ascii="仿宋_GB2312" w:hAnsi="仿宋_GB2312" w:eastAsia="仿宋_GB2312" w:cs="仿宋_GB2312"/>
          <w:snapToGrid w:val="0"/>
          <w:kern w:val="0"/>
          <w:sz w:val="28"/>
          <w:szCs w:val="28"/>
          <w:highlight w:val="none"/>
          <w:lang w:val="en-US" w:eastAsia="zh-CN"/>
        </w:rPr>
        <w:t>通道</w:t>
      </w:r>
      <w:r>
        <w:rPr>
          <w:rFonts w:hint="eastAsia" w:ascii="仿宋_GB2312" w:hAnsi="仿宋_GB2312" w:eastAsia="仿宋_GB2312" w:cs="仿宋_GB2312"/>
          <w:snapToGrid w:val="0"/>
          <w:kern w:val="0"/>
          <w:sz w:val="28"/>
          <w:szCs w:val="28"/>
          <w:highlight w:val="none"/>
        </w:rPr>
        <w:t>县城镇基准地价的颁布实施时间为</w:t>
      </w:r>
      <w:r>
        <w:rPr>
          <w:rFonts w:hint="eastAsia" w:ascii="仿宋_GB2312" w:hAnsi="仿宋_GB2312" w:eastAsia="仿宋_GB2312" w:cs="仿宋_GB2312"/>
          <w:snapToGrid w:val="0"/>
          <w:kern w:val="0"/>
          <w:sz w:val="28"/>
          <w:szCs w:val="28"/>
          <w:highlight w:val="none"/>
          <w:lang w:val="en-US" w:eastAsia="zh-CN"/>
        </w:rPr>
        <w:t>2026</w:t>
      </w:r>
      <w:r>
        <w:rPr>
          <w:rFonts w:hint="eastAsia" w:ascii="仿宋_GB2312" w:hAnsi="仿宋_GB2312" w:eastAsia="仿宋_GB2312" w:cs="仿宋_GB2312"/>
          <w:snapToGrid w:val="0"/>
          <w:kern w:val="0"/>
          <w:sz w:val="28"/>
          <w:szCs w:val="28"/>
          <w:highlight w:val="none"/>
        </w:rPr>
        <w:t>年1月</w:t>
      </w:r>
      <w:r>
        <w:rPr>
          <w:rFonts w:hint="eastAsia" w:ascii="仿宋_GB2312" w:hAnsi="仿宋_GB2312" w:eastAsia="仿宋_GB2312" w:cs="仿宋_GB2312"/>
          <w:snapToGrid w:val="0"/>
          <w:kern w:val="0"/>
          <w:sz w:val="28"/>
          <w:szCs w:val="28"/>
          <w:highlight w:val="none"/>
          <w:lang w:val="en-US" w:eastAsia="zh-CN"/>
        </w:rPr>
        <w:t>6</w:t>
      </w:r>
      <w:r>
        <w:rPr>
          <w:rFonts w:hint="eastAsia" w:ascii="仿宋_GB2312" w:hAnsi="仿宋_GB2312" w:eastAsia="仿宋_GB2312" w:cs="仿宋_GB2312"/>
          <w:snapToGrid w:val="0"/>
          <w:kern w:val="0"/>
          <w:sz w:val="28"/>
          <w:szCs w:val="28"/>
          <w:highlight w:val="none"/>
        </w:rPr>
        <w:t>日，批准文号为通政发〔202</w:t>
      </w:r>
      <w:r>
        <w:rPr>
          <w:rFonts w:hint="eastAsia" w:ascii="仿宋_GB2312" w:hAnsi="仿宋_GB2312" w:eastAsia="仿宋_GB2312" w:cs="仿宋_GB2312"/>
          <w:snapToGrid w:val="0"/>
          <w:kern w:val="0"/>
          <w:sz w:val="28"/>
          <w:szCs w:val="28"/>
          <w:highlight w:val="none"/>
          <w:lang w:val="en-US" w:eastAsia="zh-CN"/>
        </w:rPr>
        <w:t>6</w:t>
      </w:r>
      <w:r>
        <w:rPr>
          <w:rFonts w:hint="eastAsia" w:ascii="仿宋_GB2312" w:hAnsi="仿宋_GB2312" w:eastAsia="仿宋_GB2312" w:cs="仿宋_GB2312"/>
          <w:snapToGrid w:val="0"/>
          <w:kern w:val="0"/>
          <w:sz w:val="28"/>
          <w:szCs w:val="28"/>
          <w:highlight w:val="none"/>
        </w:rPr>
        <w:t>〕1号,文件名称为《通道侗族自治县人民政府关于更新城镇基准地价标准和等级的通知》（通政发〔202</w:t>
      </w:r>
      <w:r>
        <w:rPr>
          <w:rFonts w:hint="eastAsia" w:ascii="仿宋_GB2312" w:hAnsi="仿宋_GB2312" w:eastAsia="仿宋_GB2312" w:cs="仿宋_GB2312"/>
          <w:snapToGrid w:val="0"/>
          <w:kern w:val="0"/>
          <w:sz w:val="28"/>
          <w:szCs w:val="28"/>
          <w:highlight w:val="none"/>
          <w:lang w:val="en-US" w:eastAsia="zh-CN"/>
        </w:rPr>
        <w:t>6</w:t>
      </w:r>
      <w:r>
        <w:rPr>
          <w:rFonts w:hint="eastAsia" w:ascii="仿宋_GB2312" w:hAnsi="仿宋_GB2312" w:eastAsia="仿宋_GB2312" w:cs="仿宋_GB2312"/>
          <w:snapToGrid w:val="0"/>
          <w:kern w:val="0"/>
          <w:sz w:val="28"/>
          <w:szCs w:val="28"/>
          <w:highlight w:val="none"/>
        </w:rPr>
        <w:t>〕1号，20</w:t>
      </w:r>
      <w:r>
        <w:rPr>
          <w:rFonts w:hint="eastAsia" w:ascii="仿宋_GB2312" w:hAnsi="仿宋_GB2312" w:eastAsia="仿宋_GB2312" w:cs="仿宋_GB2312"/>
          <w:snapToGrid w:val="0"/>
          <w:kern w:val="0"/>
          <w:sz w:val="28"/>
          <w:szCs w:val="28"/>
          <w:highlight w:val="none"/>
          <w:lang w:val="en-US" w:eastAsia="zh-CN"/>
        </w:rPr>
        <w:t>26</w:t>
      </w:r>
      <w:r>
        <w:rPr>
          <w:rFonts w:hint="eastAsia" w:ascii="仿宋_GB2312" w:hAnsi="仿宋_GB2312" w:eastAsia="仿宋_GB2312" w:cs="仿宋_GB2312"/>
          <w:snapToGrid w:val="0"/>
          <w:kern w:val="0"/>
          <w:sz w:val="28"/>
          <w:szCs w:val="28"/>
          <w:highlight w:val="none"/>
        </w:rPr>
        <w:t>年</w:t>
      </w:r>
      <w:r>
        <w:rPr>
          <w:rFonts w:hint="eastAsia" w:ascii="仿宋_GB2312" w:hAnsi="仿宋_GB2312" w:eastAsia="仿宋_GB2312" w:cs="仿宋_GB2312"/>
          <w:snapToGrid w:val="0"/>
          <w:kern w:val="0"/>
          <w:sz w:val="28"/>
          <w:szCs w:val="28"/>
          <w:highlight w:val="none"/>
          <w:lang w:val="en-US" w:eastAsia="zh-CN"/>
        </w:rPr>
        <w:t>1</w:t>
      </w:r>
      <w:r>
        <w:rPr>
          <w:rFonts w:hint="eastAsia" w:ascii="仿宋_GB2312" w:hAnsi="仿宋_GB2312" w:eastAsia="仿宋_GB2312" w:cs="仿宋_GB2312"/>
          <w:snapToGrid w:val="0"/>
          <w:kern w:val="0"/>
          <w:sz w:val="28"/>
          <w:szCs w:val="28"/>
          <w:highlight w:val="none"/>
        </w:rPr>
        <w:t>月</w:t>
      </w:r>
      <w:r>
        <w:rPr>
          <w:rFonts w:hint="eastAsia" w:ascii="仿宋_GB2312" w:hAnsi="仿宋_GB2312" w:eastAsia="仿宋_GB2312" w:cs="仿宋_GB2312"/>
          <w:snapToGrid w:val="0"/>
          <w:kern w:val="0"/>
          <w:sz w:val="28"/>
          <w:szCs w:val="28"/>
          <w:highlight w:val="none"/>
          <w:lang w:val="en-US" w:eastAsia="zh-CN"/>
        </w:rPr>
        <w:t>6</w:t>
      </w:r>
      <w:r>
        <w:rPr>
          <w:rFonts w:hint="eastAsia" w:ascii="仿宋_GB2312" w:hAnsi="仿宋_GB2312" w:eastAsia="仿宋_GB2312" w:cs="仿宋_GB2312"/>
          <w:snapToGrid w:val="0"/>
          <w:kern w:val="0"/>
          <w:sz w:val="28"/>
          <w:szCs w:val="28"/>
          <w:highlight w:val="none"/>
        </w:rPr>
        <w:t>日），批准机关为</w:t>
      </w:r>
      <w:r>
        <w:rPr>
          <w:rFonts w:hint="eastAsia" w:ascii="仿宋_GB2312" w:hAnsi="仿宋_GB2312" w:eastAsia="仿宋_GB2312" w:cs="仿宋_GB2312"/>
          <w:snapToGrid w:val="0"/>
          <w:kern w:val="0"/>
          <w:sz w:val="28"/>
          <w:szCs w:val="28"/>
          <w:highlight w:val="none"/>
          <w:lang w:val="en-US" w:eastAsia="zh-CN"/>
        </w:rPr>
        <w:t>通道侗族自治</w:t>
      </w:r>
      <w:r>
        <w:rPr>
          <w:rFonts w:hint="eastAsia" w:ascii="仿宋_GB2312" w:hAnsi="仿宋_GB2312" w:eastAsia="仿宋_GB2312" w:cs="仿宋_GB2312"/>
          <w:snapToGrid w:val="0"/>
          <w:kern w:val="0"/>
          <w:sz w:val="28"/>
          <w:szCs w:val="28"/>
          <w:highlight w:val="none"/>
        </w:rPr>
        <w:t>县人民政府</w:t>
      </w:r>
      <w:r>
        <w:rPr>
          <w:rFonts w:hint="eastAsia" w:ascii="仿宋_GB2312" w:hAnsi="仿宋_GB2312" w:eastAsia="仿宋_GB2312" w:cs="仿宋_GB2312"/>
          <w:snapToGrid w:val="0"/>
          <w:kern w:val="0"/>
          <w:sz w:val="28"/>
          <w:szCs w:val="28"/>
          <w:highlight w:val="none"/>
          <w:lang w:eastAsia="zh-CN"/>
        </w:rPr>
        <w:t>，估价期日为</w:t>
      </w:r>
      <w:r>
        <w:rPr>
          <w:rFonts w:hint="eastAsia" w:ascii="仿宋_GB2312" w:hAnsi="仿宋_GB2312" w:eastAsia="仿宋_GB2312" w:cs="仿宋_GB2312"/>
          <w:snapToGrid w:val="0"/>
          <w:kern w:val="0"/>
          <w:sz w:val="28"/>
          <w:szCs w:val="28"/>
          <w:highlight w:val="none"/>
          <w:lang w:val="en-US" w:eastAsia="zh-CN"/>
        </w:rPr>
        <w:t>2025</w:t>
      </w:r>
      <w:r>
        <w:rPr>
          <w:rFonts w:hint="eastAsia" w:ascii="仿宋_GB2312" w:hAnsi="仿宋_GB2312" w:eastAsia="仿宋_GB2312" w:cs="仿宋_GB2312"/>
          <w:snapToGrid w:val="0"/>
          <w:kern w:val="0"/>
          <w:sz w:val="28"/>
          <w:szCs w:val="28"/>
          <w:highlight w:val="none"/>
          <w:lang w:eastAsia="zh-CN"/>
        </w:rPr>
        <w:t>年</w:t>
      </w:r>
      <w:r>
        <w:rPr>
          <w:rFonts w:hint="eastAsia" w:ascii="仿宋_GB2312" w:hAnsi="仿宋_GB2312" w:eastAsia="仿宋_GB2312" w:cs="仿宋_GB2312"/>
          <w:snapToGrid w:val="0"/>
          <w:kern w:val="0"/>
          <w:sz w:val="28"/>
          <w:szCs w:val="28"/>
          <w:highlight w:val="none"/>
          <w:lang w:val="en-US" w:eastAsia="zh-CN"/>
        </w:rPr>
        <w:t>4</w:t>
      </w:r>
      <w:r>
        <w:rPr>
          <w:rFonts w:hint="eastAsia" w:ascii="仿宋_GB2312" w:hAnsi="仿宋_GB2312" w:eastAsia="仿宋_GB2312" w:cs="仿宋_GB2312"/>
          <w:snapToGrid w:val="0"/>
          <w:kern w:val="0"/>
          <w:sz w:val="28"/>
          <w:szCs w:val="28"/>
          <w:highlight w:val="none"/>
          <w:lang w:eastAsia="zh-CN"/>
        </w:rPr>
        <w:t>月1日，</w:t>
      </w:r>
      <w:r>
        <w:rPr>
          <w:rFonts w:hint="eastAsia" w:ascii="仿宋_GB2312" w:hAnsi="仿宋_GB2312" w:eastAsia="仿宋_GB2312" w:cs="仿宋_GB2312"/>
          <w:snapToGrid w:val="0"/>
          <w:kern w:val="0"/>
          <w:sz w:val="28"/>
          <w:szCs w:val="28"/>
          <w:highlight w:val="none"/>
          <w:lang w:val="en-US" w:eastAsia="zh-CN"/>
        </w:rPr>
        <w:t>估价对象属于通道县商业服务业用地二级、居住用地二级</w:t>
      </w:r>
      <w:r>
        <w:rPr>
          <w:rFonts w:hint="eastAsia" w:ascii="仿宋_GB2312" w:hAnsi="仿宋_GB2312" w:eastAsia="仿宋_GB2312" w:cs="仿宋_GB2312"/>
          <w:sz w:val="28"/>
          <w:szCs w:val="30"/>
          <w:highlight w:val="none"/>
          <w:lang w:val="en-US" w:eastAsia="zh-CN"/>
        </w:rPr>
        <w:t>。</w:t>
      </w:r>
    </w:p>
    <w:p w14:paraId="1CEDA6B6">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30"/>
          <w:highlight w:val="none"/>
          <w:lang w:val="en-US" w:eastAsia="zh-CN"/>
        </w:rPr>
        <w:t>③</w:t>
      </w:r>
      <w:r>
        <w:rPr>
          <w:rFonts w:hint="eastAsia" w:ascii="仿宋_GB2312" w:hAnsi="仿宋_GB2312" w:eastAsia="仿宋_GB2312" w:cs="仿宋_GB2312"/>
          <w:sz w:val="28"/>
          <w:szCs w:val="30"/>
          <w:highlight w:val="none"/>
        </w:rPr>
        <w:t>经济发展：</w:t>
      </w:r>
      <w:r>
        <w:rPr>
          <w:rFonts w:hint="eastAsia" w:ascii="仿宋_GB2312" w:hAnsi="仿宋_GB2312" w:eastAsia="仿宋_GB2312" w:cs="仿宋_GB2312"/>
          <w:sz w:val="28"/>
          <w:szCs w:val="28"/>
          <w:highlight w:val="none"/>
          <w:lang w:val="en-US" w:eastAsia="zh-CN"/>
        </w:rPr>
        <w:t>根据《</w:t>
      </w:r>
      <w:r>
        <w:rPr>
          <w:rFonts w:hint="eastAsia" w:ascii="仿宋_GB2312" w:hAnsi="仿宋_GB2312" w:eastAsia="仿宋_GB2312" w:cs="仿宋_GB2312"/>
          <w:sz w:val="28"/>
          <w:szCs w:val="28"/>
          <w:highlight w:val="none"/>
          <w:lang w:eastAsia="zh-CN"/>
        </w:rPr>
        <w:t>2024年通道侗族自治县国民经济和社会发展统计公报》，</w:t>
      </w:r>
      <w:r>
        <w:rPr>
          <w:rFonts w:hint="eastAsia" w:ascii="仿宋_GB2312" w:hAnsi="仿宋_GB2312" w:eastAsia="仿宋_GB2312" w:cs="仿宋_GB2312"/>
          <w:sz w:val="28"/>
          <w:szCs w:val="28"/>
          <w:highlight w:val="none"/>
          <w:lang w:val="en-US" w:eastAsia="zh-CN"/>
        </w:rPr>
        <w:t>2024年全县地区生产总值75.11亿元，比上年增长5.0%。其中：第一产业增加值11.17亿元，增长3.4%；第二产业增加值25.41亿元，增长7.6%，第三产业增加值38.53亿元，增长3.6%。三次产业结构比为14.9:33.8:51.3。第一、二、三产业对经济增长的贡献率分别为11.4%、52.3%和36.3%。按常住人口计算，人均地区生产总值38470元，比上年增长6.3%</w:t>
      </w:r>
      <w:r>
        <w:rPr>
          <w:rFonts w:hint="eastAsia" w:ascii="仿宋_GB2312" w:hAnsi="仿宋_GB2312" w:eastAsia="仿宋_GB2312" w:cs="仿宋_GB2312"/>
          <w:sz w:val="28"/>
          <w:szCs w:val="28"/>
          <w:highlight w:val="none"/>
        </w:rPr>
        <w:t>。</w:t>
      </w:r>
    </w:p>
    <w:p w14:paraId="1896BF2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根据通道县2020-2024年统计数据，通道县近五年地区生产总值呈稳步增长趋势，从增速上看，2020至2021年间地区生产总值增长较快，2021至2023年间增长逐渐放缓。</w:t>
      </w:r>
    </w:p>
    <w:p w14:paraId="5C1DB1B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sz w:val="28"/>
          <w:szCs w:val="30"/>
          <w:highlight w:val="none"/>
          <w:lang w:eastAsia="zh-CN"/>
        </w:rPr>
      </w:pPr>
      <w:r>
        <w:rPr>
          <w:rFonts w:hint="eastAsia" w:ascii="仿宋_GB2312" w:hAnsi="仿宋_GB2312" w:eastAsia="仿宋_GB2312" w:cs="仿宋_GB2312"/>
          <w:sz w:val="28"/>
          <w:szCs w:val="30"/>
          <w:highlight w:val="none"/>
          <w:lang w:val="en-US" w:eastAsia="zh-CN"/>
        </w:rPr>
        <w:t>④</w:t>
      </w:r>
      <w:r>
        <w:rPr>
          <w:rFonts w:hint="eastAsia" w:ascii="仿宋_GB2312" w:hAnsi="仿宋_GB2312" w:eastAsia="仿宋_GB2312" w:cs="仿宋_GB2312"/>
          <w:sz w:val="28"/>
          <w:szCs w:val="30"/>
          <w:highlight w:val="none"/>
        </w:rPr>
        <w:t>区位优势：通道侗族自治县地处湘、桂、黔三省交汇处，是湖南对接大西南的重要门户，素有“南楚极地、北越襟喉”之称。地理上，位于云贵高原向岭南过渡地带，分属长江与珠江水系，兼具高原与丘陵地貌特征，连接湖南绥宁、城步，北接靖州，南邻广西三江、龙胜，西连贵州黎平，区位独特。209国道、221省道、焦柳铁路、包茂高速构成“四纵四横”主干路网，周边辐射桂林、黎平、芷江三座机场，并衔接贵广高铁、沪昆高铁及多条高速，形成铁路、公路、航空“三位一体”的立体交通格局，实现“南下两广、西进云贵、北通中原”的便捷联系。通道县位于湘桂黔渝文化旅游黄金走廊的关键节点，属桂林旅游经济辐射范围，是西南地区通往沿海的重要枢纽，具有承接多区域经济协作与文化旅游发展的突出优势。</w:t>
      </w:r>
    </w:p>
    <w:p w14:paraId="163525D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sz w:val="28"/>
          <w:szCs w:val="30"/>
          <w:highlight w:val="none"/>
          <w:lang w:val="en-US" w:eastAsia="zh-CN"/>
        </w:rPr>
      </w:pPr>
      <w:r>
        <w:rPr>
          <w:rFonts w:hint="eastAsia" w:ascii="仿宋_GB2312" w:hAnsi="仿宋_GB2312" w:eastAsia="仿宋_GB2312" w:cs="仿宋_GB2312"/>
          <w:sz w:val="28"/>
          <w:szCs w:val="30"/>
          <w:highlight w:val="none"/>
          <w:lang w:val="en-US" w:eastAsia="zh-CN"/>
        </w:rPr>
        <w:t>2.交通条件</w:t>
      </w:r>
    </w:p>
    <w:p w14:paraId="3505035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sz w:val="28"/>
          <w:szCs w:val="30"/>
          <w:highlight w:val="none"/>
        </w:rPr>
      </w:pPr>
      <w:r>
        <w:rPr>
          <w:rFonts w:hint="eastAsia" w:ascii="仿宋_GB2312" w:hAnsi="仿宋_GB2312" w:eastAsia="仿宋_GB2312" w:cs="仿宋_GB2312"/>
          <w:sz w:val="28"/>
          <w:szCs w:val="30"/>
          <w:highlight w:val="none"/>
        </w:rPr>
        <w:t>（1）区域内公共交通状况</w:t>
      </w:r>
    </w:p>
    <w:p w14:paraId="3377C28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ascii="仿宋_GB2312" w:eastAsia="仿宋_GB2312"/>
          <w:sz w:val="28"/>
          <w:szCs w:val="30"/>
          <w:highlight w:val="none"/>
        </w:rPr>
      </w:pPr>
      <w:r>
        <w:rPr>
          <w:rFonts w:hint="eastAsia" w:ascii="仿宋_GB2312" w:hAnsi="仿宋_GB2312" w:eastAsia="仿宋_GB2312" w:cs="仿宋_GB2312"/>
          <w:snapToGrid w:val="0"/>
          <w:color w:val="auto"/>
          <w:sz w:val="28"/>
          <w:szCs w:val="28"/>
          <w:highlight w:val="none"/>
        </w:rPr>
        <w:t>估价对象</w:t>
      </w:r>
      <w:r>
        <w:rPr>
          <w:rFonts w:hint="eastAsia" w:ascii="仿宋_GB2312" w:hAnsi="仿宋_GB2312" w:eastAsia="仿宋_GB2312" w:cs="仿宋_GB2312"/>
          <w:snapToGrid w:val="0"/>
          <w:color w:val="auto"/>
          <w:sz w:val="28"/>
          <w:szCs w:val="28"/>
          <w:highlight w:val="none"/>
          <w:lang w:val="en-US" w:eastAsia="zh-CN"/>
        </w:rPr>
        <w:t>西临行政街，</w:t>
      </w:r>
      <w:r>
        <w:rPr>
          <w:rFonts w:hint="eastAsia" w:ascii="仿宋_GB2312" w:hAnsi="仿宋_GB2312" w:eastAsia="仿宋_GB2312" w:cs="仿宋_GB2312"/>
          <w:snapToGrid w:val="0"/>
          <w:color w:val="auto"/>
          <w:sz w:val="28"/>
          <w:szCs w:val="28"/>
          <w:highlight w:val="none"/>
        </w:rPr>
        <w:t>区域内有</w:t>
      </w:r>
      <w:r>
        <w:rPr>
          <w:rFonts w:hint="eastAsia" w:ascii="仿宋_GB2312" w:hAnsi="仿宋_GB2312" w:eastAsia="仿宋_GB2312" w:cs="仿宋_GB2312"/>
          <w:snapToGrid w:val="0"/>
          <w:color w:val="auto"/>
          <w:sz w:val="28"/>
          <w:szCs w:val="28"/>
          <w:highlight w:val="none"/>
          <w:lang w:val="en-US" w:eastAsia="zh-CN"/>
        </w:rPr>
        <w:t>长征中路、友谊街、迎宾街街</w:t>
      </w:r>
      <w:r>
        <w:rPr>
          <w:rFonts w:hint="eastAsia" w:ascii="仿宋_GB2312" w:hAnsi="仿宋_GB2312" w:eastAsia="仿宋_GB2312" w:cs="仿宋_GB2312"/>
          <w:snapToGrid w:val="0"/>
          <w:color w:val="auto"/>
          <w:sz w:val="28"/>
          <w:szCs w:val="28"/>
          <w:highlight w:val="none"/>
        </w:rPr>
        <w:t>等城市主、次干道，</w:t>
      </w:r>
      <w:r>
        <w:rPr>
          <w:rFonts w:hint="eastAsia" w:ascii="仿宋_GB2312" w:hAnsi="仿宋_GB2312" w:eastAsia="仿宋_GB2312" w:cs="仿宋_GB2312"/>
          <w:snapToGrid w:val="0"/>
          <w:color w:val="auto"/>
          <w:sz w:val="28"/>
          <w:szCs w:val="28"/>
          <w:highlight w:val="none"/>
          <w:lang w:val="en-US" w:eastAsia="zh-CN"/>
        </w:rPr>
        <w:t>距文化馆公交站约100</w:t>
      </w:r>
      <w:r>
        <w:rPr>
          <w:rFonts w:hint="eastAsia" w:ascii="仿宋_GB2312" w:hAnsi="仿宋_GB2312" w:eastAsia="仿宋_GB2312" w:cs="仿宋_GB2312"/>
          <w:snapToGrid w:val="0"/>
          <w:color w:val="auto"/>
          <w:sz w:val="28"/>
          <w:szCs w:val="28"/>
          <w:highlight w:val="none"/>
        </w:rPr>
        <w:t>米</w:t>
      </w:r>
      <w:r>
        <w:rPr>
          <w:rFonts w:hint="eastAsia" w:ascii="仿宋_GB2312" w:hAnsi="仿宋_GB2312" w:eastAsia="仿宋_GB2312" w:cs="仿宋_GB2312"/>
          <w:snapToGrid w:val="0"/>
          <w:color w:val="auto"/>
          <w:sz w:val="28"/>
          <w:szCs w:val="28"/>
          <w:highlight w:val="none"/>
          <w:lang w:eastAsia="zh-CN"/>
        </w:rPr>
        <w:t>，</w:t>
      </w:r>
      <w:r>
        <w:rPr>
          <w:rFonts w:hint="eastAsia" w:ascii="仿宋_GB2312" w:hAnsi="仿宋_GB2312" w:eastAsia="仿宋_GB2312" w:cs="仿宋_GB2312"/>
          <w:snapToGrid w:val="0"/>
          <w:color w:val="auto"/>
          <w:sz w:val="28"/>
          <w:szCs w:val="28"/>
          <w:highlight w:val="none"/>
        </w:rPr>
        <w:t>距离</w:t>
      </w:r>
      <w:r>
        <w:rPr>
          <w:rFonts w:hint="eastAsia" w:ascii="仿宋_GB2312" w:hAnsi="仿宋_GB2312" w:eastAsia="仿宋_GB2312" w:cs="仿宋_GB2312"/>
          <w:snapToGrid w:val="0"/>
          <w:color w:val="auto"/>
          <w:sz w:val="28"/>
          <w:szCs w:val="28"/>
          <w:highlight w:val="none"/>
          <w:lang w:val="en-US" w:eastAsia="zh-CN"/>
        </w:rPr>
        <w:t>通道汽车站</w:t>
      </w:r>
      <w:r>
        <w:rPr>
          <w:rFonts w:hint="eastAsia" w:ascii="仿宋_GB2312" w:hAnsi="仿宋_GB2312" w:eastAsia="仿宋_GB2312" w:cs="仿宋_GB2312"/>
          <w:snapToGrid w:val="0"/>
          <w:color w:val="auto"/>
          <w:sz w:val="28"/>
          <w:szCs w:val="28"/>
          <w:highlight w:val="none"/>
        </w:rPr>
        <w:t>约</w:t>
      </w:r>
      <w:r>
        <w:rPr>
          <w:rFonts w:hint="eastAsia" w:ascii="仿宋_GB2312" w:hAnsi="仿宋_GB2312" w:eastAsia="仿宋_GB2312" w:cs="仿宋_GB2312"/>
          <w:snapToGrid w:val="0"/>
          <w:color w:val="auto"/>
          <w:sz w:val="28"/>
          <w:szCs w:val="28"/>
          <w:highlight w:val="none"/>
          <w:lang w:val="en-US" w:eastAsia="zh-CN"/>
        </w:rPr>
        <w:t>650</w:t>
      </w:r>
      <w:r>
        <w:rPr>
          <w:rFonts w:hint="eastAsia" w:ascii="仿宋_GB2312" w:hAnsi="仿宋_GB2312" w:eastAsia="仿宋_GB2312" w:cs="仿宋_GB2312"/>
          <w:snapToGrid w:val="0"/>
          <w:color w:val="auto"/>
          <w:sz w:val="28"/>
          <w:szCs w:val="28"/>
          <w:highlight w:val="none"/>
        </w:rPr>
        <w:t>米，区域内交通便捷度</w:t>
      </w:r>
      <w:r>
        <w:rPr>
          <w:rFonts w:hint="eastAsia" w:ascii="仿宋_GB2312" w:hAnsi="仿宋_GB2312" w:eastAsia="仿宋_GB2312" w:cs="仿宋_GB2312"/>
          <w:snapToGrid w:val="0"/>
          <w:color w:val="auto"/>
          <w:sz w:val="28"/>
          <w:szCs w:val="28"/>
          <w:highlight w:val="none"/>
          <w:lang w:val="en-US" w:eastAsia="zh-CN"/>
        </w:rPr>
        <w:t>较优</w:t>
      </w:r>
      <w:r>
        <w:rPr>
          <w:rFonts w:hint="eastAsia" w:ascii="仿宋_GB2312" w:eastAsia="仿宋_GB2312"/>
          <w:sz w:val="28"/>
          <w:szCs w:val="30"/>
          <w:highlight w:val="none"/>
        </w:rPr>
        <w:t>。</w:t>
      </w:r>
    </w:p>
    <w:p w14:paraId="3D4DF2C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（2）对外交通条件</w:t>
      </w:r>
    </w:p>
    <w:p w14:paraId="6D84451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hAnsi="仿宋_GB2312" w:eastAsia="仿宋_GB2312" w:cs="仿宋_GB2312"/>
          <w:bCs/>
          <w:sz w:val="28"/>
          <w:szCs w:val="28"/>
          <w:highlight w:val="none"/>
          <w:lang w:val="en-US" w:eastAsia="zh-CN"/>
        </w:rPr>
        <w:t>①公路：</w:t>
      </w:r>
      <w:r>
        <w:rPr>
          <w:rFonts w:hint="eastAsia" w:ascii="仿宋_GB2312" w:hAnsi="仿宋_GB2312" w:eastAsia="仿宋_GB2312" w:cs="仿宋_GB2312"/>
          <w:snapToGrid w:val="0"/>
          <w:color w:val="auto"/>
          <w:sz w:val="28"/>
          <w:szCs w:val="28"/>
          <w:highlight w:val="none"/>
          <w:lang w:val="en-US" w:eastAsia="zh-CN"/>
        </w:rPr>
        <w:t>估价对象</w:t>
      </w:r>
      <w:r>
        <w:rPr>
          <w:rFonts w:hint="eastAsia" w:ascii="仿宋_GB2312" w:hAnsi="仿宋_GB2312" w:eastAsia="仿宋_GB2312" w:cs="仿宋_GB2312"/>
          <w:snapToGrid w:val="0"/>
          <w:color w:val="auto"/>
          <w:sz w:val="28"/>
          <w:szCs w:val="28"/>
          <w:highlight w:val="none"/>
        </w:rPr>
        <w:t>距离</w:t>
      </w:r>
      <w:r>
        <w:rPr>
          <w:rFonts w:hint="eastAsia" w:ascii="仿宋_GB2312" w:hAnsi="仿宋_GB2312" w:eastAsia="仿宋_GB2312" w:cs="仿宋_GB2312"/>
          <w:snapToGrid w:val="0"/>
          <w:color w:val="auto"/>
          <w:sz w:val="28"/>
          <w:szCs w:val="28"/>
          <w:highlight w:val="none"/>
          <w:lang w:val="en-US" w:eastAsia="zh-CN"/>
        </w:rPr>
        <w:t>包茂高速出入口</w:t>
      </w:r>
      <w:r>
        <w:rPr>
          <w:rFonts w:hint="eastAsia" w:ascii="仿宋_GB2312" w:hAnsi="仿宋_GB2312" w:eastAsia="仿宋_GB2312" w:cs="仿宋_GB2312"/>
          <w:snapToGrid w:val="0"/>
          <w:color w:val="auto"/>
          <w:sz w:val="28"/>
          <w:szCs w:val="28"/>
          <w:highlight w:val="none"/>
        </w:rPr>
        <w:t>约</w:t>
      </w:r>
      <w:r>
        <w:rPr>
          <w:rFonts w:hint="eastAsia" w:ascii="仿宋_GB2312" w:hAnsi="仿宋_GB2312" w:eastAsia="仿宋_GB2312" w:cs="仿宋_GB2312"/>
          <w:snapToGrid w:val="0"/>
          <w:color w:val="auto"/>
          <w:sz w:val="28"/>
          <w:szCs w:val="28"/>
          <w:highlight w:val="none"/>
          <w:lang w:val="en-US" w:eastAsia="zh-CN"/>
        </w:rPr>
        <w:t>2700</w:t>
      </w:r>
      <w:r>
        <w:rPr>
          <w:rFonts w:hint="eastAsia" w:ascii="仿宋_GB2312" w:hAnsi="仿宋_GB2312" w:eastAsia="仿宋_GB2312" w:cs="仿宋_GB2312"/>
          <w:snapToGrid w:val="0"/>
          <w:color w:val="auto"/>
          <w:sz w:val="28"/>
          <w:szCs w:val="28"/>
          <w:highlight w:val="none"/>
        </w:rPr>
        <w:t>米</w:t>
      </w:r>
      <w:r>
        <w:rPr>
          <w:rFonts w:hint="eastAsia" w:ascii="仿宋_GB2312" w:hAnsi="仿宋_GB2312" w:eastAsia="仿宋_GB2312" w:cs="仿宋_GB2312"/>
          <w:snapToGrid w:val="0"/>
          <w:color w:val="auto"/>
          <w:sz w:val="28"/>
          <w:szCs w:val="28"/>
          <w:highlight w:val="none"/>
          <w:lang w:eastAsia="zh-CN"/>
        </w:rPr>
        <w:t>，</w:t>
      </w:r>
      <w:r>
        <w:rPr>
          <w:rFonts w:hint="eastAsia" w:ascii="仿宋_GB2312" w:eastAsia="仿宋_GB2312"/>
          <w:sz w:val="28"/>
          <w:szCs w:val="30"/>
          <w:highlight w:val="none"/>
        </w:rPr>
        <w:t>区域的外联道路主要有</w:t>
      </w:r>
      <w:r>
        <w:rPr>
          <w:rFonts w:hint="eastAsia" w:ascii="仿宋_GB2312" w:eastAsia="仿宋_GB2312"/>
          <w:sz w:val="28"/>
          <w:szCs w:val="30"/>
          <w:highlight w:val="none"/>
          <w:lang w:val="en-US" w:eastAsia="zh-CN"/>
        </w:rPr>
        <w:t>G209、S241、S252</w:t>
      </w:r>
      <w:r>
        <w:rPr>
          <w:rFonts w:hint="eastAsia" w:ascii="仿宋_GB2312" w:eastAsia="仿宋_GB2312"/>
          <w:sz w:val="28"/>
          <w:szCs w:val="30"/>
          <w:highlight w:val="none"/>
        </w:rPr>
        <w:t>等干线交会，为区域内对外开放奠定了良好的基础，区位优势明显，交通十分便利。</w:t>
      </w:r>
    </w:p>
    <w:p w14:paraId="6031514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②铁路：通道火车站主要线路为焦柳线铁路，估价对象所在区域中心距离最近火车站牙屯堡站约16.5公里。</w:t>
      </w:r>
    </w:p>
    <w:p w14:paraId="4127F1C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③高铁：估价对象区域距怀化高铁站约152公里。</w:t>
      </w:r>
    </w:p>
    <w:p w14:paraId="1D8CBE2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④航空：估价对象区域距离最近的机场为怀化芷江机场约143公里。</w:t>
      </w:r>
    </w:p>
    <w:p w14:paraId="097CF3E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⑤水运：通道县区域境内主要河流为双江河，水位较浅，未形成水运条件，水运主要依托长沙湘江流域。</w:t>
      </w:r>
    </w:p>
    <w:p w14:paraId="274E582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3.基础设施和市政公用设施</w:t>
      </w:r>
    </w:p>
    <w:p w14:paraId="17C796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（1）供电：区域内接市政双回路110KV供电管网，供电保证率高。</w:t>
      </w:r>
    </w:p>
    <w:p w14:paraId="1024AB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（2）通讯：区域内通讯与市政通讯网相联，通讯线路以地下管道为主，辅以架空线路，通讯线路畅通，区内已实现移动电话全国漫游，区内全面铺设了高速宽带通讯光缆。</w:t>
      </w:r>
    </w:p>
    <w:p w14:paraId="6BC3CDF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（3）给水：区域内供水主要来自区内的市政供水。自来水供应管道标准φ1000mm、φ800mm、φ600mm，供水保证率高。</w:t>
      </w:r>
    </w:p>
    <w:p w14:paraId="15DCC52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（4）排水：区内排水为雨污分流方式，排污管沿主要道路铺设，以污水处理厂为终结，市政排水体系完备。</w:t>
      </w:r>
    </w:p>
    <w:p w14:paraId="394B1CC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（5）通气：/。</w:t>
      </w:r>
    </w:p>
    <w:p w14:paraId="57387F7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（6）供暖：/。</w:t>
      </w:r>
    </w:p>
    <w:p w14:paraId="035AC67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4.环境条件</w:t>
      </w:r>
    </w:p>
    <w:p w14:paraId="5674D67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（1）人文环境</w:t>
      </w:r>
    </w:p>
    <w:p w14:paraId="6A5B46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hAnsi="仿宋_GB2312" w:eastAsia="仿宋_GB2312" w:cs="仿宋_GB2312"/>
          <w:snapToGrid w:val="0"/>
          <w:sz w:val="28"/>
          <w:szCs w:val="28"/>
          <w:highlight w:val="none"/>
        </w:rPr>
        <w:t>区域内有居民受教育程度较好，人文环境较好</w:t>
      </w:r>
      <w:r>
        <w:rPr>
          <w:rFonts w:hint="eastAsia" w:ascii="仿宋_GB2312" w:eastAsia="仿宋_GB2312"/>
          <w:sz w:val="28"/>
          <w:szCs w:val="30"/>
          <w:highlight w:val="none"/>
        </w:rPr>
        <w:t>。</w:t>
      </w:r>
    </w:p>
    <w:p w14:paraId="0BA6FE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（2）自然环境</w:t>
      </w:r>
    </w:p>
    <w:p w14:paraId="6007A2D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eastAsia="仿宋_GB2312"/>
          <w:sz w:val="28"/>
          <w:szCs w:val="30"/>
          <w:highlight w:val="none"/>
          <w:lang w:val="en-US" w:eastAsia="zh-CN"/>
        </w:rPr>
      </w:pPr>
      <w:r>
        <w:rPr>
          <w:rFonts w:hint="eastAsia" w:ascii="仿宋_GB2312" w:eastAsia="仿宋_GB2312"/>
          <w:sz w:val="28"/>
          <w:szCs w:val="30"/>
          <w:highlight w:val="none"/>
        </w:rPr>
        <w:t>宗地所在区域，地质条件较好，宗地无异常地质现象，地基承载力</w:t>
      </w:r>
      <w:r>
        <w:rPr>
          <w:rFonts w:hint="eastAsia" w:ascii="仿宋_GB2312" w:eastAsia="仿宋_GB2312"/>
          <w:sz w:val="28"/>
          <w:szCs w:val="30"/>
          <w:highlight w:val="none"/>
          <w:lang w:val="en-US" w:eastAsia="zh-CN"/>
        </w:rPr>
        <w:t>大于25</w:t>
      </w:r>
      <w:r>
        <w:rPr>
          <w:rFonts w:hint="eastAsia" w:ascii="仿宋_GB2312" w:eastAsia="仿宋_GB2312"/>
          <w:sz w:val="28"/>
          <w:szCs w:val="30"/>
          <w:highlight w:val="none"/>
        </w:rPr>
        <w:t>吨/平方米，地势平坦。区域内无大型污染性企业，据史料记载，区域内自然灾害率大于100年一遇</w:t>
      </w:r>
      <w:r>
        <w:rPr>
          <w:rFonts w:hint="eastAsia" w:ascii="仿宋_GB2312" w:eastAsia="仿宋_GB2312"/>
          <w:sz w:val="28"/>
          <w:szCs w:val="30"/>
          <w:highlight w:val="none"/>
          <w:lang w:eastAsia="zh-CN"/>
        </w:rPr>
        <w:t>，</w:t>
      </w:r>
      <w:r>
        <w:rPr>
          <w:rFonts w:hint="eastAsia" w:ascii="仿宋_GB2312" w:eastAsia="仿宋_GB2312"/>
          <w:sz w:val="28"/>
          <w:szCs w:val="30"/>
          <w:highlight w:val="none"/>
          <w:lang w:val="en-US" w:eastAsia="zh-CN"/>
        </w:rPr>
        <w:t>自然环境较好。</w:t>
      </w:r>
    </w:p>
    <w:p w14:paraId="5A1061C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5.商服繁华程度</w:t>
      </w:r>
    </w:p>
    <w:p w14:paraId="7B4D83E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color w:val="auto"/>
          <w:sz w:val="28"/>
          <w:szCs w:val="28"/>
          <w:highlight w:val="none"/>
        </w:rPr>
        <w:t>宗地所在区域</w:t>
      </w:r>
      <w:r>
        <w:rPr>
          <w:rFonts w:hint="eastAsia" w:ascii="仿宋_GB2312" w:hAnsi="仿宋_GB2312" w:eastAsia="仿宋_GB2312" w:cs="仿宋_GB2312"/>
          <w:color w:val="auto"/>
          <w:sz w:val="28"/>
          <w:szCs w:val="28"/>
          <w:highlight w:val="none"/>
          <w:lang w:val="en-US" w:eastAsia="zh-CN"/>
        </w:rPr>
        <w:t>距商服中心大统发购物广场650米</w:t>
      </w:r>
      <w:r>
        <w:rPr>
          <w:rFonts w:hint="eastAsia" w:ascii="仿宋_GB2312" w:hAnsi="仿宋_GB2312" w:eastAsia="仿宋_GB2312" w:cs="仿宋_GB2312"/>
          <w:color w:val="auto"/>
          <w:sz w:val="28"/>
          <w:szCs w:val="28"/>
          <w:highlight w:val="none"/>
        </w:rPr>
        <w:t>，商服繁华影响度</w:t>
      </w:r>
      <w:r>
        <w:rPr>
          <w:rFonts w:hint="eastAsia" w:ascii="仿宋_GB2312" w:hAnsi="仿宋_GB2312" w:eastAsia="仿宋_GB2312" w:cs="仿宋_GB2312"/>
          <w:color w:val="auto"/>
          <w:sz w:val="28"/>
          <w:szCs w:val="28"/>
          <w:highlight w:val="none"/>
          <w:lang w:val="en-US" w:eastAsia="zh-CN"/>
        </w:rPr>
        <w:t>较优</w:t>
      </w:r>
      <w:r>
        <w:rPr>
          <w:rFonts w:hint="eastAsia" w:ascii="仿宋_GB2312" w:hAnsi="仿宋_GB2312" w:eastAsia="仿宋_GB2312" w:cs="仿宋_GB2312"/>
          <w:bCs/>
          <w:sz w:val="28"/>
          <w:szCs w:val="28"/>
          <w:highlight w:val="none"/>
          <w:lang w:val="en-US" w:eastAsia="zh-CN"/>
        </w:rPr>
        <w:t>。</w:t>
      </w:r>
    </w:p>
    <w:p w14:paraId="5E61182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6.规划限制</w:t>
      </w:r>
    </w:p>
    <w:p w14:paraId="35A252B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sz w:val="28"/>
          <w:highlight w:val="none"/>
          <w:lang w:val="en-US" w:eastAsia="zh-CN"/>
        </w:rPr>
        <w:t>估价对象所在区域周边土地利用类型主要规划为商业服务业用地、居住用地，具体的开发建设必须符合规划管理部门的控制性详细规划</w:t>
      </w:r>
      <w:r>
        <w:rPr>
          <w:rFonts w:hint="eastAsia" w:ascii="仿宋_GB2312" w:hAnsi="仿宋_GB2312" w:eastAsia="仿宋_GB2312" w:cs="仿宋_GB2312"/>
          <w:bCs/>
          <w:sz w:val="28"/>
          <w:szCs w:val="28"/>
          <w:highlight w:val="none"/>
          <w:lang w:val="en-US" w:eastAsia="zh-CN"/>
        </w:rPr>
        <w:t>。</w:t>
      </w:r>
    </w:p>
    <w:p w14:paraId="0AD98C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7.微观区域因素</w:t>
      </w:r>
    </w:p>
    <w:p w14:paraId="4EA5EF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估价对象位于通道县行政街以东，估价对象交通由长征中路、行政街、友谊街、迎宾街构成路网，汇入各条主干道，区域交通条件较好。距最近公交站点文化馆100米，公交便捷度优；距最近汽车站（通道汽</w:t>
      </w:r>
      <w:r>
        <w:rPr>
          <w:rFonts w:hint="eastAsia" w:ascii="仿宋_GB2312" w:eastAsia="仿宋_GB2312"/>
          <w:sz w:val="28"/>
          <w:szCs w:val="30"/>
          <w:highlight w:val="none"/>
          <w:lang w:val="en-US" w:eastAsia="zh-CN"/>
        </w:rPr>
        <w:t>车站）约650米</w:t>
      </w:r>
      <w:r>
        <w:rPr>
          <w:rFonts w:hint="eastAsia" w:ascii="仿宋_GB2312" w:hAnsi="仿宋_GB2312" w:eastAsia="仿宋_GB2312" w:cs="仿宋_GB2312"/>
          <w:bCs/>
          <w:sz w:val="28"/>
          <w:szCs w:val="28"/>
          <w:highlight w:val="none"/>
          <w:lang w:val="en-US" w:eastAsia="zh-CN"/>
        </w:rPr>
        <w:t xml:space="preserve">，距汽车站距离较优，距离最近火车站（牙屯堡站）约16.5公里，距火车站距离劣；区域基础设施状况好，水电综合保障率达95%以上。  </w:t>
      </w:r>
    </w:p>
    <w:p w14:paraId="4D0CFE9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综合考虑以上影响地价区域因素，评估分析：估价对象所在区域公交便捷度优，道路通达度较优，对外交通便利度较优，基础设施齐全，商业繁华影响度较优，地质条件好，区域无特殊规划限制。</w:t>
      </w:r>
    </w:p>
    <w:p w14:paraId="3C306AD4">
      <w:pPr>
        <w:keepNext w:val="0"/>
        <w:keepLines w:val="0"/>
        <w:pageBreakBefore w:val="0"/>
        <w:widowControl w:val="0"/>
        <w:numPr>
          <w:ilvl w:val="0"/>
          <w:numId w:val="0"/>
        </w:numPr>
        <w:kinsoku/>
        <w:wordWrap/>
        <w:overflowPunct/>
        <w:topLinePunct w:val="0"/>
        <w:autoSpaceDE/>
        <w:autoSpaceDN/>
        <w:bidi w:val="0"/>
        <w:spacing w:line="480" w:lineRule="exact"/>
        <w:ind w:firstLine="560" w:firstLineChars="200"/>
        <w:textAlignment w:val="auto"/>
        <w:outlineLvl w:val="2"/>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kern w:val="2"/>
          <w:sz w:val="28"/>
          <w:szCs w:val="28"/>
          <w:highlight w:val="none"/>
          <w:lang w:val="en-US" w:eastAsia="zh-CN" w:bidi="ar-SA"/>
        </w:rPr>
        <w:t>（三）</w:t>
      </w:r>
      <w:r>
        <w:rPr>
          <w:rFonts w:hint="default" w:ascii="仿宋_GB2312" w:hAnsi="仿宋_GB2312" w:eastAsia="仿宋_GB2312" w:cs="仿宋_GB2312"/>
          <w:bCs/>
          <w:sz w:val="28"/>
          <w:szCs w:val="28"/>
          <w:highlight w:val="none"/>
          <w:lang w:val="en-US" w:eastAsia="zh-CN"/>
        </w:rPr>
        <w:t>个别因素</w:t>
      </w:r>
    </w:p>
    <w:p w14:paraId="73529250">
      <w:pPr>
        <w:keepNext w:val="0"/>
        <w:keepLines w:val="0"/>
        <w:pageBreakBefore w:val="0"/>
        <w:widowControl w:val="0"/>
        <w:numPr>
          <w:ilvl w:val="0"/>
          <w:numId w:val="0"/>
        </w:numPr>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影响地价的个别因素主要是指宗地自身的地价影响因素，即宗地本身的条件和特征，是决定同一均质地域内地块差异和地价差异的重要因素。包括估价对象位置、面积、用途、土地利用现状、临街状况、宗地形状、地质条件、地势、容积率、宗地基础设施条件等。个别因素状况描述如下：</w:t>
      </w:r>
    </w:p>
    <w:p w14:paraId="36F89BEA">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w:t>
      </w:r>
      <w:r>
        <w:rPr>
          <w:rFonts w:hint="default" w:ascii="仿宋_GB2312" w:hAnsi="仿宋_GB2312" w:eastAsia="仿宋_GB2312" w:cs="仿宋_GB2312"/>
          <w:bCs/>
          <w:sz w:val="28"/>
          <w:szCs w:val="28"/>
          <w:highlight w:val="none"/>
          <w:lang w:val="en-US" w:eastAsia="zh-CN"/>
        </w:rPr>
        <w:t>估价期日土地使用者：</w:t>
      </w:r>
      <w:r>
        <w:rPr>
          <w:rFonts w:hint="eastAsia" w:ascii="仿宋_GB2312" w:hAnsi="仿宋_GB2312" w:eastAsia="仿宋_GB2312" w:cs="仿宋_GB2312"/>
          <w:bCs/>
          <w:sz w:val="28"/>
          <w:szCs w:val="28"/>
          <w:highlight w:val="none"/>
          <w:lang w:val="en-US" w:eastAsia="zh-CN"/>
        </w:rPr>
        <w:t>通道侗族自治县国有资产监督管理办公室</w:t>
      </w:r>
      <w:r>
        <w:rPr>
          <w:rFonts w:hint="default" w:ascii="仿宋_GB2312" w:hAnsi="仿宋_GB2312" w:eastAsia="仿宋_GB2312" w:cs="仿宋_GB2312"/>
          <w:bCs/>
          <w:sz w:val="28"/>
          <w:szCs w:val="28"/>
          <w:highlight w:val="none"/>
          <w:lang w:val="en-US" w:eastAsia="zh-CN"/>
        </w:rPr>
        <w:t>；</w:t>
      </w:r>
    </w:p>
    <w:p w14:paraId="29DC2912">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w:t>
      </w:r>
      <w:r>
        <w:rPr>
          <w:rFonts w:hint="default" w:ascii="仿宋_GB2312" w:hAnsi="仿宋_GB2312" w:eastAsia="仿宋_GB2312" w:cs="仿宋_GB2312"/>
          <w:bCs/>
          <w:sz w:val="28"/>
          <w:szCs w:val="28"/>
          <w:highlight w:val="none"/>
          <w:lang w:val="en-US" w:eastAsia="zh-CN"/>
        </w:rPr>
        <w:t>宗地位置：</w:t>
      </w:r>
      <w:r>
        <w:rPr>
          <w:rFonts w:hint="eastAsia" w:ascii="仿宋_GB2312" w:hAnsi="仿宋_GB2312" w:eastAsia="仿宋_GB2312" w:cs="仿宋_GB2312"/>
          <w:bCs/>
          <w:sz w:val="28"/>
          <w:szCs w:val="28"/>
          <w:highlight w:val="none"/>
          <w:lang w:val="en-US" w:eastAsia="zh-CN"/>
        </w:rPr>
        <w:t>通道县双江镇行政街331/1-2幢整栋</w:t>
      </w:r>
      <w:r>
        <w:rPr>
          <w:rFonts w:hint="default" w:ascii="仿宋_GB2312" w:hAnsi="仿宋_GB2312" w:eastAsia="仿宋_GB2312" w:cs="仿宋_GB2312"/>
          <w:bCs/>
          <w:sz w:val="28"/>
          <w:szCs w:val="28"/>
          <w:highlight w:val="none"/>
          <w:lang w:val="en-US" w:eastAsia="zh-CN"/>
        </w:rPr>
        <w:t>；</w:t>
      </w:r>
    </w:p>
    <w:p w14:paraId="7FC4989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w:t>
      </w:r>
      <w:r>
        <w:rPr>
          <w:rFonts w:hint="default" w:ascii="仿宋_GB2312" w:hAnsi="仿宋_GB2312" w:eastAsia="仿宋_GB2312" w:cs="仿宋_GB2312"/>
          <w:bCs/>
          <w:sz w:val="28"/>
          <w:szCs w:val="28"/>
          <w:highlight w:val="none"/>
          <w:lang w:val="en-US" w:eastAsia="zh-CN"/>
        </w:rPr>
        <w:t>宗地面积：根据委托方提供的</w:t>
      </w:r>
      <w:r>
        <w:rPr>
          <w:rFonts w:hint="eastAsia" w:ascii="仿宋_GB2312" w:hAnsi="仿宋_GB2312" w:eastAsia="仿宋_GB2312" w:cs="仿宋_GB2312"/>
          <w:bCs/>
          <w:sz w:val="28"/>
          <w:szCs w:val="28"/>
          <w:highlight w:val="none"/>
          <w:lang w:val="en-US" w:eastAsia="zh-CN"/>
        </w:rPr>
        <w:t>《土地资产评估委托书》，</w:t>
      </w:r>
      <w:r>
        <w:rPr>
          <w:rFonts w:hint="default" w:ascii="仿宋_GB2312" w:hAnsi="仿宋_GB2312" w:eastAsia="仿宋_GB2312" w:cs="仿宋_GB2312"/>
          <w:bCs/>
          <w:sz w:val="28"/>
          <w:szCs w:val="28"/>
          <w:highlight w:val="none"/>
          <w:lang w:val="en-US" w:eastAsia="zh-CN"/>
        </w:rPr>
        <w:t>估价对象分摊土地使用权面积为</w:t>
      </w:r>
      <w:r>
        <w:rPr>
          <w:rFonts w:hint="eastAsia" w:ascii="仿宋_GB2312" w:hAnsi="仿宋_GB2312" w:eastAsia="仿宋_GB2312" w:cs="仿宋_GB2312"/>
          <w:bCs/>
          <w:sz w:val="28"/>
          <w:szCs w:val="28"/>
          <w:highlight w:val="none"/>
          <w:lang w:val="en-US" w:eastAsia="zh-CN"/>
        </w:rPr>
        <w:t>183.27平方米，面积过小，对土地利用产生严重的影响</w:t>
      </w:r>
      <w:r>
        <w:rPr>
          <w:rFonts w:hint="default" w:ascii="仿宋_GB2312" w:hAnsi="仿宋_GB2312" w:eastAsia="仿宋_GB2312" w:cs="仿宋_GB2312"/>
          <w:bCs/>
          <w:sz w:val="28"/>
          <w:szCs w:val="28"/>
          <w:highlight w:val="none"/>
          <w:lang w:val="en-US" w:eastAsia="zh-CN"/>
        </w:rPr>
        <w:t>；</w:t>
      </w:r>
    </w:p>
    <w:p w14:paraId="72A6466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w:t>
      </w:r>
      <w:r>
        <w:rPr>
          <w:rFonts w:hint="default" w:ascii="仿宋_GB2312" w:hAnsi="仿宋_GB2312" w:eastAsia="仿宋_GB2312" w:cs="仿宋_GB2312"/>
          <w:bCs/>
          <w:sz w:val="28"/>
          <w:szCs w:val="28"/>
          <w:highlight w:val="none"/>
          <w:lang w:val="en-US" w:eastAsia="zh-CN"/>
        </w:rPr>
        <w:t>土地用途</w:t>
      </w:r>
      <w:r>
        <w:rPr>
          <w:rFonts w:hint="eastAsia" w:ascii="仿宋_GB2312" w:hAnsi="仿宋_GB2312" w:eastAsia="仿宋_GB2312" w:cs="仿宋_GB2312"/>
          <w:bCs/>
          <w:sz w:val="28"/>
          <w:szCs w:val="28"/>
          <w:highlight w:val="none"/>
          <w:lang w:val="en-US" w:eastAsia="zh-CN"/>
        </w:rPr>
        <w:t>：</w:t>
      </w:r>
      <w:r>
        <w:rPr>
          <w:rFonts w:hint="eastAsia" w:ascii="仿宋_GB2312" w:hAnsi="仿宋_GB2312" w:eastAsia="仿宋_GB2312" w:cs="仿宋_GB2312"/>
          <w:bCs/>
          <w:color w:val="auto"/>
          <w:sz w:val="28"/>
          <w:szCs w:val="28"/>
          <w:highlight w:val="none"/>
          <w:lang w:val="en-US" w:eastAsia="zh-CN"/>
        </w:rPr>
        <w:t>商服用地、</w:t>
      </w:r>
      <w:r>
        <w:rPr>
          <w:rFonts w:hint="eastAsia" w:ascii="仿宋_GB2312" w:hAnsi="仿宋_GB2312" w:eastAsia="仿宋_GB2312" w:cs="仿宋_GB2312"/>
          <w:bCs/>
          <w:color w:val="auto"/>
          <w:sz w:val="28"/>
          <w:szCs w:val="28"/>
          <w:highlight w:val="none"/>
          <w:lang w:val="en-GB" w:eastAsia="zh-CN"/>
        </w:rPr>
        <w:t>住宅用地（</w:t>
      </w:r>
      <w:r>
        <w:rPr>
          <w:rFonts w:hint="eastAsia" w:ascii="仿宋_GB2312" w:hAnsi="仿宋_GB2312" w:eastAsia="仿宋_GB2312" w:cs="仿宋_GB2312"/>
          <w:bCs/>
          <w:color w:val="auto"/>
          <w:sz w:val="28"/>
          <w:szCs w:val="28"/>
          <w:highlight w:val="none"/>
          <w:lang w:val="en-US" w:eastAsia="zh-CN"/>
        </w:rPr>
        <w:t>商住比22.03%：77.97%</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sz w:val="28"/>
          <w:szCs w:val="28"/>
          <w:highlight w:val="none"/>
          <w:lang w:val="en-US" w:eastAsia="zh-CN"/>
        </w:rPr>
        <w:t>；</w:t>
      </w:r>
    </w:p>
    <w:p w14:paraId="297FA32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highlight w:val="none"/>
          <w:lang w:val="en-US" w:eastAsia="zh-CN"/>
        </w:rPr>
      </w:pPr>
      <w:r>
        <w:rPr>
          <w:rFonts w:hint="eastAsia" w:ascii="仿宋_GB2312" w:hAnsi="仿宋_GB2312" w:eastAsia="仿宋_GB2312" w:cs="仿宋_GB2312"/>
          <w:bCs/>
          <w:sz w:val="28"/>
          <w:szCs w:val="28"/>
          <w:highlight w:val="none"/>
          <w:lang w:val="en-US" w:eastAsia="zh-CN"/>
        </w:rPr>
        <w:t>5.</w:t>
      </w:r>
      <w:r>
        <w:rPr>
          <w:rFonts w:hint="default" w:ascii="仿宋_GB2312" w:hAnsi="仿宋_GB2312" w:eastAsia="仿宋_GB2312" w:cs="仿宋_GB2312"/>
          <w:bCs/>
          <w:sz w:val="28"/>
          <w:szCs w:val="28"/>
          <w:highlight w:val="none"/>
          <w:lang w:val="en-US" w:eastAsia="zh-CN"/>
        </w:rPr>
        <w:t>宗地临街状况：</w:t>
      </w:r>
      <w:r>
        <w:rPr>
          <w:rFonts w:hint="eastAsia" w:ascii="仿宋_GB2312" w:hAnsi="仿宋_GB2312" w:eastAsia="仿宋_GB2312" w:cs="仿宋_GB2312"/>
          <w:bCs/>
          <w:sz w:val="28"/>
          <w:szCs w:val="28"/>
          <w:highlight w:val="none"/>
          <w:lang w:val="en-US" w:eastAsia="zh-CN"/>
        </w:rPr>
        <w:t>西临行政街；</w:t>
      </w:r>
    </w:p>
    <w:p w14:paraId="07723DD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w:t>
      </w:r>
      <w:r>
        <w:rPr>
          <w:rFonts w:hint="default" w:ascii="仿宋_GB2312" w:hAnsi="仿宋_GB2312" w:eastAsia="仿宋_GB2312" w:cs="仿宋_GB2312"/>
          <w:bCs/>
          <w:sz w:val="28"/>
          <w:szCs w:val="28"/>
          <w:highlight w:val="none"/>
          <w:lang w:val="en-US" w:eastAsia="zh-CN"/>
        </w:rPr>
        <w:t>宗地形状：形状</w:t>
      </w:r>
      <w:r>
        <w:rPr>
          <w:rFonts w:hint="eastAsia" w:ascii="仿宋_GB2312" w:hAnsi="仿宋_GB2312" w:eastAsia="仿宋_GB2312" w:cs="仿宋_GB2312"/>
          <w:bCs/>
          <w:sz w:val="28"/>
          <w:szCs w:val="28"/>
          <w:highlight w:val="none"/>
          <w:lang w:val="en-US" w:eastAsia="zh-CN"/>
        </w:rPr>
        <w:t>基本</w:t>
      </w:r>
      <w:r>
        <w:rPr>
          <w:rFonts w:hint="default" w:ascii="仿宋_GB2312" w:hAnsi="仿宋_GB2312" w:eastAsia="仿宋_GB2312" w:cs="仿宋_GB2312"/>
          <w:bCs/>
          <w:sz w:val="28"/>
          <w:szCs w:val="28"/>
          <w:highlight w:val="none"/>
          <w:lang w:val="en-US" w:eastAsia="zh-CN"/>
        </w:rPr>
        <w:t>规则，不影响宗地利用；</w:t>
      </w:r>
    </w:p>
    <w:p w14:paraId="6A4C63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7.</w:t>
      </w:r>
      <w:r>
        <w:rPr>
          <w:rFonts w:hint="default" w:ascii="仿宋_GB2312" w:hAnsi="仿宋_GB2312" w:eastAsia="仿宋_GB2312" w:cs="仿宋_GB2312"/>
          <w:bCs/>
          <w:sz w:val="28"/>
          <w:szCs w:val="28"/>
          <w:highlight w:val="none"/>
          <w:lang w:val="en-US" w:eastAsia="zh-CN"/>
        </w:rPr>
        <w:t>地质条件：宗地所在区域地质条件优，承载力大于等于25吨/平方米；</w:t>
      </w:r>
    </w:p>
    <w:p w14:paraId="0D8FE4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8.</w:t>
      </w:r>
      <w:r>
        <w:rPr>
          <w:rFonts w:hint="default" w:ascii="仿宋_GB2312" w:hAnsi="仿宋_GB2312" w:eastAsia="仿宋_GB2312" w:cs="仿宋_GB2312"/>
          <w:bCs/>
          <w:sz w:val="28"/>
          <w:szCs w:val="28"/>
          <w:highlight w:val="none"/>
          <w:lang w:val="en-US" w:eastAsia="zh-CN"/>
        </w:rPr>
        <w:t>地形地势条件：地势平坦；</w:t>
      </w:r>
    </w:p>
    <w:p w14:paraId="1C00B3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9.</w:t>
      </w:r>
      <w:r>
        <w:rPr>
          <w:rFonts w:hint="default" w:ascii="仿宋_GB2312" w:hAnsi="仿宋_GB2312" w:eastAsia="仿宋_GB2312" w:cs="仿宋_GB2312"/>
          <w:bCs/>
          <w:sz w:val="28"/>
          <w:szCs w:val="28"/>
          <w:highlight w:val="none"/>
          <w:lang w:val="en-US" w:eastAsia="zh-CN"/>
        </w:rPr>
        <w:t>通风采光条件：估价对象地上住宅建筑物朝向为</w:t>
      </w:r>
      <w:r>
        <w:rPr>
          <w:rFonts w:hint="eastAsia" w:ascii="仿宋_GB2312" w:hAnsi="仿宋_GB2312" w:eastAsia="仿宋_GB2312" w:cs="仿宋_GB2312"/>
          <w:bCs/>
          <w:sz w:val="28"/>
          <w:szCs w:val="28"/>
          <w:highlight w:val="none"/>
          <w:lang w:val="en-US" w:eastAsia="zh-CN"/>
        </w:rPr>
        <w:t>东</w:t>
      </w:r>
      <w:r>
        <w:rPr>
          <w:rFonts w:hint="default" w:ascii="仿宋_GB2312" w:hAnsi="仿宋_GB2312" w:eastAsia="仿宋_GB2312" w:cs="仿宋_GB2312"/>
          <w:bCs/>
          <w:sz w:val="28"/>
          <w:szCs w:val="28"/>
          <w:highlight w:val="none"/>
          <w:lang w:val="en-US" w:eastAsia="zh-CN"/>
        </w:rPr>
        <w:t>南，通风采光条件</w:t>
      </w:r>
      <w:r>
        <w:rPr>
          <w:rFonts w:hint="eastAsia" w:ascii="仿宋_GB2312" w:hAnsi="仿宋_GB2312" w:eastAsia="仿宋_GB2312" w:cs="仿宋_GB2312"/>
          <w:bCs/>
          <w:sz w:val="28"/>
          <w:szCs w:val="28"/>
          <w:highlight w:val="none"/>
          <w:lang w:val="en-US" w:eastAsia="zh-CN"/>
        </w:rPr>
        <w:t>较好</w:t>
      </w:r>
      <w:r>
        <w:rPr>
          <w:rFonts w:hint="default" w:ascii="仿宋_GB2312" w:hAnsi="仿宋_GB2312" w:eastAsia="仿宋_GB2312" w:cs="仿宋_GB2312"/>
          <w:bCs/>
          <w:sz w:val="28"/>
          <w:szCs w:val="28"/>
          <w:highlight w:val="none"/>
          <w:lang w:val="en-US" w:eastAsia="zh-CN"/>
        </w:rPr>
        <w:t>；</w:t>
      </w:r>
    </w:p>
    <w:p w14:paraId="50196EA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10.</w:t>
      </w:r>
      <w:r>
        <w:rPr>
          <w:rFonts w:hint="default" w:ascii="仿宋_GB2312" w:hAnsi="仿宋_GB2312" w:eastAsia="仿宋_GB2312" w:cs="仿宋_GB2312"/>
          <w:bCs/>
          <w:sz w:val="28"/>
          <w:szCs w:val="28"/>
          <w:highlight w:val="none"/>
          <w:lang w:val="en-US" w:eastAsia="zh-CN"/>
        </w:rPr>
        <w:t>景观条件：</w:t>
      </w:r>
      <w:r>
        <w:rPr>
          <w:rFonts w:hint="eastAsia" w:ascii="仿宋_GB2312" w:hAnsi="仿宋_GB2312" w:eastAsia="仿宋_GB2312" w:cs="仿宋_GB2312"/>
          <w:bCs/>
          <w:sz w:val="28"/>
          <w:szCs w:val="28"/>
          <w:highlight w:val="none"/>
          <w:lang w:val="en-US" w:eastAsia="zh-CN"/>
        </w:rPr>
        <w:t>临近双江河，</w:t>
      </w:r>
      <w:r>
        <w:rPr>
          <w:rFonts w:hint="default" w:ascii="仿宋_GB2312" w:hAnsi="仿宋_GB2312" w:eastAsia="仿宋_GB2312" w:cs="仿宋_GB2312"/>
          <w:bCs/>
          <w:sz w:val="28"/>
          <w:szCs w:val="28"/>
          <w:highlight w:val="none"/>
          <w:lang w:val="en-US" w:eastAsia="zh-CN"/>
        </w:rPr>
        <w:t>有地物阻隔，自然景观较好；</w:t>
      </w:r>
    </w:p>
    <w:p w14:paraId="6BB77AA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土地利用条件设定：委托方拟按估价对象现状使用条件进行出让，估价对象现状</w:t>
      </w:r>
      <w:r>
        <w:rPr>
          <w:rFonts w:hint="eastAsia" w:ascii="仿宋_GB2312" w:hAnsi="仿宋_GB2312" w:eastAsia="仿宋_GB2312" w:cs="仿宋_GB2312"/>
          <w:bCs/>
          <w:sz w:val="28"/>
          <w:szCs w:val="28"/>
          <w:highlight w:val="none"/>
          <w:lang w:val="en-US" w:eastAsia="zh-CN"/>
        </w:rPr>
        <w:t>容积率为4.07</w:t>
      </w:r>
      <w:r>
        <w:rPr>
          <w:rFonts w:hint="default" w:ascii="仿宋_GB2312" w:hAnsi="仿宋_GB2312" w:eastAsia="仿宋_GB2312" w:cs="仿宋_GB2312"/>
          <w:bCs/>
          <w:sz w:val="28"/>
          <w:szCs w:val="28"/>
          <w:highlight w:val="none"/>
          <w:lang w:val="en-US" w:eastAsia="zh-CN"/>
        </w:rPr>
        <w:t>，本次评估设定</w:t>
      </w:r>
      <w:r>
        <w:rPr>
          <w:rFonts w:hint="eastAsia" w:ascii="仿宋_GB2312" w:hAnsi="仿宋_GB2312" w:eastAsia="仿宋_GB2312" w:cs="仿宋_GB2312"/>
          <w:bCs/>
          <w:sz w:val="28"/>
          <w:szCs w:val="28"/>
          <w:highlight w:val="none"/>
          <w:lang w:val="en-US" w:eastAsia="zh-CN"/>
        </w:rPr>
        <w:t>容积率为4.07</w:t>
      </w:r>
      <w:r>
        <w:rPr>
          <w:rFonts w:hint="default" w:ascii="仿宋_GB2312" w:hAnsi="仿宋_GB2312" w:eastAsia="仿宋_GB2312" w:cs="仿宋_GB2312"/>
          <w:bCs/>
          <w:sz w:val="28"/>
          <w:szCs w:val="28"/>
          <w:highlight w:val="none"/>
          <w:lang w:val="en-US" w:eastAsia="zh-CN"/>
        </w:rPr>
        <w:t>；</w:t>
      </w:r>
    </w:p>
    <w:p w14:paraId="1AE16B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11.</w:t>
      </w:r>
      <w:r>
        <w:rPr>
          <w:rFonts w:hint="default" w:ascii="仿宋_GB2312" w:hAnsi="仿宋_GB2312" w:eastAsia="仿宋_GB2312" w:cs="仿宋_GB2312"/>
          <w:bCs/>
          <w:sz w:val="28"/>
          <w:szCs w:val="28"/>
          <w:highlight w:val="none"/>
          <w:lang w:val="en-US" w:eastAsia="zh-CN"/>
        </w:rPr>
        <w:t>规划限制：城市规划无特殊限制；</w:t>
      </w:r>
    </w:p>
    <w:p w14:paraId="3BE95A6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土地开发程度：估价对象于估价期日实际开发程度为宗地红线内外“</w:t>
      </w:r>
      <w:r>
        <w:rPr>
          <w:rFonts w:hint="eastAsia" w:ascii="仿宋_GB2312" w:hAnsi="仿宋_GB2312" w:eastAsia="仿宋_GB2312" w:cs="仿宋_GB2312"/>
          <w:bCs/>
          <w:sz w:val="28"/>
          <w:szCs w:val="28"/>
          <w:highlight w:val="none"/>
          <w:lang w:val="en-US" w:eastAsia="zh-CN"/>
        </w:rPr>
        <w:t>五</w:t>
      </w:r>
      <w:r>
        <w:rPr>
          <w:rFonts w:hint="default" w:ascii="仿宋_GB2312" w:hAnsi="仿宋_GB2312" w:eastAsia="仿宋_GB2312" w:cs="仿宋_GB2312"/>
          <w:bCs/>
          <w:sz w:val="28"/>
          <w:szCs w:val="28"/>
          <w:highlight w:val="none"/>
          <w:lang w:val="en-US" w:eastAsia="zh-CN"/>
        </w:rPr>
        <w:t>通”（通路、通电、供水、排水、通讯、通燃）和红线内场地平整，本次评估设定待估宗地开发程度为宗地红线外“</w:t>
      </w:r>
      <w:r>
        <w:rPr>
          <w:rFonts w:hint="eastAsia" w:ascii="仿宋_GB2312" w:hAnsi="仿宋_GB2312" w:eastAsia="仿宋_GB2312" w:cs="仿宋_GB2312"/>
          <w:bCs/>
          <w:sz w:val="28"/>
          <w:szCs w:val="28"/>
          <w:highlight w:val="none"/>
          <w:lang w:val="en-US" w:eastAsia="zh-CN"/>
        </w:rPr>
        <w:t>五</w:t>
      </w:r>
      <w:r>
        <w:rPr>
          <w:rFonts w:hint="default" w:ascii="仿宋_GB2312" w:hAnsi="仿宋_GB2312" w:eastAsia="仿宋_GB2312" w:cs="仿宋_GB2312"/>
          <w:bCs/>
          <w:sz w:val="28"/>
          <w:szCs w:val="28"/>
          <w:highlight w:val="none"/>
          <w:lang w:val="en-US" w:eastAsia="zh-CN"/>
        </w:rPr>
        <w:t>通”（通路、通电、供水、排水、通讯）和红线内场地平整；</w:t>
      </w:r>
    </w:p>
    <w:p w14:paraId="2F277E7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12.</w:t>
      </w:r>
      <w:r>
        <w:rPr>
          <w:rFonts w:hint="default" w:ascii="仿宋_GB2312" w:hAnsi="仿宋_GB2312" w:eastAsia="仿宋_GB2312" w:cs="仿宋_GB2312"/>
          <w:bCs/>
          <w:sz w:val="28"/>
          <w:szCs w:val="28"/>
          <w:highlight w:val="none"/>
          <w:lang w:val="en-US" w:eastAsia="zh-CN"/>
        </w:rPr>
        <w:t>宗地基础设施条件为：</w:t>
      </w:r>
    </w:p>
    <w:p w14:paraId="3A0711E8">
      <w:pPr>
        <w:numPr>
          <w:ilvl w:val="0"/>
          <w:numId w:val="1"/>
        </w:numPr>
        <w:adjustRightInd w:val="0"/>
        <w:snapToGrid w:val="0"/>
        <w:spacing w:line="480" w:lineRule="exact"/>
        <w:ind w:firstLine="560" w:firstLineChars="200"/>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通路：待估宗地所在整体宗地</w:t>
      </w:r>
      <w:r>
        <w:rPr>
          <w:rFonts w:hint="eastAsia" w:ascii="仿宋_GB2312" w:hAnsi="仿宋_GB2312" w:eastAsia="仿宋_GB2312" w:cs="仿宋_GB2312"/>
          <w:bCs/>
          <w:sz w:val="28"/>
          <w:szCs w:val="28"/>
          <w:highlight w:val="none"/>
          <w:lang w:val="en-US" w:eastAsia="zh-CN"/>
        </w:rPr>
        <w:t>通过次干道行政街连接城市主干道长征中路，柏油路面，质量较好</w:t>
      </w:r>
      <w:r>
        <w:rPr>
          <w:rFonts w:hint="default" w:ascii="仿宋_GB2312" w:hAnsi="仿宋_GB2312" w:eastAsia="仿宋_GB2312" w:cs="仿宋_GB2312"/>
          <w:bCs/>
          <w:sz w:val="28"/>
          <w:szCs w:val="28"/>
          <w:highlight w:val="none"/>
          <w:lang w:val="en-US" w:eastAsia="zh-CN"/>
        </w:rPr>
        <w:t>；</w:t>
      </w:r>
    </w:p>
    <w:p w14:paraId="0512D08A">
      <w:pPr>
        <w:numPr>
          <w:ilvl w:val="0"/>
          <w:numId w:val="1"/>
        </w:numPr>
        <w:adjustRightInd w:val="0"/>
        <w:snapToGrid w:val="0"/>
        <w:spacing w:line="480" w:lineRule="exact"/>
        <w:ind w:firstLine="560" w:firstLineChars="200"/>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通电：宗地外已接通市政供电管网，由</w:t>
      </w:r>
      <w:r>
        <w:rPr>
          <w:rFonts w:hint="eastAsia" w:ascii="仿宋_GB2312" w:hAnsi="仿宋_GB2312" w:eastAsia="仿宋_GB2312" w:cs="仿宋_GB2312"/>
          <w:bCs/>
          <w:sz w:val="28"/>
          <w:szCs w:val="28"/>
          <w:highlight w:val="none"/>
          <w:lang w:val="en-US" w:eastAsia="zh-CN"/>
        </w:rPr>
        <w:t>通道供电</w:t>
      </w:r>
      <w:r>
        <w:rPr>
          <w:rFonts w:hint="default" w:ascii="仿宋_GB2312" w:hAnsi="仿宋_GB2312" w:eastAsia="仿宋_GB2312" w:cs="仿宋_GB2312"/>
          <w:bCs/>
          <w:sz w:val="28"/>
          <w:szCs w:val="28"/>
          <w:highlight w:val="none"/>
          <w:lang w:val="en-US" w:eastAsia="zh-CN"/>
        </w:rPr>
        <w:t>公司供电，保证率在9</w:t>
      </w:r>
      <w:r>
        <w:rPr>
          <w:rFonts w:hint="eastAsia" w:ascii="仿宋_GB2312" w:hAnsi="仿宋_GB2312" w:eastAsia="仿宋_GB2312" w:cs="仿宋_GB2312"/>
          <w:bCs/>
          <w:sz w:val="28"/>
          <w:szCs w:val="28"/>
          <w:highlight w:val="none"/>
          <w:lang w:val="en-US" w:eastAsia="zh-CN"/>
        </w:rPr>
        <w:t>5</w:t>
      </w:r>
      <w:r>
        <w:rPr>
          <w:rFonts w:hint="default" w:ascii="仿宋_GB2312" w:hAnsi="仿宋_GB2312" w:eastAsia="仿宋_GB2312" w:cs="仿宋_GB2312"/>
          <w:bCs/>
          <w:sz w:val="28"/>
          <w:szCs w:val="28"/>
          <w:highlight w:val="none"/>
          <w:lang w:val="en-US" w:eastAsia="zh-CN"/>
        </w:rPr>
        <w:t>%以上；</w:t>
      </w:r>
    </w:p>
    <w:p w14:paraId="6EB3A81F">
      <w:pPr>
        <w:numPr>
          <w:ilvl w:val="0"/>
          <w:numId w:val="1"/>
        </w:numPr>
        <w:adjustRightInd w:val="0"/>
        <w:snapToGrid w:val="0"/>
        <w:spacing w:line="480" w:lineRule="exact"/>
        <w:ind w:firstLine="560" w:firstLineChars="200"/>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通讯：电讯服务由三大电讯运营商即联通、移动、电信提供，有线通讯由电信提供，线路畅通，无线通讯信号良好；</w:t>
      </w:r>
    </w:p>
    <w:p w14:paraId="4FBF2AEC">
      <w:pPr>
        <w:numPr>
          <w:ilvl w:val="0"/>
          <w:numId w:val="1"/>
        </w:numPr>
        <w:adjustRightInd w:val="0"/>
        <w:snapToGrid w:val="0"/>
        <w:spacing w:line="480" w:lineRule="exact"/>
        <w:ind w:firstLine="560" w:firstLineChars="200"/>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通水：宗地外已接通市政供水管网，由</w:t>
      </w:r>
      <w:r>
        <w:rPr>
          <w:rFonts w:hint="eastAsia" w:ascii="仿宋_GB2312" w:hAnsi="仿宋_GB2312" w:eastAsia="仿宋_GB2312" w:cs="仿宋_GB2312"/>
          <w:bCs/>
          <w:sz w:val="28"/>
          <w:szCs w:val="28"/>
          <w:highlight w:val="none"/>
          <w:lang w:val="en-US" w:eastAsia="zh-CN"/>
        </w:rPr>
        <w:t>通道县</w:t>
      </w:r>
      <w:r>
        <w:rPr>
          <w:rFonts w:hint="default" w:ascii="仿宋_GB2312" w:hAnsi="仿宋_GB2312" w:eastAsia="仿宋_GB2312" w:cs="仿宋_GB2312"/>
          <w:bCs/>
          <w:sz w:val="28"/>
          <w:szCs w:val="28"/>
          <w:highlight w:val="none"/>
          <w:lang w:val="en-US" w:eastAsia="zh-CN"/>
        </w:rPr>
        <w:t>自来水公司供水，保证率在9</w:t>
      </w:r>
      <w:r>
        <w:rPr>
          <w:rFonts w:hint="eastAsia" w:ascii="仿宋_GB2312" w:hAnsi="仿宋_GB2312" w:eastAsia="仿宋_GB2312" w:cs="仿宋_GB2312"/>
          <w:bCs/>
          <w:sz w:val="28"/>
          <w:szCs w:val="28"/>
          <w:highlight w:val="none"/>
          <w:lang w:val="en-US" w:eastAsia="zh-CN"/>
        </w:rPr>
        <w:t>5</w:t>
      </w:r>
      <w:r>
        <w:rPr>
          <w:rFonts w:hint="default" w:ascii="仿宋_GB2312" w:hAnsi="仿宋_GB2312" w:eastAsia="仿宋_GB2312" w:cs="仿宋_GB2312"/>
          <w:bCs/>
          <w:sz w:val="28"/>
          <w:szCs w:val="28"/>
          <w:highlight w:val="none"/>
          <w:lang w:val="en-US" w:eastAsia="zh-CN"/>
        </w:rPr>
        <w:t>%以上；</w:t>
      </w:r>
    </w:p>
    <w:p w14:paraId="7076DD47">
      <w:pPr>
        <w:numPr>
          <w:ilvl w:val="0"/>
          <w:numId w:val="1"/>
        </w:numPr>
        <w:adjustRightInd w:val="0"/>
        <w:snapToGrid w:val="0"/>
        <w:spacing w:line="480" w:lineRule="exact"/>
        <w:ind w:firstLine="560" w:firstLineChars="200"/>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排水：宗地外已接通市政排水管网，排水通畅；</w:t>
      </w:r>
    </w:p>
    <w:p w14:paraId="78239C50">
      <w:pPr>
        <w:numPr>
          <w:ilvl w:val="0"/>
          <w:numId w:val="1"/>
        </w:numPr>
        <w:adjustRightInd w:val="0"/>
        <w:snapToGrid w:val="0"/>
        <w:spacing w:line="480" w:lineRule="exact"/>
        <w:ind w:firstLine="560" w:firstLineChars="200"/>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场地平整状况：宗地红线内场地平整。</w:t>
      </w:r>
    </w:p>
    <w:p w14:paraId="67912962">
      <w:pPr>
        <w:numPr>
          <w:ilvl w:val="0"/>
          <w:numId w:val="0"/>
        </w:numPr>
        <w:adjustRightInd w:val="0"/>
        <w:snapToGrid w:val="0"/>
        <w:spacing w:line="480" w:lineRule="exact"/>
        <w:ind w:firstLine="560" w:firstLineChars="200"/>
        <w:rPr>
          <w:rFonts w:hint="default" w:ascii="仿宋_GB2312" w:hAnsi="仿宋_GB2312" w:eastAsia="仿宋_GB2312" w:cs="仿宋_GB2312"/>
          <w:bCs/>
          <w:sz w:val="28"/>
          <w:szCs w:val="28"/>
          <w:highlight w:val="none"/>
          <w:lang w:val="en-US" w:eastAsia="zh-CN"/>
        </w:rPr>
      </w:pPr>
      <w:r>
        <w:rPr>
          <w:rFonts w:hint="default" w:ascii="仿宋_GB2312" w:hAnsi="仿宋_GB2312" w:eastAsia="仿宋_GB2312" w:cs="仿宋_GB2312"/>
          <w:bCs/>
          <w:sz w:val="28"/>
          <w:szCs w:val="28"/>
          <w:highlight w:val="none"/>
          <w:lang w:val="en-US" w:eastAsia="zh-CN"/>
        </w:rPr>
        <w:t>综合考虑以上影响地价个别因素，评估分析：宗地</w:t>
      </w:r>
      <w:r>
        <w:rPr>
          <w:rFonts w:hint="eastAsia" w:ascii="仿宋_GB2312" w:hAnsi="仿宋_GB2312" w:eastAsia="仿宋_GB2312" w:cs="仿宋_GB2312"/>
          <w:bCs/>
          <w:sz w:val="28"/>
          <w:szCs w:val="28"/>
          <w:highlight w:val="none"/>
          <w:lang w:val="en-US" w:eastAsia="zh-CN"/>
        </w:rPr>
        <w:t>临次干道行政街，</w:t>
      </w:r>
      <w:r>
        <w:rPr>
          <w:rFonts w:hint="default" w:ascii="仿宋_GB2312" w:hAnsi="仿宋_GB2312" w:eastAsia="仿宋_GB2312" w:cs="仿宋_GB2312"/>
          <w:bCs/>
          <w:sz w:val="28"/>
          <w:szCs w:val="28"/>
          <w:highlight w:val="none"/>
          <w:lang w:val="en-US" w:eastAsia="zh-CN"/>
        </w:rPr>
        <w:t>对估价对象地价产生一定</w:t>
      </w:r>
      <w:r>
        <w:rPr>
          <w:rFonts w:hint="eastAsia" w:ascii="仿宋_GB2312" w:hAnsi="仿宋_GB2312" w:eastAsia="仿宋_GB2312" w:cs="仿宋_GB2312"/>
          <w:bCs/>
          <w:sz w:val="28"/>
          <w:szCs w:val="28"/>
          <w:highlight w:val="none"/>
          <w:lang w:val="en-US" w:eastAsia="zh-CN"/>
        </w:rPr>
        <w:t>有利</w:t>
      </w:r>
      <w:r>
        <w:rPr>
          <w:rFonts w:hint="default" w:ascii="仿宋_GB2312" w:hAnsi="仿宋_GB2312" w:eastAsia="仿宋_GB2312" w:cs="仿宋_GB2312"/>
          <w:bCs/>
          <w:sz w:val="28"/>
          <w:szCs w:val="28"/>
          <w:highlight w:val="none"/>
          <w:lang w:val="en-US" w:eastAsia="zh-CN"/>
        </w:rPr>
        <w:t>影响</w:t>
      </w:r>
      <w:r>
        <w:rPr>
          <w:rFonts w:hint="eastAsia" w:ascii="仿宋_GB2312" w:hAnsi="仿宋_GB2312" w:eastAsia="仿宋_GB2312" w:cs="仿宋_GB2312"/>
          <w:bCs/>
          <w:sz w:val="28"/>
          <w:szCs w:val="28"/>
          <w:highlight w:val="none"/>
          <w:lang w:val="en-US" w:eastAsia="zh-CN"/>
        </w:rPr>
        <w:t>；面积过小，对土地利用产生严重的影响，宗地临近双江河，</w:t>
      </w:r>
      <w:r>
        <w:rPr>
          <w:rFonts w:hint="default" w:ascii="仿宋_GB2312" w:hAnsi="仿宋_GB2312" w:eastAsia="仿宋_GB2312" w:cs="仿宋_GB2312"/>
          <w:bCs/>
          <w:sz w:val="28"/>
          <w:szCs w:val="28"/>
          <w:highlight w:val="none"/>
          <w:lang w:val="en-US" w:eastAsia="zh-CN"/>
        </w:rPr>
        <w:t>有地物阻隔，自然景观较好</w:t>
      </w:r>
      <w:r>
        <w:rPr>
          <w:rFonts w:hint="eastAsia" w:ascii="仿宋_GB2312" w:hAnsi="仿宋_GB2312" w:eastAsia="仿宋_GB2312" w:cs="仿宋_GB2312"/>
          <w:bCs/>
          <w:sz w:val="28"/>
          <w:szCs w:val="28"/>
          <w:highlight w:val="none"/>
          <w:lang w:val="en-US" w:eastAsia="zh-CN"/>
        </w:rPr>
        <w:t>；</w:t>
      </w:r>
      <w:r>
        <w:rPr>
          <w:rFonts w:hint="default" w:ascii="仿宋_GB2312" w:hAnsi="仿宋_GB2312" w:eastAsia="仿宋_GB2312" w:cs="仿宋_GB2312"/>
          <w:bCs/>
          <w:sz w:val="28"/>
          <w:szCs w:val="28"/>
          <w:highlight w:val="none"/>
          <w:lang w:val="en-US" w:eastAsia="zh-CN"/>
        </w:rPr>
        <w:t>宗地形状</w:t>
      </w:r>
      <w:r>
        <w:rPr>
          <w:rFonts w:hint="eastAsia" w:ascii="仿宋_GB2312" w:hAnsi="仿宋_GB2312" w:eastAsia="仿宋_GB2312" w:cs="仿宋_GB2312"/>
          <w:bCs/>
          <w:sz w:val="28"/>
          <w:szCs w:val="28"/>
          <w:highlight w:val="none"/>
          <w:lang w:val="en-US" w:eastAsia="zh-CN"/>
        </w:rPr>
        <w:t>基本</w:t>
      </w:r>
      <w:r>
        <w:rPr>
          <w:rFonts w:hint="default" w:ascii="仿宋_GB2312" w:hAnsi="仿宋_GB2312" w:eastAsia="仿宋_GB2312" w:cs="仿宋_GB2312"/>
          <w:bCs/>
          <w:sz w:val="28"/>
          <w:szCs w:val="28"/>
          <w:highlight w:val="none"/>
          <w:lang w:val="en-US" w:eastAsia="zh-CN"/>
        </w:rPr>
        <w:t>规则，</w:t>
      </w:r>
      <w:r>
        <w:rPr>
          <w:rFonts w:hint="eastAsia" w:ascii="仿宋_GB2312" w:hAnsi="仿宋_GB2312" w:eastAsia="仿宋_GB2312" w:cs="仿宋_GB2312"/>
          <w:bCs/>
          <w:sz w:val="28"/>
          <w:szCs w:val="28"/>
          <w:highlight w:val="none"/>
          <w:lang w:val="en-US" w:eastAsia="zh-CN"/>
        </w:rPr>
        <w:t>不影响</w:t>
      </w:r>
      <w:r>
        <w:rPr>
          <w:rFonts w:hint="default" w:ascii="仿宋_GB2312" w:hAnsi="仿宋_GB2312" w:eastAsia="仿宋_GB2312" w:cs="仿宋_GB2312"/>
          <w:bCs/>
          <w:sz w:val="28"/>
          <w:szCs w:val="28"/>
          <w:highlight w:val="none"/>
          <w:lang w:val="en-US" w:eastAsia="zh-CN"/>
        </w:rPr>
        <w:t>宗地利用</w:t>
      </w:r>
      <w:r>
        <w:rPr>
          <w:rFonts w:hint="eastAsia" w:ascii="仿宋_GB2312" w:hAnsi="仿宋_GB2312" w:eastAsia="仿宋_GB2312" w:cs="仿宋_GB2312"/>
          <w:bCs/>
          <w:sz w:val="28"/>
          <w:szCs w:val="28"/>
          <w:highlight w:val="none"/>
          <w:lang w:val="en-US" w:eastAsia="zh-CN"/>
        </w:rPr>
        <w:t>，</w:t>
      </w:r>
      <w:r>
        <w:rPr>
          <w:rFonts w:hint="default" w:ascii="仿宋_GB2312" w:hAnsi="仿宋_GB2312" w:eastAsia="仿宋_GB2312" w:cs="仿宋_GB2312"/>
          <w:bCs/>
          <w:sz w:val="28"/>
          <w:szCs w:val="28"/>
          <w:highlight w:val="none"/>
          <w:lang w:val="en-US" w:eastAsia="zh-CN"/>
        </w:rPr>
        <w:t>地势平坦，地质条件好，通风采光条件</w:t>
      </w:r>
      <w:r>
        <w:rPr>
          <w:rFonts w:hint="eastAsia" w:ascii="仿宋_GB2312" w:hAnsi="仿宋_GB2312" w:eastAsia="仿宋_GB2312" w:cs="仿宋_GB2312"/>
          <w:bCs/>
          <w:sz w:val="28"/>
          <w:szCs w:val="28"/>
          <w:highlight w:val="none"/>
          <w:lang w:val="en-US" w:eastAsia="zh-CN"/>
        </w:rPr>
        <w:t>较好，</w:t>
      </w:r>
      <w:r>
        <w:rPr>
          <w:rFonts w:hint="default" w:ascii="仿宋_GB2312" w:hAnsi="仿宋_GB2312" w:eastAsia="仿宋_GB2312" w:cs="仿宋_GB2312"/>
          <w:bCs/>
          <w:sz w:val="28"/>
          <w:szCs w:val="28"/>
          <w:highlight w:val="none"/>
          <w:lang w:val="en-US" w:eastAsia="zh-CN"/>
        </w:rPr>
        <w:t>综合这些个别因素对估价对象地价产生一定有利影响。根据城市规划与估价对象所在区域的区位条件及宗地自身条件，作为设定用途较符合最有效利用原则。</w:t>
      </w:r>
    </w:p>
    <w:p w14:paraId="08665943">
      <w:pPr>
        <w:numPr>
          <w:ilvl w:val="0"/>
          <w:numId w:val="0"/>
        </w:numPr>
        <w:adjustRightInd w:val="0"/>
        <w:snapToGrid w:val="0"/>
        <w:spacing w:line="480" w:lineRule="exact"/>
        <w:jc w:val="center"/>
        <w:outlineLvl w:val="0"/>
        <w:rPr>
          <w:rFonts w:hint="default" w:ascii="Times New Roman" w:hAnsi="Times New Roman" w:eastAsia="仿宋_GB2312" w:cs="Times New Roman"/>
          <w:sz w:val="28"/>
          <w:szCs w:val="28"/>
          <w:highlight w:val="none"/>
        </w:rPr>
      </w:pPr>
      <w:r>
        <w:rPr>
          <w:rFonts w:hint="default" w:ascii="仿宋_GB2312" w:hAnsi="仿宋_GB2312" w:eastAsia="仿宋_GB2312" w:cs="仿宋_GB2312"/>
          <w:bCs/>
          <w:sz w:val="28"/>
          <w:szCs w:val="28"/>
          <w:highlight w:val="none"/>
          <w:lang w:val="en-US" w:eastAsia="zh-CN"/>
        </w:rPr>
        <w:br w:type="page"/>
      </w:r>
      <w:r>
        <w:rPr>
          <w:rFonts w:hint="eastAsia" w:asciiTheme="majorEastAsia" w:hAnsiTheme="majorEastAsia" w:eastAsiaTheme="majorEastAsia" w:cstheme="majorEastAsia"/>
          <w:b/>
          <w:bCs/>
          <w:sz w:val="32"/>
          <w:szCs w:val="32"/>
          <w:highlight w:val="none"/>
        </w:rPr>
        <w:t>第三部分  土地估价</w:t>
      </w:r>
    </w:p>
    <w:p w14:paraId="64FD685A">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val="0"/>
          <w:color w:val="auto"/>
          <w:sz w:val="28"/>
          <w:szCs w:val="28"/>
          <w:highlight w:val="none"/>
          <w:lang w:val="en-GB" w:eastAsia="zh-CN"/>
        </w:rPr>
      </w:pPr>
      <w:r>
        <w:rPr>
          <w:rFonts w:hint="default" w:ascii="仿宋_GB2312" w:hAnsi="仿宋_GB2312" w:eastAsia="仿宋_GB2312" w:cs="仿宋_GB2312"/>
          <w:b/>
          <w:bCs w:val="0"/>
          <w:color w:val="auto"/>
          <w:sz w:val="28"/>
          <w:szCs w:val="28"/>
          <w:highlight w:val="none"/>
          <w:lang w:val="en-GB" w:eastAsia="zh-CN"/>
        </w:rPr>
        <w:t>一、估价原则</w:t>
      </w:r>
    </w:p>
    <w:p w14:paraId="4A6717A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2"/>
        <w:rPr>
          <w:rFonts w:hint="eastAsia"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GB" w:eastAsia="zh-CN"/>
        </w:rPr>
        <w:t>（</w:t>
      </w:r>
      <w:r>
        <w:rPr>
          <w:rFonts w:hint="eastAsia" w:ascii="仿宋_GB2312" w:hAnsi="仿宋_GB2312" w:eastAsia="仿宋_GB2312" w:cs="仿宋_GB2312"/>
          <w:b w:val="0"/>
          <w:bCs/>
          <w:color w:val="auto"/>
          <w:sz w:val="28"/>
          <w:szCs w:val="28"/>
          <w:highlight w:val="none"/>
          <w:lang w:val="en-US" w:eastAsia="zh-CN"/>
        </w:rPr>
        <w:t>一</w:t>
      </w:r>
      <w:r>
        <w:rPr>
          <w:rFonts w:hint="eastAsia" w:ascii="仿宋_GB2312" w:hAnsi="仿宋_GB2312" w:eastAsia="仿宋_GB2312" w:cs="仿宋_GB2312"/>
          <w:b w:val="0"/>
          <w:bCs/>
          <w:color w:val="auto"/>
          <w:sz w:val="28"/>
          <w:szCs w:val="28"/>
          <w:highlight w:val="none"/>
          <w:lang w:val="en-GB" w:eastAsia="zh-CN"/>
        </w:rPr>
        <w:t>）</w:t>
      </w:r>
      <w:r>
        <w:rPr>
          <w:rFonts w:hint="eastAsia" w:ascii="仿宋_GB2312" w:hAnsi="仿宋_GB2312" w:eastAsia="仿宋_GB2312" w:cs="仿宋_GB2312"/>
          <w:b w:val="0"/>
          <w:bCs/>
          <w:color w:val="auto"/>
          <w:sz w:val="28"/>
          <w:szCs w:val="28"/>
          <w:highlight w:val="none"/>
          <w:lang w:val="en-US" w:eastAsia="zh-CN"/>
        </w:rPr>
        <w:t>估价原则</w:t>
      </w:r>
    </w:p>
    <w:p w14:paraId="2B3F6D54">
      <w:pPr>
        <w:spacing w:line="480" w:lineRule="exact"/>
        <w:ind w:right="62" w:firstLine="560" w:firstLineChars="200"/>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rPr>
        <w:t>地价是由其效用、相对稀缺性及有效需求三者相互作用、相互影响所形成的。而这些因素又经常处于变动之中，土地估价必须要对此做细致分析并正确判断其变动趋向，了解土地价格组成的各项因素及各因素之间的相互作用，才能做出正确的估价。我们在本次估价过程中，根据《城镇土地估价规程》及估价对象的具体情况和对应的估价方法，主要遵循以下原则：</w:t>
      </w:r>
    </w:p>
    <w:p w14:paraId="4119267F">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1、合法性原则</w:t>
      </w:r>
    </w:p>
    <w:p w14:paraId="31E45731">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土地估价应以估价对象的合法权益为前提进行。合法权益包括：合法产权、合法使用、合法处分等方面。在合法产权方面，应以国有土地使用证、权属登记和其他合法证件为依据。在合法使用方面，应以使用管制（城市规划、土地用途管制等）为依据。在合法处分方面，应以法律法规和国有土地使用证等容许的处分方式为依据。</w:t>
      </w:r>
    </w:p>
    <w:p w14:paraId="01D4589C">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根据</w:t>
      </w:r>
      <w:r>
        <w:rPr>
          <w:rFonts w:hint="eastAsia" w:ascii="仿宋_GB2312" w:hAnsi="仿宋_GB2312" w:eastAsia="仿宋_GB2312" w:cs="仿宋_GB2312"/>
          <w:bCs/>
          <w:color w:val="000000"/>
          <w:sz w:val="28"/>
          <w:szCs w:val="28"/>
          <w:highlight w:val="none"/>
          <w:lang w:eastAsia="zh-CN"/>
        </w:rPr>
        <w:t>《国有土地使用证》（通国用（2014）第000327号）</w:t>
      </w:r>
      <w:r>
        <w:rPr>
          <w:rFonts w:hint="eastAsia" w:ascii="仿宋_GB2312" w:hAnsi="仿宋_GB2312" w:eastAsia="仿宋_GB2312" w:cs="仿宋_GB2312"/>
          <w:bCs/>
          <w:color w:val="000000"/>
          <w:sz w:val="28"/>
          <w:szCs w:val="28"/>
          <w:highlight w:val="none"/>
          <w:lang w:val="en-US" w:eastAsia="zh-CN"/>
        </w:rPr>
        <w:t>等资料</w:t>
      </w:r>
      <w:r>
        <w:rPr>
          <w:rFonts w:hint="eastAsia" w:ascii="仿宋_GB2312" w:hAnsi="仿宋_GB2312" w:eastAsia="仿宋_GB2312" w:cs="仿宋_GB2312"/>
          <w:sz w:val="28"/>
          <w:szCs w:val="28"/>
          <w:highlight w:val="none"/>
        </w:rPr>
        <w:t>，估价对象通过划拨方式合法取得，估价对象现状用途为住宅用地，</w:t>
      </w:r>
      <w:r>
        <w:rPr>
          <w:rFonts w:hint="eastAsia" w:ascii="仿宋_GB2312" w:hAnsi="仿宋_GB2312" w:eastAsia="仿宋_GB2312" w:cs="仿宋_GB2312"/>
          <w:sz w:val="28"/>
          <w:szCs w:val="28"/>
          <w:highlight w:val="none"/>
          <w:lang w:val="en-US" w:eastAsia="zh-CN"/>
        </w:rPr>
        <w:t>已办理《房屋所有权证》（通房权证双江字第201517109号），</w:t>
      </w:r>
      <w:r>
        <w:rPr>
          <w:rFonts w:hint="eastAsia" w:ascii="仿宋_GB2312" w:hAnsi="仿宋_GB2312" w:eastAsia="仿宋_GB2312" w:cs="仿宋_GB2312"/>
          <w:bCs/>
          <w:color w:val="000000"/>
          <w:sz w:val="28"/>
          <w:szCs w:val="28"/>
          <w:highlight w:val="none"/>
        </w:rPr>
        <w:t>使用合法</w:t>
      </w:r>
      <w:r>
        <w:rPr>
          <w:rFonts w:hint="eastAsia" w:ascii="仿宋_GB2312" w:hAnsi="仿宋_GB2312" w:eastAsia="仿宋_GB2312" w:cs="仿宋_GB2312"/>
          <w:sz w:val="28"/>
          <w:szCs w:val="28"/>
          <w:highlight w:val="none"/>
        </w:rPr>
        <w:t>。</w:t>
      </w:r>
    </w:p>
    <w:p w14:paraId="6FB9E3DA">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2、替代原则</w:t>
      </w:r>
    </w:p>
    <w:p w14:paraId="362FD6E5">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根据市场运行规律，在同一商品市场中，商品或提供服务的效用相同或大致相似时，价格低者吸引需求，即有两个以上互有替代性的商品或服务同时存在时，商品或服务的价格是经过相互影响与比较之后来决定的。土地价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1F4AACAB">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本次采用的收益还原法、基准地价系数修正法以该原则为基础，本次收益还原法中选取的3个案例均处于估价对象所处区域范围，相互之间存在替代性，基准地价系数修正法中对区域平均级别价进行修正也体现了替代原则。</w:t>
      </w:r>
    </w:p>
    <w:p w14:paraId="557F09EA">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3、需求与供给原则</w:t>
      </w:r>
    </w:p>
    <w:p w14:paraId="75957388">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在完全的市场竞争中，一般商品的价格都取决于供求的均衡点。供小于求，价格就会提高，否则，价格就会降低。由于土地与一般商品相比，具有独特的人文和自然特性，因此在进行土地估价时既要考虑到所假设的公平市场，又要考虑土地供应的垄断性特征。</w:t>
      </w:r>
    </w:p>
    <w:p w14:paraId="1F5C159C">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4、预期收益原则</w:t>
      </w:r>
    </w:p>
    <w:p w14:paraId="1E2365A5">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遵循预期收益原则，是指土地估价应以估价对象在正常利用条件下的未来客观有效的预期收益为依据。收益还原法和剩余法等评估方法以及还原利率的确定、交易实例价格的检查等技术过程都会应用本原则。</w:t>
      </w:r>
    </w:p>
    <w:p w14:paraId="5D5778D6">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本次评估采用了收益还原法，符合预期收益原则。</w:t>
      </w:r>
    </w:p>
    <w:p w14:paraId="2CB41EF4">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5、合理有效利用原则</w:t>
      </w:r>
    </w:p>
    <w:p w14:paraId="01DB06AA">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不同的土地利用方式能为权利人带来不同的收益，土地权利人都期望从其所占有的土地上获取更多的收益，故土地评估应以估价对象在一定的社会经济条件下，最为合理有效的利用方式为前提。首先判断估价对象的土地利用方式是否符合法律法规政策规定、规划限制条件、生态保护要求、市场需求等，再结合估价对象的自身利用条件设定最合理有效的土地利用方式。</w:t>
      </w:r>
    </w:p>
    <w:p w14:paraId="2F30F1B1">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6、价值主导原则</w:t>
      </w:r>
    </w:p>
    <w:p w14:paraId="12306DA5">
      <w:pPr>
        <w:spacing w:line="480" w:lineRule="exact"/>
        <w:ind w:firstLine="560" w:firstLineChars="20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土地综合质量优劣是对土地价格产生影响的主要因素。</w:t>
      </w:r>
    </w:p>
    <w:p w14:paraId="42F21DDF">
      <w:pPr>
        <w:spacing w:line="480" w:lineRule="exact"/>
        <w:ind w:firstLine="560" w:firstLineChars="20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本次评估综合考虑了影响估价对象土地价格的自然、社会、经济状况，符合价值主导原则。</w:t>
      </w:r>
    </w:p>
    <w:p w14:paraId="33331A87">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7、审慎原则</w:t>
      </w:r>
    </w:p>
    <w:p w14:paraId="30489796">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在评估中确定相关参数和结果时，应分析并充分考虑市场运行状况、有关行业发展状况，以及存在的风险。</w:t>
      </w:r>
    </w:p>
    <w:p w14:paraId="611A85A8">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8、贡献原则</w:t>
      </w:r>
    </w:p>
    <w:p w14:paraId="49B8D9D7">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土地总收益是土地及其他生产要素共同作用的结果，土地的价格由土地对总收益的贡献大小来决定。</w:t>
      </w:r>
    </w:p>
    <w:p w14:paraId="52F7AAFF">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本次在采用收益还原法时，通过扣除相关成本及其他税费来测算土地价格，体现了贡献原则。</w:t>
      </w:r>
    </w:p>
    <w:p w14:paraId="4FD0F0C9">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9、公开市场原则</w:t>
      </w:r>
    </w:p>
    <w:p w14:paraId="230DF353">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评估结果在公平、公正、公开的土地市场上可实现。</w:t>
      </w:r>
    </w:p>
    <w:p w14:paraId="154E078D">
      <w:pPr>
        <w:spacing w:line="480" w:lineRule="exact"/>
        <w:ind w:firstLine="56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待估宗地按照地价评估的基本原则和估价程序，选择合适的评估方法，评估得到估价对象在设定用途、设定土地使用权类型及土地使用权年限、设定开发程度条件、规划条件下、正常市场条件下的国有出让土地使用权价格，并且评估结果在公平、公正、公开的土地市场上可实现。</w:t>
      </w:r>
    </w:p>
    <w:p w14:paraId="01BD5A7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总之，在评估过程中，要按国家、地方的有关规定，遵守客观、公正、科学、合法的总原则进行土地价格评估，做到评估过程合理，评估方法科学，评估结果准确，严格保守评估秘密。</w:t>
      </w:r>
    </w:p>
    <w:p w14:paraId="3A85F60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2"/>
        <w:rPr>
          <w:rFonts w:hint="default"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US" w:eastAsia="zh-CN"/>
        </w:rPr>
        <w:t>（二）估价方法</w:t>
      </w:r>
    </w:p>
    <w:p w14:paraId="2E07871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根据《城镇土地估价规程》</w:t>
      </w:r>
      <w:r>
        <w:rPr>
          <w:rFonts w:hint="eastAsia" w:ascii="仿宋_GB2312" w:hAnsi="仿宋_GB2312" w:eastAsia="仿宋_GB2312" w:cs="仿宋_GB2312"/>
          <w:snapToGrid w:val="0"/>
          <w:kern w:val="0"/>
          <w:sz w:val="28"/>
          <w:szCs w:val="28"/>
          <w:highlight w:val="none"/>
        </w:rPr>
        <w:t>（GB/T18508-2014,2014年12月01日实施）</w:t>
      </w:r>
      <w:r>
        <w:rPr>
          <w:rFonts w:hint="default" w:ascii="仿宋_GB2312" w:hAnsi="仿宋_GB2312" w:eastAsia="仿宋_GB2312" w:cs="仿宋_GB2312"/>
          <w:b w:val="0"/>
          <w:bCs/>
          <w:color w:val="auto"/>
          <w:sz w:val="28"/>
          <w:szCs w:val="28"/>
          <w:highlight w:val="none"/>
          <w:lang w:val="en-US" w:eastAsia="zh-CN"/>
        </w:rPr>
        <w:t>，通常的估价方法有市场比较法、收益还原法、剩余法、成本逼近法、基准地价系数修正法等。估价方法的选择应按照地价评估的技术《规程》，根据当地地产市场发育情况并结合估价对象的具体特点及估价目的等，选择适当的估价方法。估价人员根据现场勘查情况，按照《城镇土地估价规程》及国土资源部办公厅关于发布《国有建设用地使用权出让地价评估技术规范》的通知（国土资厅发〔2018〕4号）的要求，结合估价对象的区位、用地性质、利用条件及当地土地市场状况，确定本次评估采用的方法。</w:t>
      </w:r>
    </w:p>
    <w:p w14:paraId="094F6E4A">
      <w:pPr>
        <w:pStyle w:val="16"/>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1.估价方法介绍</w:t>
      </w:r>
    </w:p>
    <w:p w14:paraId="60AD473C">
      <w:pPr>
        <w:pStyle w:val="16"/>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（1）市场比较法：将估价对象与在估价期日近期有过交易的类似土地进行比较，对这些类似土地的已知价格作适当的修正，以此估算估价对象的客观合理价格或价值的方法；</w:t>
      </w:r>
    </w:p>
    <w:p w14:paraId="180439C5">
      <w:pPr>
        <w:pStyle w:val="16"/>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（2）收益还原法：为预计估价对象未来的正常收益，选用适当的资本化率将其折现到估价期日后累加，以此估算估价对象的客观合理价格或价值的方法；</w:t>
      </w:r>
    </w:p>
    <w:p w14:paraId="023BC7FB">
      <w:pPr>
        <w:pStyle w:val="16"/>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（3）剩余法：是在估算开发完成后不动产正常交易价格的基础上，扣除建筑物建造费用和与建筑物建造、买卖有关的专业费、利息、利润、税收等费用后，以价格余额来估算土地价格的方法；</w:t>
      </w:r>
    </w:p>
    <w:p w14:paraId="2383774C">
      <w:pPr>
        <w:pStyle w:val="16"/>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（4）成本逼近法：是以土地取得费、土地开发所耗各项费用之和为主要依据，再加上一定的利润、利息、应缴纳的税金和土地增值收益来确定土地价格的估价方法；</w:t>
      </w:r>
    </w:p>
    <w:p w14:paraId="6BCB1882">
      <w:pPr>
        <w:pStyle w:val="2"/>
        <w:keepNext w:val="0"/>
        <w:keepLines w:val="0"/>
        <w:pageBreakBefore w:val="0"/>
        <w:widowControl w:val="0"/>
        <w:kinsoku/>
        <w:wordWrap/>
        <w:overflowPunct/>
        <w:topLinePunct w:val="0"/>
        <w:autoSpaceDE/>
        <w:autoSpaceDN/>
        <w:bidi w:val="0"/>
        <w:spacing w:line="480" w:lineRule="exact"/>
        <w:textAlignment w:val="auto"/>
        <w:rPr>
          <w:rFonts w:hint="eastAsia" w:ascii="仿宋_GB2312" w:hAnsi="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5）公示地价系数修正法：指在求取一宗土地的价格时，依据估价对象所处地区的土地级别基准地价水平，参照估价对象所处土地级别的各种修正因素说明，确定区域因素、个别因素、估价期日、容积率与建筑密度、使用年期、开发程度等修正系数，最后修正得出估价对象地价的一种方</w:t>
      </w:r>
      <w:r>
        <w:rPr>
          <w:rFonts w:hint="eastAsia" w:ascii="仿宋_GB2312" w:hAnsi="仿宋_GB2312" w:cs="仿宋_GB2312"/>
          <w:color w:val="auto"/>
          <w:szCs w:val="28"/>
          <w:highlight w:val="none"/>
          <w:lang w:val="en-US" w:eastAsia="zh-CN"/>
        </w:rPr>
        <w:t>法。</w:t>
      </w:r>
    </w:p>
    <w:p w14:paraId="1A4843E2">
      <w:pPr>
        <w:pStyle w:val="2"/>
        <w:keepNext w:val="0"/>
        <w:keepLines w:val="0"/>
        <w:pageBreakBefore w:val="0"/>
        <w:widowControl w:val="0"/>
        <w:kinsoku/>
        <w:wordWrap/>
        <w:overflowPunct/>
        <w:topLinePunct w:val="0"/>
        <w:autoSpaceDE/>
        <w:autoSpaceDN/>
        <w:bidi w:val="0"/>
        <w:spacing w:line="480" w:lineRule="exact"/>
        <w:textAlignment w:val="auto"/>
        <w:rPr>
          <w:rFonts w:hint="default" w:ascii="仿宋_GB2312" w:hAnsi="仿宋_GB2312" w:cs="仿宋_GB2312"/>
          <w:color w:val="auto"/>
          <w:szCs w:val="28"/>
          <w:highlight w:val="none"/>
          <w:lang w:val="en-US" w:eastAsia="zh-CN"/>
        </w:rPr>
      </w:pPr>
      <w:r>
        <w:rPr>
          <w:rFonts w:hint="eastAsia" w:ascii="仿宋_GB2312" w:hAnsi="仿宋_GB2312" w:cs="仿宋_GB2312"/>
          <w:color w:val="auto"/>
          <w:szCs w:val="28"/>
          <w:highlight w:val="none"/>
          <w:lang w:val="en-US" w:eastAsia="zh-CN"/>
        </w:rPr>
        <w:t>2.估价方法选择</w:t>
      </w:r>
    </w:p>
    <w:p w14:paraId="1E9AFD1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（1）</w:t>
      </w:r>
      <w:r>
        <w:rPr>
          <w:rFonts w:hint="eastAsia" w:ascii="仿宋_GB2312" w:hAnsi="仿宋_GB2312" w:eastAsia="仿宋_GB2312" w:cs="仿宋_GB2312"/>
          <w:b w:val="0"/>
          <w:bCs/>
          <w:color w:val="auto"/>
          <w:sz w:val="28"/>
          <w:szCs w:val="28"/>
          <w:highlight w:val="none"/>
          <w:lang w:val="en-US" w:eastAsia="zh-CN"/>
        </w:rPr>
        <w:t>采用方法及采用方法</w:t>
      </w:r>
      <w:r>
        <w:rPr>
          <w:rFonts w:hint="default" w:ascii="仿宋_GB2312" w:hAnsi="仿宋_GB2312" w:eastAsia="仿宋_GB2312" w:cs="仿宋_GB2312"/>
          <w:b w:val="0"/>
          <w:bCs/>
          <w:color w:val="auto"/>
          <w:sz w:val="28"/>
          <w:szCs w:val="28"/>
          <w:highlight w:val="none"/>
          <w:lang w:val="en-US" w:eastAsia="zh-CN"/>
        </w:rPr>
        <w:t>的理由：</w:t>
      </w:r>
    </w:p>
    <w:p w14:paraId="5BB8F25F">
      <w:pPr>
        <w:spacing w:line="480" w:lineRule="exact"/>
        <w:ind w:firstLine="560" w:firstLineChars="200"/>
        <w:rPr>
          <w:rFonts w:hint="eastAsia" w:ascii="仿宋_GB2312" w:hAnsi="仿宋_GB2312" w:eastAsia="仿宋_GB2312" w:cs="仿宋_GB2312"/>
          <w:sz w:val="28"/>
          <w:szCs w:val="28"/>
          <w:highlight w:val="none"/>
        </w:rPr>
      </w:pPr>
      <w:r>
        <w:rPr>
          <w:rFonts w:hint="eastAsia" w:ascii="仿宋_GB2312" w:hAnsi="仿宋_GB2312" w:eastAsia="仿宋_GB2312" w:cs="仿宋_GB2312"/>
          <w:b w:val="0"/>
          <w:bCs/>
          <w:color w:val="auto"/>
          <w:sz w:val="28"/>
          <w:szCs w:val="28"/>
          <w:highlight w:val="none"/>
          <w:lang w:val="en-US" w:eastAsia="zh-CN"/>
        </w:rPr>
        <w:fldChar w:fldCharType="begin"/>
      </w:r>
      <w:r>
        <w:rPr>
          <w:rFonts w:hint="eastAsia" w:ascii="仿宋_GB2312" w:hAnsi="仿宋_GB2312" w:eastAsia="仿宋_GB2312" w:cs="仿宋_GB2312"/>
          <w:b w:val="0"/>
          <w:bCs/>
          <w:color w:val="auto"/>
          <w:sz w:val="28"/>
          <w:szCs w:val="28"/>
          <w:highlight w:val="none"/>
          <w:lang w:val="en-US" w:eastAsia="zh-CN"/>
        </w:rPr>
        <w:instrText xml:space="preserve"> = 1 \* GB3 </w:instrText>
      </w:r>
      <w:r>
        <w:rPr>
          <w:rFonts w:hint="eastAsia" w:ascii="仿宋_GB2312" w:hAnsi="仿宋_GB2312" w:eastAsia="仿宋_GB2312" w:cs="仿宋_GB2312"/>
          <w:b w:val="0"/>
          <w:bCs/>
          <w:color w:val="auto"/>
          <w:sz w:val="28"/>
          <w:szCs w:val="28"/>
          <w:highlight w:val="none"/>
          <w:lang w:val="en-US" w:eastAsia="zh-CN"/>
        </w:rPr>
        <w:fldChar w:fldCharType="separate"/>
      </w:r>
      <w:r>
        <w:rPr>
          <w:rFonts w:hint="eastAsia" w:ascii="仿宋_GB2312" w:hAnsi="仿宋_GB2312" w:eastAsia="仿宋_GB2312" w:cs="仿宋_GB2312"/>
          <w:b w:val="0"/>
          <w:bCs/>
          <w:color w:val="auto"/>
          <w:sz w:val="28"/>
          <w:szCs w:val="28"/>
          <w:highlight w:val="none"/>
          <w:lang w:val="en-US" w:eastAsia="zh-CN"/>
        </w:rPr>
        <w:t>①</w:t>
      </w:r>
      <w:r>
        <w:rPr>
          <w:rFonts w:hint="eastAsia" w:ascii="仿宋_GB2312" w:hAnsi="仿宋_GB2312" w:eastAsia="仿宋_GB2312" w:cs="仿宋_GB2312"/>
          <w:b w:val="0"/>
          <w:bCs/>
          <w:color w:val="auto"/>
          <w:sz w:val="28"/>
          <w:szCs w:val="28"/>
          <w:highlight w:val="none"/>
          <w:lang w:val="en-US" w:eastAsia="zh-CN"/>
        </w:rPr>
        <w:fldChar w:fldCharType="end"/>
      </w:r>
      <w:r>
        <w:rPr>
          <w:rFonts w:hint="eastAsia" w:ascii="仿宋_GB2312" w:hAnsi="仿宋_GB2312" w:eastAsia="仿宋_GB2312" w:cs="仿宋_GB2312"/>
          <w:sz w:val="28"/>
          <w:szCs w:val="28"/>
          <w:highlight w:val="none"/>
        </w:rPr>
        <w:t>公示地价系数修正法</w:t>
      </w:r>
    </w:p>
    <w:p w14:paraId="1BCFBD47">
      <w:pPr>
        <w:spacing w:line="480" w:lineRule="exact"/>
        <w:ind w:firstLine="560" w:firstLineChars="200"/>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kern w:val="0"/>
          <w:sz w:val="28"/>
          <w:szCs w:val="28"/>
          <w:highlight w:val="none"/>
        </w:rPr>
        <w:t>评估宗地</w:t>
      </w:r>
      <w:r>
        <w:rPr>
          <w:rFonts w:hint="eastAsia" w:ascii="仿宋_GB2312" w:hAnsi="仿宋_GB2312" w:eastAsia="仿宋_GB2312" w:cs="仿宋_GB2312"/>
          <w:color w:val="000000"/>
          <w:sz w:val="28"/>
          <w:szCs w:val="28"/>
          <w:highlight w:val="none"/>
        </w:rPr>
        <w:t>位于</w:t>
      </w:r>
      <w:r>
        <w:rPr>
          <w:rFonts w:hint="eastAsia" w:ascii="仿宋_GB2312" w:hAnsi="仿宋_GB2312" w:eastAsia="仿宋_GB2312" w:cs="仿宋_GB2312"/>
          <w:color w:val="000000"/>
          <w:sz w:val="28"/>
          <w:szCs w:val="28"/>
          <w:highlight w:val="none"/>
          <w:lang w:val="en-US" w:eastAsia="zh-CN"/>
        </w:rPr>
        <w:t>通道县双江镇行政街331/1-2幢整栋</w:t>
      </w:r>
      <w:r>
        <w:rPr>
          <w:rFonts w:hint="eastAsia" w:ascii="仿宋_GB2312" w:hAnsi="仿宋_GB2312" w:eastAsia="仿宋_GB2312" w:cs="仿宋_GB2312"/>
          <w:kern w:val="0"/>
          <w:sz w:val="28"/>
          <w:szCs w:val="28"/>
          <w:highlight w:val="none"/>
        </w:rPr>
        <w:t>，</w:t>
      </w:r>
      <w:r>
        <w:rPr>
          <w:rFonts w:hint="eastAsia" w:ascii="仿宋_GB2312" w:hAnsi="仿宋_GB2312" w:eastAsia="仿宋_GB2312" w:cs="仿宋_GB2312"/>
          <w:bCs/>
          <w:color w:val="000000"/>
          <w:sz w:val="28"/>
          <w:szCs w:val="28"/>
          <w:highlight w:val="none"/>
        </w:rPr>
        <w:t>属于</w:t>
      </w:r>
      <w:r>
        <w:rPr>
          <w:rFonts w:hint="eastAsia" w:ascii="仿宋_GB2312" w:hAnsi="仿宋_GB2312" w:eastAsia="仿宋_GB2312" w:cs="仿宋_GB2312"/>
          <w:bCs/>
          <w:color w:val="000000"/>
          <w:sz w:val="28"/>
          <w:szCs w:val="28"/>
          <w:highlight w:val="none"/>
          <w:lang w:val="en-US" w:eastAsia="zh-CN"/>
        </w:rPr>
        <w:t>通道县城区商业服务业用地二级、居住用地二</w:t>
      </w:r>
      <w:r>
        <w:rPr>
          <w:rFonts w:hint="eastAsia" w:ascii="仿宋_GB2312" w:hAnsi="仿宋_GB2312" w:eastAsia="仿宋_GB2312" w:cs="仿宋_GB2312"/>
          <w:bCs/>
          <w:color w:val="000000"/>
          <w:sz w:val="28"/>
          <w:szCs w:val="28"/>
          <w:highlight w:val="none"/>
          <w:lang w:eastAsia="zh-CN"/>
        </w:rPr>
        <w:t>级用地</w:t>
      </w:r>
      <w:r>
        <w:rPr>
          <w:rFonts w:hint="eastAsia" w:ascii="仿宋_GB2312" w:hAnsi="仿宋_GB2312" w:eastAsia="仿宋_GB2312" w:cs="仿宋_GB2312"/>
          <w:bCs/>
          <w:color w:val="000000"/>
          <w:sz w:val="28"/>
          <w:szCs w:val="28"/>
          <w:highlight w:val="none"/>
        </w:rPr>
        <w:t>范围，</w:t>
      </w:r>
      <w:r>
        <w:rPr>
          <w:rFonts w:hint="eastAsia" w:ascii="仿宋_GB2312" w:hAnsi="仿宋_GB2312" w:eastAsia="仿宋_GB2312" w:cs="仿宋_GB2312"/>
          <w:sz w:val="28"/>
          <w:szCs w:val="28"/>
          <w:highlight w:val="none"/>
        </w:rPr>
        <w:t>根据</w:t>
      </w:r>
      <w:r>
        <w:rPr>
          <w:rFonts w:hint="eastAsia" w:ascii="仿宋_GB2312" w:hAnsi="仿宋_GB2312" w:eastAsia="仿宋_GB2312" w:cs="仿宋_GB2312"/>
          <w:snapToGrid w:val="0"/>
          <w:kern w:val="0"/>
          <w:sz w:val="28"/>
          <w:szCs w:val="28"/>
          <w:highlight w:val="none"/>
        </w:rPr>
        <w:t>《通道侗族自治县人民政府关于更新城镇基准地价标准和等级的通知》（通政发〔202</w:t>
      </w:r>
      <w:r>
        <w:rPr>
          <w:rFonts w:hint="eastAsia" w:ascii="仿宋_GB2312" w:hAnsi="仿宋_GB2312" w:eastAsia="仿宋_GB2312" w:cs="仿宋_GB2312"/>
          <w:snapToGrid w:val="0"/>
          <w:kern w:val="0"/>
          <w:sz w:val="28"/>
          <w:szCs w:val="28"/>
          <w:highlight w:val="none"/>
          <w:lang w:val="en-US" w:eastAsia="zh-CN"/>
        </w:rPr>
        <w:t>6</w:t>
      </w:r>
      <w:r>
        <w:rPr>
          <w:rFonts w:hint="eastAsia" w:ascii="仿宋_GB2312" w:hAnsi="仿宋_GB2312" w:eastAsia="仿宋_GB2312" w:cs="仿宋_GB2312"/>
          <w:snapToGrid w:val="0"/>
          <w:kern w:val="0"/>
          <w:sz w:val="28"/>
          <w:szCs w:val="28"/>
          <w:highlight w:val="none"/>
        </w:rPr>
        <w:t>〕1号，20</w:t>
      </w:r>
      <w:r>
        <w:rPr>
          <w:rFonts w:hint="eastAsia" w:ascii="仿宋_GB2312" w:hAnsi="仿宋_GB2312" w:eastAsia="仿宋_GB2312" w:cs="仿宋_GB2312"/>
          <w:snapToGrid w:val="0"/>
          <w:kern w:val="0"/>
          <w:sz w:val="28"/>
          <w:szCs w:val="28"/>
          <w:highlight w:val="none"/>
          <w:lang w:val="en-US" w:eastAsia="zh-CN"/>
        </w:rPr>
        <w:t>26</w:t>
      </w:r>
      <w:r>
        <w:rPr>
          <w:rFonts w:hint="eastAsia" w:ascii="仿宋_GB2312" w:hAnsi="仿宋_GB2312" w:eastAsia="仿宋_GB2312" w:cs="仿宋_GB2312"/>
          <w:snapToGrid w:val="0"/>
          <w:kern w:val="0"/>
          <w:sz w:val="28"/>
          <w:szCs w:val="28"/>
          <w:highlight w:val="none"/>
        </w:rPr>
        <w:t>年</w:t>
      </w:r>
      <w:r>
        <w:rPr>
          <w:rFonts w:hint="eastAsia" w:ascii="仿宋_GB2312" w:hAnsi="仿宋_GB2312" w:eastAsia="仿宋_GB2312" w:cs="仿宋_GB2312"/>
          <w:snapToGrid w:val="0"/>
          <w:kern w:val="0"/>
          <w:sz w:val="28"/>
          <w:szCs w:val="28"/>
          <w:highlight w:val="none"/>
          <w:lang w:val="en-US" w:eastAsia="zh-CN"/>
        </w:rPr>
        <w:t>1</w:t>
      </w:r>
      <w:r>
        <w:rPr>
          <w:rFonts w:hint="eastAsia" w:ascii="仿宋_GB2312" w:hAnsi="仿宋_GB2312" w:eastAsia="仿宋_GB2312" w:cs="仿宋_GB2312"/>
          <w:snapToGrid w:val="0"/>
          <w:kern w:val="0"/>
          <w:sz w:val="28"/>
          <w:szCs w:val="28"/>
          <w:highlight w:val="none"/>
        </w:rPr>
        <w:t>月</w:t>
      </w:r>
      <w:r>
        <w:rPr>
          <w:rFonts w:hint="eastAsia" w:ascii="仿宋_GB2312" w:hAnsi="仿宋_GB2312" w:eastAsia="仿宋_GB2312" w:cs="仿宋_GB2312"/>
          <w:snapToGrid w:val="0"/>
          <w:kern w:val="0"/>
          <w:sz w:val="28"/>
          <w:szCs w:val="28"/>
          <w:highlight w:val="none"/>
          <w:lang w:val="en-US" w:eastAsia="zh-CN"/>
        </w:rPr>
        <w:t>6</w:t>
      </w:r>
      <w:r>
        <w:rPr>
          <w:rFonts w:hint="eastAsia" w:ascii="仿宋_GB2312" w:hAnsi="仿宋_GB2312" w:eastAsia="仿宋_GB2312" w:cs="仿宋_GB2312"/>
          <w:snapToGrid w:val="0"/>
          <w:kern w:val="0"/>
          <w:sz w:val="28"/>
          <w:szCs w:val="28"/>
          <w:highlight w:val="none"/>
        </w:rPr>
        <w:t>日）</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sz w:val="28"/>
          <w:szCs w:val="28"/>
          <w:highlight w:val="none"/>
          <w:lang w:val="en-US" w:eastAsia="zh-CN"/>
        </w:rPr>
        <w:t>通道县城镇</w:t>
      </w:r>
      <w:r>
        <w:rPr>
          <w:rFonts w:hint="eastAsia" w:ascii="仿宋_GB2312" w:hAnsi="仿宋_GB2312" w:eastAsia="仿宋_GB2312" w:cs="仿宋_GB2312"/>
          <w:sz w:val="28"/>
          <w:szCs w:val="28"/>
          <w:highlight w:val="none"/>
        </w:rPr>
        <w:t>基准地价从</w:t>
      </w:r>
      <w:r>
        <w:rPr>
          <w:rFonts w:hint="eastAsia" w:ascii="仿宋_GB2312" w:hAnsi="仿宋_GB2312" w:eastAsia="仿宋_GB2312" w:cs="仿宋_GB2312"/>
          <w:sz w:val="28"/>
          <w:szCs w:val="28"/>
          <w:highlight w:val="none"/>
          <w:lang w:val="en-US" w:eastAsia="zh-CN"/>
        </w:rPr>
        <w:t>2026年1月6日</w:t>
      </w:r>
      <w:r>
        <w:rPr>
          <w:rFonts w:hint="eastAsia" w:ascii="仿宋_GB2312" w:hAnsi="仿宋_GB2312" w:eastAsia="仿宋_GB2312" w:cs="仿宋_GB2312"/>
          <w:sz w:val="28"/>
          <w:szCs w:val="28"/>
          <w:highlight w:val="none"/>
        </w:rPr>
        <w:t>起公布执行，基准日为202</w:t>
      </w:r>
      <w:r>
        <w:rPr>
          <w:rFonts w:hint="eastAsia" w:ascii="仿宋_GB2312" w:hAnsi="仿宋_GB2312" w:eastAsia="仿宋_GB2312" w:cs="仿宋_GB2312"/>
          <w:sz w:val="28"/>
          <w:szCs w:val="28"/>
          <w:highlight w:val="none"/>
          <w:lang w:val="en-US" w:eastAsia="zh-CN"/>
        </w:rPr>
        <w:t>5年4月1日</w:t>
      </w:r>
      <w:r>
        <w:rPr>
          <w:rFonts w:hint="eastAsia" w:ascii="仿宋_GB2312" w:hAnsi="仿宋_GB2312" w:eastAsia="仿宋_GB2312" w:cs="仿宋_GB2312"/>
          <w:sz w:val="28"/>
          <w:szCs w:val="28"/>
          <w:highlight w:val="none"/>
        </w:rPr>
        <w:t>，估价对象位于基准地价覆盖范围内，</w:t>
      </w:r>
      <w:r>
        <w:rPr>
          <w:rFonts w:hint="eastAsia" w:ascii="仿宋_GB2312" w:hAnsi="仿宋_GB2312" w:eastAsia="仿宋_GB2312" w:cs="仿宋_GB2312"/>
          <w:kern w:val="0"/>
          <w:sz w:val="28"/>
          <w:szCs w:val="28"/>
          <w:highlight w:val="none"/>
        </w:rPr>
        <w:t>有科学的城镇住宅用地修正体系可以采用，</w:t>
      </w:r>
      <w:r>
        <w:rPr>
          <w:rFonts w:hint="eastAsia" w:ascii="仿宋_GB2312" w:hAnsi="仿宋_GB2312" w:eastAsia="仿宋_GB2312" w:cs="仿宋_GB2312"/>
          <w:color w:val="000000"/>
          <w:sz w:val="28"/>
          <w:szCs w:val="28"/>
          <w:highlight w:val="none"/>
        </w:rPr>
        <w:t>故采用公示地价系数修正法作为评估方法。</w:t>
      </w:r>
    </w:p>
    <w:p w14:paraId="07C3A25A">
      <w:pPr>
        <w:spacing w:line="480" w:lineRule="exact"/>
        <w:ind w:firstLine="560" w:firstLineChars="200"/>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2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②</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收益还原法</w:t>
      </w:r>
    </w:p>
    <w:p w14:paraId="6EFEECE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由于估价对象地上房屋建筑物有</w:t>
      </w:r>
      <w:r>
        <w:rPr>
          <w:rFonts w:hint="eastAsia" w:ascii="仿宋_GB2312" w:hAnsi="仿宋_GB2312" w:eastAsia="仿宋_GB2312" w:cs="仿宋_GB2312"/>
          <w:b w:val="0"/>
          <w:bCs/>
          <w:color w:val="auto"/>
          <w:sz w:val="28"/>
          <w:szCs w:val="28"/>
          <w:highlight w:val="none"/>
          <w:lang w:val="en-US" w:eastAsia="zh-CN"/>
        </w:rPr>
        <w:t>潜在</w:t>
      </w:r>
      <w:r>
        <w:rPr>
          <w:rFonts w:hint="default" w:ascii="仿宋_GB2312" w:hAnsi="仿宋_GB2312" w:eastAsia="仿宋_GB2312" w:cs="仿宋_GB2312"/>
          <w:b w:val="0"/>
          <w:bCs/>
          <w:color w:val="auto"/>
          <w:sz w:val="28"/>
          <w:szCs w:val="28"/>
          <w:highlight w:val="none"/>
          <w:lang w:val="en-US" w:eastAsia="zh-CN"/>
        </w:rPr>
        <w:t>收益，所在区域内同类型用房租赁情况较多，不动产总收益较易确定，故可采用收益还原法作为评估方法之一。</w:t>
      </w:r>
    </w:p>
    <w:p w14:paraId="459414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最后综合分析宗地所在区域地产市场行情，确定土地价格。</w:t>
      </w:r>
    </w:p>
    <w:p w14:paraId="178CCA3E">
      <w:pPr>
        <w:pStyle w:val="16"/>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（2）不采用的方法及不采用方法理由</w:t>
      </w:r>
      <w:r>
        <w:rPr>
          <w:rFonts w:hint="eastAsia" w:hAnsi="仿宋_GB2312" w:cs="仿宋_GB2312"/>
          <w:color w:val="auto"/>
          <w:szCs w:val="28"/>
          <w:highlight w:val="none"/>
          <w:lang w:val="en-US" w:eastAsia="zh-CN"/>
        </w:rPr>
        <w:t>：</w:t>
      </w:r>
    </w:p>
    <w:p w14:paraId="1BC2414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1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①</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不选择市场比较法</w:t>
      </w:r>
    </w:p>
    <w:p w14:paraId="047BB4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估价对象使用权</w:t>
      </w:r>
      <w:r>
        <w:rPr>
          <w:rFonts w:hint="eastAsia" w:ascii="仿宋_GB2312" w:hAnsi="仿宋_GB2312" w:eastAsia="仿宋_GB2312" w:cs="仿宋_GB2312"/>
          <w:b w:val="0"/>
          <w:bCs/>
          <w:color w:val="auto"/>
          <w:sz w:val="28"/>
          <w:szCs w:val="28"/>
          <w:highlight w:val="none"/>
          <w:lang w:val="en-US" w:eastAsia="zh-CN"/>
        </w:rPr>
        <w:t>性质</w:t>
      </w:r>
      <w:r>
        <w:rPr>
          <w:rFonts w:hint="default" w:ascii="仿宋_GB2312" w:hAnsi="仿宋_GB2312" w:eastAsia="仿宋_GB2312" w:cs="仿宋_GB2312"/>
          <w:b w:val="0"/>
          <w:bCs/>
          <w:color w:val="auto"/>
          <w:sz w:val="28"/>
          <w:szCs w:val="28"/>
          <w:highlight w:val="none"/>
          <w:lang w:val="en-US" w:eastAsia="zh-CN"/>
        </w:rPr>
        <w:t>为</w:t>
      </w:r>
      <w:r>
        <w:rPr>
          <w:rFonts w:hint="eastAsia" w:ascii="仿宋_GB2312" w:hAnsi="仿宋_GB2312" w:eastAsia="仿宋_GB2312" w:cs="仿宋_GB2312"/>
          <w:b w:val="0"/>
          <w:bCs/>
          <w:color w:val="auto"/>
          <w:sz w:val="28"/>
          <w:szCs w:val="28"/>
          <w:highlight w:val="none"/>
          <w:lang w:val="en-US" w:eastAsia="zh-CN"/>
        </w:rPr>
        <w:t>国有划拨</w:t>
      </w:r>
      <w:r>
        <w:rPr>
          <w:rFonts w:hint="default" w:ascii="仿宋_GB2312" w:hAnsi="仿宋_GB2312" w:eastAsia="仿宋_GB2312" w:cs="仿宋_GB2312"/>
          <w:b w:val="0"/>
          <w:bCs/>
          <w:color w:val="auto"/>
          <w:sz w:val="28"/>
          <w:szCs w:val="28"/>
          <w:highlight w:val="none"/>
          <w:lang w:val="en-US" w:eastAsia="zh-CN"/>
        </w:rPr>
        <w:t>，登记用途为</w:t>
      </w:r>
      <w:r>
        <w:rPr>
          <w:rFonts w:hint="eastAsia" w:ascii="仿宋_GB2312" w:hAnsi="仿宋_GB2312" w:eastAsia="仿宋_GB2312" w:cs="仿宋_GB2312"/>
          <w:b w:val="0"/>
          <w:bCs/>
          <w:color w:val="auto"/>
          <w:sz w:val="28"/>
          <w:szCs w:val="28"/>
          <w:highlight w:val="none"/>
          <w:lang w:val="en-US" w:eastAsia="zh-CN"/>
        </w:rPr>
        <w:t>机关团体用地</w:t>
      </w:r>
      <w:r>
        <w:rPr>
          <w:rFonts w:hint="default" w:ascii="仿宋_GB2312" w:hAnsi="仿宋_GB2312" w:eastAsia="仿宋_GB2312" w:cs="仿宋_GB2312"/>
          <w:b w:val="0"/>
          <w:bCs/>
          <w:color w:val="auto"/>
          <w:sz w:val="28"/>
          <w:szCs w:val="28"/>
          <w:highlight w:val="none"/>
          <w:lang w:val="en-US" w:eastAsia="zh-CN"/>
        </w:rPr>
        <w:t>，设定土地用途为住宅用地，区域内较难收集到三个及以上的相同或类似用途的土地成交案例，故不适宜采用市场比较法进行评估。</w:t>
      </w:r>
    </w:p>
    <w:p w14:paraId="2FEB3E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2 \* GB3 \* MERGEFORMAT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②</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不选择剩余法（增值收益扣减法）</w:t>
      </w:r>
    </w:p>
    <w:p w14:paraId="41C594C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US" w:eastAsia="zh-CN"/>
        </w:rPr>
        <w:t>剩余法适用于具有投资开发或再开发潜力的土地估价。估价对象周边房地产交易案例较少，难以合理确定房地产开发价值，此次评估已优选两种评估方法，因而不采用剩余法进行评估。</w:t>
      </w:r>
    </w:p>
    <w:p w14:paraId="3E0CDA9C">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b w:val="0"/>
          <w:bCs/>
          <w:color w:val="auto"/>
          <w:sz w:val="28"/>
          <w:szCs w:val="28"/>
          <w:highlight w:val="none"/>
          <w:lang w:val="en-US" w:eastAsia="zh-CN"/>
        </w:rPr>
        <w:t>③</w:t>
      </w:r>
      <w:r>
        <w:rPr>
          <w:rFonts w:hint="eastAsia" w:ascii="仿宋_GB2312" w:hAnsi="仿宋_GB2312" w:eastAsia="仿宋_GB2312" w:cs="仿宋_GB2312"/>
          <w:sz w:val="28"/>
          <w:szCs w:val="28"/>
          <w:highlight w:val="none"/>
        </w:rPr>
        <w:t>不选择成本逼近法</w:t>
      </w:r>
    </w:p>
    <w:p w14:paraId="35C06436">
      <w:pPr>
        <w:pStyle w:val="19"/>
        <w:keepNext w:val="0"/>
        <w:keepLines w:val="0"/>
        <w:pageBreakBefore w:val="0"/>
        <w:widowControl w:val="0"/>
        <w:kinsoku/>
        <w:wordWrap/>
        <w:overflowPunct/>
        <w:topLinePunct w:val="0"/>
        <w:autoSpaceDE/>
        <w:autoSpaceDN/>
        <w:bidi w:val="0"/>
        <w:snapToGrid w:val="0"/>
        <w:spacing w:line="480" w:lineRule="exact"/>
        <w:textAlignment w:val="auto"/>
        <w:rPr>
          <w:rFonts w:hint="eastAsia" w:ascii="仿宋_GB2312" w:hAnsi="仿宋_GB2312" w:eastAsia="仿宋_GB2312" w:cs="仿宋_GB2312"/>
          <w:bCs/>
          <w:sz w:val="28"/>
          <w:szCs w:val="28"/>
          <w:highlight w:val="none"/>
        </w:rPr>
      </w:pPr>
      <w:r>
        <w:rPr>
          <w:rFonts w:hint="eastAsia" w:ascii="仿宋_GB2312" w:hAnsi="仿宋_GB2312" w:eastAsia="仿宋_GB2312" w:cs="仿宋_GB2312"/>
          <w:sz w:val="28"/>
          <w:szCs w:val="28"/>
          <w:highlight w:val="none"/>
        </w:rPr>
        <w:t>成本逼近法一般适用于土地市场狭小，土地成交实例不多的情况下。对于无收益又很少存在交易情况的案例比较适用。</w:t>
      </w:r>
    </w:p>
    <w:p w14:paraId="35B935E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Cs/>
          <w:sz w:val="28"/>
          <w:szCs w:val="28"/>
          <w:highlight w:val="none"/>
        </w:rPr>
        <w:t>估价对象所在区域房地产市场较为发达</w:t>
      </w:r>
      <w:r>
        <w:rPr>
          <w:rFonts w:hint="eastAsia" w:ascii="仿宋_GB2312" w:hAnsi="仿宋_GB2312" w:eastAsia="仿宋_GB2312" w:cs="仿宋_GB2312"/>
          <w:bCs/>
          <w:sz w:val="28"/>
          <w:szCs w:val="28"/>
          <w:highlight w:val="none"/>
          <w:lang w:eastAsia="zh-CN"/>
        </w:rPr>
        <w:t>，</w:t>
      </w:r>
      <w:r>
        <w:rPr>
          <w:rFonts w:hint="eastAsia" w:ascii="仿宋_GB2312" w:hAnsi="仿宋_GB2312" w:eastAsia="仿宋_GB2312" w:cs="仿宋_GB2312"/>
          <w:bCs/>
          <w:sz w:val="28"/>
          <w:szCs w:val="28"/>
          <w:highlight w:val="none"/>
        </w:rPr>
        <w:t>根据《城镇土地估价规程》，估价对象设定用途为</w:t>
      </w:r>
      <w:r>
        <w:rPr>
          <w:rFonts w:hint="eastAsia" w:ascii="仿宋_GB2312" w:hAnsi="仿宋_GB2312" w:eastAsia="仿宋_GB2312" w:cs="仿宋_GB2312"/>
          <w:bCs/>
          <w:sz w:val="28"/>
          <w:szCs w:val="28"/>
          <w:highlight w:val="none"/>
          <w:lang w:eastAsia="zh-CN"/>
        </w:rPr>
        <w:t>住宅</w:t>
      </w:r>
      <w:r>
        <w:rPr>
          <w:rFonts w:hint="eastAsia" w:ascii="仿宋_GB2312" w:hAnsi="仿宋_GB2312" w:eastAsia="仿宋_GB2312" w:cs="仿宋_GB2312"/>
          <w:bCs/>
          <w:sz w:val="28"/>
          <w:szCs w:val="28"/>
          <w:highlight w:val="none"/>
        </w:rPr>
        <w:t>用地，具有经营性性质，不宜采用成本逼近法。故本次评估不采用成本逼近法。</w:t>
      </w:r>
    </w:p>
    <w:p w14:paraId="0B960AD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US" w:eastAsia="zh-CN"/>
        </w:rPr>
        <w:t>综上所述，本次评估采用</w:t>
      </w:r>
      <w:r>
        <w:rPr>
          <w:rFonts w:hint="eastAsia" w:ascii="仿宋_GB2312" w:hAnsi="仿宋_GB2312" w:eastAsia="仿宋_GB2312" w:cs="仿宋_GB2312"/>
          <w:sz w:val="28"/>
          <w:szCs w:val="28"/>
          <w:highlight w:val="none"/>
        </w:rPr>
        <w:t>公示地价系数修正法</w:t>
      </w:r>
      <w:r>
        <w:rPr>
          <w:rFonts w:hint="eastAsia" w:ascii="仿宋_GB2312" w:hAnsi="仿宋_GB2312" w:eastAsia="仿宋_GB2312" w:cs="仿宋_GB2312"/>
          <w:b w:val="0"/>
          <w:bCs/>
          <w:color w:val="auto"/>
          <w:sz w:val="28"/>
          <w:szCs w:val="28"/>
          <w:highlight w:val="none"/>
          <w:lang w:val="en-US" w:eastAsia="zh-CN"/>
        </w:rPr>
        <w:t>和收益还原法进行评估确定</w:t>
      </w:r>
      <w:r>
        <w:rPr>
          <w:rFonts w:hint="default" w:ascii="仿宋_GB2312" w:hAnsi="仿宋_GB2312" w:eastAsia="仿宋_GB2312" w:cs="仿宋_GB2312"/>
          <w:b w:val="0"/>
          <w:bCs/>
          <w:color w:val="auto"/>
          <w:sz w:val="28"/>
          <w:szCs w:val="28"/>
          <w:highlight w:val="none"/>
          <w:lang w:val="en-US" w:eastAsia="zh-CN"/>
        </w:rPr>
        <w:t>。</w:t>
      </w:r>
    </w:p>
    <w:p w14:paraId="16DD924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US" w:eastAsia="zh-CN"/>
        </w:rPr>
        <w:fldChar w:fldCharType="begin"/>
      </w:r>
      <w:r>
        <w:rPr>
          <w:rFonts w:hint="eastAsia" w:ascii="仿宋_GB2312" w:hAnsi="仿宋_GB2312" w:eastAsia="仿宋_GB2312" w:cs="仿宋_GB2312"/>
          <w:b w:val="0"/>
          <w:bCs/>
          <w:color w:val="auto"/>
          <w:sz w:val="28"/>
          <w:szCs w:val="28"/>
          <w:highlight w:val="none"/>
          <w:lang w:val="en-US" w:eastAsia="zh-CN"/>
        </w:rPr>
        <w:instrText xml:space="preserve"> = 2 \* ROMAN </w:instrText>
      </w:r>
      <w:r>
        <w:rPr>
          <w:rFonts w:hint="eastAsia" w:ascii="仿宋_GB2312" w:hAnsi="仿宋_GB2312" w:eastAsia="仿宋_GB2312" w:cs="仿宋_GB2312"/>
          <w:b w:val="0"/>
          <w:bCs/>
          <w:color w:val="auto"/>
          <w:sz w:val="28"/>
          <w:szCs w:val="28"/>
          <w:highlight w:val="none"/>
          <w:lang w:val="en-US" w:eastAsia="zh-CN"/>
        </w:rPr>
        <w:fldChar w:fldCharType="separate"/>
      </w:r>
      <w:r>
        <w:rPr>
          <w:rFonts w:hint="eastAsia" w:ascii="仿宋_GB2312" w:hAnsi="仿宋_GB2312" w:eastAsia="仿宋_GB2312" w:cs="仿宋_GB2312"/>
          <w:b w:val="0"/>
          <w:bCs/>
          <w:color w:val="auto"/>
          <w:sz w:val="28"/>
          <w:szCs w:val="28"/>
          <w:highlight w:val="none"/>
          <w:lang w:val="en-US" w:eastAsia="zh-CN"/>
        </w:rPr>
        <w:t>II</w:t>
      </w:r>
      <w:r>
        <w:rPr>
          <w:rFonts w:hint="eastAsia" w:ascii="仿宋_GB2312" w:hAnsi="仿宋_GB2312" w:eastAsia="仿宋_GB2312" w:cs="仿宋_GB2312"/>
          <w:b w:val="0"/>
          <w:bCs/>
          <w:color w:val="auto"/>
          <w:sz w:val="28"/>
          <w:szCs w:val="28"/>
          <w:highlight w:val="none"/>
          <w:lang w:val="en-US" w:eastAsia="zh-CN"/>
        </w:rPr>
        <w:fldChar w:fldCharType="end"/>
      </w:r>
      <w:r>
        <w:rPr>
          <w:rFonts w:hint="eastAsia" w:ascii="仿宋_GB2312" w:hAnsi="仿宋_GB2312" w:eastAsia="仿宋_GB2312" w:cs="仿宋_GB2312"/>
          <w:b w:val="0"/>
          <w:bCs/>
          <w:color w:val="auto"/>
          <w:sz w:val="28"/>
          <w:szCs w:val="28"/>
          <w:highlight w:val="none"/>
          <w:lang w:val="en-US" w:eastAsia="zh-CN"/>
        </w:rPr>
        <w:t>、估价过程：</w:t>
      </w:r>
    </w:p>
    <w:p w14:paraId="431590B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2"/>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（一）基准地价系数修正法</w:t>
      </w:r>
    </w:p>
    <w:p w14:paraId="714FF523">
      <w:pPr>
        <w:adjustRightInd w:val="0"/>
        <w:snapToGrid w:val="0"/>
        <w:spacing w:line="480" w:lineRule="exact"/>
        <w:ind w:firstLine="601"/>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基准地价系数修正法估价过程</w:t>
      </w:r>
    </w:p>
    <w:p w14:paraId="747091E0">
      <w:pPr>
        <w:keepNext w:val="0"/>
        <w:keepLines w:val="0"/>
        <w:pageBreakBefore w:val="0"/>
        <w:widowControl w:val="0"/>
        <w:kinsoku/>
        <w:wordWrap/>
        <w:overflowPunct/>
        <w:topLinePunct w:val="0"/>
        <w:autoSpaceDE w:val="0"/>
        <w:autoSpaceDN w:val="0"/>
        <w:bidi w:val="0"/>
        <w:adjustRightInd w:val="0"/>
        <w:snapToGrid w:val="0"/>
        <w:spacing w:line="480" w:lineRule="exact"/>
        <w:ind w:firstLine="601"/>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基准地价系数修正法是利用城镇基准地价和基准地价修正系数表等评估成果，按照替代原则，对估价对象的区域条件和个别条件等与其所处区域的平均条件相比较，并对照修正系数表选取相应的修正系数对基准地价进行修正，进而求取估价对象在估价基准日价格的方法。</w:t>
      </w:r>
    </w:p>
    <w:p w14:paraId="335C3C14">
      <w:pPr>
        <w:keepNext w:val="0"/>
        <w:keepLines w:val="0"/>
        <w:pageBreakBefore w:val="0"/>
        <w:widowControl w:val="0"/>
        <w:kinsoku/>
        <w:wordWrap/>
        <w:overflowPunct/>
        <w:topLinePunct w:val="0"/>
        <w:autoSpaceDE w:val="0"/>
        <w:autoSpaceDN w:val="0"/>
        <w:bidi w:val="0"/>
        <w:adjustRightInd w:val="0"/>
        <w:snapToGrid w:val="0"/>
        <w:spacing w:line="480" w:lineRule="exact"/>
        <w:ind w:firstLine="601"/>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具体测算思路是：</w:t>
      </w:r>
    </w:p>
    <w:p w14:paraId="6A85BAFA">
      <w:pPr>
        <w:keepNext w:val="0"/>
        <w:keepLines w:val="0"/>
        <w:pageBreakBefore w:val="0"/>
        <w:widowControl w:val="0"/>
        <w:kinsoku/>
        <w:wordWrap/>
        <w:overflowPunct/>
        <w:topLinePunct w:val="0"/>
        <w:autoSpaceDE w:val="0"/>
        <w:autoSpaceDN w:val="0"/>
        <w:bidi w:val="0"/>
        <w:adjustRightInd w:val="0"/>
        <w:snapToGrid w:val="0"/>
        <w:spacing w:line="480" w:lineRule="exact"/>
        <w:ind w:firstLine="601"/>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（1）具体说明本次评估所采用的基准地价的制定情况、内涵及其测算公式；</w:t>
      </w:r>
    </w:p>
    <w:p w14:paraId="39A1F443">
      <w:pPr>
        <w:keepNext w:val="0"/>
        <w:keepLines w:val="0"/>
        <w:pageBreakBefore w:val="0"/>
        <w:widowControl w:val="0"/>
        <w:kinsoku/>
        <w:wordWrap/>
        <w:overflowPunct/>
        <w:topLinePunct w:val="0"/>
        <w:autoSpaceDE w:val="0"/>
        <w:autoSpaceDN w:val="0"/>
        <w:bidi w:val="0"/>
        <w:adjustRightInd w:val="0"/>
        <w:snapToGrid w:val="0"/>
        <w:spacing w:line="480" w:lineRule="exact"/>
        <w:ind w:firstLine="601"/>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（2）根据估价对象的具体位置及当地城区土地级别图，确定各估价对象所在土地级别和基准地价；</w:t>
      </w:r>
    </w:p>
    <w:p w14:paraId="0BCE94C1">
      <w:pPr>
        <w:keepNext w:val="0"/>
        <w:keepLines w:val="0"/>
        <w:pageBreakBefore w:val="0"/>
        <w:widowControl w:val="0"/>
        <w:kinsoku/>
        <w:wordWrap/>
        <w:overflowPunct/>
        <w:topLinePunct w:val="0"/>
        <w:autoSpaceDE w:val="0"/>
        <w:autoSpaceDN w:val="0"/>
        <w:bidi w:val="0"/>
        <w:adjustRightInd w:val="0"/>
        <w:snapToGrid w:val="0"/>
        <w:spacing w:line="480" w:lineRule="exact"/>
        <w:ind w:firstLine="601"/>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rPr>
        <w:t>（3）确定土地使用年期修正系数</w:t>
      </w:r>
      <w:r>
        <w:rPr>
          <w:rFonts w:hint="eastAsia" w:ascii="仿宋_GB2312" w:hAnsi="仿宋_GB2312" w:eastAsia="仿宋_GB2312" w:cs="仿宋_GB2312"/>
          <w:sz w:val="28"/>
          <w:szCs w:val="28"/>
          <w:highlight w:val="none"/>
          <w:lang w:eastAsia="zh-CN"/>
        </w:rPr>
        <w:t>；</w:t>
      </w:r>
    </w:p>
    <w:p w14:paraId="46AAAA54">
      <w:pPr>
        <w:keepNext w:val="0"/>
        <w:keepLines w:val="0"/>
        <w:pageBreakBefore w:val="0"/>
        <w:widowControl w:val="0"/>
        <w:kinsoku/>
        <w:wordWrap/>
        <w:overflowPunct/>
        <w:topLinePunct w:val="0"/>
        <w:autoSpaceDE w:val="0"/>
        <w:autoSpaceDN w:val="0"/>
        <w:bidi w:val="0"/>
        <w:adjustRightInd w:val="0"/>
        <w:snapToGrid w:val="0"/>
        <w:spacing w:line="480" w:lineRule="exact"/>
        <w:ind w:firstLine="601"/>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（4）结合估价对象所在区域近几年的土地市场情况，确定期日修正系数；</w:t>
      </w:r>
    </w:p>
    <w:p w14:paraId="724E5A25">
      <w:pPr>
        <w:adjustRightInd w:val="0"/>
        <w:snapToGrid w:val="0"/>
        <w:spacing w:line="480" w:lineRule="exact"/>
        <w:ind w:firstLine="601"/>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（5）确定容积率修正系数；</w:t>
      </w:r>
    </w:p>
    <w:p w14:paraId="7D0371F2">
      <w:pPr>
        <w:adjustRightInd w:val="0"/>
        <w:snapToGrid w:val="0"/>
        <w:spacing w:line="480" w:lineRule="exact"/>
        <w:ind w:firstLine="601"/>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（6）根据估价对象的实际情况以及基准地价修正体系，确定区域及个别因素修正值；</w:t>
      </w:r>
    </w:p>
    <w:p w14:paraId="7529A324">
      <w:pPr>
        <w:adjustRightInd w:val="0"/>
        <w:snapToGrid w:val="0"/>
        <w:spacing w:line="480" w:lineRule="exact"/>
        <w:ind w:firstLine="601"/>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rPr>
        <w:t>（7）宗地面积形状修正</w:t>
      </w:r>
      <w:r>
        <w:rPr>
          <w:rFonts w:hint="eastAsia" w:ascii="仿宋_GB2312" w:hAnsi="仿宋_GB2312" w:eastAsia="仿宋_GB2312" w:cs="仿宋_GB2312"/>
          <w:sz w:val="28"/>
          <w:szCs w:val="28"/>
          <w:highlight w:val="none"/>
          <w:lang w:eastAsia="zh-CN"/>
        </w:rPr>
        <w:t>；</w:t>
      </w:r>
    </w:p>
    <w:p w14:paraId="36783776">
      <w:pPr>
        <w:adjustRightInd w:val="0"/>
        <w:snapToGrid w:val="0"/>
        <w:spacing w:line="480" w:lineRule="exact"/>
        <w:ind w:firstLine="601"/>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（8）确定开发程度修正值；</w:t>
      </w:r>
    </w:p>
    <w:p w14:paraId="104E9E67">
      <w:pPr>
        <w:adjustRightInd w:val="0"/>
        <w:snapToGrid w:val="0"/>
        <w:spacing w:line="480" w:lineRule="exact"/>
        <w:ind w:firstLine="601"/>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（9）根据基准地价内涵规定的公式，计算基准地价系数修正法测算结果。</w:t>
      </w:r>
    </w:p>
    <w:p w14:paraId="234A2A55">
      <w:pPr>
        <w:adjustRightInd w:val="0"/>
        <w:snapToGrid w:val="0"/>
        <w:spacing w:line="480" w:lineRule="exact"/>
        <w:ind w:firstLine="601"/>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1、基准地价评估依据</w:t>
      </w:r>
    </w:p>
    <w:p w14:paraId="242CCD06">
      <w:pPr>
        <w:tabs>
          <w:tab w:val="left" w:pos="180"/>
        </w:tabs>
        <w:spacing w:line="480" w:lineRule="exact"/>
        <w:ind w:firstLine="560" w:firstLineChars="20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根据估价对象区域因素及个别因素，按照《城镇土地估价规程》要求，结合</w:t>
      </w:r>
      <w:r>
        <w:rPr>
          <w:rFonts w:hint="eastAsia" w:ascii="仿宋_GB2312" w:hAnsi="仿宋_GB2312" w:eastAsia="仿宋_GB2312" w:cs="仿宋_GB2312"/>
          <w:sz w:val="28"/>
          <w:szCs w:val="28"/>
          <w:highlight w:val="none"/>
          <w:lang w:val="en-US" w:eastAsia="zh-CN"/>
        </w:rPr>
        <w:t>通道县</w:t>
      </w:r>
      <w:r>
        <w:rPr>
          <w:rFonts w:hint="eastAsia" w:ascii="仿宋_GB2312" w:hAnsi="仿宋_GB2312" w:eastAsia="仿宋_GB2312" w:cs="仿宋_GB2312"/>
          <w:sz w:val="28"/>
          <w:szCs w:val="28"/>
          <w:highlight w:val="none"/>
        </w:rPr>
        <w:t>基准地价的执行情况。</w:t>
      </w:r>
      <w:r>
        <w:rPr>
          <w:rFonts w:hint="eastAsia" w:ascii="仿宋_GB2312" w:hAnsi="仿宋_GB2312" w:eastAsia="仿宋_GB2312" w:cs="仿宋_GB2312"/>
          <w:sz w:val="28"/>
          <w:szCs w:val="28"/>
          <w:highlight w:val="none"/>
          <w:lang w:val="en-US" w:eastAsia="zh-CN"/>
        </w:rPr>
        <w:t>通道县</w:t>
      </w:r>
      <w:r>
        <w:rPr>
          <w:rFonts w:hint="eastAsia" w:ascii="仿宋_GB2312" w:hAnsi="仿宋_GB2312" w:eastAsia="仿宋_GB2312" w:cs="仿宋_GB2312"/>
          <w:sz w:val="28"/>
          <w:szCs w:val="28"/>
          <w:highlight w:val="none"/>
        </w:rPr>
        <w:t>基准地价的依据是</w:t>
      </w:r>
      <w:r>
        <w:rPr>
          <w:rFonts w:hint="eastAsia" w:ascii="仿宋_GB2312" w:hAnsi="仿宋_GB2312" w:eastAsia="仿宋_GB2312" w:cs="仿宋_GB2312"/>
          <w:bCs/>
          <w:sz w:val="28"/>
          <w:szCs w:val="28"/>
          <w:highlight w:val="none"/>
          <w:lang w:eastAsia="zh-CN"/>
        </w:rPr>
        <w:t>《</w:t>
      </w:r>
      <w:r>
        <w:rPr>
          <w:rFonts w:hint="eastAsia" w:ascii="仿宋_GB2312" w:hAnsi="仿宋_GB2312" w:eastAsia="仿宋_GB2312" w:cs="仿宋_GB2312"/>
          <w:bCs/>
          <w:sz w:val="28"/>
          <w:szCs w:val="28"/>
          <w:highlight w:val="none"/>
          <w:lang w:val="en-US" w:eastAsia="zh-CN"/>
        </w:rPr>
        <w:t>通道侗族自治县</w:t>
      </w:r>
      <w:r>
        <w:rPr>
          <w:rFonts w:hint="eastAsia" w:ascii="仿宋_GB2312" w:hAnsi="仿宋_GB2312" w:eastAsia="仿宋_GB2312" w:cs="仿宋_GB2312"/>
          <w:bCs/>
          <w:sz w:val="28"/>
          <w:szCs w:val="28"/>
          <w:highlight w:val="none"/>
          <w:lang w:eastAsia="zh-CN"/>
        </w:rPr>
        <w:t>城镇基准地价更新技术报告》（202</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bCs/>
          <w:sz w:val="28"/>
          <w:szCs w:val="28"/>
          <w:highlight w:val="none"/>
          <w:lang w:val="en-US" w:eastAsia="zh-CN"/>
        </w:rPr>
        <w:t>11</w:t>
      </w:r>
      <w:r>
        <w:rPr>
          <w:rFonts w:hint="eastAsia" w:ascii="仿宋_GB2312" w:hAnsi="仿宋_GB2312" w:eastAsia="仿宋_GB2312" w:cs="仿宋_GB2312"/>
          <w:bCs/>
          <w:sz w:val="28"/>
          <w:szCs w:val="28"/>
          <w:highlight w:val="none"/>
          <w:lang w:eastAsia="zh-CN"/>
        </w:rPr>
        <w:t>月）</w:t>
      </w:r>
      <w:r>
        <w:rPr>
          <w:rFonts w:hint="eastAsia" w:ascii="仿宋_GB2312" w:hAnsi="仿宋_GB2312" w:eastAsia="仿宋_GB2312" w:cs="仿宋_GB2312"/>
          <w:sz w:val="28"/>
          <w:szCs w:val="28"/>
          <w:highlight w:val="none"/>
        </w:rPr>
        <w:t>。</w:t>
      </w:r>
    </w:p>
    <w:p w14:paraId="71CC1E8A">
      <w:pPr>
        <w:tabs>
          <w:tab w:val="left" w:pos="180"/>
        </w:tabs>
        <w:spacing w:line="480" w:lineRule="exact"/>
        <w:ind w:firstLine="560" w:firstLineChars="200"/>
        <w:rPr>
          <w:rFonts w:hint="eastAsia" w:ascii="仿宋_GB2312" w:hAnsi="仿宋_GB2312" w:eastAsia="仿宋_GB2312" w:cs="仿宋_GB2312"/>
          <w:b w:val="0"/>
          <w:bCs w:val="0"/>
          <w:sz w:val="28"/>
          <w:szCs w:val="28"/>
          <w:highlight w:val="none"/>
        </w:rPr>
      </w:pPr>
      <w:r>
        <w:rPr>
          <w:rFonts w:hint="eastAsia" w:ascii="仿宋_GB2312" w:hAnsi="仿宋_GB2312" w:eastAsia="仿宋_GB2312" w:cs="仿宋_GB2312"/>
          <w:sz w:val="28"/>
          <w:szCs w:val="28"/>
          <w:highlight w:val="none"/>
          <w:lang w:eastAsia="zh-CN"/>
        </w:rPr>
        <w:t>出让土地使用权</w:t>
      </w:r>
      <w:r>
        <w:rPr>
          <w:rFonts w:hint="eastAsia" w:ascii="仿宋_GB2312" w:hAnsi="仿宋_GB2312" w:eastAsia="仿宋_GB2312" w:cs="仿宋_GB2312"/>
          <w:sz w:val="28"/>
          <w:szCs w:val="28"/>
          <w:highlight w:val="none"/>
        </w:rPr>
        <w:t>基准地价的内涵为：在估价基准日</w:t>
      </w:r>
      <w:r>
        <w:rPr>
          <w:rFonts w:hint="eastAsia" w:ascii="仿宋_GB2312" w:hAnsi="仿宋_GB2312" w:eastAsia="仿宋_GB2312" w:cs="仿宋_GB2312"/>
          <w:color w:val="000000"/>
          <w:sz w:val="28"/>
          <w:highlight w:val="none"/>
          <w:lang w:eastAsia="zh-CN"/>
        </w:rPr>
        <w:t>20</w:t>
      </w:r>
      <w:r>
        <w:rPr>
          <w:rFonts w:hint="eastAsia" w:ascii="仿宋_GB2312" w:hAnsi="仿宋_GB2312" w:eastAsia="仿宋_GB2312" w:cs="仿宋_GB2312"/>
          <w:color w:val="000000"/>
          <w:sz w:val="28"/>
          <w:highlight w:val="none"/>
          <w:lang w:val="en-US" w:eastAsia="zh-CN"/>
        </w:rPr>
        <w:t>25</w:t>
      </w:r>
      <w:r>
        <w:rPr>
          <w:rFonts w:hint="eastAsia" w:ascii="仿宋_GB2312" w:hAnsi="仿宋_GB2312" w:eastAsia="仿宋_GB2312" w:cs="仿宋_GB2312"/>
          <w:color w:val="000000"/>
          <w:sz w:val="28"/>
          <w:highlight w:val="none"/>
          <w:lang w:eastAsia="zh-CN"/>
        </w:rPr>
        <w:t>年</w:t>
      </w:r>
      <w:r>
        <w:rPr>
          <w:rFonts w:hint="eastAsia" w:ascii="仿宋_GB2312" w:hAnsi="仿宋_GB2312" w:eastAsia="仿宋_GB2312" w:cs="仿宋_GB2312"/>
          <w:color w:val="000000"/>
          <w:sz w:val="28"/>
          <w:highlight w:val="none"/>
          <w:lang w:val="en-US" w:eastAsia="zh-CN"/>
        </w:rPr>
        <w:t>4</w:t>
      </w:r>
      <w:r>
        <w:rPr>
          <w:rFonts w:hint="eastAsia" w:ascii="仿宋_GB2312" w:hAnsi="仿宋_GB2312" w:eastAsia="仿宋_GB2312" w:cs="仿宋_GB2312"/>
          <w:color w:val="000000"/>
          <w:sz w:val="28"/>
          <w:highlight w:val="none"/>
          <w:lang w:eastAsia="zh-CN"/>
        </w:rPr>
        <w:t>月</w:t>
      </w:r>
      <w:r>
        <w:rPr>
          <w:rFonts w:hint="eastAsia" w:ascii="仿宋_GB2312" w:hAnsi="仿宋_GB2312" w:eastAsia="仿宋_GB2312" w:cs="仿宋_GB2312"/>
          <w:color w:val="000000"/>
          <w:sz w:val="28"/>
          <w:highlight w:val="none"/>
          <w:lang w:val="en-US" w:eastAsia="zh-CN"/>
        </w:rPr>
        <w:t>1</w:t>
      </w:r>
      <w:r>
        <w:rPr>
          <w:rFonts w:hint="eastAsia" w:ascii="仿宋_GB2312" w:hAnsi="仿宋_GB2312" w:eastAsia="仿宋_GB2312" w:cs="仿宋_GB2312"/>
          <w:color w:val="000000"/>
          <w:sz w:val="28"/>
          <w:highlight w:val="none"/>
          <w:lang w:eastAsia="zh-CN"/>
        </w:rPr>
        <w:t>日</w:t>
      </w:r>
      <w:r>
        <w:rPr>
          <w:rFonts w:hint="eastAsia" w:ascii="仿宋_GB2312" w:hAnsi="仿宋_GB2312" w:eastAsia="仿宋_GB2312" w:cs="仿宋_GB2312"/>
          <w:sz w:val="28"/>
          <w:szCs w:val="28"/>
          <w:highlight w:val="none"/>
        </w:rPr>
        <w:t>，各土地级别或均质区域内，现状平均土地开发程度和平均容积率下，同一用途的完整土地使用权的平均价格。地类按</w:t>
      </w:r>
      <w:r>
        <w:rPr>
          <w:rFonts w:hint="eastAsia" w:ascii="仿宋_GB2312" w:hAnsi="仿宋_GB2312" w:eastAsia="仿宋_GB2312" w:cs="仿宋_GB2312"/>
          <w:sz w:val="28"/>
          <w:szCs w:val="28"/>
          <w:highlight w:val="none"/>
          <w:lang w:val="en-US" w:eastAsia="zh-CN"/>
        </w:rPr>
        <w:t>商业服务业</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sz w:val="28"/>
          <w:szCs w:val="28"/>
          <w:highlight w:val="none"/>
          <w:lang w:val="en-US" w:eastAsia="zh-CN"/>
        </w:rPr>
        <w:t>居住</w:t>
      </w:r>
      <w:r>
        <w:rPr>
          <w:rFonts w:hint="eastAsia" w:ascii="仿宋_GB2312" w:hAnsi="仿宋_GB2312" w:eastAsia="仿宋_GB2312" w:cs="仿宋_GB2312"/>
          <w:sz w:val="28"/>
          <w:szCs w:val="28"/>
          <w:highlight w:val="none"/>
        </w:rPr>
        <w:t>、公共管理与公共服务、工矿</w:t>
      </w:r>
      <w:r>
        <w:rPr>
          <w:rFonts w:hint="eastAsia" w:ascii="仿宋_GB2312" w:hAnsi="仿宋_GB2312" w:eastAsia="仿宋_GB2312" w:cs="仿宋_GB2312"/>
          <w:sz w:val="28"/>
          <w:szCs w:val="28"/>
          <w:highlight w:val="none"/>
          <w:lang w:eastAsia="zh-CN"/>
        </w:rPr>
        <w:t>、</w:t>
      </w:r>
      <w:r>
        <w:rPr>
          <w:rFonts w:hint="eastAsia" w:ascii="仿宋_GB2312" w:hAnsi="仿宋_GB2312" w:eastAsia="仿宋_GB2312" w:cs="仿宋_GB2312"/>
          <w:sz w:val="28"/>
          <w:szCs w:val="28"/>
          <w:highlight w:val="none"/>
        </w:rPr>
        <w:t>仓储</w:t>
      </w:r>
      <w:r>
        <w:rPr>
          <w:rFonts w:hint="eastAsia" w:ascii="仿宋_GB2312" w:hAnsi="仿宋_GB2312" w:eastAsia="仿宋_GB2312" w:cs="仿宋_GB2312"/>
          <w:sz w:val="28"/>
          <w:szCs w:val="28"/>
          <w:highlight w:val="none"/>
          <w:lang w:eastAsia="zh-CN"/>
        </w:rPr>
        <w:t>、</w:t>
      </w:r>
      <w:r>
        <w:rPr>
          <w:rFonts w:hint="eastAsia" w:ascii="仿宋_GB2312" w:hAnsi="仿宋_GB2312" w:eastAsia="仿宋_GB2312" w:cs="仿宋_GB2312"/>
          <w:sz w:val="28"/>
          <w:szCs w:val="28"/>
          <w:highlight w:val="none"/>
          <w:lang w:val="en-US" w:eastAsia="zh-CN"/>
        </w:rPr>
        <w:t>公用设施</w:t>
      </w:r>
      <w:r>
        <w:rPr>
          <w:rFonts w:hint="eastAsia" w:ascii="仿宋_GB2312" w:hAnsi="仿宋_GB2312" w:eastAsia="仿宋_GB2312" w:cs="仿宋_GB2312"/>
          <w:sz w:val="28"/>
          <w:szCs w:val="28"/>
          <w:highlight w:val="none"/>
        </w:rPr>
        <w:t>用地区分，各类用地的使用年期均为法定最高使用年限。</w:t>
      </w:r>
      <w:r>
        <w:rPr>
          <w:rFonts w:hint="eastAsia" w:ascii="仿宋_GB2312" w:hAnsi="仿宋_GB2312" w:eastAsia="仿宋_GB2312" w:cs="仿宋_GB2312"/>
          <w:b w:val="0"/>
          <w:bCs w:val="0"/>
          <w:sz w:val="28"/>
          <w:szCs w:val="28"/>
          <w:highlight w:val="none"/>
          <w:lang w:val="en-US" w:eastAsia="zh-CN"/>
        </w:rPr>
        <w:t>通道县</w:t>
      </w:r>
      <w:r>
        <w:rPr>
          <w:rFonts w:hint="eastAsia" w:ascii="仿宋_GB2312" w:hAnsi="仿宋_GB2312" w:eastAsia="仿宋_GB2312" w:cs="仿宋_GB2312"/>
          <w:b w:val="0"/>
          <w:bCs w:val="0"/>
          <w:sz w:val="28"/>
          <w:szCs w:val="28"/>
          <w:highlight w:val="none"/>
        </w:rPr>
        <w:t>城区基准地价及其内涵具体情况见下表：</w:t>
      </w:r>
    </w:p>
    <w:p w14:paraId="63A666F5">
      <w:pPr>
        <w:pStyle w:val="3"/>
        <w:ind w:firstLine="0" w:firstLineChars="0"/>
        <w:jc w:val="center"/>
        <w:rPr>
          <w:rFonts w:hint="eastAsia" w:ascii="仿宋_GB2312" w:hAnsi="仿宋_GB2312" w:eastAsia="仿宋_GB2312" w:cs="仿宋_GB2312"/>
          <w:b w:val="0"/>
          <w:bCs w:val="0"/>
          <w:sz w:val="28"/>
          <w:szCs w:val="28"/>
          <w:highlight w:val="none"/>
        </w:rPr>
      </w:pPr>
      <w:r>
        <w:rPr>
          <w:rFonts w:hint="eastAsia" w:ascii="仿宋_GB2312" w:hAnsi="仿宋_GB2312" w:eastAsia="仿宋_GB2312" w:cs="仿宋_GB2312"/>
          <w:b w:val="0"/>
          <w:bCs w:val="0"/>
          <w:sz w:val="28"/>
          <w:szCs w:val="28"/>
          <w:highlight w:val="none"/>
        </w:rPr>
        <w:t xml:space="preserve">表3-1 </w:t>
      </w:r>
      <w:r>
        <w:rPr>
          <w:rFonts w:hint="eastAsia" w:ascii="仿宋_GB2312" w:hAnsi="仿宋_GB2312" w:cs="仿宋_GB2312"/>
          <w:b w:val="0"/>
          <w:bCs w:val="0"/>
          <w:sz w:val="28"/>
          <w:szCs w:val="28"/>
          <w:highlight w:val="none"/>
          <w:lang w:eastAsia="zh-CN"/>
        </w:rPr>
        <w:t>通道县</w:t>
      </w:r>
      <w:r>
        <w:rPr>
          <w:rFonts w:hint="eastAsia" w:ascii="仿宋_GB2312" w:hAnsi="仿宋_GB2312" w:eastAsia="仿宋_GB2312" w:cs="仿宋_GB2312"/>
          <w:b w:val="0"/>
          <w:bCs w:val="0"/>
          <w:sz w:val="28"/>
          <w:szCs w:val="28"/>
          <w:highlight w:val="none"/>
        </w:rPr>
        <w:t>城区基准地价内涵</w:t>
      </w:r>
    </w:p>
    <w:tbl>
      <w:tblPr>
        <w:tblStyle w:val="11"/>
        <w:tblW w:w="5572"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42"/>
        <w:gridCol w:w="627"/>
        <w:gridCol w:w="650"/>
        <w:gridCol w:w="545"/>
        <w:gridCol w:w="656"/>
        <w:gridCol w:w="546"/>
        <w:gridCol w:w="620"/>
        <w:gridCol w:w="540"/>
        <w:gridCol w:w="639"/>
        <w:gridCol w:w="593"/>
        <w:gridCol w:w="632"/>
        <w:gridCol w:w="596"/>
        <w:gridCol w:w="674"/>
        <w:gridCol w:w="555"/>
        <w:gridCol w:w="338"/>
        <w:gridCol w:w="644"/>
      </w:tblGrid>
      <w:tr w14:paraId="7CF85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5" w:hRule="atLeast"/>
          <w:jc w:val="center"/>
        </w:trPr>
        <w:tc>
          <w:tcPr>
            <w:tcW w:w="33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BF3A840">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级别</w:t>
            </w:r>
          </w:p>
        </w:tc>
        <w:tc>
          <w:tcPr>
            <w:tcW w:w="33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D6581FF">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土地</w:t>
            </w:r>
            <w:r>
              <w:rPr>
                <w:rFonts w:hint="eastAsia" w:ascii="仿宋_GB2312" w:hAnsi="仿宋_GB2312" w:eastAsia="仿宋_GB2312" w:cs="仿宋_GB2312"/>
                <w:b/>
                <w:bCs/>
                <w:i w:val="0"/>
                <w:iCs w:val="0"/>
                <w:color w:val="auto"/>
                <w:kern w:val="0"/>
                <w:sz w:val="20"/>
                <w:szCs w:val="20"/>
                <w:highlight w:val="none"/>
                <w:u w:val="none"/>
                <w:lang w:val="en-US" w:eastAsia="zh-CN" w:bidi="ar"/>
              </w:rPr>
              <w:br w:type="textWrapping"/>
            </w:r>
            <w:r>
              <w:rPr>
                <w:rFonts w:hint="eastAsia" w:ascii="仿宋_GB2312" w:hAnsi="仿宋_GB2312" w:eastAsia="仿宋_GB2312" w:cs="仿宋_GB2312"/>
                <w:b/>
                <w:bCs/>
                <w:i w:val="0"/>
                <w:iCs w:val="0"/>
                <w:color w:val="auto"/>
                <w:kern w:val="0"/>
                <w:sz w:val="20"/>
                <w:szCs w:val="20"/>
                <w:highlight w:val="none"/>
                <w:u w:val="none"/>
                <w:lang w:val="en-US" w:eastAsia="zh-CN" w:bidi="ar"/>
              </w:rPr>
              <w:t>权利</w:t>
            </w:r>
          </w:p>
        </w:tc>
        <w:tc>
          <w:tcPr>
            <w:tcW w:w="629"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B2FBF43">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商业服务业用地</w:t>
            </w:r>
          </w:p>
        </w:tc>
        <w:tc>
          <w:tcPr>
            <w:tcW w:w="632"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D5AD052">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居住用地</w:t>
            </w:r>
          </w:p>
        </w:tc>
        <w:tc>
          <w:tcPr>
            <w:tcW w:w="610"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633C68F">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工矿用地</w:t>
            </w:r>
          </w:p>
        </w:tc>
        <w:tc>
          <w:tcPr>
            <w:tcW w:w="648"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67A9778">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仓储用地</w:t>
            </w:r>
          </w:p>
        </w:tc>
        <w:tc>
          <w:tcPr>
            <w:tcW w:w="646"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B91B403">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公共管理与公共服务用地</w:t>
            </w:r>
          </w:p>
        </w:tc>
        <w:tc>
          <w:tcPr>
            <w:tcW w:w="64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C8C0BCB">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公用设施用地</w:t>
            </w:r>
          </w:p>
        </w:tc>
        <w:tc>
          <w:tcPr>
            <w:tcW w:w="17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3703171">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开发</w:t>
            </w:r>
            <w:r>
              <w:rPr>
                <w:rFonts w:hint="eastAsia" w:ascii="仿宋_GB2312" w:hAnsi="仿宋_GB2312" w:eastAsia="仿宋_GB2312" w:cs="仿宋_GB2312"/>
                <w:b/>
                <w:bCs/>
                <w:i w:val="0"/>
                <w:iCs w:val="0"/>
                <w:color w:val="auto"/>
                <w:kern w:val="0"/>
                <w:sz w:val="20"/>
                <w:szCs w:val="20"/>
                <w:highlight w:val="none"/>
                <w:u w:val="none"/>
                <w:lang w:val="en-US" w:eastAsia="zh-CN" w:bidi="ar"/>
              </w:rPr>
              <w:br w:type="textWrapping"/>
            </w:r>
            <w:r>
              <w:rPr>
                <w:rFonts w:hint="eastAsia" w:ascii="仿宋_GB2312" w:hAnsi="仿宋_GB2312" w:eastAsia="仿宋_GB2312" w:cs="仿宋_GB2312"/>
                <w:b/>
                <w:bCs/>
                <w:i w:val="0"/>
                <w:iCs w:val="0"/>
                <w:color w:val="auto"/>
                <w:kern w:val="0"/>
                <w:sz w:val="20"/>
                <w:szCs w:val="20"/>
                <w:highlight w:val="none"/>
                <w:u w:val="none"/>
                <w:lang w:val="en-US" w:eastAsia="zh-CN" w:bidi="ar"/>
              </w:rPr>
              <w:t>程度</w:t>
            </w:r>
          </w:p>
        </w:tc>
        <w:tc>
          <w:tcPr>
            <w:tcW w:w="339"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C7ED3C9">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kern w:val="0"/>
                <w:sz w:val="20"/>
                <w:szCs w:val="20"/>
                <w:highlight w:val="none"/>
                <w:u w:val="none"/>
                <w:lang w:val="en-US" w:eastAsia="zh-CN" w:bidi="ar"/>
              </w:rPr>
            </w:pPr>
            <w:r>
              <w:rPr>
                <w:rFonts w:hint="eastAsia" w:ascii="仿宋_GB2312" w:hAnsi="仿宋_GB2312" w:eastAsia="仿宋_GB2312" w:cs="仿宋_GB2312"/>
                <w:b/>
                <w:bCs/>
                <w:i w:val="0"/>
                <w:iCs w:val="0"/>
                <w:color w:val="auto"/>
                <w:kern w:val="0"/>
                <w:sz w:val="20"/>
                <w:szCs w:val="20"/>
                <w:highlight w:val="none"/>
                <w:u w:val="none"/>
                <w:lang w:val="en-US" w:eastAsia="zh-CN" w:bidi="ar"/>
              </w:rPr>
              <w:t>估价</w:t>
            </w:r>
          </w:p>
          <w:p w14:paraId="6BA48258">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期日</w:t>
            </w:r>
          </w:p>
        </w:tc>
      </w:tr>
      <w:tr w14:paraId="759E5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9" w:hRule="atLeast"/>
          <w:jc w:val="center"/>
        </w:trPr>
        <w:tc>
          <w:tcPr>
            <w:tcW w:w="33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077086">
            <w:pPr>
              <w:keepNext w:val="0"/>
              <w:keepLines w:val="0"/>
              <w:pageBreakBefore w:val="0"/>
              <w:widowControl/>
              <w:kinsoku/>
              <w:wordWrap/>
              <w:overflowPunct/>
              <w:topLinePunct w:val="0"/>
              <w:bidi w:val="0"/>
              <w:spacing w:line="240" w:lineRule="exact"/>
              <w:jc w:val="center"/>
              <w:rPr>
                <w:rFonts w:hint="eastAsia" w:ascii="仿宋_GB2312" w:hAnsi="仿宋_GB2312" w:eastAsia="仿宋_GB2312" w:cs="仿宋_GB2312"/>
                <w:b/>
                <w:bCs/>
                <w:i w:val="0"/>
                <w:iCs w:val="0"/>
                <w:color w:val="auto"/>
                <w:sz w:val="20"/>
                <w:szCs w:val="20"/>
                <w:highlight w:val="none"/>
                <w:u w:val="none"/>
              </w:rPr>
            </w:pPr>
          </w:p>
        </w:tc>
        <w:tc>
          <w:tcPr>
            <w:tcW w:w="33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C8C401">
            <w:pPr>
              <w:keepNext w:val="0"/>
              <w:keepLines w:val="0"/>
              <w:pageBreakBefore w:val="0"/>
              <w:widowControl/>
              <w:kinsoku/>
              <w:wordWrap/>
              <w:overflowPunct/>
              <w:topLinePunct w:val="0"/>
              <w:bidi w:val="0"/>
              <w:spacing w:line="240" w:lineRule="exact"/>
              <w:jc w:val="center"/>
              <w:rPr>
                <w:rFonts w:hint="eastAsia" w:ascii="仿宋_GB2312" w:hAnsi="仿宋_GB2312" w:eastAsia="仿宋_GB2312" w:cs="仿宋_GB2312"/>
                <w:b/>
                <w:bCs/>
                <w:i w:val="0"/>
                <w:iCs w:val="0"/>
                <w:color w:val="auto"/>
                <w:sz w:val="20"/>
                <w:szCs w:val="20"/>
                <w:highlight w:val="none"/>
                <w:u w:val="none"/>
              </w:rPr>
            </w:pPr>
          </w:p>
        </w:tc>
        <w:tc>
          <w:tcPr>
            <w:tcW w:w="3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B47E46">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使用年期</w:t>
            </w:r>
          </w:p>
        </w:tc>
        <w:tc>
          <w:tcPr>
            <w:tcW w:w="28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E956F4">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容积率</w:t>
            </w:r>
          </w:p>
        </w:tc>
        <w:tc>
          <w:tcPr>
            <w:tcW w:w="3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06BFAF">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使用年期</w:t>
            </w:r>
          </w:p>
        </w:tc>
        <w:tc>
          <w:tcPr>
            <w:tcW w:w="28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56129D">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容积率</w:t>
            </w:r>
          </w:p>
        </w:tc>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3491A4">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使用年期</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09F622">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容积率</w:t>
            </w:r>
          </w:p>
        </w:tc>
        <w:tc>
          <w:tcPr>
            <w:tcW w:w="3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CE927C">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kern w:val="0"/>
                <w:sz w:val="20"/>
                <w:szCs w:val="20"/>
                <w:highlight w:val="none"/>
                <w:u w:val="none"/>
                <w:lang w:val="en-US" w:eastAsia="zh-CN" w:bidi="ar"/>
              </w:rPr>
            </w:pPr>
            <w:r>
              <w:rPr>
                <w:rFonts w:hint="eastAsia" w:ascii="仿宋_GB2312" w:hAnsi="仿宋_GB2312" w:eastAsia="仿宋_GB2312" w:cs="仿宋_GB2312"/>
                <w:b/>
                <w:bCs/>
                <w:i w:val="0"/>
                <w:iCs w:val="0"/>
                <w:color w:val="auto"/>
                <w:kern w:val="0"/>
                <w:sz w:val="20"/>
                <w:szCs w:val="20"/>
                <w:highlight w:val="none"/>
                <w:u w:val="none"/>
                <w:lang w:val="en-US" w:eastAsia="zh-CN" w:bidi="ar"/>
              </w:rPr>
              <w:t>使用</w:t>
            </w:r>
          </w:p>
          <w:p w14:paraId="64008AB8">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年期</w:t>
            </w:r>
          </w:p>
        </w:tc>
        <w:tc>
          <w:tcPr>
            <w:tcW w:w="3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3C5B11">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容积率</w:t>
            </w:r>
          </w:p>
        </w:tc>
        <w:tc>
          <w:tcPr>
            <w:tcW w:w="3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283E89">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kern w:val="0"/>
                <w:sz w:val="20"/>
                <w:szCs w:val="20"/>
                <w:highlight w:val="none"/>
                <w:u w:val="none"/>
                <w:lang w:val="en-US" w:eastAsia="zh-CN" w:bidi="ar"/>
              </w:rPr>
            </w:pPr>
            <w:r>
              <w:rPr>
                <w:rFonts w:hint="eastAsia" w:ascii="仿宋_GB2312" w:hAnsi="仿宋_GB2312" w:eastAsia="仿宋_GB2312" w:cs="仿宋_GB2312"/>
                <w:b/>
                <w:bCs/>
                <w:i w:val="0"/>
                <w:iCs w:val="0"/>
                <w:color w:val="auto"/>
                <w:kern w:val="0"/>
                <w:sz w:val="20"/>
                <w:szCs w:val="20"/>
                <w:highlight w:val="none"/>
                <w:u w:val="none"/>
                <w:lang w:val="en-US" w:eastAsia="zh-CN" w:bidi="ar"/>
              </w:rPr>
              <w:t>使用</w:t>
            </w:r>
          </w:p>
          <w:p w14:paraId="752134F5">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年期</w:t>
            </w:r>
          </w:p>
        </w:tc>
        <w:tc>
          <w:tcPr>
            <w:tcW w:w="3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C525BE">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容积率</w:t>
            </w:r>
          </w:p>
        </w:tc>
        <w:tc>
          <w:tcPr>
            <w:tcW w:w="3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E2F7B6">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使用年期</w:t>
            </w:r>
          </w:p>
        </w:tc>
        <w:tc>
          <w:tcPr>
            <w:tcW w:w="2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C0AC81">
            <w:pPr>
              <w:keepNext w:val="0"/>
              <w:keepLines w:val="0"/>
              <w:pageBreakBefore w:val="0"/>
              <w:widowControl/>
              <w:suppressLineNumbers w:val="0"/>
              <w:kinsoku/>
              <w:wordWrap/>
              <w:overflowPunct/>
              <w:topLinePunct w:val="0"/>
              <w:bidi w:val="0"/>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color w:val="auto"/>
                <w:kern w:val="0"/>
                <w:sz w:val="20"/>
                <w:szCs w:val="20"/>
                <w:highlight w:val="none"/>
                <w:u w:val="none"/>
                <w:lang w:val="en-US" w:eastAsia="zh-CN" w:bidi="ar"/>
              </w:rPr>
              <w:t>容积率</w:t>
            </w:r>
          </w:p>
        </w:tc>
        <w:tc>
          <w:tcPr>
            <w:tcW w:w="17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524E20F">
            <w:pPr>
              <w:keepNext w:val="0"/>
              <w:keepLines w:val="0"/>
              <w:pageBreakBefore w:val="0"/>
              <w:widowControl/>
              <w:kinsoku/>
              <w:wordWrap/>
              <w:overflowPunct/>
              <w:topLinePunct w:val="0"/>
              <w:bidi w:val="0"/>
              <w:spacing w:line="240" w:lineRule="exact"/>
              <w:jc w:val="center"/>
              <w:rPr>
                <w:rFonts w:hint="eastAsia" w:ascii="仿宋_GB2312" w:hAnsi="仿宋_GB2312" w:eastAsia="仿宋_GB2312" w:cs="仿宋_GB2312"/>
                <w:b w:val="0"/>
                <w:bCs w:val="0"/>
                <w:i w:val="0"/>
                <w:iCs w:val="0"/>
                <w:color w:val="auto"/>
                <w:sz w:val="20"/>
                <w:szCs w:val="20"/>
                <w:highlight w:val="none"/>
                <w:u w:val="none"/>
              </w:rPr>
            </w:pPr>
          </w:p>
        </w:tc>
        <w:tc>
          <w:tcPr>
            <w:tcW w:w="339"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B6545D">
            <w:pPr>
              <w:keepNext w:val="0"/>
              <w:keepLines w:val="0"/>
              <w:pageBreakBefore w:val="0"/>
              <w:widowControl/>
              <w:kinsoku/>
              <w:wordWrap/>
              <w:overflowPunct/>
              <w:topLinePunct w:val="0"/>
              <w:bidi w:val="0"/>
              <w:spacing w:line="240" w:lineRule="exact"/>
              <w:jc w:val="center"/>
              <w:rPr>
                <w:rFonts w:hint="eastAsia" w:ascii="仿宋_GB2312" w:hAnsi="仿宋_GB2312" w:eastAsia="仿宋_GB2312" w:cs="仿宋_GB2312"/>
                <w:b w:val="0"/>
                <w:bCs w:val="0"/>
                <w:i w:val="0"/>
                <w:iCs w:val="0"/>
                <w:color w:val="auto"/>
                <w:sz w:val="20"/>
                <w:szCs w:val="20"/>
                <w:highlight w:val="none"/>
                <w:u w:val="none"/>
              </w:rPr>
            </w:pPr>
          </w:p>
        </w:tc>
      </w:tr>
      <w:tr w14:paraId="56350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3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859EC2">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sz w:val="20"/>
                <w:szCs w:val="20"/>
                <w:highlight w:val="none"/>
                <w:u w:val="none"/>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一级</w:t>
            </w:r>
          </w:p>
        </w:tc>
        <w:tc>
          <w:tcPr>
            <w:tcW w:w="330" w:type="pct"/>
            <w:vMerge w:val="restart"/>
            <w:tcBorders>
              <w:top w:val="single" w:color="000000" w:sz="4" w:space="0"/>
              <w:left w:val="single" w:color="000000" w:sz="4" w:space="0"/>
              <w:right w:val="single" w:color="000000" w:sz="4" w:space="0"/>
            </w:tcBorders>
            <w:shd w:val="clear" w:color="auto" w:fill="auto"/>
            <w:vAlign w:val="center"/>
          </w:tcPr>
          <w:p w14:paraId="1E5B0849">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sz w:val="20"/>
                <w:szCs w:val="20"/>
                <w:highlight w:val="none"/>
                <w:u w:val="none"/>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出让土地使用权</w:t>
            </w:r>
          </w:p>
        </w:tc>
        <w:tc>
          <w:tcPr>
            <w:tcW w:w="3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E0FE23">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40年</w:t>
            </w:r>
          </w:p>
        </w:tc>
        <w:tc>
          <w:tcPr>
            <w:tcW w:w="2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B1526D">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 xml:space="preserve">2.0 </w:t>
            </w:r>
          </w:p>
        </w:tc>
        <w:tc>
          <w:tcPr>
            <w:tcW w:w="3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7B79E0">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70年</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ABF27B">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 xml:space="preserve">2.0 </w:t>
            </w:r>
          </w:p>
        </w:tc>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C281B4">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479A92">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1.4</w:t>
            </w:r>
          </w:p>
        </w:tc>
        <w:tc>
          <w:tcPr>
            <w:tcW w:w="3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BA7D7E">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3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7C4F28">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1.4</w:t>
            </w:r>
          </w:p>
        </w:tc>
        <w:tc>
          <w:tcPr>
            <w:tcW w:w="3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C2F57E">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36A26">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 xml:space="preserve">2.0 </w:t>
            </w:r>
          </w:p>
        </w:tc>
        <w:tc>
          <w:tcPr>
            <w:tcW w:w="3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DB81B1">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2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12B527">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1.2</w:t>
            </w:r>
          </w:p>
        </w:tc>
        <w:tc>
          <w:tcPr>
            <w:tcW w:w="177" w:type="pct"/>
            <w:vMerge w:val="restart"/>
            <w:tcBorders>
              <w:top w:val="single" w:color="000000" w:sz="4" w:space="0"/>
              <w:left w:val="single" w:color="000000" w:sz="4" w:space="0"/>
              <w:right w:val="single" w:color="000000" w:sz="4" w:space="0"/>
            </w:tcBorders>
            <w:shd w:val="clear" w:color="auto" w:fill="auto"/>
            <w:vAlign w:val="center"/>
          </w:tcPr>
          <w:p w14:paraId="1D3B661F">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sz w:val="20"/>
                <w:szCs w:val="20"/>
                <w:highlight w:val="none"/>
                <w:u w:val="none"/>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五通</w:t>
            </w:r>
            <w:r>
              <w:rPr>
                <w:rFonts w:hint="eastAsia" w:ascii="仿宋_GB2312" w:hAnsi="仿宋_GB2312" w:eastAsia="仿宋_GB2312" w:cs="仿宋_GB2312"/>
                <w:b w:val="0"/>
                <w:bCs w:val="0"/>
                <w:i w:val="0"/>
                <w:iCs w:val="0"/>
                <w:color w:val="auto"/>
                <w:kern w:val="0"/>
                <w:sz w:val="20"/>
                <w:szCs w:val="20"/>
                <w:highlight w:val="none"/>
                <w:u w:val="none"/>
                <w:lang w:val="en-US" w:eastAsia="zh-CN" w:bidi="ar"/>
              </w:rPr>
              <w:br w:type="textWrapping"/>
            </w: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一平</w:t>
            </w:r>
          </w:p>
        </w:tc>
        <w:tc>
          <w:tcPr>
            <w:tcW w:w="339" w:type="pct"/>
            <w:vMerge w:val="restart"/>
            <w:tcBorders>
              <w:top w:val="single" w:color="000000" w:sz="4" w:space="0"/>
              <w:left w:val="single" w:color="000000" w:sz="4" w:space="0"/>
              <w:right w:val="single" w:color="000000" w:sz="4" w:space="0"/>
            </w:tcBorders>
            <w:shd w:val="clear" w:color="auto" w:fill="auto"/>
            <w:vAlign w:val="center"/>
          </w:tcPr>
          <w:p w14:paraId="4740DB72">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sz w:val="20"/>
                <w:szCs w:val="20"/>
                <w:highlight w:val="none"/>
                <w:u w:val="none"/>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2025.4.1</w:t>
            </w:r>
          </w:p>
        </w:tc>
      </w:tr>
      <w:tr w14:paraId="04955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3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73BCF4">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sz w:val="20"/>
                <w:szCs w:val="20"/>
                <w:highlight w:val="none"/>
                <w:u w:val="none"/>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二级</w:t>
            </w:r>
          </w:p>
        </w:tc>
        <w:tc>
          <w:tcPr>
            <w:tcW w:w="330" w:type="pct"/>
            <w:vMerge w:val="continue"/>
            <w:tcBorders>
              <w:left w:val="single" w:color="000000" w:sz="4" w:space="0"/>
              <w:right w:val="single" w:color="000000" w:sz="4" w:space="0"/>
            </w:tcBorders>
            <w:shd w:val="clear" w:color="auto" w:fill="auto"/>
            <w:vAlign w:val="center"/>
          </w:tcPr>
          <w:p w14:paraId="446ED7CC">
            <w:pPr>
              <w:keepNext w:val="0"/>
              <w:keepLines w:val="0"/>
              <w:pageBreakBefore w:val="0"/>
              <w:widowControl/>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b w:val="0"/>
                <w:bCs w:val="0"/>
                <w:i w:val="0"/>
                <w:iCs w:val="0"/>
                <w:color w:val="auto"/>
                <w:sz w:val="20"/>
                <w:szCs w:val="20"/>
                <w:highlight w:val="none"/>
                <w:u w:val="none"/>
              </w:rPr>
            </w:pPr>
          </w:p>
        </w:tc>
        <w:tc>
          <w:tcPr>
            <w:tcW w:w="3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BA6FD8">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40年</w:t>
            </w:r>
          </w:p>
        </w:tc>
        <w:tc>
          <w:tcPr>
            <w:tcW w:w="2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FBD063">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 xml:space="preserve">2.0 </w:t>
            </w:r>
          </w:p>
        </w:tc>
        <w:tc>
          <w:tcPr>
            <w:tcW w:w="3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BBE0CA">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70年</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661DA">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 xml:space="preserve">2.0 </w:t>
            </w:r>
          </w:p>
        </w:tc>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F7AB03">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DE8892">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1.3</w:t>
            </w:r>
          </w:p>
        </w:tc>
        <w:tc>
          <w:tcPr>
            <w:tcW w:w="3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3ED363">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3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AEFC0A">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1.3</w:t>
            </w:r>
          </w:p>
        </w:tc>
        <w:tc>
          <w:tcPr>
            <w:tcW w:w="3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22B046">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0F39C1">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 xml:space="preserve">2.0 </w:t>
            </w:r>
          </w:p>
        </w:tc>
        <w:tc>
          <w:tcPr>
            <w:tcW w:w="3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EBAB6F">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2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F2DB31">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1.2</w:t>
            </w:r>
          </w:p>
        </w:tc>
        <w:tc>
          <w:tcPr>
            <w:tcW w:w="177" w:type="pct"/>
            <w:vMerge w:val="continue"/>
            <w:tcBorders>
              <w:left w:val="single" w:color="000000" w:sz="4" w:space="0"/>
              <w:right w:val="single" w:color="000000" w:sz="4" w:space="0"/>
            </w:tcBorders>
            <w:shd w:val="clear" w:color="auto" w:fill="auto"/>
            <w:vAlign w:val="center"/>
          </w:tcPr>
          <w:p w14:paraId="676A9071">
            <w:pPr>
              <w:keepNext w:val="0"/>
              <w:keepLines w:val="0"/>
              <w:pageBreakBefore w:val="0"/>
              <w:widowControl/>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b w:val="0"/>
                <w:bCs w:val="0"/>
                <w:i w:val="0"/>
                <w:iCs w:val="0"/>
                <w:color w:val="auto"/>
                <w:sz w:val="20"/>
                <w:szCs w:val="20"/>
                <w:highlight w:val="none"/>
                <w:u w:val="none"/>
              </w:rPr>
            </w:pPr>
          </w:p>
        </w:tc>
        <w:tc>
          <w:tcPr>
            <w:tcW w:w="339" w:type="pct"/>
            <w:vMerge w:val="continue"/>
            <w:tcBorders>
              <w:left w:val="single" w:color="000000" w:sz="4" w:space="0"/>
              <w:right w:val="single" w:color="000000" w:sz="4" w:space="0"/>
            </w:tcBorders>
            <w:shd w:val="clear" w:color="auto" w:fill="auto"/>
            <w:vAlign w:val="center"/>
          </w:tcPr>
          <w:p w14:paraId="07E0D310">
            <w:pPr>
              <w:keepNext w:val="0"/>
              <w:keepLines w:val="0"/>
              <w:pageBreakBefore w:val="0"/>
              <w:widowControl/>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b w:val="0"/>
                <w:bCs w:val="0"/>
                <w:i w:val="0"/>
                <w:iCs w:val="0"/>
                <w:color w:val="auto"/>
                <w:sz w:val="20"/>
                <w:szCs w:val="20"/>
                <w:highlight w:val="none"/>
                <w:u w:val="none"/>
              </w:rPr>
            </w:pPr>
          </w:p>
        </w:tc>
      </w:tr>
      <w:tr w14:paraId="209F8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9" w:hRule="atLeast"/>
          <w:jc w:val="center"/>
        </w:trPr>
        <w:tc>
          <w:tcPr>
            <w:tcW w:w="3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CA7D5B">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sz w:val="20"/>
                <w:szCs w:val="20"/>
                <w:highlight w:val="none"/>
                <w:u w:val="none"/>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三级</w:t>
            </w:r>
          </w:p>
        </w:tc>
        <w:tc>
          <w:tcPr>
            <w:tcW w:w="330" w:type="pct"/>
            <w:vMerge w:val="continue"/>
            <w:tcBorders>
              <w:left w:val="single" w:color="000000" w:sz="4" w:space="0"/>
              <w:right w:val="single" w:color="000000" w:sz="4" w:space="0"/>
            </w:tcBorders>
            <w:shd w:val="clear" w:color="auto" w:fill="auto"/>
            <w:vAlign w:val="center"/>
          </w:tcPr>
          <w:p w14:paraId="2D4D4556">
            <w:pPr>
              <w:keepNext w:val="0"/>
              <w:keepLines w:val="0"/>
              <w:pageBreakBefore w:val="0"/>
              <w:widowControl/>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b w:val="0"/>
                <w:bCs w:val="0"/>
                <w:i w:val="0"/>
                <w:iCs w:val="0"/>
                <w:color w:val="auto"/>
                <w:sz w:val="20"/>
                <w:szCs w:val="20"/>
                <w:highlight w:val="none"/>
                <w:u w:val="none"/>
              </w:rPr>
            </w:pPr>
          </w:p>
        </w:tc>
        <w:tc>
          <w:tcPr>
            <w:tcW w:w="3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714CCC">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40年</w:t>
            </w:r>
          </w:p>
        </w:tc>
        <w:tc>
          <w:tcPr>
            <w:tcW w:w="2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CB41FE">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 xml:space="preserve">1.8 </w:t>
            </w:r>
          </w:p>
        </w:tc>
        <w:tc>
          <w:tcPr>
            <w:tcW w:w="3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D9024E">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70年</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A78E1E">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 xml:space="preserve">1.8 </w:t>
            </w:r>
          </w:p>
        </w:tc>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0F7C2D">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57247F">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1.2</w:t>
            </w:r>
          </w:p>
        </w:tc>
        <w:tc>
          <w:tcPr>
            <w:tcW w:w="3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9B7DB4">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3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074806">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1.2</w:t>
            </w:r>
          </w:p>
        </w:tc>
        <w:tc>
          <w:tcPr>
            <w:tcW w:w="3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8C9786">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75FB23">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 xml:space="preserve">1.8 </w:t>
            </w:r>
          </w:p>
        </w:tc>
        <w:tc>
          <w:tcPr>
            <w:tcW w:w="3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A2E54F">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2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5B9839">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1.2</w:t>
            </w:r>
          </w:p>
        </w:tc>
        <w:tc>
          <w:tcPr>
            <w:tcW w:w="177" w:type="pct"/>
            <w:vMerge w:val="continue"/>
            <w:tcBorders>
              <w:left w:val="single" w:color="000000" w:sz="4" w:space="0"/>
              <w:right w:val="single" w:color="000000" w:sz="4" w:space="0"/>
            </w:tcBorders>
            <w:shd w:val="clear" w:color="auto" w:fill="auto"/>
            <w:vAlign w:val="center"/>
          </w:tcPr>
          <w:p w14:paraId="64EB5AF7">
            <w:pPr>
              <w:keepNext w:val="0"/>
              <w:keepLines w:val="0"/>
              <w:pageBreakBefore w:val="0"/>
              <w:widowControl/>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b w:val="0"/>
                <w:bCs w:val="0"/>
                <w:i w:val="0"/>
                <w:iCs w:val="0"/>
                <w:color w:val="auto"/>
                <w:sz w:val="20"/>
                <w:szCs w:val="20"/>
                <w:highlight w:val="none"/>
                <w:u w:val="none"/>
              </w:rPr>
            </w:pPr>
          </w:p>
        </w:tc>
        <w:tc>
          <w:tcPr>
            <w:tcW w:w="339" w:type="pct"/>
            <w:vMerge w:val="continue"/>
            <w:tcBorders>
              <w:left w:val="single" w:color="000000" w:sz="4" w:space="0"/>
              <w:right w:val="single" w:color="000000" w:sz="4" w:space="0"/>
            </w:tcBorders>
            <w:shd w:val="clear" w:color="auto" w:fill="auto"/>
            <w:vAlign w:val="center"/>
          </w:tcPr>
          <w:p w14:paraId="1E587659">
            <w:pPr>
              <w:keepNext w:val="0"/>
              <w:keepLines w:val="0"/>
              <w:pageBreakBefore w:val="0"/>
              <w:widowControl/>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b w:val="0"/>
                <w:bCs w:val="0"/>
                <w:i w:val="0"/>
                <w:iCs w:val="0"/>
                <w:color w:val="auto"/>
                <w:sz w:val="20"/>
                <w:szCs w:val="20"/>
                <w:highlight w:val="none"/>
                <w:u w:val="none"/>
              </w:rPr>
            </w:pPr>
          </w:p>
        </w:tc>
      </w:tr>
      <w:tr w14:paraId="7ABB0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9" w:hRule="atLeast"/>
          <w:jc w:val="center"/>
        </w:trPr>
        <w:tc>
          <w:tcPr>
            <w:tcW w:w="3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C87D07">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sz w:val="20"/>
                <w:szCs w:val="20"/>
                <w:highlight w:val="none"/>
                <w:u w:val="none"/>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四级</w:t>
            </w:r>
          </w:p>
        </w:tc>
        <w:tc>
          <w:tcPr>
            <w:tcW w:w="330" w:type="pct"/>
            <w:vMerge w:val="continue"/>
            <w:tcBorders>
              <w:left w:val="single" w:color="000000" w:sz="4" w:space="0"/>
              <w:right w:val="single" w:color="000000" w:sz="4" w:space="0"/>
            </w:tcBorders>
            <w:shd w:val="clear" w:color="auto" w:fill="auto"/>
            <w:vAlign w:val="center"/>
          </w:tcPr>
          <w:p w14:paraId="69178EA4">
            <w:pPr>
              <w:keepNext w:val="0"/>
              <w:keepLines w:val="0"/>
              <w:pageBreakBefore w:val="0"/>
              <w:widowControl/>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b w:val="0"/>
                <w:bCs w:val="0"/>
                <w:i w:val="0"/>
                <w:iCs w:val="0"/>
                <w:color w:val="auto"/>
                <w:sz w:val="20"/>
                <w:szCs w:val="20"/>
                <w:highlight w:val="none"/>
                <w:u w:val="none"/>
              </w:rPr>
            </w:pPr>
          </w:p>
        </w:tc>
        <w:tc>
          <w:tcPr>
            <w:tcW w:w="3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A593AD">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40年</w:t>
            </w:r>
          </w:p>
        </w:tc>
        <w:tc>
          <w:tcPr>
            <w:tcW w:w="2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C1D71A">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 xml:space="preserve">1.6 </w:t>
            </w:r>
          </w:p>
        </w:tc>
        <w:tc>
          <w:tcPr>
            <w:tcW w:w="3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B50635">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70年</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4C9350">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 xml:space="preserve">1.6 </w:t>
            </w:r>
          </w:p>
        </w:tc>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E2C088">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6BD308">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1.2</w:t>
            </w:r>
          </w:p>
        </w:tc>
        <w:tc>
          <w:tcPr>
            <w:tcW w:w="3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AC7597">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3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F0A5EB">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1.2</w:t>
            </w:r>
          </w:p>
        </w:tc>
        <w:tc>
          <w:tcPr>
            <w:tcW w:w="3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8DCAA8">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200581">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 xml:space="preserve">1.6 </w:t>
            </w:r>
          </w:p>
        </w:tc>
        <w:tc>
          <w:tcPr>
            <w:tcW w:w="3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3A2020">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2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4B9FFE">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1.2</w:t>
            </w:r>
          </w:p>
        </w:tc>
        <w:tc>
          <w:tcPr>
            <w:tcW w:w="177" w:type="pct"/>
            <w:vMerge w:val="continue"/>
            <w:tcBorders>
              <w:left w:val="single" w:color="000000" w:sz="4" w:space="0"/>
              <w:right w:val="single" w:color="000000" w:sz="4" w:space="0"/>
            </w:tcBorders>
            <w:shd w:val="clear" w:color="auto" w:fill="auto"/>
            <w:vAlign w:val="center"/>
          </w:tcPr>
          <w:p w14:paraId="132732E4">
            <w:pPr>
              <w:keepNext w:val="0"/>
              <w:keepLines w:val="0"/>
              <w:pageBreakBefore w:val="0"/>
              <w:widowControl/>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b w:val="0"/>
                <w:bCs w:val="0"/>
                <w:i w:val="0"/>
                <w:iCs w:val="0"/>
                <w:color w:val="auto"/>
                <w:sz w:val="20"/>
                <w:szCs w:val="20"/>
                <w:highlight w:val="none"/>
                <w:u w:val="none"/>
              </w:rPr>
            </w:pPr>
          </w:p>
        </w:tc>
        <w:tc>
          <w:tcPr>
            <w:tcW w:w="339" w:type="pct"/>
            <w:vMerge w:val="continue"/>
            <w:tcBorders>
              <w:left w:val="single" w:color="000000" w:sz="4" w:space="0"/>
              <w:right w:val="single" w:color="000000" w:sz="4" w:space="0"/>
            </w:tcBorders>
            <w:shd w:val="clear" w:color="auto" w:fill="auto"/>
            <w:vAlign w:val="center"/>
          </w:tcPr>
          <w:p w14:paraId="69CBE3FB">
            <w:pPr>
              <w:keepNext w:val="0"/>
              <w:keepLines w:val="0"/>
              <w:pageBreakBefore w:val="0"/>
              <w:widowControl/>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b w:val="0"/>
                <w:bCs w:val="0"/>
                <w:i w:val="0"/>
                <w:iCs w:val="0"/>
                <w:color w:val="auto"/>
                <w:sz w:val="20"/>
                <w:szCs w:val="20"/>
                <w:highlight w:val="none"/>
                <w:u w:val="none"/>
              </w:rPr>
            </w:pPr>
          </w:p>
        </w:tc>
      </w:tr>
      <w:tr w14:paraId="47D86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33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FAAA75">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五级</w:t>
            </w:r>
          </w:p>
        </w:tc>
        <w:tc>
          <w:tcPr>
            <w:tcW w:w="330" w:type="pct"/>
            <w:vMerge w:val="continue"/>
            <w:tcBorders>
              <w:left w:val="single" w:color="000000" w:sz="4" w:space="0"/>
              <w:bottom w:val="single" w:color="000000" w:sz="4" w:space="0"/>
              <w:right w:val="single" w:color="000000" w:sz="4" w:space="0"/>
            </w:tcBorders>
            <w:shd w:val="clear" w:color="auto" w:fill="auto"/>
            <w:vAlign w:val="center"/>
          </w:tcPr>
          <w:p w14:paraId="4D5B790A">
            <w:pPr>
              <w:keepNext w:val="0"/>
              <w:keepLines w:val="0"/>
              <w:pageBreakBefore w:val="0"/>
              <w:widowControl/>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b w:val="0"/>
                <w:bCs w:val="0"/>
                <w:i w:val="0"/>
                <w:iCs w:val="0"/>
                <w:color w:val="auto"/>
                <w:sz w:val="20"/>
                <w:szCs w:val="20"/>
                <w:highlight w:val="none"/>
                <w:u w:val="none"/>
              </w:rPr>
            </w:pPr>
          </w:p>
        </w:tc>
        <w:tc>
          <w:tcPr>
            <w:tcW w:w="34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DA04F7">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40年</w:t>
            </w:r>
          </w:p>
        </w:tc>
        <w:tc>
          <w:tcPr>
            <w:tcW w:w="28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1B9BA3">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1.5</w:t>
            </w:r>
          </w:p>
        </w:tc>
        <w:tc>
          <w:tcPr>
            <w:tcW w:w="34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EB7C8B">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70年</w:t>
            </w:r>
          </w:p>
        </w:tc>
        <w:tc>
          <w:tcPr>
            <w:tcW w:w="2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522CA2">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1.5</w:t>
            </w:r>
          </w:p>
        </w:tc>
        <w:tc>
          <w:tcPr>
            <w:tcW w:w="3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51E97A">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2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5F0D4F">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1.2</w:t>
            </w:r>
          </w:p>
        </w:tc>
        <w:tc>
          <w:tcPr>
            <w:tcW w:w="33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4CF7DA">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3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9F9FD6">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1.2</w:t>
            </w:r>
          </w:p>
        </w:tc>
        <w:tc>
          <w:tcPr>
            <w:tcW w:w="3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C61F76">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B3DCF7">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1.5</w:t>
            </w:r>
          </w:p>
        </w:tc>
        <w:tc>
          <w:tcPr>
            <w:tcW w:w="3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2FE983">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50年</w:t>
            </w:r>
          </w:p>
        </w:tc>
        <w:tc>
          <w:tcPr>
            <w:tcW w:w="2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A35D82">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center"/>
              <w:textAlignment w:val="center"/>
              <w:rPr>
                <w:rFonts w:hint="eastAsia" w:ascii="仿宋_GB2312" w:hAnsi="仿宋_GB2312" w:eastAsia="仿宋_GB2312" w:cs="仿宋_GB2312"/>
                <w:b w:val="0"/>
                <w:bCs w:val="0"/>
                <w:i w:val="0"/>
                <w:iCs w:val="0"/>
                <w:color w:val="auto"/>
                <w:kern w:val="0"/>
                <w:sz w:val="20"/>
                <w:szCs w:val="20"/>
                <w:highlight w:val="none"/>
                <w:u w:val="none"/>
                <w:lang w:val="en-US" w:eastAsia="zh-CN" w:bidi="ar"/>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1.2</w:t>
            </w:r>
          </w:p>
        </w:tc>
        <w:tc>
          <w:tcPr>
            <w:tcW w:w="177" w:type="pct"/>
            <w:vMerge w:val="continue"/>
            <w:tcBorders>
              <w:left w:val="single" w:color="000000" w:sz="4" w:space="0"/>
              <w:bottom w:val="single" w:color="000000" w:sz="4" w:space="0"/>
              <w:right w:val="single" w:color="000000" w:sz="4" w:space="0"/>
            </w:tcBorders>
            <w:shd w:val="clear" w:color="auto" w:fill="auto"/>
            <w:vAlign w:val="center"/>
          </w:tcPr>
          <w:p w14:paraId="378501FB">
            <w:pPr>
              <w:keepNext w:val="0"/>
              <w:keepLines w:val="0"/>
              <w:pageBreakBefore w:val="0"/>
              <w:widowControl/>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b w:val="0"/>
                <w:bCs w:val="0"/>
                <w:i w:val="0"/>
                <w:iCs w:val="0"/>
                <w:color w:val="auto"/>
                <w:sz w:val="20"/>
                <w:szCs w:val="20"/>
                <w:highlight w:val="none"/>
                <w:u w:val="none"/>
              </w:rPr>
            </w:pPr>
          </w:p>
        </w:tc>
        <w:tc>
          <w:tcPr>
            <w:tcW w:w="339" w:type="pct"/>
            <w:vMerge w:val="continue"/>
            <w:tcBorders>
              <w:left w:val="single" w:color="000000" w:sz="4" w:space="0"/>
              <w:bottom w:val="single" w:color="000000" w:sz="4" w:space="0"/>
              <w:right w:val="single" w:color="000000" w:sz="4" w:space="0"/>
            </w:tcBorders>
            <w:shd w:val="clear" w:color="auto" w:fill="auto"/>
            <w:vAlign w:val="center"/>
          </w:tcPr>
          <w:p w14:paraId="72669522">
            <w:pPr>
              <w:keepNext w:val="0"/>
              <w:keepLines w:val="0"/>
              <w:pageBreakBefore w:val="0"/>
              <w:widowControl/>
              <w:kinsoku/>
              <w:wordWrap/>
              <w:overflowPunct/>
              <w:topLinePunct w:val="0"/>
              <w:autoSpaceDE w:val="0"/>
              <w:autoSpaceDN w:val="0"/>
              <w:bidi w:val="0"/>
              <w:adjustRightInd w:val="0"/>
              <w:snapToGrid w:val="0"/>
              <w:spacing w:line="240" w:lineRule="exact"/>
              <w:jc w:val="center"/>
              <w:rPr>
                <w:rFonts w:hint="eastAsia" w:ascii="仿宋_GB2312" w:hAnsi="仿宋_GB2312" w:eastAsia="仿宋_GB2312" w:cs="仿宋_GB2312"/>
                <w:b w:val="0"/>
                <w:bCs w:val="0"/>
                <w:i w:val="0"/>
                <w:iCs w:val="0"/>
                <w:color w:val="auto"/>
                <w:sz w:val="20"/>
                <w:szCs w:val="20"/>
                <w:highlight w:val="none"/>
                <w:u w:val="none"/>
              </w:rPr>
            </w:pPr>
          </w:p>
        </w:tc>
      </w:tr>
      <w:tr w14:paraId="70994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91" w:hRule="atLeast"/>
          <w:jc w:val="center"/>
        </w:trPr>
        <w:tc>
          <w:tcPr>
            <w:tcW w:w="5000" w:type="pct"/>
            <w:gridSpan w:val="16"/>
            <w:tcBorders>
              <w:top w:val="single" w:color="000000" w:sz="4" w:space="0"/>
              <w:left w:val="single" w:color="000000" w:sz="4" w:space="0"/>
              <w:bottom w:val="single" w:color="000000" w:sz="4" w:space="0"/>
              <w:right w:val="single" w:color="000000" w:sz="4" w:space="0"/>
            </w:tcBorders>
            <w:shd w:val="clear" w:color="auto" w:fill="auto"/>
            <w:vAlign w:val="center"/>
          </w:tcPr>
          <w:p w14:paraId="52E2D37D">
            <w:pPr>
              <w:keepNext w:val="0"/>
              <w:keepLines w:val="0"/>
              <w:pageBreakBefore w:val="0"/>
              <w:widowControl/>
              <w:suppressLineNumbers w:val="0"/>
              <w:kinsoku/>
              <w:wordWrap/>
              <w:overflowPunct/>
              <w:topLinePunct w:val="0"/>
              <w:autoSpaceDE w:val="0"/>
              <w:autoSpaceDN w:val="0"/>
              <w:bidi w:val="0"/>
              <w:adjustRightInd w:val="0"/>
              <w:snapToGrid w:val="0"/>
              <w:spacing w:line="240" w:lineRule="exact"/>
              <w:jc w:val="left"/>
              <w:textAlignment w:val="center"/>
              <w:rPr>
                <w:rFonts w:hint="eastAsia" w:ascii="仿宋_GB2312" w:hAnsi="仿宋_GB2312" w:eastAsia="仿宋_GB2312" w:cs="仿宋_GB2312"/>
                <w:b w:val="0"/>
                <w:bCs w:val="0"/>
                <w:i w:val="0"/>
                <w:iCs w:val="0"/>
                <w:color w:val="auto"/>
                <w:sz w:val="20"/>
                <w:szCs w:val="20"/>
                <w:highlight w:val="none"/>
                <w:u w:val="none"/>
              </w:rPr>
            </w:pP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注：1、本次土地用途根据《国土空间调查、规划、用途管制用地用海分类指南》进行分类，商业服务业用地对应上轮基准地价用途中的商服用地，居住用地对应住宅用地，工矿用地、仓储用地对应工矿仓储用地，公共管理与公共服务用地、公用设施用地对应公共管理与公共服务用地，其中：</w:t>
            </w:r>
            <w:r>
              <w:rPr>
                <w:rFonts w:hint="eastAsia" w:ascii="仿宋_GB2312" w:hAnsi="仿宋_GB2312" w:eastAsia="仿宋_GB2312" w:cs="仿宋_GB2312"/>
                <w:b w:val="0"/>
                <w:bCs w:val="0"/>
                <w:i w:val="0"/>
                <w:iCs w:val="0"/>
                <w:color w:val="auto"/>
                <w:kern w:val="0"/>
                <w:sz w:val="20"/>
                <w:szCs w:val="20"/>
                <w:highlight w:val="none"/>
                <w:u w:val="none"/>
                <w:lang w:val="en-US" w:eastAsia="zh-CN" w:bidi="ar"/>
              </w:rPr>
              <w:br w:type="textWrapping"/>
            </w: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(1)公共管理与公共服务用地指：机关团体、科研、文化、教育、体育、医疗卫生、社会福利用地；</w:t>
            </w:r>
            <w:r>
              <w:rPr>
                <w:rFonts w:hint="eastAsia" w:ascii="仿宋_GB2312" w:hAnsi="仿宋_GB2312" w:eastAsia="仿宋_GB2312" w:cs="仿宋_GB2312"/>
                <w:b w:val="0"/>
                <w:bCs w:val="0"/>
                <w:i w:val="0"/>
                <w:iCs w:val="0"/>
                <w:color w:val="auto"/>
                <w:kern w:val="0"/>
                <w:sz w:val="20"/>
                <w:szCs w:val="20"/>
                <w:highlight w:val="none"/>
                <w:u w:val="none"/>
                <w:lang w:val="en-US" w:eastAsia="zh-CN" w:bidi="ar"/>
              </w:rPr>
              <w:br w:type="textWrapping"/>
            </w: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(2)公用设施用地指：供水、排水、供电、供燃气、通信、邮政、广播电视设施、环卫、消防、水工设施；</w:t>
            </w:r>
            <w:r>
              <w:rPr>
                <w:rFonts w:hint="eastAsia" w:ascii="仿宋_GB2312" w:hAnsi="仿宋_GB2312" w:eastAsia="仿宋_GB2312" w:cs="仿宋_GB2312"/>
                <w:b w:val="0"/>
                <w:bCs w:val="0"/>
                <w:i w:val="0"/>
                <w:iCs w:val="0"/>
                <w:color w:val="auto"/>
                <w:kern w:val="0"/>
                <w:sz w:val="20"/>
                <w:szCs w:val="20"/>
                <w:highlight w:val="none"/>
                <w:u w:val="none"/>
                <w:lang w:val="en-US" w:eastAsia="zh-CN" w:bidi="ar"/>
              </w:rPr>
              <w:br w:type="textWrapping"/>
            </w:r>
            <w:r>
              <w:rPr>
                <w:rFonts w:hint="eastAsia" w:ascii="仿宋_GB2312" w:hAnsi="仿宋_GB2312" w:eastAsia="仿宋_GB2312" w:cs="仿宋_GB2312"/>
                <w:b w:val="0"/>
                <w:bCs w:val="0"/>
                <w:i w:val="0"/>
                <w:iCs w:val="0"/>
                <w:color w:val="auto"/>
                <w:kern w:val="0"/>
                <w:sz w:val="20"/>
                <w:szCs w:val="20"/>
                <w:highlight w:val="none"/>
                <w:u w:val="none"/>
                <w:lang w:val="en-US" w:eastAsia="zh-CN" w:bidi="ar"/>
              </w:rPr>
              <w:t>2、五通一平指：红线外通路、通电、通讯、通上水、通下水，红线内场地平整。</w:t>
            </w:r>
          </w:p>
        </w:tc>
      </w:tr>
    </w:tbl>
    <w:p w14:paraId="3C4AACAE">
      <w:pPr>
        <w:spacing w:line="360" w:lineRule="auto"/>
        <w:jc w:val="center"/>
        <w:rPr>
          <w:rFonts w:hint="eastAsia" w:ascii="仿宋_GB2312" w:hAnsi="仿宋_GB2312" w:eastAsia="仿宋_GB2312" w:cs="仿宋_GB2312"/>
          <w:b w:val="0"/>
          <w:bCs w:val="0"/>
          <w:sz w:val="28"/>
          <w:szCs w:val="28"/>
          <w:highlight w:val="none"/>
          <w:lang w:eastAsia="zh-CN"/>
        </w:rPr>
      </w:pPr>
      <w:r>
        <w:rPr>
          <w:rFonts w:hint="eastAsia" w:ascii="仿宋_GB2312" w:hAnsi="仿宋_GB2312" w:eastAsia="仿宋_GB2312" w:cs="仿宋_GB2312"/>
          <w:b w:val="0"/>
          <w:bCs w:val="0"/>
          <w:sz w:val="28"/>
          <w:szCs w:val="28"/>
          <w:highlight w:val="none"/>
        </w:rPr>
        <w:t xml:space="preserve">表3-2 </w:t>
      </w:r>
      <w:r>
        <w:rPr>
          <w:rFonts w:hint="eastAsia" w:ascii="仿宋_GB2312" w:hAnsi="仿宋_GB2312" w:eastAsia="仿宋_GB2312" w:cs="仿宋_GB2312"/>
          <w:b w:val="0"/>
          <w:bCs w:val="0"/>
          <w:sz w:val="28"/>
          <w:szCs w:val="28"/>
          <w:highlight w:val="none"/>
          <w:lang w:eastAsia="zh-CN"/>
        </w:rPr>
        <w:t>通道县城区级别基准地价</w:t>
      </w:r>
    </w:p>
    <w:p w14:paraId="549995BB">
      <w:pPr>
        <w:keepNext w:val="0"/>
        <w:keepLines w:val="0"/>
        <w:pageBreakBefore w:val="0"/>
        <w:widowControl/>
        <w:kinsoku/>
        <w:wordWrap/>
        <w:overflowPunct/>
        <w:topLinePunct w:val="0"/>
        <w:autoSpaceDE w:val="0"/>
        <w:autoSpaceDN w:val="0"/>
        <w:bidi w:val="0"/>
        <w:adjustRightInd w:val="0"/>
        <w:snapToGrid w:val="0"/>
        <w:spacing w:line="240" w:lineRule="auto"/>
        <w:ind w:firstLine="560" w:firstLineChars="200"/>
        <w:jc w:val="right"/>
        <w:textAlignment w:val="baseline"/>
        <w:rPr>
          <w:rFonts w:hint="eastAsia" w:ascii="仿宋_GB2312" w:hAnsi="仿宋_GB2312" w:eastAsia="仿宋_GB2312" w:cs="仿宋_GB2312"/>
          <w:sz w:val="28"/>
          <w:szCs w:val="20"/>
          <w:highlight w:val="none"/>
        </w:rPr>
      </w:pPr>
      <w:r>
        <w:rPr>
          <w:rFonts w:hint="eastAsia" w:ascii="仿宋_GB2312" w:hAnsi="仿宋_GB2312" w:eastAsia="仿宋_GB2312" w:cs="仿宋_GB2312"/>
          <w:sz w:val="28"/>
          <w:szCs w:val="20"/>
          <w:highlight w:val="none"/>
        </w:rPr>
        <w:t>单位：元/平方米</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149"/>
        <w:gridCol w:w="1074"/>
        <w:gridCol w:w="1074"/>
        <w:gridCol w:w="1074"/>
        <w:gridCol w:w="1074"/>
        <w:gridCol w:w="1074"/>
      </w:tblGrid>
      <w:tr w14:paraId="0BD2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848" w:type="pct"/>
            <w:shd w:val="clear" w:color="auto" w:fill="auto"/>
            <w:vAlign w:val="center"/>
          </w:tcPr>
          <w:p w14:paraId="321AE40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t>用地类型</w:t>
            </w:r>
          </w:p>
        </w:tc>
        <w:tc>
          <w:tcPr>
            <w:tcW w:w="630" w:type="pct"/>
            <w:shd w:val="clear" w:color="auto" w:fill="auto"/>
            <w:vAlign w:val="center"/>
          </w:tcPr>
          <w:p w14:paraId="3EEE5A7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t>一级</w:t>
            </w:r>
          </w:p>
        </w:tc>
        <w:tc>
          <w:tcPr>
            <w:tcW w:w="630" w:type="pct"/>
            <w:shd w:val="clear" w:color="auto" w:fill="auto"/>
            <w:vAlign w:val="center"/>
          </w:tcPr>
          <w:p w14:paraId="4E3EA25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t>二级</w:t>
            </w:r>
          </w:p>
        </w:tc>
        <w:tc>
          <w:tcPr>
            <w:tcW w:w="630" w:type="pct"/>
            <w:shd w:val="clear" w:color="auto" w:fill="auto"/>
            <w:vAlign w:val="center"/>
          </w:tcPr>
          <w:p w14:paraId="383568F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t>三级</w:t>
            </w:r>
          </w:p>
        </w:tc>
        <w:tc>
          <w:tcPr>
            <w:tcW w:w="630" w:type="pct"/>
            <w:shd w:val="clear" w:color="auto" w:fill="auto"/>
            <w:vAlign w:val="center"/>
          </w:tcPr>
          <w:p w14:paraId="67C309A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t>四级</w:t>
            </w:r>
          </w:p>
        </w:tc>
        <w:tc>
          <w:tcPr>
            <w:tcW w:w="630" w:type="pct"/>
            <w:shd w:val="clear" w:color="auto" w:fill="auto"/>
            <w:vAlign w:val="center"/>
          </w:tcPr>
          <w:p w14:paraId="1064937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t>五级</w:t>
            </w:r>
          </w:p>
        </w:tc>
      </w:tr>
      <w:tr w14:paraId="3C0C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72" w:hRule="atLeast"/>
        </w:trPr>
        <w:tc>
          <w:tcPr>
            <w:tcW w:w="1848" w:type="pct"/>
            <w:shd w:val="clear" w:color="auto" w:fill="auto"/>
            <w:vAlign w:val="center"/>
          </w:tcPr>
          <w:p w14:paraId="3DD2804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商业服务业用地</w:t>
            </w:r>
          </w:p>
        </w:tc>
        <w:tc>
          <w:tcPr>
            <w:tcW w:w="630" w:type="pct"/>
            <w:shd w:val="clear" w:color="auto" w:fill="auto"/>
            <w:noWrap/>
            <w:vAlign w:val="center"/>
          </w:tcPr>
          <w:p w14:paraId="0ACC652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2560 </w:t>
            </w:r>
          </w:p>
        </w:tc>
        <w:tc>
          <w:tcPr>
            <w:tcW w:w="630" w:type="pct"/>
            <w:shd w:val="clear" w:color="auto" w:fill="auto"/>
            <w:noWrap/>
            <w:vAlign w:val="center"/>
          </w:tcPr>
          <w:p w14:paraId="5A0EDC2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2080 </w:t>
            </w:r>
          </w:p>
        </w:tc>
        <w:tc>
          <w:tcPr>
            <w:tcW w:w="630" w:type="pct"/>
            <w:shd w:val="clear" w:color="auto" w:fill="auto"/>
            <w:noWrap/>
            <w:vAlign w:val="center"/>
          </w:tcPr>
          <w:p w14:paraId="12C1930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1335 </w:t>
            </w:r>
          </w:p>
        </w:tc>
        <w:tc>
          <w:tcPr>
            <w:tcW w:w="630" w:type="pct"/>
            <w:shd w:val="clear" w:color="auto" w:fill="auto"/>
            <w:noWrap/>
            <w:vAlign w:val="center"/>
          </w:tcPr>
          <w:p w14:paraId="2B48F5C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950 </w:t>
            </w:r>
          </w:p>
        </w:tc>
        <w:tc>
          <w:tcPr>
            <w:tcW w:w="630" w:type="pct"/>
            <w:shd w:val="clear" w:color="auto" w:fill="auto"/>
            <w:noWrap/>
            <w:vAlign w:val="center"/>
          </w:tcPr>
          <w:p w14:paraId="2280761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750 </w:t>
            </w:r>
          </w:p>
        </w:tc>
      </w:tr>
      <w:tr w14:paraId="105B6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72" w:hRule="atLeast"/>
        </w:trPr>
        <w:tc>
          <w:tcPr>
            <w:tcW w:w="1848" w:type="pct"/>
            <w:shd w:val="clear" w:color="auto" w:fill="auto"/>
            <w:vAlign w:val="center"/>
          </w:tcPr>
          <w:p w14:paraId="7094B98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居住用地</w:t>
            </w:r>
          </w:p>
        </w:tc>
        <w:tc>
          <w:tcPr>
            <w:tcW w:w="630" w:type="pct"/>
            <w:shd w:val="clear" w:color="auto" w:fill="auto"/>
            <w:noWrap/>
            <w:vAlign w:val="center"/>
          </w:tcPr>
          <w:p w14:paraId="540CA1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790 </w:t>
            </w:r>
          </w:p>
        </w:tc>
        <w:tc>
          <w:tcPr>
            <w:tcW w:w="630" w:type="pct"/>
            <w:shd w:val="clear" w:color="auto" w:fill="auto"/>
            <w:noWrap/>
            <w:vAlign w:val="center"/>
          </w:tcPr>
          <w:p w14:paraId="4BB379A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710 </w:t>
            </w:r>
          </w:p>
        </w:tc>
        <w:tc>
          <w:tcPr>
            <w:tcW w:w="630" w:type="pct"/>
            <w:shd w:val="clear" w:color="auto" w:fill="auto"/>
            <w:noWrap/>
            <w:vAlign w:val="center"/>
          </w:tcPr>
          <w:p w14:paraId="7D6E87E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590 </w:t>
            </w:r>
          </w:p>
        </w:tc>
        <w:tc>
          <w:tcPr>
            <w:tcW w:w="630" w:type="pct"/>
            <w:shd w:val="clear" w:color="auto" w:fill="auto"/>
            <w:noWrap/>
            <w:vAlign w:val="center"/>
          </w:tcPr>
          <w:p w14:paraId="70F86BE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510 </w:t>
            </w:r>
          </w:p>
        </w:tc>
        <w:tc>
          <w:tcPr>
            <w:tcW w:w="630" w:type="pct"/>
            <w:shd w:val="clear" w:color="auto" w:fill="auto"/>
            <w:noWrap/>
            <w:vAlign w:val="center"/>
          </w:tcPr>
          <w:p w14:paraId="6607510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460 </w:t>
            </w:r>
          </w:p>
        </w:tc>
      </w:tr>
      <w:tr w14:paraId="10767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72" w:hRule="atLeast"/>
        </w:trPr>
        <w:tc>
          <w:tcPr>
            <w:tcW w:w="1848" w:type="pct"/>
            <w:shd w:val="clear" w:color="auto" w:fill="auto"/>
            <w:vAlign w:val="center"/>
          </w:tcPr>
          <w:p w14:paraId="431409A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工矿用地</w:t>
            </w:r>
          </w:p>
        </w:tc>
        <w:tc>
          <w:tcPr>
            <w:tcW w:w="630" w:type="pct"/>
            <w:shd w:val="clear" w:color="auto" w:fill="auto"/>
            <w:noWrap/>
            <w:vAlign w:val="center"/>
          </w:tcPr>
          <w:p w14:paraId="08D742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350 </w:t>
            </w:r>
          </w:p>
        </w:tc>
        <w:tc>
          <w:tcPr>
            <w:tcW w:w="630" w:type="pct"/>
            <w:shd w:val="clear" w:color="auto" w:fill="auto"/>
            <w:noWrap/>
            <w:vAlign w:val="center"/>
          </w:tcPr>
          <w:p w14:paraId="688B11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330 </w:t>
            </w:r>
          </w:p>
        </w:tc>
        <w:tc>
          <w:tcPr>
            <w:tcW w:w="630" w:type="pct"/>
            <w:shd w:val="clear" w:color="auto" w:fill="auto"/>
            <w:noWrap/>
            <w:vAlign w:val="center"/>
          </w:tcPr>
          <w:p w14:paraId="74833BF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305 </w:t>
            </w:r>
          </w:p>
        </w:tc>
        <w:tc>
          <w:tcPr>
            <w:tcW w:w="630" w:type="pct"/>
            <w:shd w:val="clear" w:color="auto" w:fill="auto"/>
            <w:noWrap/>
            <w:vAlign w:val="center"/>
          </w:tcPr>
          <w:p w14:paraId="28C631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285 </w:t>
            </w:r>
          </w:p>
        </w:tc>
        <w:tc>
          <w:tcPr>
            <w:tcW w:w="630" w:type="pct"/>
            <w:shd w:val="clear" w:color="auto" w:fill="auto"/>
            <w:noWrap/>
            <w:vAlign w:val="center"/>
          </w:tcPr>
          <w:p w14:paraId="0615E76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265 </w:t>
            </w:r>
          </w:p>
        </w:tc>
      </w:tr>
      <w:tr w14:paraId="55CCD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72" w:hRule="atLeast"/>
        </w:trPr>
        <w:tc>
          <w:tcPr>
            <w:tcW w:w="1848" w:type="pct"/>
            <w:shd w:val="clear" w:color="auto" w:fill="auto"/>
            <w:vAlign w:val="center"/>
          </w:tcPr>
          <w:p w14:paraId="2D6CD01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仓储用地</w:t>
            </w:r>
          </w:p>
        </w:tc>
        <w:tc>
          <w:tcPr>
            <w:tcW w:w="630" w:type="pct"/>
            <w:shd w:val="clear" w:color="auto" w:fill="auto"/>
            <w:noWrap/>
            <w:vAlign w:val="center"/>
          </w:tcPr>
          <w:p w14:paraId="643B7E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lang w:val="en-US" w:eastAsia="zh-CN"/>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365 </w:t>
            </w:r>
          </w:p>
        </w:tc>
        <w:tc>
          <w:tcPr>
            <w:tcW w:w="630" w:type="pct"/>
            <w:shd w:val="clear" w:color="auto" w:fill="auto"/>
            <w:noWrap/>
            <w:vAlign w:val="center"/>
          </w:tcPr>
          <w:p w14:paraId="13E3003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lang w:val="en-US" w:eastAsia="zh-CN"/>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340 </w:t>
            </w:r>
          </w:p>
        </w:tc>
        <w:tc>
          <w:tcPr>
            <w:tcW w:w="630" w:type="pct"/>
            <w:shd w:val="clear" w:color="auto" w:fill="auto"/>
            <w:noWrap/>
            <w:vAlign w:val="center"/>
          </w:tcPr>
          <w:p w14:paraId="723EF46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lang w:val="en-US" w:eastAsia="zh-CN"/>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315 </w:t>
            </w:r>
          </w:p>
        </w:tc>
        <w:tc>
          <w:tcPr>
            <w:tcW w:w="630" w:type="pct"/>
            <w:shd w:val="clear" w:color="auto" w:fill="auto"/>
            <w:noWrap/>
            <w:vAlign w:val="center"/>
          </w:tcPr>
          <w:p w14:paraId="199E5D3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lang w:val="en-US" w:eastAsia="zh-CN"/>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290 </w:t>
            </w:r>
          </w:p>
        </w:tc>
        <w:tc>
          <w:tcPr>
            <w:tcW w:w="630" w:type="pct"/>
            <w:shd w:val="clear" w:color="auto" w:fill="auto"/>
            <w:noWrap/>
            <w:vAlign w:val="center"/>
          </w:tcPr>
          <w:p w14:paraId="492CCAA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270 </w:t>
            </w:r>
          </w:p>
        </w:tc>
      </w:tr>
      <w:tr w14:paraId="15160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72" w:hRule="atLeast"/>
        </w:trPr>
        <w:tc>
          <w:tcPr>
            <w:tcW w:w="1848" w:type="pct"/>
            <w:shd w:val="clear" w:color="auto" w:fill="auto"/>
            <w:vAlign w:val="center"/>
          </w:tcPr>
          <w:p w14:paraId="5056B7E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公共管理与公共服务用地</w:t>
            </w:r>
          </w:p>
        </w:tc>
        <w:tc>
          <w:tcPr>
            <w:tcW w:w="630" w:type="pct"/>
            <w:shd w:val="clear" w:color="auto" w:fill="auto"/>
            <w:noWrap/>
            <w:vAlign w:val="center"/>
          </w:tcPr>
          <w:p w14:paraId="267F149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700 </w:t>
            </w:r>
          </w:p>
        </w:tc>
        <w:tc>
          <w:tcPr>
            <w:tcW w:w="630" w:type="pct"/>
            <w:shd w:val="clear" w:color="auto" w:fill="auto"/>
            <w:noWrap/>
            <w:vAlign w:val="center"/>
          </w:tcPr>
          <w:p w14:paraId="36D7946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620 </w:t>
            </w:r>
          </w:p>
        </w:tc>
        <w:tc>
          <w:tcPr>
            <w:tcW w:w="630" w:type="pct"/>
            <w:shd w:val="clear" w:color="auto" w:fill="auto"/>
            <w:noWrap/>
            <w:vAlign w:val="center"/>
          </w:tcPr>
          <w:p w14:paraId="5801BD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535 </w:t>
            </w:r>
          </w:p>
        </w:tc>
        <w:tc>
          <w:tcPr>
            <w:tcW w:w="630" w:type="pct"/>
            <w:shd w:val="clear" w:color="auto" w:fill="auto"/>
            <w:noWrap/>
            <w:vAlign w:val="center"/>
          </w:tcPr>
          <w:p w14:paraId="067377C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460 </w:t>
            </w:r>
          </w:p>
        </w:tc>
        <w:tc>
          <w:tcPr>
            <w:tcW w:w="630" w:type="pct"/>
            <w:shd w:val="clear" w:color="auto" w:fill="auto"/>
            <w:noWrap/>
            <w:vAlign w:val="center"/>
          </w:tcPr>
          <w:p w14:paraId="6529322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425 </w:t>
            </w:r>
          </w:p>
        </w:tc>
      </w:tr>
      <w:tr w14:paraId="531E1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78" w:hRule="atLeast"/>
        </w:trPr>
        <w:tc>
          <w:tcPr>
            <w:tcW w:w="1848" w:type="pct"/>
            <w:shd w:val="clear" w:color="auto" w:fill="auto"/>
            <w:vAlign w:val="center"/>
          </w:tcPr>
          <w:p w14:paraId="72FA57B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公用设施用地</w:t>
            </w:r>
          </w:p>
        </w:tc>
        <w:tc>
          <w:tcPr>
            <w:tcW w:w="630" w:type="pct"/>
            <w:shd w:val="clear" w:color="auto" w:fill="auto"/>
            <w:noWrap/>
            <w:vAlign w:val="center"/>
          </w:tcPr>
          <w:p w14:paraId="36B914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365 </w:t>
            </w:r>
          </w:p>
        </w:tc>
        <w:tc>
          <w:tcPr>
            <w:tcW w:w="630" w:type="pct"/>
            <w:shd w:val="clear" w:color="auto" w:fill="auto"/>
            <w:noWrap/>
            <w:vAlign w:val="center"/>
          </w:tcPr>
          <w:p w14:paraId="2EB3795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335 </w:t>
            </w:r>
          </w:p>
        </w:tc>
        <w:tc>
          <w:tcPr>
            <w:tcW w:w="630" w:type="pct"/>
            <w:shd w:val="clear" w:color="auto" w:fill="auto"/>
            <w:noWrap/>
            <w:vAlign w:val="center"/>
          </w:tcPr>
          <w:p w14:paraId="4431563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300 </w:t>
            </w:r>
          </w:p>
        </w:tc>
        <w:tc>
          <w:tcPr>
            <w:tcW w:w="630" w:type="pct"/>
            <w:shd w:val="clear" w:color="auto" w:fill="auto"/>
            <w:noWrap/>
            <w:vAlign w:val="center"/>
          </w:tcPr>
          <w:p w14:paraId="2A1957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0"/>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285 </w:t>
            </w:r>
          </w:p>
        </w:tc>
        <w:tc>
          <w:tcPr>
            <w:tcW w:w="630" w:type="pct"/>
            <w:shd w:val="clear" w:color="auto" w:fill="auto"/>
            <w:noWrap/>
            <w:vAlign w:val="center"/>
          </w:tcPr>
          <w:p w14:paraId="63070F8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275 </w:t>
            </w:r>
          </w:p>
        </w:tc>
      </w:tr>
    </w:tbl>
    <w:p w14:paraId="52510995">
      <w:pPr>
        <w:keepNext w:val="0"/>
        <w:keepLines w:val="0"/>
        <w:pageBreakBefore w:val="0"/>
        <w:widowControl w:val="0"/>
        <w:kinsoku/>
        <w:wordWrap/>
        <w:overflowPunct/>
        <w:topLinePunct w:val="0"/>
        <w:autoSpaceDE/>
        <w:autoSpaceDN/>
        <w:bidi w:val="0"/>
        <w:adjustRightInd w:val="0"/>
        <w:snapToGrid w:val="0"/>
        <w:spacing w:line="480" w:lineRule="exact"/>
        <w:ind w:firstLine="601"/>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2、基准地价系数修正法的基本公式</w:t>
      </w:r>
    </w:p>
    <w:p w14:paraId="18D0CE7E">
      <w:pPr>
        <w:keepNext w:val="0"/>
        <w:keepLines w:val="0"/>
        <w:pageBreakBefore w:val="0"/>
        <w:widowControl w:val="0"/>
        <w:kinsoku/>
        <w:wordWrap/>
        <w:overflowPunct/>
        <w:topLinePunct w:val="0"/>
        <w:autoSpaceDE/>
        <w:autoSpaceDN/>
        <w:bidi w:val="0"/>
        <w:spacing w:line="480" w:lineRule="exact"/>
        <w:ind w:firstLine="57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b w:val="0"/>
          <w:bCs w:val="0"/>
          <w:sz w:val="28"/>
          <w:szCs w:val="28"/>
          <w:highlight w:val="none"/>
          <w:lang w:val="de-DE"/>
        </w:rPr>
        <w:t>根据</w:t>
      </w:r>
      <w:r>
        <w:rPr>
          <w:rFonts w:hint="eastAsia" w:ascii="仿宋_GB2312" w:hAnsi="仿宋_GB2312" w:eastAsia="仿宋_GB2312" w:cs="仿宋_GB2312"/>
          <w:b w:val="0"/>
          <w:bCs w:val="0"/>
          <w:sz w:val="28"/>
          <w:szCs w:val="28"/>
          <w:highlight w:val="none"/>
          <w:lang w:val="de-DE" w:eastAsia="zh-CN"/>
        </w:rPr>
        <w:t>《通道</w:t>
      </w:r>
      <w:r>
        <w:rPr>
          <w:rFonts w:hint="eastAsia" w:ascii="仿宋_GB2312" w:hAnsi="仿宋_GB2312" w:eastAsia="仿宋_GB2312" w:cs="仿宋_GB2312"/>
          <w:b w:val="0"/>
          <w:bCs w:val="0"/>
          <w:sz w:val="28"/>
          <w:szCs w:val="28"/>
          <w:highlight w:val="none"/>
          <w:lang w:val="en-US" w:eastAsia="zh-CN"/>
        </w:rPr>
        <w:t>侗族自治县</w:t>
      </w:r>
      <w:r>
        <w:rPr>
          <w:rFonts w:hint="eastAsia" w:ascii="仿宋_GB2312" w:hAnsi="仿宋_GB2312" w:eastAsia="仿宋_GB2312" w:cs="仿宋_GB2312"/>
          <w:b w:val="0"/>
          <w:bCs w:val="0"/>
          <w:sz w:val="28"/>
          <w:szCs w:val="28"/>
          <w:highlight w:val="none"/>
          <w:lang w:val="de-DE" w:eastAsia="zh-CN"/>
        </w:rPr>
        <w:t>城镇基准地价更新技术报告》（202</w:t>
      </w:r>
      <w:r>
        <w:rPr>
          <w:rFonts w:hint="eastAsia" w:ascii="仿宋_GB2312" w:hAnsi="仿宋_GB2312" w:eastAsia="仿宋_GB2312" w:cs="仿宋_GB2312"/>
          <w:b w:val="0"/>
          <w:bCs w:val="0"/>
          <w:sz w:val="28"/>
          <w:szCs w:val="28"/>
          <w:highlight w:val="none"/>
          <w:lang w:val="en-US" w:eastAsia="zh-CN"/>
        </w:rPr>
        <w:t>5</w:t>
      </w:r>
      <w:r>
        <w:rPr>
          <w:rFonts w:hint="eastAsia" w:ascii="仿宋_GB2312" w:hAnsi="仿宋_GB2312" w:eastAsia="仿宋_GB2312" w:cs="仿宋_GB2312"/>
          <w:b w:val="0"/>
          <w:bCs w:val="0"/>
          <w:sz w:val="28"/>
          <w:szCs w:val="28"/>
          <w:highlight w:val="none"/>
          <w:lang w:val="de-DE" w:eastAsia="zh-CN"/>
        </w:rPr>
        <w:t>年</w:t>
      </w:r>
      <w:r>
        <w:rPr>
          <w:rFonts w:hint="eastAsia" w:ascii="仿宋_GB2312" w:hAnsi="仿宋_GB2312" w:eastAsia="仿宋_GB2312" w:cs="仿宋_GB2312"/>
          <w:b w:val="0"/>
          <w:bCs w:val="0"/>
          <w:sz w:val="28"/>
          <w:szCs w:val="28"/>
          <w:highlight w:val="none"/>
          <w:lang w:val="en-US" w:eastAsia="zh-CN"/>
        </w:rPr>
        <w:t>11</w:t>
      </w:r>
      <w:r>
        <w:rPr>
          <w:rFonts w:hint="eastAsia" w:ascii="仿宋_GB2312" w:hAnsi="仿宋_GB2312" w:eastAsia="仿宋_GB2312" w:cs="仿宋_GB2312"/>
          <w:b w:val="0"/>
          <w:bCs w:val="0"/>
          <w:sz w:val="28"/>
          <w:szCs w:val="28"/>
          <w:highlight w:val="none"/>
          <w:lang w:val="de-DE" w:eastAsia="zh-CN"/>
        </w:rPr>
        <w:t>月）</w:t>
      </w:r>
      <w:r>
        <w:rPr>
          <w:rFonts w:hint="eastAsia" w:ascii="仿宋_GB2312" w:hAnsi="仿宋_GB2312" w:eastAsia="仿宋_GB2312" w:cs="仿宋_GB2312"/>
          <w:b w:val="0"/>
          <w:bCs w:val="0"/>
          <w:sz w:val="28"/>
          <w:szCs w:val="28"/>
          <w:highlight w:val="none"/>
          <w:lang w:val="de-DE"/>
        </w:rPr>
        <w:t>，</w:t>
      </w:r>
      <w:r>
        <w:rPr>
          <w:rFonts w:hint="eastAsia" w:ascii="仿宋_GB2312" w:hAnsi="仿宋_GB2312" w:eastAsia="仿宋_GB2312" w:cs="仿宋_GB2312"/>
          <w:sz w:val="28"/>
          <w:szCs w:val="28"/>
          <w:highlight w:val="none"/>
        </w:rPr>
        <w:t>基准地价系数修正法评估</w:t>
      </w:r>
      <w:r>
        <w:rPr>
          <w:rFonts w:hint="eastAsia" w:ascii="仿宋_GB2312" w:hAnsi="仿宋_GB2312" w:eastAsia="仿宋_GB2312" w:cs="仿宋_GB2312"/>
          <w:sz w:val="28"/>
          <w:szCs w:val="28"/>
          <w:highlight w:val="none"/>
          <w:lang w:val="en-US" w:eastAsia="zh-CN"/>
        </w:rPr>
        <w:t>居住</w:t>
      </w:r>
      <w:r>
        <w:rPr>
          <w:rFonts w:hint="eastAsia" w:ascii="仿宋_GB2312" w:hAnsi="仿宋_GB2312" w:eastAsia="仿宋_GB2312" w:cs="仿宋_GB2312"/>
          <w:sz w:val="28"/>
          <w:szCs w:val="28"/>
          <w:highlight w:val="none"/>
        </w:rPr>
        <w:t>用地的基本公式为</w:t>
      </w:r>
    </w:p>
    <w:p w14:paraId="23DC2F8B">
      <w:pPr>
        <w:keepNext w:val="0"/>
        <w:keepLines w:val="0"/>
        <w:pageBreakBefore w:val="0"/>
        <w:widowControl w:val="0"/>
        <w:kinsoku/>
        <w:wordWrap/>
        <w:overflowPunct/>
        <w:topLinePunct w:val="0"/>
        <w:bidi w:val="0"/>
        <w:spacing w:line="48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lang w:val="en-US" w:eastAsia="zh-CN"/>
        </w:rPr>
        <w:t>①</w:t>
      </w:r>
      <w:r>
        <w:rPr>
          <w:rFonts w:hint="eastAsia" w:ascii="仿宋_GB2312" w:hAnsi="仿宋_GB2312" w:eastAsia="仿宋_GB2312" w:cs="仿宋_GB2312"/>
          <w:color w:val="auto"/>
          <w:sz w:val="28"/>
          <w:szCs w:val="28"/>
          <w:highlight w:val="none"/>
          <w:lang w:eastAsia="zh-CN"/>
        </w:rPr>
        <w:t>商业服务业用地</w:t>
      </w:r>
      <w:r>
        <w:rPr>
          <w:rFonts w:hint="eastAsia" w:ascii="仿宋_GB2312" w:hAnsi="仿宋_GB2312" w:eastAsia="仿宋_GB2312" w:cs="仿宋_GB2312"/>
          <w:color w:val="auto"/>
          <w:sz w:val="28"/>
          <w:szCs w:val="28"/>
          <w:highlight w:val="none"/>
        </w:rPr>
        <w:t>（临街）</w:t>
      </w:r>
    </w:p>
    <w:p w14:paraId="5C573B34">
      <w:pPr>
        <w:keepNext w:val="0"/>
        <w:keepLines w:val="0"/>
        <w:pageBreakBefore w:val="0"/>
        <w:widowControl w:val="0"/>
        <w:kinsoku w:val="0"/>
        <w:wordWrap/>
        <w:overflowPunct/>
        <w:topLinePunct w:val="0"/>
        <w:autoSpaceDE w:val="0"/>
        <w:autoSpaceDN w:val="0"/>
        <w:bidi w:val="0"/>
        <w:adjustRightInd w:val="0"/>
        <w:snapToGrid w:val="0"/>
        <w:spacing w:line="480" w:lineRule="exact"/>
        <w:ind w:firstLine="560" w:firstLineChars="200"/>
        <w:jc w:val="left"/>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rPr>
        <w:t>P商=路线价×Ky×Kv×Kt×Ks×Ka×Kc×Kk×Kd×Ku＋Kf</w:t>
      </w:r>
      <w:r>
        <w:rPr>
          <w:rFonts w:hint="eastAsia" w:ascii="仿宋_GB2312" w:hAnsi="仿宋_GB2312" w:eastAsia="仿宋_GB2312" w:cs="仿宋_GB2312"/>
          <w:color w:val="auto"/>
          <w:sz w:val="28"/>
          <w:szCs w:val="28"/>
          <w:highlight w:val="none"/>
          <w:lang w:val="en-US" w:eastAsia="zh-CN"/>
        </w:rPr>
        <w:t xml:space="preserve">   </w:t>
      </w:r>
    </w:p>
    <w:p w14:paraId="4C24185A">
      <w:pPr>
        <w:keepNext w:val="0"/>
        <w:keepLines w:val="0"/>
        <w:pageBreakBefore w:val="0"/>
        <w:widowControl w:val="0"/>
        <w:kinsoku w:val="0"/>
        <w:wordWrap/>
        <w:overflowPunct/>
        <w:topLinePunct w:val="0"/>
        <w:autoSpaceDE w:val="0"/>
        <w:autoSpaceDN w:val="0"/>
        <w:bidi w:val="0"/>
        <w:adjustRightInd w:val="0"/>
        <w:snapToGrid w:val="0"/>
        <w:spacing w:line="480" w:lineRule="exact"/>
        <w:ind w:firstLine="560" w:firstLineChars="200"/>
        <w:jc w:val="left"/>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②</w:t>
      </w:r>
      <w:r>
        <w:rPr>
          <w:rFonts w:hint="eastAsia" w:ascii="仿宋_GB2312" w:hAnsi="仿宋_GB2312" w:eastAsia="仿宋_GB2312" w:cs="仿宋_GB2312"/>
          <w:sz w:val="28"/>
          <w:szCs w:val="28"/>
          <w:highlight w:val="none"/>
        </w:rPr>
        <w:t>P住=级别基准地价×</w:t>
      </w:r>
      <w:r>
        <w:rPr>
          <w:rFonts w:hint="eastAsia" w:ascii="仿宋_GB2312" w:hAnsi="仿宋_GB2312" w:eastAsia="仿宋_GB2312" w:cs="仿宋_GB2312"/>
          <w:sz w:val="28"/>
          <w:szCs w:val="28"/>
          <w:highlight w:val="none"/>
          <w:lang w:val="en-US" w:eastAsia="zh-CN"/>
        </w:rPr>
        <w:t>(</w:t>
      </w:r>
      <w:r>
        <w:rPr>
          <w:rFonts w:hint="eastAsia" w:ascii="仿宋_GB2312" w:hAnsi="仿宋_GB2312" w:eastAsia="仿宋_GB2312" w:cs="仿宋_GB2312"/>
          <w:sz w:val="28"/>
          <w:szCs w:val="28"/>
          <w:highlight w:val="none"/>
        </w:rPr>
        <w:t>1</w:t>
      </w:r>
      <w:r>
        <w:rPr>
          <w:rFonts w:hint="eastAsia" w:ascii="仿宋_GB2312" w:hAnsi="仿宋_GB2312" w:eastAsia="仿宋_GB2312" w:cs="仿宋_GB2312"/>
          <w:sz w:val="28"/>
          <w:szCs w:val="28"/>
          <w:highlight w:val="none"/>
          <w:lang w:val="en-US" w:eastAsia="zh-CN"/>
        </w:rPr>
        <w:t>+</w:t>
      </w:r>
      <w:r>
        <w:rPr>
          <w:rFonts w:hint="eastAsia" w:ascii="仿宋_GB2312" w:hAnsi="仿宋_GB2312" w:eastAsia="仿宋_GB2312" w:cs="仿宋_GB2312"/>
          <w:sz w:val="28"/>
          <w:szCs w:val="28"/>
          <w:highlight w:val="none"/>
        </w:rPr>
        <w:t>∑Ki</w:t>
      </w:r>
      <w:r>
        <w:rPr>
          <w:rFonts w:hint="eastAsia" w:ascii="仿宋_GB2312" w:hAnsi="仿宋_GB2312" w:eastAsia="仿宋_GB2312" w:cs="仿宋_GB2312"/>
          <w:sz w:val="28"/>
          <w:szCs w:val="28"/>
          <w:highlight w:val="none"/>
          <w:lang w:val="en-US" w:eastAsia="zh-CN"/>
        </w:rPr>
        <w:t>)</w:t>
      </w:r>
      <w:r>
        <w:rPr>
          <w:rFonts w:hint="eastAsia" w:ascii="仿宋_GB2312" w:hAnsi="仿宋_GB2312" w:eastAsia="仿宋_GB2312" w:cs="仿宋_GB2312"/>
          <w:sz w:val="28"/>
          <w:szCs w:val="28"/>
          <w:highlight w:val="none"/>
        </w:rPr>
        <w:t>×Ky×Kv×Kt×Ks×Ka×Ke×Kto＋Kf</w:t>
      </w:r>
    </w:p>
    <w:p w14:paraId="1230ADFE">
      <w:pPr>
        <w:keepNext w:val="0"/>
        <w:keepLines w:val="0"/>
        <w:pageBreakBefore w:val="0"/>
        <w:widowControl w:val="0"/>
        <w:kinsoku/>
        <w:wordWrap/>
        <w:overflowPunct/>
        <w:topLinePunct w:val="0"/>
        <w:bidi w:val="0"/>
        <w:spacing w:line="48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sz w:val="28"/>
          <w:szCs w:val="28"/>
          <w:highlight w:val="none"/>
        </w:rPr>
        <w:t>式中：</w:t>
      </w:r>
      <w:r>
        <w:rPr>
          <w:rFonts w:hint="eastAsia" w:ascii="仿宋_GB2312" w:hAnsi="仿宋_GB2312" w:eastAsia="仿宋_GB2312" w:cs="仿宋_GB2312"/>
          <w:color w:val="auto"/>
          <w:sz w:val="28"/>
          <w:szCs w:val="28"/>
          <w:highlight w:val="none"/>
        </w:rPr>
        <w:t>∑Ki—宗地修正系数表中各区域因素修正值之和</w:t>
      </w:r>
    </w:p>
    <w:p w14:paraId="483351C9">
      <w:pPr>
        <w:keepNext w:val="0"/>
        <w:keepLines w:val="0"/>
        <w:pageBreakBefore w:val="0"/>
        <w:widowControl w:val="0"/>
        <w:kinsoku/>
        <w:wordWrap/>
        <w:overflowPunct/>
        <w:topLinePunct w:val="0"/>
        <w:bidi w:val="0"/>
        <w:spacing w:line="480" w:lineRule="exact"/>
        <w:ind w:firstLine="1400" w:firstLineChars="5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Ky—年期修正系数</w:t>
      </w:r>
    </w:p>
    <w:p w14:paraId="3FB22E84">
      <w:pPr>
        <w:keepNext w:val="0"/>
        <w:keepLines w:val="0"/>
        <w:pageBreakBefore w:val="0"/>
        <w:widowControl w:val="0"/>
        <w:kinsoku/>
        <w:wordWrap/>
        <w:overflowPunct/>
        <w:topLinePunct w:val="0"/>
        <w:bidi w:val="0"/>
        <w:spacing w:line="480" w:lineRule="exact"/>
        <w:ind w:firstLine="1400" w:firstLineChars="5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Kv—容积率修正系数</w:t>
      </w:r>
    </w:p>
    <w:p w14:paraId="57A6E927">
      <w:pPr>
        <w:keepNext w:val="0"/>
        <w:keepLines w:val="0"/>
        <w:pageBreakBefore w:val="0"/>
        <w:widowControl w:val="0"/>
        <w:kinsoku/>
        <w:wordWrap/>
        <w:overflowPunct/>
        <w:topLinePunct w:val="0"/>
        <w:bidi w:val="0"/>
        <w:spacing w:line="480" w:lineRule="exact"/>
        <w:ind w:firstLine="1400" w:firstLineChars="5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 xml:space="preserve">Kt—估价期日修正系数 </w:t>
      </w:r>
    </w:p>
    <w:p w14:paraId="570ACF7F">
      <w:pPr>
        <w:keepNext w:val="0"/>
        <w:keepLines w:val="0"/>
        <w:pageBreakBefore w:val="0"/>
        <w:widowControl w:val="0"/>
        <w:kinsoku/>
        <w:wordWrap/>
        <w:overflowPunct/>
        <w:topLinePunct w:val="0"/>
        <w:autoSpaceDE/>
        <w:autoSpaceDN/>
        <w:bidi w:val="0"/>
        <w:spacing w:line="480" w:lineRule="exact"/>
        <w:ind w:firstLine="1400" w:firstLineChars="5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Ks—宗地面积修正系数</w:t>
      </w:r>
    </w:p>
    <w:p w14:paraId="43C6C91E">
      <w:pPr>
        <w:keepNext w:val="0"/>
        <w:keepLines w:val="0"/>
        <w:pageBreakBefore w:val="0"/>
        <w:widowControl w:val="0"/>
        <w:kinsoku/>
        <w:wordWrap/>
        <w:overflowPunct/>
        <w:topLinePunct w:val="0"/>
        <w:autoSpaceDE/>
        <w:autoSpaceDN/>
        <w:bidi w:val="0"/>
        <w:spacing w:line="480" w:lineRule="exact"/>
        <w:ind w:firstLine="1400" w:firstLineChars="5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Kf—开发程度修正额</w:t>
      </w:r>
    </w:p>
    <w:p w14:paraId="1287A1DB">
      <w:pPr>
        <w:keepNext w:val="0"/>
        <w:keepLines w:val="0"/>
        <w:pageBreakBefore w:val="0"/>
        <w:widowControl w:val="0"/>
        <w:kinsoku/>
        <w:wordWrap/>
        <w:overflowPunct/>
        <w:topLinePunct w:val="0"/>
        <w:autoSpaceDE/>
        <w:autoSpaceDN/>
        <w:bidi w:val="0"/>
        <w:spacing w:line="480" w:lineRule="exact"/>
        <w:ind w:firstLine="1400" w:firstLineChars="5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Ka—宗地形状修正系数</w:t>
      </w:r>
    </w:p>
    <w:p w14:paraId="6D79A59B">
      <w:pPr>
        <w:keepNext w:val="0"/>
        <w:keepLines w:val="0"/>
        <w:pageBreakBefore w:val="0"/>
        <w:widowControl w:val="0"/>
        <w:kinsoku/>
        <w:wordWrap/>
        <w:overflowPunct/>
        <w:topLinePunct w:val="0"/>
        <w:autoSpaceDE/>
        <w:autoSpaceDN/>
        <w:bidi w:val="0"/>
        <w:spacing w:line="480" w:lineRule="exact"/>
        <w:ind w:firstLine="1400" w:firstLineChars="5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Kc—街角地修正系数</w:t>
      </w:r>
    </w:p>
    <w:p w14:paraId="53B7BA8A">
      <w:pPr>
        <w:keepNext w:val="0"/>
        <w:keepLines w:val="0"/>
        <w:pageBreakBefore w:val="0"/>
        <w:widowControl w:val="0"/>
        <w:kinsoku/>
        <w:wordWrap/>
        <w:overflowPunct/>
        <w:topLinePunct w:val="0"/>
        <w:autoSpaceDE/>
        <w:autoSpaceDN/>
        <w:bidi w:val="0"/>
        <w:spacing w:line="480" w:lineRule="exact"/>
        <w:ind w:firstLine="1400" w:firstLineChars="5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Kd—临街深度修正系数</w:t>
      </w:r>
    </w:p>
    <w:p w14:paraId="59905C02">
      <w:pPr>
        <w:keepNext w:val="0"/>
        <w:keepLines w:val="0"/>
        <w:pageBreakBefore w:val="0"/>
        <w:widowControl w:val="0"/>
        <w:kinsoku/>
        <w:wordWrap/>
        <w:overflowPunct/>
        <w:topLinePunct w:val="0"/>
        <w:autoSpaceDE/>
        <w:autoSpaceDN/>
        <w:bidi w:val="0"/>
        <w:spacing w:line="480" w:lineRule="exact"/>
        <w:ind w:firstLine="1400" w:firstLineChars="5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 xml:space="preserve">Kk—临街宽度修正系数             </w:t>
      </w:r>
    </w:p>
    <w:p w14:paraId="75569241">
      <w:pPr>
        <w:keepNext w:val="0"/>
        <w:keepLines w:val="0"/>
        <w:pageBreakBefore w:val="0"/>
        <w:widowControl w:val="0"/>
        <w:kinsoku/>
        <w:wordWrap/>
        <w:overflowPunct/>
        <w:topLinePunct w:val="0"/>
        <w:autoSpaceDE/>
        <w:autoSpaceDN/>
        <w:bidi w:val="0"/>
        <w:spacing w:line="480" w:lineRule="exact"/>
        <w:ind w:firstLine="1400" w:firstLineChars="5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Ke—景观环境修正系数</w:t>
      </w:r>
    </w:p>
    <w:p w14:paraId="3199A5A8">
      <w:pPr>
        <w:keepNext w:val="0"/>
        <w:keepLines w:val="0"/>
        <w:pageBreakBefore w:val="0"/>
        <w:widowControl w:val="0"/>
        <w:kinsoku/>
        <w:wordWrap/>
        <w:overflowPunct/>
        <w:topLinePunct w:val="0"/>
        <w:autoSpaceDE/>
        <w:autoSpaceDN/>
        <w:bidi w:val="0"/>
        <w:spacing w:line="480" w:lineRule="exact"/>
        <w:ind w:firstLine="1400" w:firstLineChars="5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Ku—周边土地利用类型修正系数</w:t>
      </w:r>
    </w:p>
    <w:p w14:paraId="7EAE130E">
      <w:pPr>
        <w:pStyle w:val="2"/>
        <w:keepNext w:val="0"/>
        <w:keepLines w:val="0"/>
        <w:pageBreakBefore w:val="0"/>
        <w:widowControl w:val="0"/>
        <w:kinsoku/>
        <w:wordWrap/>
        <w:overflowPunct/>
        <w:topLinePunct w:val="0"/>
        <w:autoSpaceDE/>
        <w:autoSpaceDN/>
        <w:bidi w:val="0"/>
        <w:spacing w:line="480" w:lineRule="exact"/>
        <w:ind w:left="0" w:leftChars="0" w:firstLine="1400" w:firstLineChars="5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color w:val="auto"/>
          <w:sz w:val="28"/>
          <w:szCs w:val="28"/>
          <w:highlight w:val="none"/>
        </w:rPr>
        <w:t>Kto—建筑物朝向修正系数</w:t>
      </w:r>
    </w:p>
    <w:p w14:paraId="462E4DEA">
      <w:pPr>
        <w:keepNext w:val="0"/>
        <w:keepLines w:val="0"/>
        <w:pageBreakBefore w:val="0"/>
        <w:widowControl w:val="0"/>
        <w:kinsoku/>
        <w:wordWrap/>
        <w:overflowPunct/>
        <w:topLinePunct w:val="0"/>
        <w:autoSpaceDE/>
        <w:autoSpaceDN/>
        <w:bidi w:val="0"/>
        <w:adjustRightInd w:val="0"/>
        <w:snapToGrid w:val="0"/>
        <w:spacing w:line="480" w:lineRule="exact"/>
        <w:ind w:firstLine="601"/>
        <w:textAlignment w:val="auto"/>
        <w:rPr>
          <w:rFonts w:hint="eastAsia" w:ascii="仿宋_GB2312" w:hAnsi="仿宋_GB2312" w:eastAsia="仿宋_GB2312" w:cs="仿宋_GB2312"/>
          <w:bCs w:val="0"/>
          <w:iCs w:val="0"/>
          <w:sz w:val="28"/>
          <w:szCs w:val="28"/>
          <w:highlight w:val="none"/>
          <w:lang w:val="de-DE"/>
        </w:rPr>
      </w:pPr>
      <w:r>
        <w:rPr>
          <w:rFonts w:hint="eastAsia" w:ascii="仿宋_GB2312" w:hAnsi="仿宋_GB2312" w:eastAsia="仿宋_GB2312" w:cs="仿宋_GB2312"/>
          <w:bCs w:val="0"/>
          <w:iCs w:val="0"/>
          <w:sz w:val="28"/>
          <w:szCs w:val="28"/>
          <w:highlight w:val="none"/>
          <w:lang w:val="de-DE"/>
        </w:rPr>
        <w:t>3</w:t>
      </w:r>
      <w:r>
        <w:rPr>
          <w:rFonts w:hint="eastAsia" w:ascii="仿宋_GB2312" w:hAnsi="仿宋_GB2312" w:eastAsia="仿宋_GB2312" w:cs="仿宋_GB2312"/>
          <w:bCs w:val="0"/>
          <w:iCs w:val="0"/>
          <w:sz w:val="28"/>
          <w:szCs w:val="28"/>
          <w:highlight w:val="none"/>
        </w:rPr>
        <w:t>、确定基准地价</w:t>
      </w:r>
      <w:r>
        <w:rPr>
          <w:rFonts w:hint="eastAsia" w:ascii="仿宋_GB2312" w:hAnsi="仿宋_GB2312" w:eastAsia="仿宋_GB2312" w:cs="仿宋_GB2312"/>
          <w:bCs w:val="0"/>
          <w:iCs w:val="0"/>
          <w:sz w:val="28"/>
          <w:szCs w:val="28"/>
          <w:highlight w:val="none"/>
          <w:lang w:val="de-DE"/>
        </w:rPr>
        <w:t>（</w:t>
      </w:r>
      <w:r>
        <w:rPr>
          <w:rFonts w:hint="eastAsia" w:ascii="仿宋_GB2312" w:hAnsi="仿宋_GB2312" w:eastAsia="仿宋_GB2312" w:cs="仿宋_GB2312"/>
          <w:sz w:val="28"/>
          <w:szCs w:val="28"/>
          <w:highlight w:val="none"/>
          <w:lang w:val="de-DE"/>
        </w:rPr>
        <w:t>P</w:t>
      </w:r>
      <w:r>
        <w:rPr>
          <w:rFonts w:hint="eastAsia" w:ascii="仿宋_GB2312" w:hAnsi="仿宋_GB2312" w:eastAsia="仿宋_GB2312" w:cs="仿宋_GB2312"/>
          <w:sz w:val="28"/>
          <w:szCs w:val="28"/>
          <w:highlight w:val="none"/>
          <w:vertAlign w:val="baseline"/>
          <w:lang w:val="de-DE"/>
        </w:rPr>
        <w:t>o</w:t>
      </w:r>
      <w:r>
        <w:rPr>
          <w:rFonts w:hint="eastAsia" w:ascii="仿宋_GB2312" w:hAnsi="仿宋_GB2312" w:eastAsia="仿宋_GB2312" w:cs="仿宋_GB2312"/>
          <w:bCs w:val="0"/>
          <w:iCs w:val="0"/>
          <w:sz w:val="28"/>
          <w:szCs w:val="28"/>
          <w:highlight w:val="none"/>
          <w:lang w:val="de-DE"/>
        </w:rPr>
        <w:t>）</w:t>
      </w:r>
    </w:p>
    <w:p w14:paraId="3B967FDB">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highlight w:val="none"/>
          <w:lang w:val="de-DE" w:eastAsia="zh-CN"/>
        </w:rPr>
      </w:pPr>
      <w:r>
        <w:rPr>
          <w:rFonts w:hint="eastAsia" w:ascii="仿宋_GB2312" w:hAnsi="仿宋_GB2312" w:eastAsia="仿宋_GB2312" w:cs="仿宋_GB2312"/>
          <w:sz w:val="28"/>
          <w:highlight w:val="none"/>
        </w:rPr>
        <w:t>本次评估设定估价对象土地用途为</w:t>
      </w:r>
      <w:r>
        <w:rPr>
          <w:rFonts w:hint="eastAsia" w:ascii="仿宋_GB2312" w:hAnsi="仿宋_GB2312" w:eastAsia="仿宋_GB2312" w:cs="仿宋_GB2312"/>
          <w:sz w:val="28"/>
          <w:highlight w:val="none"/>
          <w:lang w:val="en-US" w:eastAsia="zh-CN"/>
        </w:rPr>
        <w:t>商服用地、</w:t>
      </w:r>
      <w:r>
        <w:rPr>
          <w:rFonts w:hint="eastAsia" w:ascii="仿宋_GB2312" w:hAnsi="仿宋_GB2312" w:eastAsia="仿宋_GB2312" w:cs="仿宋_GB2312"/>
          <w:sz w:val="28"/>
          <w:highlight w:val="none"/>
        </w:rPr>
        <w:t>住宅用地，估价对象</w:t>
      </w:r>
      <w:r>
        <w:rPr>
          <w:rFonts w:hint="eastAsia" w:ascii="仿宋_GB2312" w:hAnsi="仿宋_GB2312" w:eastAsia="仿宋_GB2312" w:cs="仿宋_GB2312"/>
          <w:bCs/>
          <w:color w:val="000000"/>
          <w:sz w:val="28"/>
          <w:highlight w:val="none"/>
        </w:rPr>
        <w:t>位于</w:t>
      </w:r>
      <w:r>
        <w:rPr>
          <w:rFonts w:hint="eastAsia" w:ascii="仿宋_GB2312" w:hAnsi="仿宋_GB2312" w:eastAsia="仿宋_GB2312" w:cs="仿宋_GB2312"/>
          <w:bCs/>
          <w:color w:val="000000"/>
          <w:sz w:val="28"/>
          <w:highlight w:val="none"/>
          <w:lang w:eastAsia="zh-CN"/>
        </w:rPr>
        <w:t>通道县双江镇行政街331/1-2幢整栋</w:t>
      </w:r>
      <w:r>
        <w:rPr>
          <w:rFonts w:hint="eastAsia" w:ascii="仿宋_GB2312" w:hAnsi="仿宋_GB2312" w:eastAsia="仿宋_GB2312" w:cs="仿宋_GB2312"/>
          <w:sz w:val="28"/>
          <w:highlight w:val="none"/>
        </w:rPr>
        <w:t>，根据</w:t>
      </w:r>
      <w:r>
        <w:rPr>
          <w:rFonts w:hint="eastAsia" w:ascii="仿宋_GB2312" w:hAnsi="仿宋_GB2312" w:eastAsia="仿宋_GB2312" w:cs="仿宋_GB2312"/>
          <w:bCs/>
          <w:sz w:val="28"/>
          <w:szCs w:val="28"/>
          <w:highlight w:val="none"/>
          <w:lang w:eastAsia="zh-CN"/>
        </w:rPr>
        <w:t>《</w:t>
      </w:r>
      <w:r>
        <w:rPr>
          <w:rFonts w:hint="eastAsia" w:ascii="仿宋_GB2312" w:hAnsi="仿宋_GB2312" w:eastAsia="仿宋_GB2312" w:cs="仿宋_GB2312"/>
          <w:bCs/>
          <w:sz w:val="28"/>
          <w:szCs w:val="28"/>
          <w:highlight w:val="none"/>
          <w:lang w:val="en-US" w:eastAsia="zh-CN"/>
        </w:rPr>
        <w:t>通道侗族自治县</w:t>
      </w:r>
      <w:r>
        <w:rPr>
          <w:rFonts w:hint="eastAsia" w:ascii="仿宋_GB2312" w:hAnsi="仿宋_GB2312" w:eastAsia="仿宋_GB2312" w:cs="仿宋_GB2312"/>
          <w:bCs/>
          <w:sz w:val="28"/>
          <w:szCs w:val="28"/>
          <w:highlight w:val="none"/>
          <w:lang w:eastAsia="zh-CN"/>
        </w:rPr>
        <w:t>城镇基准地价更新技术报告》（202</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bCs/>
          <w:sz w:val="28"/>
          <w:szCs w:val="28"/>
          <w:highlight w:val="none"/>
          <w:lang w:val="en-US" w:eastAsia="zh-CN"/>
        </w:rPr>
        <w:t>11</w:t>
      </w:r>
      <w:r>
        <w:rPr>
          <w:rFonts w:hint="eastAsia" w:ascii="仿宋_GB2312" w:hAnsi="仿宋_GB2312" w:eastAsia="仿宋_GB2312" w:cs="仿宋_GB2312"/>
          <w:bCs/>
          <w:sz w:val="28"/>
          <w:szCs w:val="28"/>
          <w:highlight w:val="none"/>
          <w:lang w:eastAsia="zh-CN"/>
        </w:rPr>
        <w:t>月）</w:t>
      </w:r>
      <w:r>
        <w:rPr>
          <w:rFonts w:hint="eastAsia" w:ascii="仿宋_GB2312" w:hAnsi="仿宋_GB2312" w:eastAsia="仿宋_GB2312" w:cs="仿宋_GB2312"/>
          <w:sz w:val="28"/>
          <w:highlight w:val="none"/>
        </w:rPr>
        <w:t>与《</w:t>
      </w:r>
      <w:r>
        <w:rPr>
          <w:rFonts w:hint="eastAsia" w:ascii="仿宋_GB2312" w:hAnsi="仿宋_GB2312" w:eastAsia="仿宋_GB2312" w:cs="仿宋_GB2312"/>
          <w:sz w:val="28"/>
          <w:highlight w:val="none"/>
          <w:lang w:val="en-US" w:eastAsia="zh-CN"/>
        </w:rPr>
        <w:t>通道侗族自治县城区土地级别与基准地价图</w:t>
      </w:r>
      <w:r>
        <w:rPr>
          <w:rFonts w:hint="eastAsia" w:ascii="仿宋_GB2312" w:hAnsi="仿宋_GB2312" w:eastAsia="仿宋_GB2312" w:cs="仿宋_GB2312"/>
          <w:sz w:val="28"/>
          <w:highlight w:val="none"/>
        </w:rPr>
        <w:t>》，估价对象属于</w:t>
      </w:r>
      <w:r>
        <w:rPr>
          <w:rFonts w:hint="eastAsia" w:ascii="仿宋_GB2312" w:hAnsi="仿宋_GB2312" w:eastAsia="仿宋_GB2312" w:cs="仿宋_GB2312"/>
          <w:sz w:val="28"/>
          <w:highlight w:val="none"/>
          <w:lang w:eastAsia="zh-CN"/>
        </w:rPr>
        <w:t>通道县</w:t>
      </w:r>
      <w:r>
        <w:rPr>
          <w:rFonts w:hint="eastAsia" w:ascii="仿宋_GB2312" w:hAnsi="仿宋_GB2312" w:eastAsia="仿宋_GB2312" w:cs="仿宋_GB2312"/>
          <w:sz w:val="28"/>
          <w:highlight w:val="none"/>
        </w:rPr>
        <w:t>城区</w:t>
      </w:r>
      <w:r>
        <w:rPr>
          <w:rFonts w:hint="eastAsia" w:ascii="仿宋_GB2312" w:hAnsi="仿宋_GB2312" w:eastAsia="仿宋_GB2312" w:cs="仿宋_GB2312"/>
          <w:sz w:val="28"/>
          <w:highlight w:val="none"/>
          <w:lang w:val="en-US" w:eastAsia="zh-CN"/>
        </w:rPr>
        <w:t>商业服务业用地二级、居住二级</w:t>
      </w:r>
      <w:r>
        <w:rPr>
          <w:rFonts w:hint="eastAsia" w:ascii="仿宋_GB2312" w:hAnsi="仿宋_GB2312" w:eastAsia="仿宋_GB2312" w:cs="仿宋_GB2312"/>
          <w:sz w:val="28"/>
          <w:highlight w:val="none"/>
          <w:lang w:eastAsia="zh-CN"/>
        </w:rPr>
        <w:t>用地</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val="en-US" w:eastAsia="zh-CN"/>
        </w:rPr>
        <w:t>估价对象西临行政街，商业服务业用地路线价为3645元/平方米，居住</w:t>
      </w:r>
      <w:r>
        <w:rPr>
          <w:rFonts w:hint="eastAsia" w:ascii="仿宋_GB2312" w:hAnsi="仿宋_GB2312" w:eastAsia="仿宋_GB2312" w:cs="仿宋_GB2312"/>
          <w:sz w:val="28"/>
          <w:highlight w:val="none"/>
          <w:lang w:eastAsia="zh-CN"/>
        </w:rPr>
        <w:t>用地</w:t>
      </w:r>
      <w:r>
        <w:rPr>
          <w:rFonts w:hint="eastAsia" w:ascii="仿宋_GB2312" w:hAnsi="仿宋_GB2312" w:eastAsia="仿宋_GB2312" w:cs="仿宋_GB2312"/>
          <w:sz w:val="28"/>
          <w:highlight w:val="none"/>
          <w:lang w:val="en-US" w:eastAsia="zh-CN"/>
        </w:rPr>
        <w:t>二级</w:t>
      </w:r>
      <w:r>
        <w:rPr>
          <w:rFonts w:hint="eastAsia" w:ascii="仿宋_GB2312" w:hAnsi="仿宋_GB2312" w:eastAsia="仿宋_GB2312" w:cs="仿宋_GB2312"/>
          <w:sz w:val="28"/>
          <w:highlight w:val="none"/>
          <w:lang w:eastAsia="zh-CN"/>
        </w:rPr>
        <w:t>出让</w:t>
      </w:r>
      <w:r>
        <w:rPr>
          <w:rFonts w:hint="eastAsia" w:ascii="仿宋_GB2312" w:hAnsi="仿宋_GB2312" w:eastAsia="仿宋_GB2312" w:cs="仿宋_GB2312"/>
          <w:sz w:val="28"/>
          <w:highlight w:val="none"/>
        </w:rPr>
        <w:t>基准地价为</w:t>
      </w:r>
      <w:r>
        <w:rPr>
          <w:rFonts w:hint="eastAsia" w:ascii="仿宋_GB2312" w:hAnsi="仿宋_GB2312" w:eastAsia="仿宋_GB2312" w:cs="仿宋_GB2312"/>
          <w:sz w:val="28"/>
          <w:highlight w:val="none"/>
          <w:lang w:val="en-US" w:eastAsia="zh-CN"/>
        </w:rPr>
        <w:t>710</w:t>
      </w:r>
      <w:r>
        <w:rPr>
          <w:rFonts w:hint="eastAsia" w:ascii="仿宋_GB2312" w:hAnsi="仿宋_GB2312" w:eastAsia="仿宋_GB2312" w:cs="仿宋_GB2312"/>
          <w:sz w:val="28"/>
          <w:highlight w:val="none"/>
        </w:rPr>
        <w:t>元/平方米。</w:t>
      </w:r>
    </w:p>
    <w:p w14:paraId="6502354F">
      <w:pPr>
        <w:pStyle w:val="2"/>
        <w:keepNext w:val="0"/>
        <w:keepLines w:val="0"/>
        <w:pageBreakBefore w:val="0"/>
        <w:widowControl w:val="0"/>
        <w:kinsoku/>
        <w:wordWrap/>
        <w:overflowPunct/>
        <w:topLinePunct w:val="0"/>
        <w:autoSpaceDE w:val="0"/>
        <w:autoSpaceDN w:val="0"/>
        <w:bidi w:val="0"/>
        <w:adjustRightInd w:val="0"/>
        <w:snapToGrid w:val="0"/>
        <w:spacing w:line="240" w:lineRule="atLeast"/>
        <w:ind w:firstLine="0" w:firstLineChars="0"/>
        <w:jc w:val="center"/>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eastAsia="zh-CN"/>
        </w:rPr>
        <w:drawing>
          <wp:inline distT="0" distB="0" distL="114300" distR="114300">
            <wp:extent cx="5245735" cy="3493770"/>
            <wp:effectExtent l="9525" t="9525" r="21590" b="20955"/>
            <wp:docPr id="8" name="图片 8" descr="估价对象级别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估价对象级别2"/>
                    <pic:cNvPicPr>
                      <a:picLocks noChangeAspect="1"/>
                    </pic:cNvPicPr>
                  </pic:nvPicPr>
                  <pic:blipFill>
                    <a:blip r:embed="rId33"/>
                    <a:stretch>
                      <a:fillRect/>
                    </a:stretch>
                  </pic:blipFill>
                  <pic:spPr>
                    <a:xfrm>
                      <a:off x="0" y="0"/>
                      <a:ext cx="5245735" cy="3493770"/>
                    </a:xfrm>
                    <a:prstGeom prst="rect">
                      <a:avLst/>
                    </a:prstGeom>
                    <a:ln>
                      <a:solidFill>
                        <a:schemeClr val="tx1"/>
                      </a:solidFill>
                    </a:ln>
                  </pic:spPr>
                </pic:pic>
              </a:graphicData>
            </a:graphic>
          </wp:inline>
        </w:drawing>
      </w:r>
    </w:p>
    <w:p w14:paraId="16DB94AA">
      <w:pPr>
        <w:pStyle w:val="2"/>
        <w:keepNext w:val="0"/>
        <w:keepLines w:val="0"/>
        <w:pageBreakBefore w:val="0"/>
        <w:widowControl w:val="0"/>
        <w:kinsoku/>
        <w:wordWrap/>
        <w:overflowPunct/>
        <w:topLinePunct w:val="0"/>
        <w:autoSpaceDE w:val="0"/>
        <w:autoSpaceDN w:val="0"/>
        <w:bidi w:val="0"/>
        <w:adjustRightInd w:val="0"/>
        <w:snapToGrid w:val="0"/>
        <w:spacing w:line="240" w:lineRule="atLeast"/>
        <w:ind w:firstLine="0" w:firstLineChars="0"/>
        <w:jc w:val="center"/>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rPr>
        <w:t>图3-1 待估宗地土地级别示意图</w:t>
      </w:r>
    </w:p>
    <w:p w14:paraId="7E3AB828">
      <w:pPr>
        <w:keepNext w:val="0"/>
        <w:keepLines w:val="0"/>
        <w:pageBreakBefore w:val="0"/>
        <w:widowControl w:val="0"/>
        <w:kinsoku/>
        <w:wordWrap/>
        <w:overflowPunct/>
        <w:topLinePunct w:val="0"/>
        <w:autoSpaceDE/>
        <w:autoSpaceDN/>
        <w:bidi w:val="0"/>
        <w:adjustRightInd w:val="0"/>
        <w:snapToGrid w:val="0"/>
        <w:spacing w:line="480" w:lineRule="exact"/>
        <w:ind w:firstLine="601"/>
        <w:textAlignment w:val="auto"/>
        <w:rPr>
          <w:rFonts w:hint="eastAsia" w:ascii="仿宋_GB2312" w:hAnsi="仿宋_GB2312" w:eastAsia="仿宋_GB2312" w:cs="仿宋_GB2312"/>
          <w:sz w:val="28"/>
          <w:szCs w:val="28"/>
          <w:highlight w:val="none"/>
          <w:lang w:val="de-DE"/>
        </w:rPr>
      </w:pPr>
      <w:r>
        <w:rPr>
          <w:rFonts w:hint="eastAsia" w:ascii="仿宋_GB2312" w:hAnsi="仿宋_GB2312" w:eastAsia="仿宋_GB2312" w:cs="仿宋_GB2312"/>
          <w:sz w:val="28"/>
          <w:szCs w:val="28"/>
          <w:highlight w:val="none"/>
          <w:lang w:val="de-DE"/>
        </w:rPr>
        <w:t>4、容积率修正系数（K</w:t>
      </w:r>
      <w:r>
        <w:rPr>
          <w:rFonts w:hint="eastAsia" w:ascii="仿宋_GB2312" w:hAnsi="仿宋_GB2312" w:eastAsia="仿宋_GB2312" w:cs="仿宋_GB2312"/>
          <w:sz w:val="28"/>
          <w:szCs w:val="28"/>
          <w:highlight w:val="none"/>
          <w:vertAlign w:val="baseline"/>
          <w:lang w:val="de-DE"/>
        </w:rPr>
        <w:t>v</w:t>
      </w:r>
      <w:r>
        <w:rPr>
          <w:rFonts w:hint="eastAsia" w:ascii="仿宋_GB2312" w:hAnsi="仿宋_GB2312" w:eastAsia="仿宋_GB2312" w:cs="仿宋_GB2312"/>
          <w:sz w:val="28"/>
          <w:szCs w:val="28"/>
          <w:highlight w:val="none"/>
          <w:lang w:val="de-DE"/>
        </w:rPr>
        <w:t>）的确定</w:t>
      </w:r>
    </w:p>
    <w:p w14:paraId="0D7B7954">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color w:val="000000"/>
          <w:sz w:val="28"/>
          <w:highlight w:val="none"/>
        </w:rPr>
        <w:t>容积率的变化会影响地价的变化。在进行住宅宗地评估时，当实际容积率与平均容积率不同时，必须进行修正。本次评估设定</w:t>
      </w:r>
      <w:r>
        <w:rPr>
          <w:rFonts w:hint="eastAsia" w:ascii="仿宋_GB2312" w:hAnsi="仿宋_GB2312" w:eastAsia="仿宋_GB2312" w:cs="仿宋_GB2312"/>
          <w:color w:val="000000"/>
          <w:sz w:val="28"/>
          <w:highlight w:val="none"/>
          <w:lang w:eastAsia="zh-CN"/>
        </w:rPr>
        <w:t>容积率为4.07</w:t>
      </w:r>
      <w:r>
        <w:rPr>
          <w:rFonts w:hint="eastAsia" w:ascii="仿宋_GB2312" w:hAnsi="仿宋_GB2312" w:eastAsia="仿宋_GB2312" w:cs="仿宋_GB2312"/>
          <w:sz w:val="28"/>
          <w:highlight w:val="none"/>
          <w:lang w:eastAsia="zh-CN"/>
        </w:rPr>
        <w:t>。</w:t>
      </w:r>
      <w:r>
        <w:rPr>
          <w:rFonts w:hint="eastAsia" w:ascii="仿宋_GB2312" w:hAnsi="仿宋_GB2312" w:eastAsia="仿宋_GB2312" w:cs="仿宋_GB2312"/>
          <w:sz w:val="28"/>
          <w:highlight w:val="none"/>
        </w:rPr>
        <w:t>根据《</w:t>
      </w:r>
      <w:r>
        <w:rPr>
          <w:rFonts w:hint="eastAsia" w:ascii="仿宋_GB2312" w:hAnsi="仿宋_GB2312" w:eastAsia="仿宋_GB2312" w:cs="仿宋_GB2312"/>
          <w:sz w:val="28"/>
          <w:highlight w:val="none"/>
          <w:lang w:val="en-US" w:eastAsia="zh-CN"/>
        </w:rPr>
        <w:t>通道侗族自治县城镇</w:t>
      </w:r>
      <w:r>
        <w:rPr>
          <w:rFonts w:hint="eastAsia" w:ascii="仿宋_GB2312" w:hAnsi="仿宋_GB2312" w:eastAsia="仿宋_GB2312" w:cs="仿宋_GB2312"/>
          <w:sz w:val="28"/>
          <w:highlight w:val="none"/>
        </w:rPr>
        <w:t>基准地价成果技术报告》</w:t>
      </w:r>
      <w:r>
        <w:rPr>
          <w:rFonts w:hint="eastAsia" w:ascii="仿宋_GB2312" w:hAnsi="仿宋_GB2312" w:eastAsia="仿宋_GB2312" w:cs="仿宋_GB2312"/>
          <w:sz w:val="28"/>
          <w:highlight w:val="none"/>
          <w:lang w:eastAsia="zh-CN"/>
        </w:rPr>
        <w:t>（</w:t>
      </w:r>
      <w:r>
        <w:rPr>
          <w:rFonts w:hint="eastAsia" w:ascii="仿宋_GB2312" w:hAnsi="仿宋_GB2312" w:eastAsia="仿宋_GB2312" w:cs="仿宋_GB2312"/>
          <w:sz w:val="28"/>
          <w:highlight w:val="none"/>
          <w:lang w:val="en-US" w:eastAsia="zh-CN"/>
        </w:rPr>
        <w:t>2025年11月）</w:t>
      </w:r>
      <w:r>
        <w:rPr>
          <w:rFonts w:hint="eastAsia" w:ascii="仿宋_GB2312" w:hAnsi="仿宋_GB2312" w:eastAsia="仿宋_GB2312" w:cs="仿宋_GB2312"/>
          <w:sz w:val="28"/>
          <w:highlight w:val="none"/>
        </w:rPr>
        <w:t>，查</w:t>
      </w:r>
      <w:r>
        <w:rPr>
          <w:rFonts w:hint="eastAsia" w:ascii="仿宋_GB2312" w:hAnsi="仿宋_GB2312" w:eastAsia="仿宋_GB2312" w:cs="仿宋_GB2312"/>
          <w:sz w:val="28"/>
          <w:highlight w:val="none"/>
          <w:lang w:eastAsia="zh-CN"/>
        </w:rPr>
        <w:t>《通道县城区商业服务业用地容积率修正系数表》</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eastAsia="zh-CN"/>
        </w:rPr>
        <w:t>通道县城区居住用地容积率修正系数表</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val="en-US" w:eastAsia="zh-CN"/>
        </w:rPr>
        <w:t>采用插值计算法</w:t>
      </w:r>
      <w:r>
        <w:rPr>
          <w:rFonts w:hint="eastAsia" w:ascii="仿宋_GB2312" w:hAnsi="仿宋_GB2312" w:eastAsia="仿宋_GB2312" w:cs="仿宋_GB2312"/>
          <w:sz w:val="28"/>
          <w:highlight w:val="none"/>
        </w:rPr>
        <w:t>得估价对象容积率修正值为：</w:t>
      </w:r>
      <w:r>
        <w:rPr>
          <w:rFonts w:hint="eastAsia" w:ascii="仿宋_GB2312" w:hAnsi="仿宋_GB2312" w:eastAsia="仿宋_GB2312" w:cs="仿宋_GB2312"/>
          <w:sz w:val="28"/>
          <w:highlight w:val="none"/>
          <w:lang w:val="en-US" w:eastAsia="zh-CN"/>
        </w:rPr>
        <w:t>K</w:t>
      </w:r>
      <w:r>
        <w:rPr>
          <w:rFonts w:hint="eastAsia" w:ascii="仿宋_GB2312" w:hAnsi="仿宋_GB2312" w:eastAsia="仿宋_GB2312" w:cs="仿宋_GB2312"/>
          <w:sz w:val="28"/>
          <w:highlight w:val="none"/>
          <w:lang w:val="de-DE"/>
        </w:rPr>
        <w:t>v</w:t>
      </w:r>
      <w:r>
        <w:rPr>
          <w:rFonts w:hint="eastAsia" w:ascii="仿宋_GB2312" w:hAnsi="仿宋_GB2312" w:eastAsia="仿宋_GB2312" w:cs="仿宋_GB2312"/>
          <w:sz w:val="28"/>
          <w:highlight w:val="none"/>
          <w:lang w:val="en-US" w:eastAsia="zh-CN"/>
        </w:rPr>
        <w:t>商=1.3757、K</w:t>
      </w:r>
      <w:r>
        <w:rPr>
          <w:rFonts w:hint="eastAsia" w:ascii="仿宋_GB2312" w:hAnsi="仿宋_GB2312" w:eastAsia="仿宋_GB2312" w:cs="仿宋_GB2312"/>
          <w:sz w:val="28"/>
          <w:highlight w:val="none"/>
          <w:lang w:val="de-DE"/>
        </w:rPr>
        <w:t>v</w:t>
      </w:r>
      <w:r>
        <w:rPr>
          <w:rFonts w:hint="eastAsia" w:ascii="仿宋_GB2312" w:hAnsi="仿宋_GB2312" w:eastAsia="仿宋_GB2312" w:cs="仿宋_GB2312"/>
          <w:sz w:val="28"/>
          <w:highlight w:val="none"/>
          <w:lang w:val="en-US" w:eastAsia="zh-CN"/>
        </w:rPr>
        <w:t>住</w:t>
      </w:r>
      <w:r>
        <w:rPr>
          <w:rFonts w:hint="eastAsia" w:ascii="仿宋_GB2312" w:hAnsi="仿宋_GB2312" w:eastAsia="仿宋_GB2312" w:cs="仿宋_GB2312"/>
          <w:b w:val="0"/>
          <w:bCs w:val="0"/>
          <w:sz w:val="28"/>
          <w:highlight w:val="none"/>
        </w:rPr>
        <w:t>=1.</w:t>
      </w:r>
      <w:r>
        <w:rPr>
          <w:rFonts w:hint="eastAsia" w:ascii="仿宋_GB2312" w:hAnsi="仿宋_GB2312" w:eastAsia="仿宋_GB2312" w:cs="仿宋_GB2312"/>
          <w:b w:val="0"/>
          <w:bCs w:val="0"/>
          <w:sz w:val="28"/>
          <w:highlight w:val="none"/>
          <w:lang w:val="en-US" w:eastAsia="zh-CN"/>
        </w:rPr>
        <w:t>3647</w:t>
      </w:r>
      <w:r>
        <w:rPr>
          <w:rFonts w:hint="eastAsia" w:ascii="仿宋_GB2312" w:hAnsi="仿宋_GB2312" w:eastAsia="仿宋_GB2312" w:cs="仿宋_GB2312"/>
          <w:sz w:val="28"/>
          <w:highlight w:val="none"/>
        </w:rPr>
        <w:t>。</w:t>
      </w:r>
    </w:p>
    <w:p w14:paraId="59075EF8">
      <w:pPr>
        <w:pStyle w:val="2"/>
        <w:ind w:left="0" w:leftChars="0" w:firstLine="0" w:firstLineChars="0"/>
        <w:jc w:val="center"/>
        <w:rPr>
          <w:rFonts w:hint="default" w:ascii="Times New Roman" w:hAnsi="Times New Roman" w:eastAsia="宋体" w:cs="Times New Roman"/>
          <w:b/>
          <w:bCs/>
          <w:color w:val="auto"/>
          <w:sz w:val="21"/>
          <w:szCs w:val="21"/>
          <w:highlight w:val="none"/>
          <w:lang w:val="en-US" w:eastAsia="zh-CN"/>
        </w:rPr>
      </w:pPr>
      <w:r>
        <w:rPr>
          <w:rFonts w:hint="eastAsia" w:ascii="仿宋_GB2312" w:hAnsi="仿宋_GB2312" w:eastAsia="仿宋_GB2312" w:cs="仿宋_GB2312"/>
          <w:sz w:val="28"/>
          <w:szCs w:val="28"/>
          <w:highlight w:val="none"/>
          <w:lang w:val="zh-CN"/>
        </w:rPr>
        <w:t>表3-</w:t>
      </w:r>
      <w:r>
        <w:rPr>
          <w:rFonts w:hint="eastAsia" w:ascii="仿宋_GB2312" w:hAnsi="仿宋_GB2312" w:cs="仿宋_GB2312"/>
          <w:sz w:val="28"/>
          <w:szCs w:val="28"/>
          <w:highlight w:val="none"/>
          <w:lang w:val="en-US" w:eastAsia="zh-CN"/>
        </w:rPr>
        <w:t>3</w:t>
      </w:r>
      <w:r>
        <w:rPr>
          <w:rFonts w:hint="default" w:ascii="仿宋_GB2312" w:hAnsi="仿宋_GB2312" w:cs="仿宋_GB2312"/>
          <w:sz w:val="28"/>
          <w:szCs w:val="28"/>
          <w:highlight w:val="none"/>
          <w:lang w:val="en-US" w:eastAsia="zh-CN"/>
        </w:rPr>
        <w:t xml:space="preserve"> </w:t>
      </w:r>
      <w:r>
        <w:rPr>
          <w:rFonts w:hint="eastAsia" w:ascii="仿宋_GB2312" w:hAnsi="仿宋_GB2312" w:cs="仿宋_GB2312"/>
          <w:sz w:val="28"/>
          <w:szCs w:val="28"/>
          <w:highlight w:val="none"/>
          <w:lang w:val="en-US" w:eastAsia="zh-CN"/>
        </w:rPr>
        <w:t>通道县</w:t>
      </w:r>
      <w:r>
        <w:rPr>
          <w:rFonts w:hint="default" w:ascii="仿宋_GB2312" w:hAnsi="仿宋_GB2312" w:cs="仿宋_GB2312"/>
          <w:sz w:val="28"/>
          <w:szCs w:val="28"/>
          <w:highlight w:val="none"/>
          <w:lang w:val="en-US" w:eastAsia="zh-CN"/>
        </w:rPr>
        <w:t>城区</w:t>
      </w:r>
      <w:r>
        <w:rPr>
          <w:rFonts w:hint="eastAsia" w:ascii="仿宋_GB2312" w:hAnsi="仿宋_GB2312" w:cs="仿宋_GB2312"/>
          <w:sz w:val="28"/>
          <w:szCs w:val="28"/>
          <w:highlight w:val="none"/>
          <w:lang w:val="en-US" w:eastAsia="zh-CN"/>
        </w:rPr>
        <w:t>商业服务业用地</w:t>
      </w:r>
      <w:r>
        <w:rPr>
          <w:rFonts w:hint="default" w:ascii="仿宋_GB2312" w:hAnsi="仿宋_GB2312" w:cs="仿宋_GB2312"/>
          <w:sz w:val="28"/>
          <w:szCs w:val="28"/>
          <w:highlight w:val="none"/>
          <w:lang w:val="en-US" w:eastAsia="zh-CN"/>
        </w:rPr>
        <w:t>容积率修正系数表</w:t>
      </w:r>
    </w:p>
    <w:tbl>
      <w:tblPr>
        <w:tblStyle w:val="11"/>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95"/>
        <w:gridCol w:w="1818"/>
        <w:gridCol w:w="1351"/>
        <w:gridCol w:w="1351"/>
        <w:gridCol w:w="1351"/>
        <w:gridCol w:w="1351"/>
      </w:tblGrid>
      <w:tr w14:paraId="338DA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90" w:hRule="atLeast"/>
          <w:tblHeader/>
        </w:trPr>
        <w:tc>
          <w:tcPr>
            <w:tcW w:w="1295" w:type="dxa"/>
            <w:shd w:val="clear" w:color="auto" w:fill="FFFFFF"/>
            <w:vAlign w:val="center"/>
          </w:tcPr>
          <w:p w14:paraId="56225D9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t>容积率</w:t>
            </w:r>
          </w:p>
        </w:tc>
        <w:tc>
          <w:tcPr>
            <w:tcW w:w="1818" w:type="dxa"/>
            <w:shd w:val="clear" w:color="auto" w:fill="FFFFFF"/>
            <w:vAlign w:val="center"/>
          </w:tcPr>
          <w:p w14:paraId="463EC2D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t>一级</w:t>
            </w:r>
          </w:p>
        </w:tc>
        <w:tc>
          <w:tcPr>
            <w:tcW w:w="1351" w:type="dxa"/>
            <w:shd w:val="clear" w:color="auto" w:fill="FFFFFF"/>
            <w:vAlign w:val="center"/>
          </w:tcPr>
          <w:p w14:paraId="7AA8D0E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t>二级</w:t>
            </w:r>
          </w:p>
        </w:tc>
        <w:tc>
          <w:tcPr>
            <w:tcW w:w="1351" w:type="dxa"/>
            <w:shd w:val="clear" w:color="auto" w:fill="FFFFFF"/>
            <w:vAlign w:val="center"/>
          </w:tcPr>
          <w:p w14:paraId="0312A9F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t>三级</w:t>
            </w:r>
          </w:p>
        </w:tc>
        <w:tc>
          <w:tcPr>
            <w:tcW w:w="1351" w:type="dxa"/>
            <w:shd w:val="clear" w:color="auto" w:fill="FFFFFF"/>
            <w:vAlign w:val="center"/>
          </w:tcPr>
          <w:p w14:paraId="089F502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t>四级</w:t>
            </w:r>
          </w:p>
        </w:tc>
        <w:tc>
          <w:tcPr>
            <w:tcW w:w="1351" w:type="dxa"/>
            <w:shd w:val="clear" w:color="auto" w:fill="FFFFFF"/>
            <w:vAlign w:val="center"/>
          </w:tcPr>
          <w:p w14:paraId="758D6EF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t>五级</w:t>
            </w:r>
          </w:p>
        </w:tc>
      </w:tr>
      <w:tr w14:paraId="686D1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shd w:val="clear" w:color="auto" w:fill="FFFFFF"/>
            <w:vAlign w:val="center"/>
          </w:tcPr>
          <w:p w14:paraId="2845C98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w:t>
            </w:r>
          </w:p>
        </w:tc>
        <w:tc>
          <w:tcPr>
            <w:tcW w:w="1818" w:type="dxa"/>
            <w:shd w:val="clear" w:color="auto" w:fill="FFFFFF"/>
            <w:vAlign w:val="center"/>
          </w:tcPr>
          <w:p w14:paraId="3F7F1EF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0.6800 </w:t>
            </w:r>
          </w:p>
        </w:tc>
        <w:tc>
          <w:tcPr>
            <w:tcW w:w="1351" w:type="dxa"/>
            <w:shd w:val="clear" w:color="auto" w:fill="FFFFFF"/>
            <w:vAlign w:val="center"/>
          </w:tcPr>
          <w:p w14:paraId="1183E9F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0.7326 </w:t>
            </w:r>
          </w:p>
        </w:tc>
        <w:tc>
          <w:tcPr>
            <w:tcW w:w="1351" w:type="dxa"/>
            <w:shd w:val="clear" w:color="auto" w:fill="FFFFFF"/>
            <w:vAlign w:val="center"/>
          </w:tcPr>
          <w:p w14:paraId="5AF7468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0.8054 </w:t>
            </w:r>
          </w:p>
        </w:tc>
        <w:tc>
          <w:tcPr>
            <w:tcW w:w="1351" w:type="dxa"/>
            <w:shd w:val="clear" w:color="auto" w:fill="FFFFFF"/>
            <w:vAlign w:val="center"/>
          </w:tcPr>
          <w:p w14:paraId="2EED8B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0.8633 </w:t>
            </w:r>
          </w:p>
        </w:tc>
        <w:tc>
          <w:tcPr>
            <w:tcW w:w="1351" w:type="dxa"/>
            <w:shd w:val="clear" w:color="auto" w:fill="FFFFFF"/>
            <w:vAlign w:val="center"/>
          </w:tcPr>
          <w:p w14:paraId="7E4F3C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0.8973 </w:t>
            </w:r>
          </w:p>
        </w:tc>
      </w:tr>
      <w:tr w14:paraId="2C232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7776581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1.1</w:t>
            </w:r>
          </w:p>
        </w:tc>
        <w:tc>
          <w:tcPr>
            <w:tcW w:w="1818" w:type="dxa"/>
            <w:shd w:val="clear" w:color="auto" w:fill="FFFFFF"/>
            <w:vAlign w:val="center"/>
          </w:tcPr>
          <w:p w14:paraId="307A6B9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0.7170 </w:t>
            </w:r>
          </w:p>
        </w:tc>
        <w:tc>
          <w:tcPr>
            <w:tcW w:w="1351" w:type="dxa"/>
            <w:shd w:val="clear" w:color="auto" w:fill="FFFFFF"/>
            <w:vAlign w:val="center"/>
          </w:tcPr>
          <w:p w14:paraId="1CDD238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0.7646 </w:t>
            </w:r>
          </w:p>
        </w:tc>
        <w:tc>
          <w:tcPr>
            <w:tcW w:w="1351" w:type="dxa"/>
            <w:shd w:val="clear" w:color="auto" w:fill="FFFFFF"/>
            <w:vAlign w:val="center"/>
          </w:tcPr>
          <w:p w14:paraId="5C652FB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0.8342 </w:t>
            </w:r>
          </w:p>
        </w:tc>
        <w:tc>
          <w:tcPr>
            <w:tcW w:w="1351" w:type="dxa"/>
            <w:shd w:val="clear" w:color="auto" w:fill="FFFFFF"/>
            <w:vAlign w:val="center"/>
          </w:tcPr>
          <w:p w14:paraId="77B4B2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0.8894 </w:t>
            </w:r>
          </w:p>
        </w:tc>
        <w:tc>
          <w:tcPr>
            <w:tcW w:w="1351" w:type="dxa"/>
            <w:shd w:val="clear" w:color="auto" w:fill="FFFFFF"/>
            <w:vAlign w:val="center"/>
          </w:tcPr>
          <w:p w14:paraId="6E01EE5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0.9204 </w:t>
            </w:r>
          </w:p>
        </w:tc>
      </w:tr>
      <w:tr w14:paraId="2E30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shd w:val="clear" w:color="auto" w:fill="FFFFFF"/>
            <w:vAlign w:val="center"/>
          </w:tcPr>
          <w:p w14:paraId="503DED7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1.2</w:t>
            </w:r>
          </w:p>
        </w:tc>
        <w:tc>
          <w:tcPr>
            <w:tcW w:w="1818" w:type="dxa"/>
            <w:shd w:val="clear" w:color="auto" w:fill="FFFFFF"/>
            <w:vAlign w:val="center"/>
          </w:tcPr>
          <w:p w14:paraId="21EC4B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0.7526 </w:t>
            </w:r>
          </w:p>
        </w:tc>
        <w:tc>
          <w:tcPr>
            <w:tcW w:w="1351" w:type="dxa"/>
            <w:shd w:val="clear" w:color="auto" w:fill="FFFFFF"/>
            <w:vAlign w:val="center"/>
          </w:tcPr>
          <w:p w14:paraId="7327F5F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0.7951 </w:t>
            </w:r>
          </w:p>
        </w:tc>
        <w:tc>
          <w:tcPr>
            <w:tcW w:w="1351" w:type="dxa"/>
            <w:shd w:val="clear" w:color="auto" w:fill="FFFFFF"/>
            <w:vAlign w:val="center"/>
          </w:tcPr>
          <w:p w14:paraId="0A59925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0.8613 </w:t>
            </w:r>
          </w:p>
        </w:tc>
        <w:tc>
          <w:tcPr>
            <w:tcW w:w="1351" w:type="dxa"/>
            <w:shd w:val="clear" w:color="auto" w:fill="FFFFFF"/>
            <w:vAlign w:val="center"/>
          </w:tcPr>
          <w:p w14:paraId="51F35D8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0.9140 </w:t>
            </w:r>
          </w:p>
        </w:tc>
        <w:tc>
          <w:tcPr>
            <w:tcW w:w="1351" w:type="dxa"/>
            <w:shd w:val="clear" w:color="auto" w:fill="FFFFFF"/>
            <w:vAlign w:val="center"/>
          </w:tcPr>
          <w:p w14:paraId="6980E08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0.9421 </w:t>
            </w:r>
          </w:p>
        </w:tc>
      </w:tr>
      <w:tr w14:paraId="03D46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2422BE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1.3</w:t>
            </w:r>
          </w:p>
        </w:tc>
        <w:tc>
          <w:tcPr>
            <w:tcW w:w="1818" w:type="dxa"/>
            <w:shd w:val="clear" w:color="auto" w:fill="FFFFFF"/>
            <w:vAlign w:val="center"/>
          </w:tcPr>
          <w:p w14:paraId="5B0446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0.7869 </w:t>
            </w:r>
          </w:p>
        </w:tc>
        <w:tc>
          <w:tcPr>
            <w:tcW w:w="1351" w:type="dxa"/>
            <w:shd w:val="clear" w:color="auto" w:fill="FFFFFF"/>
            <w:vAlign w:val="center"/>
          </w:tcPr>
          <w:p w14:paraId="75F519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0.8242 </w:t>
            </w:r>
          </w:p>
        </w:tc>
        <w:tc>
          <w:tcPr>
            <w:tcW w:w="1351" w:type="dxa"/>
            <w:shd w:val="clear" w:color="auto" w:fill="FFFFFF"/>
            <w:vAlign w:val="center"/>
          </w:tcPr>
          <w:p w14:paraId="7B1E0CC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0.8871 </w:t>
            </w:r>
          </w:p>
        </w:tc>
        <w:tc>
          <w:tcPr>
            <w:tcW w:w="1351" w:type="dxa"/>
            <w:shd w:val="clear" w:color="auto" w:fill="FFFFFF"/>
            <w:vAlign w:val="center"/>
          </w:tcPr>
          <w:p w14:paraId="3845BC0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0.9371 </w:t>
            </w:r>
          </w:p>
        </w:tc>
        <w:tc>
          <w:tcPr>
            <w:tcW w:w="1351" w:type="dxa"/>
            <w:shd w:val="clear" w:color="auto" w:fill="FFFFFF"/>
            <w:vAlign w:val="center"/>
          </w:tcPr>
          <w:p w14:paraId="53190B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0.9625 </w:t>
            </w:r>
          </w:p>
        </w:tc>
      </w:tr>
      <w:tr w14:paraId="4696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049FD9A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1.4</w:t>
            </w:r>
          </w:p>
        </w:tc>
        <w:tc>
          <w:tcPr>
            <w:tcW w:w="1818" w:type="dxa"/>
            <w:shd w:val="clear" w:color="auto" w:fill="FFFFFF"/>
            <w:vAlign w:val="center"/>
          </w:tcPr>
          <w:p w14:paraId="5CE483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0.8200 </w:t>
            </w:r>
          </w:p>
        </w:tc>
        <w:tc>
          <w:tcPr>
            <w:tcW w:w="1351" w:type="dxa"/>
            <w:shd w:val="clear" w:color="auto" w:fill="FFFFFF"/>
            <w:vAlign w:val="center"/>
          </w:tcPr>
          <w:p w14:paraId="16833AC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0.8521 </w:t>
            </w:r>
          </w:p>
        </w:tc>
        <w:tc>
          <w:tcPr>
            <w:tcW w:w="1351" w:type="dxa"/>
            <w:shd w:val="clear" w:color="auto" w:fill="FFFFFF"/>
            <w:vAlign w:val="center"/>
          </w:tcPr>
          <w:p w14:paraId="4E9F39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0.9117 </w:t>
            </w:r>
          </w:p>
        </w:tc>
        <w:tc>
          <w:tcPr>
            <w:tcW w:w="1351" w:type="dxa"/>
            <w:shd w:val="clear" w:color="auto" w:fill="FFFFFF"/>
            <w:vAlign w:val="center"/>
          </w:tcPr>
          <w:p w14:paraId="5706CF7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0.9590 </w:t>
            </w:r>
          </w:p>
        </w:tc>
        <w:tc>
          <w:tcPr>
            <w:tcW w:w="1351" w:type="dxa"/>
            <w:shd w:val="clear" w:color="auto" w:fill="FFFFFF"/>
            <w:vAlign w:val="center"/>
          </w:tcPr>
          <w:p w14:paraId="02A6A15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0.9817 </w:t>
            </w:r>
          </w:p>
        </w:tc>
      </w:tr>
      <w:tr w14:paraId="27251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shd w:val="clear" w:color="auto" w:fill="FFFFFF"/>
            <w:vAlign w:val="center"/>
          </w:tcPr>
          <w:p w14:paraId="67A2EDF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1.5</w:t>
            </w:r>
          </w:p>
        </w:tc>
        <w:tc>
          <w:tcPr>
            <w:tcW w:w="1818" w:type="dxa"/>
            <w:shd w:val="clear" w:color="auto" w:fill="FFFFFF"/>
            <w:vAlign w:val="center"/>
          </w:tcPr>
          <w:p w14:paraId="1CC86E8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0.8521 </w:t>
            </w:r>
          </w:p>
        </w:tc>
        <w:tc>
          <w:tcPr>
            <w:tcW w:w="1351" w:type="dxa"/>
            <w:shd w:val="clear" w:color="auto" w:fill="FFFFFF"/>
            <w:vAlign w:val="center"/>
          </w:tcPr>
          <w:p w14:paraId="57481ED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0.8788 </w:t>
            </w:r>
          </w:p>
        </w:tc>
        <w:tc>
          <w:tcPr>
            <w:tcW w:w="1351" w:type="dxa"/>
            <w:shd w:val="clear" w:color="auto" w:fill="FFFFFF"/>
            <w:vAlign w:val="center"/>
          </w:tcPr>
          <w:p w14:paraId="05E9D83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0.9351 </w:t>
            </w:r>
          </w:p>
        </w:tc>
        <w:tc>
          <w:tcPr>
            <w:tcW w:w="1351" w:type="dxa"/>
            <w:shd w:val="clear" w:color="auto" w:fill="FFFFFF"/>
            <w:vAlign w:val="center"/>
          </w:tcPr>
          <w:p w14:paraId="6D17F38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0.9800 </w:t>
            </w:r>
          </w:p>
        </w:tc>
        <w:tc>
          <w:tcPr>
            <w:tcW w:w="1351" w:type="dxa"/>
            <w:shd w:val="clear" w:color="auto" w:fill="FFFFFF"/>
            <w:vAlign w:val="center"/>
          </w:tcPr>
          <w:p w14:paraId="02ED5C0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1.0000 </w:t>
            </w:r>
          </w:p>
        </w:tc>
      </w:tr>
      <w:tr w14:paraId="375FF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22002EB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1.6</w:t>
            </w:r>
          </w:p>
        </w:tc>
        <w:tc>
          <w:tcPr>
            <w:tcW w:w="1818" w:type="dxa"/>
            <w:shd w:val="clear" w:color="auto" w:fill="FFFFFF"/>
            <w:vAlign w:val="center"/>
          </w:tcPr>
          <w:p w14:paraId="70E7494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0.8832 </w:t>
            </w:r>
          </w:p>
        </w:tc>
        <w:tc>
          <w:tcPr>
            <w:tcW w:w="1351" w:type="dxa"/>
            <w:shd w:val="clear" w:color="auto" w:fill="FFFFFF"/>
            <w:vAlign w:val="center"/>
          </w:tcPr>
          <w:p w14:paraId="23565B5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0.9046 </w:t>
            </w:r>
          </w:p>
        </w:tc>
        <w:tc>
          <w:tcPr>
            <w:tcW w:w="1351" w:type="dxa"/>
            <w:shd w:val="clear" w:color="auto" w:fill="FFFFFF"/>
            <w:vAlign w:val="center"/>
          </w:tcPr>
          <w:p w14:paraId="11B4D3F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0.9576 </w:t>
            </w:r>
          </w:p>
        </w:tc>
        <w:tc>
          <w:tcPr>
            <w:tcW w:w="1351" w:type="dxa"/>
            <w:shd w:val="clear" w:color="auto" w:fill="FFFFFF"/>
            <w:vAlign w:val="center"/>
          </w:tcPr>
          <w:p w14:paraId="296BE83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1.0000 </w:t>
            </w:r>
          </w:p>
        </w:tc>
        <w:tc>
          <w:tcPr>
            <w:tcW w:w="1351" w:type="dxa"/>
            <w:shd w:val="clear" w:color="auto" w:fill="FFFFFF"/>
            <w:vAlign w:val="center"/>
          </w:tcPr>
          <w:p w14:paraId="4B67C4A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1.0174 </w:t>
            </w:r>
          </w:p>
        </w:tc>
      </w:tr>
      <w:tr w14:paraId="5B6DE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13508DD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1.7</w:t>
            </w:r>
          </w:p>
        </w:tc>
        <w:tc>
          <w:tcPr>
            <w:tcW w:w="1818" w:type="dxa"/>
            <w:shd w:val="clear" w:color="auto" w:fill="FFFFFF"/>
            <w:vAlign w:val="center"/>
          </w:tcPr>
          <w:p w14:paraId="2CCDA1C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0.9135 </w:t>
            </w:r>
          </w:p>
        </w:tc>
        <w:tc>
          <w:tcPr>
            <w:tcW w:w="1351" w:type="dxa"/>
            <w:shd w:val="clear" w:color="auto" w:fill="FFFFFF"/>
            <w:vAlign w:val="center"/>
          </w:tcPr>
          <w:p w14:paraId="401E654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0.9296 </w:t>
            </w:r>
          </w:p>
        </w:tc>
        <w:tc>
          <w:tcPr>
            <w:tcW w:w="1351" w:type="dxa"/>
            <w:shd w:val="clear" w:color="auto" w:fill="FFFFFF"/>
            <w:vAlign w:val="center"/>
          </w:tcPr>
          <w:p w14:paraId="26910DA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0.9792 </w:t>
            </w:r>
          </w:p>
        </w:tc>
        <w:tc>
          <w:tcPr>
            <w:tcW w:w="1351" w:type="dxa"/>
            <w:shd w:val="clear" w:color="auto" w:fill="FFFFFF"/>
            <w:vAlign w:val="center"/>
          </w:tcPr>
          <w:p w14:paraId="4179D4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1.0191 </w:t>
            </w:r>
          </w:p>
        </w:tc>
        <w:tc>
          <w:tcPr>
            <w:tcW w:w="1351" w:type="dxa"/>
            <w:shd w:val="clear" w:color="auto" w:fill="FFFFFF"/>
            <w:vAlign w:val="center"/>
          </w:tcPr>
          <w:p w14:paraId="5DCD9EE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1.0340 </w:t>
            </w:r>
          </w:p>
        </w:tc>
      </w:tr>
      <w:tr w14:paraId="37694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410F80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1.8</w:t>
            </w:r>
          </w:p>
        </w:tc>
        <w:tc>
          <w:tcPr>
            <w:tcW w:w="1818" w:type="dxa"/>
            <w:shd w:val="clear" w:color="auto" w:fill="FFFFFF"/>
            <w:vAlign w:val="center"/>
          </w:tcPr>
          <w:p w14:paraId="5B0ED3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0.9431 </w:t>
            </w:r>
          </w:p>
        </w:tc>
        <w:tc>
          <w:tcPr>
            <w:tcW w:w="1351" w:type="dxa"/>
            <w:shd w:val="clear" w:color="auto" w:fill="FFFFFF"/>
            <w:vAlign w:val="center"/>
          </w:tcPr>
          <w:p w14:paraId="61EFB6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0.9538 </w:t>
            </w:r>
          </w:p>
        </w:tc>
        <w:tc>
          <w:tcPr>
            <w:tcW w:w="1351" w:type="dxa"/>
            <w:shd w:val="clear" w:color="auto" w:fill="FFFFFF"/>
            <w:vAlign w:val="center"/>
          </w:tcPr>
          <w:p w14:paraId="3524EB7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1.0000 </w:t>
            </w:r>
          </w:p>
        </w:tc>
        <w:tc>
          <w:tcPr>
            <w:tcW w:w="1351" w:type="dxa"/>
            <w:shd w:val="clear" w:color="auto" w:fill="FFFFFF"/>
            <w:vAlign w:val="center"/>
          </w:tcPr>
          <w:p w14:paraId="1FB14A9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1.0375 </w:t>
            </w:r>
          </w:p>
        </w:tc>
        <w:tc>
          <w:tcPr>
            <w:tcW w:w="1351" w:type="dxa"/>
            <w:shd w:val="clear" w:color="auto" w:fill="FFFFFF"/>
            <w:vAlign w:val="center"/>
          </w:tcPr>
          <w:p w14:paraId="1297D2A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1.0499 </w:t>
            </w:r>
          </w:p>
        </w:tc>
      </w:tr>
      <w:tr w14:paraId="30B15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4B6D073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1.9</w:t>
            </w:r>
          </w:p>
        </w:tc>
        <w:tc>
          <w:tcPr>
            <w:tcW w:w="1818" w:type="dxa"/>
            <w:shd w:val="clear" w:color="auto" w:fill="FFFFFF"/>
            <w:vAlign w:val="center"/>
          </w:tcPr>
          <w:p w14:paraId="4BA548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0.9719 </w:t>
            </w:r>
          </w:p>
        </w:tc>
        <w:tc>
          <w:tcPr>
            <w:tcW w:w="1351" w:type="dxa"/>
            <w:shd w:val="clear" w:color="auto" w:fill="FFFFFF"/>
            <w:vAlign w:val="center"/>
          </w:tcPr>
          <w:p w14:paraId="6EC658D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0.9772 </w:t>
            </w:r>
          </w:p>
        </w:tc>
        <w:tc>
          <w:tcPr>
            <w:tcW w:w="1351" w:type="dxa"/>
            <w:shd w:val="clear" w:color="auto" w:fill="FFFFFF"/>
            <w:vAlign w:val="center"/>
          </w:tcPr>
          <w:p w14:paraId="0F297F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1.0201 </w:t>
            </w:r>
          </w:p>
        </w:tc>
        <w:tc>
          <w:tcPr>
            <w:tcW w:w="1351" w:type="dxa"/>
            <w:shd w:val="clear" w:color="auto" w:fill="FFFFFF"/>
            <w:vAlign w:val="center"/>
          </w:tcPr>
          <w:p w14:paraId="0B6FE9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1.0552 </w:t>
            </w:r>
          </w:p>
        </w:tc>
        <w:tc>
          <w:tcPr>
            <w:tcW w:w="1351" w:type="dxa"/>
            <w:shd w:val="clear" w:color="auto" w:fill="FFFFFF"/>
            <w:vAlign w:val="center"/>
          </w:tcPr>
          <w:p w14:paraId="4838903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1.0652 </w:t>
            </w:r>
          </w:p>
        </w:tc>
      </w:tr>
      <w:tr w14:paraId="33810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shd w:val="clear" w:color="auto" w:fill="FFFFFF"/>
            <w:vAlign w:val="center"/>
          </w:tcPr>
          <w:p w14:paraId="549D523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2</w:t>
            </w:r>
          </w:p>
        </w:tc>
        <w:tc>
          <w:tcPr>
            <w:tcW w:w="1818" w:type="dxa"/>
            <w:shd w:val="clear" w:color="auto" w:fill="FFFFFF"/>
            <w:vAlign w:val="center"/>
          </w:tcPr>
          <w:p w14:paraId="61362F0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1.0000 </w:t>
            </w:r>
          </w:p>
        </w:tc>
        <w:tc>
          <w:tcPr>
            <w:tcW w:w="1351" w:type="dxa"/>
            <w:shd w:val="clear" w:color="auto" w:fill="FFFFFF"/>
            <w:vAlign w:val="center"/>
          </w:tcPr>
          <w:p w14:paraId="46B280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1.0000 </w:t>
            </w:r>
          </w:p>
        </w:tc>
        <w:tc>
          <w:tcPr>
            <w:tcW w:w="1351" w:type="dxa"/>
            <w:shd w:val="clear" w:color="auto" w:fill="FFFFFF"/>
            <w:vAlign w:val="center"/>
          </w:tcPr>
          <w:p w14:paraId="7382885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1.0396 </w:t>
            </w:r>
          </w:p>
        </w:tc>
        <w:tc>
          <w:tcPr>
            <w:tcW w:w="1351" w:type="dxa"/>
            <w:shd w:val="clear" w:color="auto" w:fill="FFFFFF"/>
            <w:vAlign w:val="center"/>
          </w:tcPr>
          <w:p w14:paraId="67B10F5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1.0722 </w:t>
            </w:r>
          </w:p>
        </w:tc>
        <w:tc>
          <w:tcPr>
            <w:tcW w:w="1351" w:type="dxa"/>
            <w:shd w:val="clear" w:color="auto" w:fill="FFFFFF"/>
            <w:vAlign w:val="center"/>
          </w:tcPr>
          <w:p w14:paraId="22362E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1.0799 </w:t>
            </w:r>
          </w:p>
        </w:tc>
      </w:tr>
      <w:tr w14:paraId="1995F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shd w:val="clear" w:color="auto" w:fill="FFFFFF"/>
            <w:vAlign w:val="center"/>
          </w:tcPr>
          <w:p w14:paraId="556AD68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2.1</w:t>
            </w:r>
          </w:p>
        </w:tc>
        <w:tc>
          <w:tcPr>
            <w:tcW w:w="1818" w:type="dxa"/>
            <w:shd w:val="clear" w:color="auto" w:fill="FFFFFF"/>
            <w:vAlign w:val="center"/>
          </w:tcPr>
          <w:p w14:paraId="6944A95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1.0275 </w:t>
            </w:r>
          </w:p>
        </w:tc>
        <w:tc>
          <w:tcPr>
            <w:tcW w:w="1351" w:type="dxa"/>
            <w:shd w:val="clear" w:color="auto" w:fill="FFFFFF"/>
            <w:vAlign w:val="center"/>
          </w:tcPr>
          <w:p w14:paraId="6BD012E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1.0222 </w:t>
            </w:r>
          </w:p>
        </w:tc>
        <w:tc>
          <w:tcPr>
            <w:tcW w:w="1351" w:type="dxa"/>
            <w:shd w:val="clear" w:color="auto" w:fill="FFFFFF"/>
            <w:vAlign w:val="center"/>
          </w:tcPr>
          <w:p w14:paraId="652252B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1.0584 </w:t>
            </w:r>
          </w:p>
        </w:tc>
        <w:tc>
          <w:tcPr>
            <w:tcW w:w="1351" w:type="dxa"/>
            <w:shd w:val="clear" w:color="auto" w:fill="FFFFFF"/>
            <w:vAlign w:val="center"/>
          </w:tcPr>
          <w:p w14:paraId="47EF907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1.0887 </w:t>
            </w:r>
          </w:p>
        </w:tc>
        <w:tc>
          <w:tcPr>
            <w:tcW w:w="1351" w:type="dxa"/>
            <w:shd w:val="clear" w:color="auto" w:fill="FFFFFF"/>
            <w:vAlign w:val="center"/>
          </w:tcPr>
          <w:p w14:paraId="2FD819B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1.0941 </w:t>
            </w:r>
          </w:p>
        </w:tc>
      </w:tr>
      <w:tr w14:paraId="0463A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shd w:val="clear" w:color="auto" w:fill="FFFFFF"/>
            <w:vAlign w:val="center"/>
          </w:tcPr>
          <w:p w14:paraId="5F5F8F7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2.2</w:t>
            </w:r>
          </w:p>
        </w:tc>
        <w:tc>
          <w:tcPr>
            <w:tcW w:w="1818" w:type="dxa"/>
            <w:shd w:val="clear" w:color="auto" w:fill="FFFFFF"/>
            <w:vAlign w:val="center"/>
          </w:tcPr>
          <w:p w14:paraId="519BB9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1.0545 </w:t>
            </w:r>
          </w:p>
        </w:tc>
        <w:tc>
          <w:tcPr>
            <w:tcW w:w="1351" w:type="dxa"/>
            <w:shd w:val="clear" w:color="auto" w:fill="FFFFFF"/>
            <w:vAlign w:val="center"/>
          </w:tcPr>
          <w:p w14:paraId="348E7AC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1.0437 </w:t>
            </w:r>
          </w:p>
        </w:tc>
        <w:tc>
          <w:tcPr>
            <w:tcW w:w="1351" w:type="dxa"/>
            <w:shd w:val="clear" w:color="auto" w:fill="FFFFFF"/>
            <w:vAlign w:val="center"/>
          </w:tcPr>
          <w:p w14:paraId="29857D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1.0767 </w:t>
            </w:r>
          </w:p>
        </w:tc>
        <w:tc>
          <w:tcPr>
            <w:tcW w:w="1351" w:type="dxa"/>
            <w:shd w:val="clear" w:color="auto" w:fill="FFFFFF"/>
            <w:vAlign w:val="center"/>
          </w:tcPr>
          <w:p w14:paraId="38AA86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1.1046 </w:t>
            </w:r>
          </w:p>
        </w:tc>
        <w:tc>
          <w:tcPr>
            <w:tcW w:w="1351" w:type="dxa"/>
            <w:shd w:val="clear" w:color="auto" w:fill="FFFFFF"/>
            <w:vAlign w:val="center"/>
          </w:tcPr>
          <w:p w14:paraId="04B7E5A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1.1078 </w:t>
            </w:r>
          </w:p>
        </w:tc>
      </w:tr>
      <w:tr w14:paraId="56267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shd w:val="clear" w:color="auto" w:fill="FFFFFF"/>
            <w:vAlign w:val="center"/>
          </w:tcPr>
          <w:p w14:paraId="4685216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2.3</w:t>
            </w:r>
          </w:p>
        </w:tc>
        <w:tc>
          <w:tcPr>
            <w:tcW w:w="1818" w:type="dxa"/>
            <w:shd w:val="clear" w:color="auto" w:fill="FFFFFF"/>
            <w:vAlign w:val="center"/>
          </w:tcPr>
          <w:p w14:paraId="043CE5F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1.0809 </w:t>
            </w:r>
          </w:p>
        </w:tc>
        <w:tc>
          <w:tcPr>
            <w:tcW w:w="1351" w:type="dxa"/>
            <w:shd w:val="clear" w:color="auto" w:fill="FFFFFF"/>
            <w:vAlign w:val="center"/>
          </w:tcPr>
          <w:p w14:paraId="7AFB3D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1.0647 </w:t>
            </w:r>
          </w:p>
        </w:tc>
        <w:tc>
          <w:tcPr>
            <w:tcW w:w="1351" w:type="dxa"/>
            <w:shd w:val="clear" w:color="auto" w:fill="FFFFFF"/>
            <w:vAlign w:val="center"/>
          </w:tcPr>
          <w:p w14:paraId="3B943DB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1.0945 </w:t>
            </w:r>
          </w:p>
        </w:tc>
        <w:tc>
          <w:tcPr>
            <w:tcW w:w="1351" w:type="dxa"/>
            <w:shd w:val="clear" w:color="auto" w:fill="FFFFFF"/>
            <w:vAlign w:val="center"/>
          </w:tcPr>
          <w:p w14:paraId="3C26325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1.1201 </w:t>
            </w:r>
          </w:p>
        </w:tc>
        <w:tc>
          <w:tcPr>
            <w:tcW w:w="1351" w:type="dxa"/>
            <w:shd w:val="clear" w:color="auto" w:fill="FFFFFF"/>
            <w:vAlign w:val="center"/>
          </w:tcPr>
          <w:p w14:paraId="4387672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1.1210 </w:t>
            </w:r>
          </w:p>
        </w:tc>
      </w:tr>
      <w:tr w14:paraId="5285D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shd w:val="clear" w:color="auto" w:fill="FFFFFF"/>
            <w:vAlign w:val="center"/>
          </w:tcPr>
          <w:p w14:paraId="1B434E5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2.4</w:t>
            </w:r>
          </w:p>
        </w:tc>
        <w:tc>
          <w:tcPr>
            <w:tcW w:w="1818" w:type="dxa"/>
            <w:shd w:val="clear" w:color="auto" w:fill="FFFFFF"/>
            <w:vAlign w:val="center"/>
          </w:tcPr>
          <w:p w14:paraId="310A5E8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1.1068 </w:t>
            </w:r>
          </w:p>
        </w:tc>
        <w:tc>
          <w:tcPr>
            <w:tcW w:w="1351" w:type="dxa"/>
            <w:shd w:val="clear" w:color="auto" w:fill="FFFFFF"/>
            <w:vAlign w:val="center"/>
          </w:tcPr>
          <w:p w14:paraId="6595DF8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1.0853 </w:t>
            </w:r>
          </w:p>
        </w:tc>
        <w:tc>
          <w:tcPr>
            <w:tcW w:w="1351" w:type="dxa"/>
            <w:shd w:val="clear" w:color="auto" w:fill="FFFFFF"/>
            <w:vAlign w:val="center"/>
          </w:tcPr>
          <w:p w14:paraId="5AFF5A6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1.1117 </w:t>
            </w:r>
          </w:p>
        </w:tc>
        <w:tc>
          <w:tcPr>
            <w:tcW w:w="1351" w:type="dxa"/>
            <w:shd w:val="clear" w:color="auto" w:fill="FFFFFF"/>
            <w:vAlign w:val="center"/>
          </w:tcPr>
          <w:p w14:paraId="5FE9DFE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1.1351 </w:t>
            </w:r>
          </w:p>
        </w:tc>
        <w:tc>
          <w:tcPr>
            <w:tcW w:w="1351" w:type="dxa"/>
            <w:shd w:val="clear" w:color="auto" w:fill="FFFFFF"/>
            <w:vAlign w:val="center"/>
          </w:tcPr>
          <w:p w14:paraId="66B3AF5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1.1338 </w:t>
            </w:r>
          </w:p>
        </w:tc>
      </w:tr>
      <w:tr w14:paraId="01495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1929D67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2.5</w:t>
            </w:r>
          </w:p>
        </w:tc>
        <w:tc>
          <w:tcPr>
            <w:tcW w:w="1818" w:type="dxa"/>
            <w:shd w:val="clear" w:color="auto" w:fill="FFFFFF"/>
            <w:vAlign w:val="center"/>
          </w:tcPr>
          <w:p w14:paraId="4780E43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1.1322 </w:t>
            </w:r>
          </w:p>
        </w:tc>
        <w:tc>
          <w:tcPr>
            <w:tcW w:w="1351" w:type="dxa"/>
            <w:shd w:val="clear" w:color="auto" w:fill="FFFFFF"/>
            <w:vAlign w:val="center"/>
          </w:tcPr>
          <w:p w14:paraId="4F16846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1.1053 </w:t>
            </w:r>
          </w:p>
        </w:tc>
        <w:tc>
          <w:tcPr>
            <w:tcW w:w="1351" w:type="dxa"/>
            <w:shd w:val="clear" w:color="auto" w:fill="FFFFFF"/>
            <w:vAlign w:val="center"/>
          </w:tcPr>
          <w:p w14:paraId="24A28E5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1.1285 </w:t>
            </w:r>
          </w:p>
        </w:tc>
        <w:tc>
          <w:tcPr>
            <w:tcW w:w="1351" w:type="dxa"/>
            <w:shd w:val="clear" w:color="auto" w:fill="FFFFFF"/>
            <w:vAlign w:val="center"/>
          </w:tcPr>
          <w:p w14:paraId="09D2BC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1.1497 </w:t>
            </w:r>
          </w:p>
        </w:tc>
        <w:tc>
          <w:tcPr>
            <w:tcW w:w="1351" w:type="dxa"/>
            <w:shd w:val="clear" w:color="auto" w:fill="FFFFFF"/>
            <w:vAlign w:val="center"/>
          </w:tcPr>
          <w:p w14:paraId="63B549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1.1463 </w:t>
            </w:r>
          </w:p>
        </w:tc>
      </w:tr>
      <w:tr w14:paraId="70E5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243609A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2.6</w:t>
            </w:r>
          </w:p>
        </w:tc>
        <w:tc>
          <w:tcPr>
            <w:tcW w:w="1818" w:type="dxa"/>
            <w:shd w:val="clear" w:color="auto" w:fill="FFFFFF"/>
            <w:vAlign w:val="center"/>
          </w:tcPr>
          <w:p w14:paraId="72188CB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1.1572 </w:t>
            </w:r>
          </w:p>
        </w:tc>
        <w:tc>
          <w:tcPr>
            <w:tcW w:w="1351" w:type="dxa"/>
            <w:shd w:val="clear" w:color="auto" w:fill="FFFFFF"/>
            <w:vAlign w:val="center"/>
          </w:tcPr>
          <w:p w14:paraId="6BBAA2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1.1250 </w:t>
            </w:r>
          </w:p>
        </w:tc>
        <w:tc>
          <w:tcPr>
            <w:tcW w:w="1351" w:type="dxa"/>
            <w:shd w:val="clear" w:color="auto" w:fill="FFFFFF"/>
            <w:vAlign w:val="center"/>
          </w:tcPr>
          <w:p w14:paraId="0D19A94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1.1450 </w:t>
            </w:r>
          </w:p>
        </w:tc>
        <w:tc>
          <w:tcPr>
            <w:tcW w:w="1351" w:type="dxa"/>
            <w:shd w:val="clear" w:color="auto" w:fill="FFFFFF"/>
            <w:vAlign w:val="center"/>
          </w:tcPr>
          <w:p w14:paraId="776574A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1.1639 </w:t>
            </w:r>
          </w:p>
        </w:tc>
        <w:tc>
          <w:tcPr>
            <w:tcW w:w="1351" w:type="dxa"/>
            <w:shd w:val="clear" w:color="auto" w:fill="FFFFFF"/>
            <w:vAlign w:val="center"/>
          </w:tcPr>
          <w:p w14:paraId="094B790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1.1583 </w:t>
            </w:r>
          </w:p>
        </w:tc>
      </w:tr>
      <w:tr w14:paraId="56F60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7E83C7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2.7</w:t>
            </w:r>
          </w:p>
        </w:tc>
        <w:tc>
          <w:tcPr>
            <w:tcW w:w="1818" w:type="dxa"/>
            <w:shd w:val="clear" w:color="auto" w:fill="FFFFFF"/>
            <w:vAlign w:val="center"/>
          </w:tcPr>
          <w:p w14:paraId="4EBE585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1.1817 </w:t>
            </w:r>
          </w:p>
        </w:tc>
        <w:tc>
          <w:tcPr>
            <w:tcW w:w="1351" w:type="dxa"/>
            <w:shd w:val="clear" w:color="auto" w:fill="FFFFFF"/>
            <w:vAlign w:val="center"/>
          </w:tcPr>
          <w:p w14:paraId="535BB4B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1.1442 </w:t>
            </w:r>
          </w:p>
        </w:tc>
        <w:tc>
          <w:tcPr>
            <w:tcW w:w="1351" w:type="dxa"/>
            <w:shd w:val="clear" w:color="auto" w:fill="FFFFFF"/>
            <w:vAlign w:val="center"/>
          </w:tcPr>
          <w:p w14:paraId="1E1C7F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1.1610 </w:t>
            </w:r>
          </w:p>
        </w:tc>
        <w:tc>
          <w:tcPr>
            <w:tcW w:w="1351" w:type="dxa"/>
            <w:shd w:val="clear" w:color="auto" w:fill="FFFFFF"/>
            <w:vAlign w:val="center"/>
          </w:tcPr>
          <w:p w14:paraId="276E336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1.1777 </w:t>
            </w:r>
          </w:p>
        </w:tc>
        <w:tc>
          <w:tcPr>
            <w:tcW w:w="1351" w:type="dxa"/>
            <w:shd w:val="clear" w:color="auto" w:fill="FFFFFF"/>
            <w:vAlign w:val="center"/>
          </w:tcPr>
          <w:p w14:paraId="2B54D6E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1.1701 </w:t>
            </w:r>
          </w:p>
        </w:tc>
      </w:tr>
      <w:tr w14:paraId="6CE6B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3EDC7F3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2.8</w:t>
            </w:r>
          </w:p>
        </w:tc>
        <w:tc>
          <w:tcPr>
            <w:tcW w:w="1818" w:type="dxa"/>
            <w:shd w:val="clear" w:color="auto" w:fill="FFFFFF"/>
            <w:vAlign w:val="center"/>
          </w:tcPr>
          <w:p w14:paraId="60B673D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1.2059 </w:t>
            </w:r>
          </w:p>
        </w:tc>
        <w:tc>
          <w:tcPr>
            <w:tcW w:w="1351" w:type="dxa"/>
            <w:shd w:val="clear" w:color="auto" w:fill="FFFFFF"/>
            <w:vAlign w:val="center"/>
          </w:tcPr>
          <w:p w14:paraId="75ECBB4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1.1631 </w:t>
            </w:r>
          </w:p>
        </w:tc>
        <w:tc>
          <w:tcPr>
            <w:tcW w:w="1351" w:type="dxa"/>
            <w:shd w:val="clear" w:color="auto" w:fill="FFFFFF"/>
            <w:vAlign w:val="center"/>
          </w:tcPr>
          <w:p w14:paraId="52DE709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1.1767 </w:t>
            </w:r>
          </w:p>
        </w:tc>
        <w:tc>
          <w:tcPr>
            <w:tcW w:w="1351" w:type="dxa"/>
            <w:shd w:val="clear" w:color="auto" w:fill="FFFFFF"/>
            <w:vAlign w:val="center"/>
          </w:tcPr>
          <w:p w14:paraId="238EAC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1.1912 </w:t>
            </w:r>
          </w:p>
        </w:tc>
        <w:tc>
          <w:tcPr>
            <w:tcW w:w="1351" w:type="dxa"/>
            <w:shd w:val="clear" w:color="auto" w:fill="FFFFFF"/>
            <w:vAlign w:val="center"/>
          </w:tcPr>
          <w:p w14:paraId="58AD515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1.1815 </w:t>
            </w:r>
          </w:p>
        </w:tc>
      </w:tr>
      <w:tr w14:paraId="1216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shd w:val="clear" w:color="auto" w:fill="FFFFFF"/>
            <w:vAlign w:val="center"/>
          </w:tcPr>
          <w:p w14:paraId="4E63D4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2.9</w:t>
            </w:r>
          </w:p>
        </w:tc>
        <w:tc>
          <w:tcPr>
            <w:tcW w:w="1818" w:type="dxa"/>
            <w:shd w:val="clear" w:color="auto" w:fill="FFFFFF"/>
            <w:vAlign w:val="center"/>
          </w:tcPr>
          <w:p w14:paraId="13539FC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1.2297 </w:t>
            </w:r>
          </w:p>
        </w:tc>
        <w:tc>
          <w:tcPr>
            <w:tcW w:w="1351" w:type="dxa"/>
            <w:shd w:val="clear" w:color="auto" w:fill="FFFFFF"/>
            <w:vAlign w:val="center"/>
          </w:tcPr>
          <w:p w14:paraId="0D7E56A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1.1815 </w:t>
            </w:r>
          </w:p>
        </w:tc>
        <w:tc>
          <w:tcPr>
            <w:tcW w:w="1351" w:type="dxa"/>
            <w:shd w:val="clear" w:color="auto" w:fill="FFFFFF"/>
            <w:vAlign w:val="center"/>
          </w:tcPr>
          <w:p w14:paraId="7D5C1D8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1.1920 </w:t>
            </w:r>
          </w:p>
        </w:tc>
        <w:tc>
          <w:tcPr>
            <w:tcW w:w="1351" w:type="dxa"/>
            <w:shd w:val="clear" w:color="auto" w:fill="FFFFFF"/>
            <w:vAlign w:val="center"/>
          </w:tcPr>
          <w:p w14:paraId="71EA363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1.2042 </w:t>
            </w:r>
          </w:p>
        </w:tc>
        <w:tc>
          <w:tcPr>
            <w:tcW w:w="1351" w:type="dxa"/>
            <w:shd w:val="clear" w:color="auto" w:fill="FFFFFF"/>
            <w:vAlign w:val="center"/>
          </w:tcPr>
          <w:p w14:paraId="7943A0E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1.1926 </w:t>
            </w:r>
          </w:p>
        </w:tc>
      </w:tr>
      <w:tr w14:paraId="034D0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77F956E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w:t>
            </w:r>
          </w:p>
        </w:tc>
        <w:tc>
          <w:tcPr>
            <w:tcW w:w="1818" w:type="dxa"/>
            <w:shd w:val="clear" w:color="auto" w:fill="FFFFFF"/>
            <w:vAlign w:val="center"/>
          </w:tcPr>
          <w:p w14:paraId="06813A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1.2531 </w:t>
            </w:r>
          </w:p>
        </w:tc>
        <w:tc>
          <w:tcPr>
            <w:tcW w:w="1351" w:type="dxa"/>
            <w:shd w:val="clear" w:color="auto" w:fill="FFFFFF"/>
            <w:vAlign w:val="center"/>
          </w:tcPr>
          <w:p w14:paraId="38472B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1.1996 </w:t>
            </w:r>
          </w:p>
        </w:tc>
        <w:tc>
          <w:tcPr>
            <w:tcW w:w="1351" w:type="dxa"/>
            <w:shd w:val="clear" w:color="auto" w:fill="FFFFFF"/>
            <w:vAlign w:val="center"/>
          </w:tcPr>
          <w:p w14:paraId="656A70D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1.2070 </w:t>
            </w:r>
          </w:p>
        </w:tc>
        <w:tc>
          <w:tcPr>
            <w:tcW w:w="1351" w:type="dxa"/>
            <w:shd w:val="clear" w:color="auto" w:fill="FFFFFF"/>
            <w:vAlign w:val="center"/>
          </w:tcPr>
          <w:p w14:paraId="706AD15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1.2171 </w:t>
            </w:r>
          </w:p>
        </w:tc>
        <w:tc>
          <w:tcPr>
            <w:tcW w:w="1351" w:type="dxa"/>
            <w:shd w:val="clear" w:color="auto" w:fill="FFFFFF"/>
            <w:vAlign w:val="center"/>
          </w:tcPr>
          <w:p w14:paraId="1F160F2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1.2035 </w:t>
            </w:r>
          </w:p>
        </w:tc>
      </w:tr>
      <w:tr w14:paraId="6970B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shd w:val="clear" w:color="auto" w:fill="FFFFFF"/>
            <w:vAlign w:val="center"/>
          </w:tcPr>
          <w:p w14:paraId="1C4A46C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3.1</w:t>
            </w:r>
          </w:p>
        </w:tc>
        <w:tc>
          <w:tcPr>
            <w:tcW w:w="1818" w:type="dxa"/>
            <w:shd w:val="clear" w:color="auto" w:fill="FFFFFF"/>
            <w:vAlign w:val="center"/>
          </w:tcPr>
          <w:p w14:paraId="385139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1.2761 </w:t>
            </w:r>
          </w:p>
        </w:tc>
        <w:tc>
          <w:tcPr>
            <w:tcW w:w="1351" w:type="dxa"/>
            <w:shd w:val="clear" w:color="auto" w:fill="FFFFFF"/>
            <w:vAlign w:val="center"/>
          </w:tcPr>
          <w:p w14:paraId="4A6079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1.2174 </w:t>
            </w:r>
          </w:p>
        </w:tc>
        <w:tc>
          <w:tcPr>
            <w:tcW w:w="1351" w:type="dxa"/>
            <w:shd w:val="clear" w:color="auto" w:fill="FFFFFF"/>
            <w:vAlign w:val="center"/>
          </w:tcPr>
          <w:p w14:paraId="018059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1.2216 </w:t>
            </w:r>
          </w:p>
        </w:tc>
        <w:tc>
          <w:tcPr>
            <w:tcW w:w="1351" w:type="dxa"/>
            <w:shd w:val="clear" w:color="auto" w:fill="FFFFFF"/>
            <w:vAlign w:val="center"/>
          </w:tcPr>
          <w:p w14:paraId="5E03917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1.2297 </w:t>
            </w:r>
          </w:p>
        </w:tc>
        <w:tc>
          <w:tcPr>
            <w:tcW w:w="1351" w:type="dxa"/>
            <w:shd w:val="clear" w:color="auto" w:fill="FFFFFF"/>
            <w:vAlign w:val="center"/>
          </w:tcPr>
          <w:p w14:paraId="317ACB4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1.2142 </w:t>
            </w:r>
          </w:p>
        </w:tc>
      </w:tr>
      <w:tr w14:paraId="66E00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shd w:val="clear" w:color="auto" w:fill="FFFFFF"/>
            <w:vAlign w:val="center"/>
          </w:tcPr>
          <w:p w14:paraId="1A25C51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3.2</w:t>
            </w:r>
          </w:p>
        </w:tc>
        <w:tc>
          <w:tcPr>
            <w:tcW w:w="1818" w:type="dxa"/>
            <w:shd w:val="clear" w:color="auto" w:fill="FFFFFF"/>
            <w:vAlign w:val="center"/>
          </w:tcPr>
          <w:p w14:paraId="357A233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1.2989 </w:t>
            </w:r>
          </w:p>
        </w:tc>
        <w:tc>
          <w:tcPr>
            <w:tcW w:w="1351" w:type="dxa"/>
            <w:shd w:val="clear" w:color="auto" w:fill="FFFFFF"/>
            <w:vAlign w:val="center"/>
          </w:tcPr>
          <w:p w14:paraId="3920BE8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1.2349 </w:t>
            </w:r>
          </w:p>
        </w:tc>
        <w:tc>
          <w:tcPr>
            <w:tcW w:w="1351" w:type="dxa"/>
            <w:shd w:val="clear" w:color="auto" w:fill="FFFFFF"/>
            <w:vAlign w:val="center"/>
          </w:tcPr>
          <w:p w14:paraId="449B708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1.2359 </w:t>
            </w:r>
          </w:p>
        </w:tc>
        <w:tc>
          <w:tcPr>
            <w:tcW w:w="1351" w:type="dxa"/>
            <w:shd w:val="clear" w:color="auto" w:fill="FFFFFF"/>
            <w:vAlign w:val="center"/>
          </w:tcPr>
          <w:p w14:paraId="2F5BF17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1.2419 </w:t>
            </w:r>
          </w:p>
        </w:tc>
        <w:tc>
          <w:tcPr>
            <w:tcW w:w="1351" w:type="dxa"/>
            <w:shd w:val="clear" w:color="auto" w:fill="FFFFFF"/>
            <w:vAlign w:val="center"/>
          </w:tcPr>
          <w:p w14:paraId="4A3C366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1.2244 </w:t>
            </w:r>
          </w:p>
        </w:tc>
      </w:tr>
      <w:tr w14:paraId="1B64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shd w:val="clear" w:color="auto" w:fill="FFFFFF"/>
            <w:vAlign w:val="center"/>
          </w:tcPr>
          <w:p w14:paraId="7F0E5E5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3.3</w:t>
            </w:r>
          </w:p>
        </w:tc>
        <w:tc>
          <w:tcPr>
            <w:tcW w:w="1818" w:type="dxa"/>
            <w:shd w:val="clear" w:color="auto" w:fill="FFFFFF"/>
            <w:vAlign w:val="center"/>
          </w:tcPr>
          <w:p w14:paraId="61450DA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1.3213 </w:t>
            </w:r>
          </w:p>
        </w:tc>
        <w:tc>
          <w:tcPr>
            <w:tcW w:w="1351" w:type="dxa"/>
            <w:shd w:val="clear" w:color="auto" w:fill="FFFFFF"/>
            <w:vAlign w:val="center"/>
          </w:tcPr>
          <w:p w14:paraId="69B12D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1.2520 </w:t>
            </w:r>
          </w:p>
        </w:tc>
        <w:tc>
          <w:tcPr>
            <w:tcW w:w="1351" w:type="dxa"/>
            <w:shd w:val="clear" w:color="auto" w:fill="FFFFFF"/>
            <w:vAlign w:val="center"/>
          </w:tcPr>
          <w:p w14:paraId="640DD86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1.2500 </w:t>
            </w:r>
          </w:p>
        </w:tc>
        <w:tc>
          <w:tcPr>
            <w:tcW w:w="1351" w:type="dxa"/>
            <w:shd w:val="clear" w:color="auto" w:fill="FFFFFF"/>
            <w:vAlign w:val="center"/>
          </w:tcPr>
          <w:p w14:paraId="6320929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1.2539 </w:t>
            </w:r>
          </w:p>
        </w:tc>
        <w:tc>
          <w:tcPr>
            <w:tcW w:w="1351" w:type="dxa"/>
            <w:shd w:val="clear" w:color="auto" w:fill="FFFFFF"/>
            <w:vAlign w:val="center"/>
          </w:tcPr>
          <w:p w14:paraId="0BC11E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1.2346 </w:t>
            </w:r>
          </w:p>
        </w:tc>
      </w:tr>
      <w:tr w14:paraId="10380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4C75E2F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3.4</w:t>
            </w:r>
          </w:p>
        </w:tc>
        <w:tc>
          <w:tcPr>
            <w:tcW w:w="1818" w:type="dxa"/>
            <w:shd w:val="clear" w:color="auto" w:fill="FFFFFF"/>
            <w:vAlign w:val="center"/>
          </w:tcPr>
          <w:p w14:paraId="12266C6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1.3434 </w:t>
            </w:r>
          </w:p>
        </w:tc>
        <w:tc>
          <w:tcPr>
            <w:tcW w:w="1351" w:type="dxa"/>
            <w:shd w:val="clear" w:color="auto" w:fill="FFFFFF"/>
            <w:vAlign w:val="center"/>
          </w:tcPr>
          <w:p w14:paraId="2BDDA45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1.2690 </w:t>
            </w:r>
          </w:p>
        </w:tc>
        <w:tc>
          <w:tcPr>
            <w:tcW w:w="1351" w:type="dxa"/>
            <w:shd w:val="clear" w:color="auto" w:fill="FFFFFF"/>
            <w:vAlign w:val="center"/>
          </w:tcPr>
          <w:p w14:paraId="25D44AB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1.2639 </w:t>
            </w:r>
          </w:p>
        </w:tc>
        <w:tc>
          <w:tcPr>
            <w:tcW w:w="1351" w:type="dxa"/>
            <w:shd w:val="clear" w:color="auto" w:fill="FFFFFF"/>
            <w:vAlign w:val="center"/>
          </w:tcPr>
          <w:p w14:paraId="13CEF16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1.2657 </w:t>
            </w:r>
          </w:p>
        </w:tc>
        <w:tc>
          <w:tcPr>
            <w:tcW w:w="1351" w:type="dxa"/>
            <w:shd w:val="clear" w:color="auto" w:fill="FFFFFF"/>
            <w:vAlign w:val="center"/>
          </w:tcPr>
          <w:p w14:paraId="233E0FF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1.2444 </w:t>
            </w:r>
          </w:p>
        </w:tc>
      </w:tr>
      <w:tr w14:paraId="77B5C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shd w:val="clear" w:color="auto" w:fill="FFFFFF"/>
            <w:vAlign w:val="center"/>
          </w:tcPr>
          <w:p w14:paraId="0860525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3.5</w:t>
            </w:r>
          </w:p>
        </w:tc>
        <w:tc>
          <w:tcPr>
            <w:tcW w:w="1818" w:type="dxa"/>
            <w:shd w:val="clear" w:color="auto" w:fill="FFFFFF"/>
            <w:vAlign w:val="center"/>
          </w:tcPr>
          <w:p w14:paraId="12AA364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1.3653 </w:t>
            </w:r>
          </w:p>
        </w:tc>
        <w:tc>
          <w:tcPr>
            <w:tcW w:w="1351" w:type="dxa"/>
            <w:shd w:val="clear" w:color="auto" w:fill="FFFFFF"/>
            <w:vAlign w:val="center"/>
          </w:tcPr>
          <w:p w14:paraId="752BAEF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1.2855 </w:t>
            </w:r>
          </w:p>
        </w:tc>
        <w:tc>
          <w:tcPr>
            <w:tcW w:w="1351" w:type="dxa"/>
            <w:shd w:val="clear" w:color="auto" w:fill="FFFFFF"/>
            <w:vAlign w:val="center"/>
          </w:tcPr>
          <w:p w14:paraId="4F9A81A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1.2775 </w:t>
            </w:r>
          </w:p>
        </w:tc>
        <w:tc>
          <w:tcPr>
            <w:tcW w:w="1351" w:type="dxa"/>
            <w:shd w:val="clear" w:color="auto" w:fill="FFFFFF"/>
            <w:vAlign w:val="center"/>
          </w:tcPr>
          <w:p w14:paraId="59AF25D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1.2771 </w:t>
            </w:r>
          </w:p>
        </w:tc>
        <w:tc>
          <w:tcPr>
            <w:tcW w:w="1351" w:type="dxa"/>
            <w:shd w:val="clear" w:color="auto" w:fill="FFFFFF"/>
            <w:vAlign w:val="center"/>
          </w:tcPr>
          <w:p w14:paraId="6017358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1.2541 </w:t>
            </w:r>
          </w:p>
        </w:tc>
      </w:tr>
      <w:tr w14:paraId="4DA3D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207EAE7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3.6</w:t>
            </w:r>
          </w:p>
        </w:tc>
        <w:tc>
          <w:tcPr>
            <w:tcW w:w="1818" w:type="dxa"/>
            <w:shd w:val="clear" w:color="auto" w:fill="FFFFFF"/>
            <w:vAlign w:val="center"/>
          </w:tcPr>
          <w:p w14:paraId="391B54F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1.3869 </w:t>
            </w:r>
          </w:p>
        </w:tc>
        <w:tc>
          <w:tcPr>
            <w:tcW w:w="1351" w:type="dxa"/>
            <w:shd w:val="clear" w:color="auto" w:fill="FFFFFF"/>
            <w:vAlign w:val="center"/>
          </w:tcPr>
          <w:p w14:paraId="4F8420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1.3019 </w:t>
            </w:r>
          </w:p>
        </w:tc>
        <w:tc>
          <w:tcPr>
            <w:tcW w:w="1351" w:type="dxa"/>
            <w:shd w:val="clear" w:color="auto" w:fill="FFFFFF"/>
            <w:vAlign w:val="center"/>
          </w:tcPr>
          <w:p w14:paraId="3C6370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1.2908 </w:t>
            </w:r>
          </w:p>
        </w:tc>
        <w:tc>
          <w:tcPr>
            <w:tcW w:w="1351" w:type="dxa"/>
            <w:shd w:val="clear" w:color="auto" w:fill="FFFFFF"/>
            <w:vAlign w:val="center"/>
          </w:tcPr>
          <w:p w14:paraId="662D0D7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1.2885 </w:t>
            </w:r>
          </w:p>
        </w:tc>
        <w:tc>
          <w:tcPr>
            <w:tcW w:w="1351" w:type="dxa"/>
            <w:shd w:val="clear" w:color="auto" w:fill="FFFFFF"/>
            <w:vAlign w:val="center"/>
          </w:tcPr>
          <w:p w14:paraId="5693C04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1.2636 </w:t>
            </w:r>
          </w:p>
        </w:tc>
      </w:tr>
      <w:tr w14:paraId="4ABA4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504212C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3.7</w:t>
            </w:r>
          </w:p>
        </w:tc>
        <w:tc>
          <w:tcPr>
            <w:tcW w:w="1818" w:type="dxa"/>
            <w:shd w:val="clear" w:color="auto" w:fill="FFFFFF"/>
            <w:vAlign w:val="center"/>
          </w:tcPr>
          <w:p w14:paraId="6183D6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1.4082 </w:t>
            </w:r>
          </w:p>
        </w:tc>
        <w:tc>
          <w:tcPr>
            <w:tcW w:w="1351" w:type="dxa"/>
            <w:shd w:val="clear" w:color="auto" w:fill="FFFFFF"/>
            <w:vAlign w:val="center"/>
          </w:tcPr>
          <w:p w14:paraId="7087FEE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1.3180 </w:t>
            </w:r>
          </w:p>
        </w:tc>
        <w:tc>
          <w:tcPr>
            <w:tcW w:w="1351" w:type="dxa"/>
            <w:shd w:val="clear" w:color="auto" w:fill="FFFFFF"/>
            <w:vAlign w:val="center"/>
          </w:tcPr>
          <w:p w14:paraId="53A2EF5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1.3038 </w:t>
            </w:r>
          </w:p>
        </w:tc>
        <w:tc>
          <w:tcPr>
            <w:tcW w:w="1351" w:type="dxa"/>
            <w:shd w:val="clear" w:color="auto" w:fill="FFFFFF"/>
            <w:vAlign w:val="center"/>
          </w:tcPr>
          <w:p w14:paraId="084E57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1.2995 </w:t>
            </w:r>
          </w:p>
        </w:tc>
        <w:tc>
          <w:tcPr>
            <w:tcW w:w="1351" w:type="dxa"/>
            <w:shd w:val="clear" w:color="auto" w:fill="FFFFFF"/>
            <w:vAlign w:val="center"/>
          </w:tcPr>
          <w:p w14:paraId="62086B0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1.2729 </w:t>
            </w:r>
          </w:p>
        </w:tc>
      </w:tr>
      <w:tr w14:paraId="4C39A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0B2BBBA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3.8</w:t>
            </w:r>
          </w:p>
        </w:tc>
        <w:tc>
          <w:tcPr>
            <w:tcW w:w="1818" w:type="dxa"/>
            <w:shd w:val="clear" w:color="auto" w:fill="FFFFFF"/>
            <w:vAlign w:val="center"/>
          </w:tcPr>
          <w:p w14:paraId="1AAAABC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1.4292 </w:t>
            </w:r>
          </w:p>
        </w:tc>
        <w:tc>
          <w:tcPr>
            <w:tcW w:w="1351" w:type="dxa"/>
            <w:shd w:val="clear" w:color="auto" w:fill="FFFFFF"/>
            <w:vAlign w:val="center"/>
          </w:tcPr>
          <w:p w14:paraId="2E104DE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1.3339 </w:t>
            </w:r>
          </w:p>
        </w:tc>
        <w:tc>
          <w:tcPr>
            <w:tcW w:w="1351" w:type="dxa"/>
            <w:shd w:val="clear" w:color="auto" w:fill="FFFFFF"/>
            <w:vAlign w:val="center"/>
          </w:tcPr>
          <w:p w14:paraId="221676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1.3167 </w:t>
            </w:r>
          </w:p>
        </w:tc>
        <w:tc>
          <w:tcPr>
            <w:tcW w:w="1351" w:type="dxa"/>
            <w:shd w:val="clear" w:color="auto" w:fill="FFFFFF"/>
            <w:vAlign w:val="center"/>
          </w:tcPr>
          <w:p w14:paraId="0CB9F6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1.3104 </w:t>
            </w:r>
          </w:p>
        </w:tc>
        <w:tc>
          <w:tcPr>
            <w:tcW w:w="1351" w:type="dxa"/>
            <w:shd w:val="clear" w:color="auto" w:fill="FFFFFF"/>
            <w:vAlign w:val="center"/>
          </w:tcPr>
          <w:p w14:paraId="0ED09C0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1.2821 </w:t>
            </w:r>
          </w:p>
        </w:tc>
      </w:tr>
      <w:tr w14:paraId="723B0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6594EEB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3.9</w:t>
            </w:r>
          </w:p>
        </w:tc>
        <w:tc>
          <w:tcPr>
            <w:tcW w:w="1818" w:type="dxa"/>
            <w:shd w:val="clear" w:color="auto" w:fill="FFFFFF"/>
            <w:vAlign w:val="center"/>
          </w:tcPr>
          <w:p w14:paraId="1D40E26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1.4500 </w:t>
            </w:r>
          </w:p>
        </w:tc>
        <w:tc>
          <w:tcPr>
            <w:tcW w:w="1351" w:type="dxa"/>
            <w:shd w:val="clear" w:color="auto" w:fill="FFFFFF"/>
            <w:vAlign w:val="center"/>
          </w:tcPr>
          <w:p w14:paraId="15464FC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1.3495 </w:t>
            </w:r>
          </w:p>
        </w:tc>
        <w:tc>
          <w:tcPr>
            <w:tcW w:w="1351" w:type="dxa"/>
            <w:shd w:val="clear" w:color="auto" w:fill="FFFFFF"/>
            <w:vAlign w:val="center"/>
          </w:tcPr>
          <w:p w14:paraId="4E3D10C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1.3294 </w:t>
            </w:r>
          </w:p>
        </w:tc>
        <w:tc>
          <w:tcPr>
            <w:tcW w:w="1351" w:type="dxa"/>
            <w:shd w:val="clear" w:color="auto" w:fill="FFFFFF"/>
            <w:vAlign w:val="center"/>
          </w:tcPr>
          <w:p w14:paraId="36FC0B4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1.3212 </w:t>
            </w:r>
          </w:p>
        </w:tc>
        <w:tc>
          <w:tcPr>
            <w:tcW w:w="1351" w:type="dxa"/>
            <w:shd w:val="clear" w:color="auto" w:fill="FFFFFF"/>
            <w:vAlign w:val="center"/>
          </w:tcPr>
          <w:p w14:paraId="55EDA8E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1.2910 </w:t>
            </w:r>
          </w:p>
        </w:tc>
      </w:tr>
      <w:tr w14:paraId="61D4B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shd w:val="clear" w:color="auto" w:fill="FFFFFF"/>
            <w:vAlign w:val="center"/>
          </w:tcPr>
          <w:p w14:paraId="1775A66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w:t>
            </w:r>
          </w:p>
        </w:tc>
        <w:tc>
          <w:tcPr>
            <w:tcW w:w="1818" w:type="dxa"/>
            <w:shd w:val="clear" w:color="auto" w:fill="FFFFFF"/>
            <w:vAlign w:val="center"/>
          </w:tcPr>
          <w:p w14:paraId="656245E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1.4706 </w:t>
            </w:r>
          </w:p>
        </w:tc>
        <w:tc>
          <w:tcPr>
            <w:tcW w:w="1351" w:type="dxa"/>
            <w:shd w:val="clear" w:color="auto" w:fill="FFFFFF"/>
            <w:vAlign w:val="center"/>
          </w:tcPr>
          <w:p w14:paraId="6CB057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1.3650 </w:t>
            </w:r>
          </w:p>
        </w:tc>
        <w:tc>
          <w:tcPr>
            <w:tcW w:w="1351" w:type="dxa"/>
            <w:shd w:val="clear" w:color="auto" w:fill="FFFFFF"/>
            <w:vAlign w:val="center"/>
          </w:tcPr>
          <w:p w14:paraId="1B54CFA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1.3417 </w:t>
            </w:r>
          </w:p>
        </w:tc>
        <w:tc>
          <w:tcPr>
            <w:tcW w:w="1351" w:type="dxa"/>
            <w:shd w:val="clear" w:color="auto" w:fill="FFFFFF"/>
            <w:vAlign w:val="center"/>
          </w:tcPr>
          <w:p w14:paraId="776D576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1.3316 </w:t>
            </w:r>
          </w:p>
        </w:tc>
        <w:tc>
          <w:tcPr>
            <w:tcW w:w="1351" w:type="dxa"/>
            <w:shd w:val="clear" w:color="auto" w:fill="FFFFFF"/>
            <w:vAlign w:val="center"/>
          </w:tcPr>
          <w:p w14:paraId="26DACF5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1.2997 </w:t>
            </w:r>
          </w:p>
        </w:tc>
      </w:tr>
      <w:tr w14:paraId="75EC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1EF533E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4.1</w:t>
            </w:r>
          </w:p>
        </w:tc>
        <w:tc>
          <w:tcPr>
            <w:tcW w:w="1818" w:type="dxa"/>
            <w:shd w:val="clear" w:color="auto" w:fill="FFFFFF"/>
            <w:vAlign w:val="center"/>
          </w:tcPr>
          <w:p w14:paraId="179B20D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1.4909 </w:t>
            </w:r>
          </w:p>
        </w:tc>
        <w:tc>
          <w:tcPr>
            <w:tcW w:w="1351" w:type="dxa"/>
            <w:shd w:val="clear" w:color="auto" w:fill="FFFFFF"/>
            <w:vAlign w:val="center"/>
          </w:tcPr>
          <w:p w14:paraId="339DDC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1.3803 </w:t>
            </w:r>
          </w:p>
        </w:tc>
        <w:tc>
          <w:tcPr>
            <w:tcW w:w="1351" w:type="dxa"/>
            <w:shd w:val="clear" w:color="auto" w:fill="FFFFFF"/>
            <w:vAlign w:val="center"/>
          </w:tcPr>
          <w:p w14:paraId="00877F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1.3541 </w:t>
            </w:r>
          </w:p>
        </w:tc>
        <w:tc>
          <w:tcPr>
            <w:tcW w:w="1351" w:type="dxa"/>
            <w:shd w:val="clear" w:color="auto" w:fill="FFFFFF"/>
            <w:vAlign w:val="center"/>
          </w:tcPr>
          <w:p w14:paraId="680A233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1.3419 </w:t>
            </w:r>
          </w:p>
        </w:tc>
        <w:tc>
          <w:tcPr>
            <w:tcW w:w="1351" w:type="dxa"/>
            <w:shd w:val="clear" w:color="auto" w:fill="FFFFFF"/>
            <w:vAlign w:val="center"/>
          </w:tcPr>
          <w:p w14:paraId="59E775E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1.3084 </w:t>
            </w:r>
          </w:p>
        </w:tc>
      </w:tr>
      <w:tr w14:paraId="0FB03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4735006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4.2</w:t>
            </w:r>
          </w:p>
        </w:tc>
        <w:tc>
          <w:tcPr>
            <w:tcW w:w="1818" w:type="dxa"/>
            <w:shd w:val="clear" w:color="auto" w:fill="FFFFFF"/>
            <w:vAlign w:val="center"/>
          </w:tcPr>
          <w:p w14:paraId="2D6F20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1.5111 </w:t>
            </w:r>
          </w:p>
        </w:tc>
        <w:tc>
          <w:tcPr>
            <w:tcW w:w="1351" w:type="dxa"/>
            <w:shd w:val="clear" w:color="auto" w:fill="FFFFFF"/>
            <w:vAlign w:val="center"/>
          </w:tcPr>
          <w:p w14:paraId="33129F2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1.3953 </w:t>
            </w:r>
          </w:p>
        </w:tc>
        <w:tc>
          <w:tcPr>
            <w:tcW w:w="1351" w:type="dxa"/>
            <w:shd w:val="clear" w:color="auto" w:fill="FFFFFF"/>
            <w:vAlign w:val="center"/>
          </w:tcPr>
          <w:p w14:paraId="55F38D7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1.3661 </w:t>
            </w:r>
          </w:p>
        </w:tc>
        <w:tc>
          <w:tcPr>
            <w:tcW w:w="1351" w:type="dxa"/>
            <w:shd w:val="clear" w:color="auto" w:fill="FFFFFF"/>
            <w:vAlign w:val="center"/>
          </w:tcPr>
          <w:p w14:paraId="1B3D7C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1.3521 </w:t>
            </w:r>
          </w:p>
        </w:tc>
        <w:tc>
          <w:tcPr>
            <w:tcW w:w="1351" w:type="dxa"/>
            <w:shd w:val="clear" w:color="auto" w:fill="FFFFFF"/>
            <w:vAlign w:val="center"/>
          </w:tcPr>
          <w:p w14:paraId="0BF0D1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1.3168 </w:t>
            </w:r>
          </w:p>
        </w:tc>
      </w:tr>
      <w:tr w14:paraId="46593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2A05C83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4.3</w:t>
            </w:r>
          </w:p>
        </w:tc>
        <w:tc>
          <w:tcPr>
            <w:tcW w:w="1818" w:type="dxa"/>
            <w:shd w:val="clear" w:color="auto" w:fill="FFFFFF"/>
            <w:vAlign w:val="center"/>
          </w:tcPr>
          <w:p w14:paraId="0D4D17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1.5310 </w:t>
            </w:r>
          </w:p>
        </w:tc>
        <w:tc>
          <w:tcPr>
            <w:tcW w:w="1351" w:type="dxa"/>
            <w:shd w:val="clear" w:color="auto" w:fill="FFFFFF"/>
            <w:vAlign w:val="center"/>
          </w:tcPr>
          <w:p w14:paraId="14A521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1.4100 </w:t>
            </w:r>
          </w:p>
        </w:tc>
        <w:tc>
          <w:tcPr>
            <w:tcW w:w="1351" w:type="dxa"/>
            <w:shd w:val="clear" w:color="auto" w:fill="FFFFFF"/>
            <w:vAlign w:val="center"/>
          </w:tcPr>
          <w:p w14:paraId="31E814F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1.3780 </w:t>
            </w:r>
          </w:p>
        </w:tc>
        <w:tc>
          <w:tcPr>
            <w:tcW w:w="1351" w:type="dxa"/>
            <w:shd w:val="clear" w:color="auto" w:fill="FFFFFF"/>
            <w:vAlign w:val="center"/>
          </w:tcPr>
          <w:p w14:paraId="64335E9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1.3620 </w:t>
            </w:r>
          </w:p>
        </w:tc>
        <w:tc>
          <w:tcPr>
            <w:tcW w:w="1351" w:type="dxa"/>
            <w:shd w:val="clear" w:color="auto" w:fill="FFFFFF"/>
            <w:vAlign w:val="center"/>
          </w:tcPr>
          <w:p w14:paraId="5DDE1B4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1.3250 </w:t>
            </w:r>
          </w:p>
        </w:tc>
      </w:tr>
      <w:tr w14:paraId="6B192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shd w:val="clear" w:color="auto" w:fill="FFFFFF"/>
            <w:vAlign w:val="center"/>
          </w:tcPr>
          <w:p w14:paraId="3E431F1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4.4</w:t>
            </w:r>
          </w:p>
        </w:tc>
        <w:tc>
          <w:tcPr>
            <w:tcW w:w="1818" w:type="dxa"/>
            <w:shd w:val="clear" w:color="auto" w:fill="FFFFFF"/>
            <w:vAlign w:val="center"/>
          </w:tcPr>
          <w:p w14:paraId="246B9AF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1.5507 </w:t>
            </w:r>
          </w:p>
        </w:tc>
        <w:tc>
          <w:tcPr>
            <w:tcW w:w="1351" w:type="dxa"/>
            <w:shd w:val="clear" w:color="auto" w:fill="FFFFFF"/>
            <w:vAlign w:val="center"/>
          </w:tcPr>
          <w:p w14:paraId="5E53E1D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1.4247 </w:t>
            </w:r>
          </w:p>
        </w:tc>
        <w:tc>
          <w:tcPr>
            <w:tcW w:w="1351" w:type="dxa"/>
            <w:shd w:val="clear" w:color="auto" w:fill="FFFFFF"/>
            <w:vAlign w:val="center"/>
          </w:tcPr>
          <w:p w14:paraId="054D477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1.3897 </w:t>
            </w:r>
          </w:p>
        </w:tc>
        <w:tc>
          <w:tcPr>
            <w:tcW w:w="1351" w:type="dxa"/>
            <w:shd w:val="clear" w:color="auto" w:fill="FFFFFF"/>
            <w:vAlign w:val="center"/>
          </w:tcPr>
          <w:p w14:paraId="1AD4F0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1.3719 </w:t>
            </w:r>
          </w:p>
        </w:tc>
        <w:tc>
          <w:tcPr>
            <w:tcW w:w="1351" w:type="dxa"/>
            <w:shd w:val="clear" w:color="auto" w:fill="FFFFFF"/>
            <w:vAlign w:val="center"/>
          </w:tcPr>
          <w:p w14:paraId="5CE5611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1.3333 </w:t>
            </w:r>
          </w:p>
        </w:tc>
      </w:tr>
      <w:tr w14:paraId="1B4E6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6DC07B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4.5</w:t>
            </w:r>
          </w:p>
        </w:tc>
        <w:tc>
          <w:tcPr>
            <w:tcW w:w="1818" w:type="dxa"/>
            <w:shd w:val="clear" w:color="auto" w:fill="FFFFFF"/>
            <w:vAlign w:val="center"/>
          </w:tcPr>
          <w:p w14:paraId="61A10DC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1.5702 </w:t>
            </w:r>
          </w:p>
        </w:tc>
        <w:tc>
          <w:tcPr>
            <w:tcW w:w="1351" w:type="dxa"/>
            <w:shd w:val="clear" w:color="auto" w:fill="FFFFFF"/>
            <w:vAlign w:val="center"/>
          </w:tcPr>
          <w:p w14:paraId="1D18C7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1.4391 </w:t>
            </w:r>
          </w:p>
        </w:tc>
        <w:tc>
          <w:tcPr>
            <w:tcW w:w="1351" w:type="dxa"/>
            <w:shd w:val="clear" w:color="auto" w:fill="FFFFFF"/>
            <w:vAlign w:val="center"/>
          </w:tcPr>
          <w:p w14:paraId="2F20DA4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1.4013 </w:t>
            </w:r>
          </w:p>
        </w:tc>
        <w:tc>
          <w:tcPr>
            <w:tcW w:w="1351" w:type="dxa"/>
            <w:shd w:val="clear" w:color="auto" w:fill="FFFFFF"/>
            <w:vAlign w:val="center"/>
          </w:tcPr>
          <w:p w14:paraId="17E26EB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1.3816 </w:t>
            </w:r>
          </w:p>
        </w:tc>
        <w:tc>
          <w:tcPr>
            <w:tcW w:w="1351" w:type="dxa"/>
            <w:shd w:val="clear" w:color="auto" w:fill="FFFFFF"/>
            <w:vAlign w:val="center"/>
          </w:tcPr>
          <w:p w14:paraId="2C45B80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1.3414 </w:t>
            </w:r>
          </w:p>
        </w:tc>
      </w:tr>
      <w:tr w14:paraId="4F5DB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shd w:val="clear" w:color="auto" w:fill="FFFFFF"/>
            <w:vAlign w:val="center"/>
          </w:tcPr>
          <w:p w14:paraId="4144EEB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4.6</w:t>
            </w:r>
          </w:p>
        </w:tc>
        <w:tc>
          <w:tcPr>
            <w:tcW w:w="1818" w:type="dxa"/>
            <w:shd w:val="clear" w:color="auto" w:fill="FFFFFF"/>
            <w:vAlign w:val="center"/>
          </w:tcPr>
          <w:p w14:paraId="2B5984E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1.5895 </w:t>
            </w:r>
          </w:p>
        </w:tc>
        <w:tc>
          <w:tcPr>
            <w:tcW w:w="1351" w:type="dxa"/>
            <w:shd w:val="clear" w:color="auto" w:fill="FFFFFF"/>
            <w:vAlign w:val="center"/>
          </w:tcPr>
          <w:p w14:paraId="1DECE2C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1.4533 </w:t>
            </w:r>
          </w:p>
        </w:tc>
        <w:tc>
          <w:tcPr>
            <w:tcW w:w="1351" w:type="dxa"/>
            <w:shd w:val="clear" w:color="auto" w:fill="FFFFFF"/>
            <w:vAlign w:val="center"/>
          </w:tcPr>
          <w:p w14:paraId="349BA86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1.4126 </w:t>
            </w:r>
          </w:p>
        </w:tc>
        <w:tc>
          <w:tcPr>
            <w:tcW w:w="1351" w:type="dxa"/>
            <w:shd w:val="clear" w:color="auto" w:fill="FFFFFF"/>
            <w:vAlign w:val="center"/>
          </w:tcPr>
          <w:p w14:paraId="20F679E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1.3910 </w:t>
            </w:r>
          </w:p>
        </w:tc>
        <w:tc>
          <w:tcPr>
            <w:tcW w:w="1351" w:type="dxa"/>
            <w:shd w:val="clear" w:color="auto" w:fill="FFFFFF"/>
            <w:vAlign w:val="center"/>
          </w:tcPr>
          <w:p w14:paraId="3A2172E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1.3492 </w:t>
            </w:r>
          </w:p>
        </w:tc>
      </w:tr>
      <w:tr w14:paraId="398A1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shd w:val="clear" w:color="auto" w:fill="FFFFFF"/>
            <w:vAlign w:val="center"/>
          </w:tcPr>
          <w:p w14:paraId="1C2DA6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4.7</w:t>
            </w:r>
          </w:p>
        </w:tc>
        <w:tc>
          <w:tcPr>
            <w:tcW w:w="1818" w:type="dxa"/>
            <w:shd w:val="clear" w:color="auto" w:fill="FFFFFF"/>
            <w:vAlign w:val="center"/>
          </w:tcPr>
          <w:p w14:paraId="4004FC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1.6086 </w:t>
            </w:r>
          </w:p>
        </w:tc>
        <w:tc>
          <w:tcPr>
            <w:tcW w:w="1351" w:type="dxa"/>
            <w:shd w:val="clear" w:color="auto" w:fill="FFFFFF"/>
            <w:vAlign w:val="center"/>
          </w:tcPr>
          <w:p w14:paraId="2A8B0AE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1.4676 </w:t>
            </w:r>
          </w:p>
        </w:tc>
        <w:tc>
          <w:tcPr>
            <w:tcW w:w="1351" w:type="dxa"/>
            <w:shd w:val="clear" w:color="auto" w:fill="FFFFFF"/>
            <w:vAlign w:val="center"/>
          </w:tcPr>
          <w:p w14:paraId="15DDFB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1.4239 </w:t>
            </w:r>
          </w:p>
        </w:tc>
        <w:tc>
          <w:tcPr>
            <w:tcW w:w="1351" w:type="dxa"/>
            <w:shd w:val="clear" w:color="auto" w:fill="FFFFFF"/>
            <w:vAlign w:val="center"/>
          </w:tcPr>
          <w:p w14:paraId="77A3D20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1.4006 </w:t>
            </w:r>
          </w:p>
        </w:tc>
        <w:tc>
          <w:tcPr>
            <w:tcW w:w="1351" w:type="dxa"/>
            <w:shd w:val="clear" w:color="auto" w:fill="FFFFFF"/>
            <w:vAlign w:val="center"/>
          </w:tcPr>
          <w:p w14:paraId="06185E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1.3570 </w:t>
            </w:r>
          </w:p>
        </w:tc>
      </w:tr>
      <w:tr w14:paraId="239F1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95" w:type="dxa"/>
            <w:shd w:val="clear" w:color="auto" w:fill="FFFFFF"/>
            <w:vAlign w:val="center"/>
          </w:tcPr>
          <w:p w14:paraId="7FBCCD4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4.8</w:t>
            </w:r>
          </w:p>
        </w:tc>
        <w:tc>
          <w:tcPr>
            <w:tcW w:w="1818" w:type="dxa"/>
            <w:shd w:val="clear" w:color="auto" w:fill="FFFFFF"/>
            <w:vAlign w:val="center"/>
          </w:tcPr>
          <w:p w14:paraId="0899DA3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1.6276 </w:t>
            </w:r>
          </w:p>
        </w:tc>
        <w:tc>
          <w:tcPr>
            <w:tcW w:w="1351" w:type="dxa"/>
            <w:shd w:val="clear" w:color="auto" w:fill="FFFFFF"/>
            <w:vAlign w:val="center"/>
          </w:tcPr>
          <w:p w14:paraId="51F6C9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1.4815 </w:t>
            </w:r>
          </w:p>
        </w:tc>
        <w:tc>
          <w:tcPr>
            <w:tcW w:w="1351" w:type="dxa"/>
            <w:shd w:val="clear" w:color="auto" w:fill="FFFFFF"/>
            <w:vAlign w:val="center"/>
          </w:tcPr>
          <w:p w14:paraId="39A0471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1.4349 </w:t>
            </w:r>
          </w:p>
        </w:tc>
        <w:tc>
          <w:tcPr>
            <w:tcW w:w="1351" w:type="dxa"/>
            <w:shd w:val="clear" w:color="auto" w:fill="FFFFFF"/>
            <w:vAlign w:val="center"/>
          </w:tcPr>
          <w:p w14:paraId="5C50E9B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1.4096 </w:t>
            </w:r>
          </w:p>
        </w:tc>
        <w:tc>
          <w:tcPr>
            <w:tcW w:w="1351" w:type="dxa"/>
            <w:shd w:val="clear" w:color="auto" w:fill="FFFFFF"/>
            <w:vAlign w:val="center"/>
          </w:tcPr>
          <w:p w14:paraId="5C35B0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1.3646 </w:t>
            </w:r>
          </w:p>
        </w:tc>
      </w:tr>
      <w:tr w14:paraId="2D96F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5C24ED5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4.9</w:t>
            </w:r>
          </w:p>
        </w:tc>
        <w:tc>
          <w:tcPr>
            <w:tcW w:w="1818" w:type="dxa"/>
            <w:shd w:val="clear" w:color="auto" w:fill="FFFFFF"/>
            <w:vAlign w:val="center"/>
          </w:tcPr>
          <w:p w14:paraId="3A788D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1.6464 </w:t>
            </w:r>
          </w:p>
        </w:tc>
        <w:tc>
          <w:tcPr>
            <w:tcW w:w="1351" w:type="dxa"/>
            <w:shd w:val="clear" w:color="auto" w:fill="FFFFFF"/>
            <w:vAlign w:val="center"/>
          </w:tcPr>
          <w:p w14:paraId="3BC67B2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1.4952 </w:t>
            </w:r>
          </w:p>
        </w:tc>
        <w:tc>
          <w:tcPr>
            <w:tcW w:w="1351" w:type="dxa"/>
            <w:shd w:val="clear" w:color="auto" w:fill="FFFFFF"/>
            <w:vAlign w:val="center"/>
          </w:tcPr>
          <w:p w14:paraId="281F8E1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1.4459 </w:t>
            </w:r>
          </w:p>
        </w:tc>
        <w:tc>
          <w:tcPr>
            <w:tcW w:w="1351" w:type="dxa"/>
            <w:shd w:val="clear" w:color="auto" w:fill="FFFFFF"/>
            <w:vAlign w:val="center"/>
          </w:tcPr>
          <w:p w14:paraId="7D8E9C5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1.4188 </w:t>
            </w:r>
          </w:p>
        </w:tc>
        <w:tc>
          <w:tcPr>
            <w:tcW w:w="1351" w:type="dxa"/>
            <w:shd w:val="clear" w:color="auto" w:fill="FFFFFF"/>
            <w:vAlign w:val="center"/>
          </w:tcPr>
          <w:p w14:paraId="644B3AF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1.3721 </w:t>
            </w:r>
          </w:p>
        </w:tc>
      </w:tr>
      <w:tr w14:paraId="33B3B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295" w:type="dxa"/>
            <w:shd w:val="clear" w:color="auto" w:fill="FFFFFF"/>
            <w:vAlign w:val="center"/>
          </w:tcPr>
          <w:p w14:paraId="68217E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≥5</w:t>
            </w:r>
          </w:p>
        </w:tc>
        <w:tc>
          <w:tcPr>
            <w:tcW w:w="1818" w:type="dxa"/>
            <w:shd w:val="clear" w:color="auto" w:fill="FFFFFF"/>
            <w:vAlign w:val="center"/>
          </w:tcPr>
          <w:p w14:paraId="747954C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1.6650 </w:t>
            </w:r>
          </w:p>
        </w:tc>
        <w:tc>
          <w:tcPr>
            <w:tcW w:w="1351" w:type="dxa"/>
            <w:shd w:val="clear" w:color="auto" w:fill="FFFFFF"/>
            <w:vAlign w:val="center"/>
          </w:tcPr>
          <w:p w14:paraId="157C945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1.5088 </w:t>
            </w:r>
          </w:p>
        </w:tc>
        <w:tc>
          <w:tcPr>
            <w:tcW w:w="1351" w:type="dxa"/>
            <w:shd w:val="clear" w:color="auto" w:fill="FFFFFF"/>
            <w:vAlign w:val="center"/>
          </w:tcPr>
          <w:p w14:paraId="55492DC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1.4567 </w:t>
            </w:r>
          </w:p>
        </w:tc>
        <w:tc>
          <w:tcPr>
            <w:tcW w:w="1351" w:type="dxa"/>
            <w:shd w:val="clear" w:color="auto" w:fill="FFFFFF"/>
            <w:vAlign w:val="center"/>
          </w:tcPr>
          <w:p w14:paraId="3CD4DBF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1.4278 </w:t>
            </w:r>
          </w:p>
        </w:tc>
        <w:tc>
          <w:tcPr>
            <w:tcW w:w="1351" w:type="dxa"/>
            <w:shd w:val="clear" w:color="auto" w:fill="FFFFFF"/>
            <w:vAlign w:val="center"/>
          </w:tcPr>
          <w:p w14:paraId="59DC0F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1.3797 </w:t>
            </w:r>
          </w:p>
        </w:tc>
      </w:tr>
    </w:tbl>
    <w:p w14:paraId="7BF1D88A">
      <w:pPr>
        <w:keepNext w:val="0"/>
        <w:keepLines w:val="0"/>
        <w:pageBreakBefore w:val="0"/>
        <w:widowControl w:val="0"/>
        <w:kinsoku/>
        <w:wordWrap/>
        <w:overflowPunct/>
        <w:topLinePunct w:val="0"/>
        <w:autoSpaceDE/>
        <w:autoSpaceDN/>
        <w:bidi w:val="0"/>
        <w:adjustRightInd w:val="0"/>
        <w:spacing w:line="480" w:lineRule="exact"/>
        <w:jc w:val="center"/>
        <w:textAlignment w:val="auto"/>
        <w:rPr>
          <w:rFonts w:hint="eastAsia" w:ascii="仿宋_GB2312" w:hAnsi="仿宋_GB2312" w:eastAsia="仿宋_GB2312" w:cs="仿宋_GB2312"/>
          <w:sz w:val="28"/>
          <w:szCs w:val="28"/>
          <w:highlight w:val="none"/>
          <w:lang w:val="zh-CN"/>
        </w:rPr>
      </w:pPr>
      <w:r>
        <w:rPr>
          <w:rFonts w:hint="eastAsia" w:ascii="仿宋_GB2312" w:hAnsi="仿宋_GB2312" w:eastAsia="仿宋_GB2312" w:cs="仿宋_GB2312"/>
          <w:sz w:val="28"/>
          <w:szCs w:val="28"/>
          <w:highlight w:val="none"/>
          <w:lang w:val="zh-CN"/>
        </w:rPr>
        <w:t>表3-</w:t>
      </w:r>
      <w:r>
        <w:rPr>
          <w:rFonts w:hint="eastAsia" w:ascii="仿宋_GB2312" w:hAnsi="仿宋_GB2312" w:eastAsia="仿宋_GB2312" w:cs="仿宋_GB2312"/>
          <w:sz w:val="28"/>
          <w:szCs w:val="28"/>
          <w:highlight w:val="none"/>
          <w:lang w:val="en-US" w:eastAsia="zh-CN"/>
        </w:rPr>
        <w:t>4</w:t>
      </w:r>
      <w:r>
        <w:rPr>
          <w:rFonts w:hint="eastAsia" w:ascii="仿宋_GB2312" w:hAnsi="仿宋_GB2312" w:eastAsia="仿宋_GB2312" w:cs="仿宋_GB2312"/>
          <w:sz w:val="28"/>
          <w:szCs w:val="28"/>
          <w:highlight w:val="none"/>
          <w:lang w:val="zh-CN"/>
        </w:rPr>
        <w:t xml:space="preserve"> 通道县城区居住用地容积率修正系数表</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94"/>
        <w:gridCol w:w="1817"/>
        <w:gridCol w:w="1352"/>
        <w:gridCol w:w="1352"/>
        <w:gridCol w:w="1352"/>
        <w:gridCol w:w="1352"/>
      </w:tblGrid>
      <w:tr w14:paraId="0782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6" w:hRule="atLeast"/>
          <w:tblHeader/>
          <w:jc w:val="center"/>
        </w:trPr>
        <w:tc>
          <w:tcPr>
            <w:tcW w:w="759" w:type="pct"/>
            <w:shd w:val="clear" w:color="auto" w:fill="FFFFFF"/>
            <w:vAlign w:val="center"/>
          </w:tcPr>
          <w:p w14:paraId="46A3983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t>容积率</w:t>
            </w:r>
          </w:p>
        </w:tc>
        <w:tc>
          <w:tcPr>
            <w:tcW w:w="1066" w:type="pct"/>
            <w:shd w:val="clear" w:color="auto" w:fill="FFFFFF"/>
            <w:vAlign w:val="center"/>
          </w:tcPr>
          <w:p w14:paraId="4684F2A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t>一级</w:t>
            </w:r>
          </w:p>
        </w:tc>
        <w:tc>
          <w:tcPr>
            <w:tcW w:w="793" w:type="pct"/>
            <w:shd w:val="clear" w:color="auto" w:fill="FFFFFF"/>
            <w:vAlign w:val="center"/>
          </w:tcPr>
          <w:p w14:paraId="78B8A0C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t>二级</w:t>
            </w:r>
          </w:p>
        </w:tc>
        <w:tc>
          <w:tcPr>
            <w:tcW w:w="793" w:type="pct"/>
            <w:shd w:val="clear" w:color="auto" w:fill="FFFFFF"/>
            <w:vAlign w:val="center"/>
          </w:tcPr>
          <w:p w14:paraId="76644CE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t>三级</w:t>
            </w:r>
          </w:p>
        </w:tc>
        <w:tc>
          <w:tcPr>
            <w:tcW w:w="793" w:type="pct"/>
            <w:shd w:val="clear" w:color="auto" w:fill="FFFFFF"/>
            <w:vAlign w:val="center"/>
          </w:tcPr>
          <w:p w14:paraId="541EC14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bCs/>
                <w:i w:val="0"/>
                <w:iCs w:val="0"/>
                <w:color w:val="auto"/>
                <w:sz w:val="20"/>
                <w:szCs w:val="20"/>
                <w:highlight w:val="none"/>
                <w:u w:val="none"/>
              </w:rPr>
            </w:pPr>
            <w: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t>四级</w:t>
            </w:r>
          </w:p>
        </w:tc>
        <w:tc>
          <w:tcPr>
            <w:tcW w:w="793" w:type="pct"/>
            <w:shd w:val="clear" w:color="auto" w:fill="FFFFFF"/>
            <w:vAlign w:val="center"/>
          </w:tcPr>
          <w:p w14:paraId="6E79595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b/>
                <w:bCs/>
                <w:i w:val="0"/>
                <w:iCs w:val="0"/>
                <w:snapToGrid w:val="0"/>
                <w:color w:val="auto"/>
                <w:kern w:val="0"/>
                <w:sz w:val="20"/>
                <w:szCs w:val="20"/>
                <w:highlight w:val="none"/>
                <w:u w:val="none"/>
                <w:lang w:val="en-US" w:eastAsia="zh-CN" w:bidi="ar"/>
              </w:rPr>
              <w:t>五级</w:t>
            </w:r>
          </w:p>
        </w:tc>
      </w:tr>
      <w:tr w14:paraId="56E24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6F031B2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w:t>
            </w:r>
          </w:p>
        </w:tc>
        <w:tc>
          <w:tcPr>
            <w:tcW w:w="1066" w:type="pct"/>
            <w:shd w:val="clear" w:color="auto" w:fill="FFFFFF"/>
            <w:vAlign w:val="center"/>
          </w:tcPr>
          <w:p w14:paraId="7A52DA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0.7001 </w:t>
            </w:r>
          </w:p>
        </w:tc>
        <w:tc>
          <w:tcPr>
            <w:tcW w:w="793" w:type="pct"/>
            <w:shd w:val="clear" w:color="auto" w:fill="FFFFFF"/>
            <w:vAlign w:val="center"/>
          </w:tcPr>
          <w:p w14:paraId="7B6303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0.7384 </w:t>
            </w:r>
          </w:p>
        </w:tc>
        <w:tc>
          <w:tcPr>
            <w:tcW w:w="793" w:type="pct"/>
            <w:shd w:val="clear" w:color="auto" w:fill="FFFFFF"/>
            <w:vAlign w:val="center"/>
          </w:tcPr>
          <w:p w14:paraId="383BCF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0.8127 </w:t>
            </w:r>
          </w:p>
        </w:tc>
        <w:tc>
          <w:tcPr>
            <w:tcW w:w="793" w:type="pct"/>
            <w:shd w:val="clear" w:color="auto" w:fill="FFFFFF"/>
            <w:vAlign w:val="center"/>
          </w:tcPr>
          <w:p w14:paraId="56FC10B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0.8703 </w:t>
            </w:r>
          </w:p>
        </w:tc>
        <w:tc>
          <w:tcPr>
            <w:tcW w:w="793" w:type="pct"/>
            <w:shd w:val="clear" w:color="auto" w:fill="FFFFFF"/>
            <w:vAlign w:val="center"/>
          </w:tcPr>
          <w:p w14:paraId="19F5DF6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0.9049 </w:t>
            </w:r>
          </w:p>
        </w:tc>
      </w:tr>
      <w:tr w14:paraId="5B0D3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7BAD4FE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1.1</w:t>
            </w:r>
          </w:p>
        </w:tc>
        <w:tc>
          <w:tcPr>
            <w:tcW w:w="1066" w:type="pct"/>
            <w:shd w:val="clear" w:color="auto" w:fill="FFFFFF"/>
            <w:vAlign w:val="center"/>
          </w:tcPr>
          <w:p w14:paraId="4B799AF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0.7353 </w:t>
            </w:r>
          </w:p>
        </w:tc>
        <w:tc>
          <w:tcPr>
            <w:tcW w:w="793" w:type="pct"/>
            <w:shd w:val="clear" w:color="auto" w:fill="FFFFFF"/>
            <w:vAlign w:val="center"/>
          </w:tcPr>
          <w:p w14:paraId="6B5A990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0.7699 </w:t>
            </w:r>
          </w:p>
        </w:tc>
        <w:tc>
          <w:tcPr>
            <w:tcW w:w="793" w:type="pct"/>
            <w:shd w:val="clear" w:color="auto" w:fill="FFFFFF"/>
            <w:vAlign w:val="center"/>
          </w:tcPr>
          <w:p w14:paraId="1228A74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0.8405 </w:t>
            </w:r>
          </w:p>
        </w:tc>
        <w:tc>
          <w:tcPr>
            <w:tcW w:w="793" w:type="pct"/>
            <w:shd w:val="clear" w:color="auto" w:fill="FFFFFF"/>
            <w:vAlign w:val="center"/>
          </w:tcPr>
          <w:p w14:paraId="347668D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0.8952 </w:t>
            </w:r>
          </w:p>
        </w:tc>
        <w:tc>
          <w:tcPr>
            <w:tcW w:w="793" w:type="pct"/>
            <w:shd w:val="clear" w:color="auto" w:fill="FFFFFF"/>
            <w:vAlign w:val="center"/>
          </w:tcPr>
          <w:p w14:paraId="24CF9AA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0.9264 </w:t>
            </w:r>
          </w:p>
        </w:tc>
      </w:tr>
      <w:tr w14:paraId="33294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1C4BEFF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1.2</w:t>
            </w:r>
          </w:p>
        </w:tc>
        <w:tc>
          <w:tcPr>
            <w:tcW w:w="1066" w:type="pct"/>
            <w:shd w:val="clear" w:color="auto" w:fill="FFFFFF"/>
            <w:vAlign w:val="center"/>
          </w:tcPr>
          <w:p w14:paraId="13A109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0.7690 </w:t>
            </w:r>
          </w:p>
        </w:tc>
        <w:tc>
          <w:tcPr>
            <w:tcW w:w="793" w:type="pct"/>
            <w:shd w:val="clear" w:color="auto" w:fill="FFFFFF"/>
            <w:vAlign w:val="center"/>
          </w:tcPr>
          <w:p w14:paraId="737A81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0.7997 </w:t>
            </w:r>
          </w:p>
        </w:tc>
        <w:tc>
          <w:tcPr>
            <w:tcW w:w="793" w:type="pct"/>
            <w:shd w:val="clear" w:color="auto" w:fill="FFFFFF"/>
            <w:vAlign w:val="center"/>
          </w:tcPr>
          <w:p w14:paraId="796E70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0.8668 </w:t>
            </w:r>
          </w:p>
        </w:tc>
        <w:tc>
          <w:tcPr>
            <w:tcW w:w="793" w:type="pct"/>
            <w:shd w:val="clear" w:color="auto" w:fill="FFFFFF"/>
            <w:vAlign w:val="center"/>
          </w:tcPr>
          <w:p w14:paraId="6BB632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0.9185 </w:t>
            </w:r>
          </w:p>
        </w:tc>
        <w:tc>
          <w:tcPr>
            <w:tcW w:w="793" w:type="pct"/>
            <w:shd w:val="clear" w:color="auto" w:fill="FFFFFF"/>
            <w:vAlign w:val="center"/>
          </w:tcPr>
          <w:p w14:paraId="05C9450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0.9464 </w:t>
            </w:r>
          </w:p>
        </w:tc>
      </w:tr>
      <w:tr w14:paraId="35241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1D6A29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1.3</w:t>
            </w:r>
          </w:p>
        </w:tc>
        <w:tc>
          <w:tcPr>
            <w:tcW w:w="1066" w:type="pct"/>
            <w:shd w:val="clear" w:color="auto" w:fill="FFFFFF"/>
            <w:vAlign w:val="center"/>
          </w:tcPr>
          <w:p w14:paraId="20CECC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0.8013 </w:t>
            </w:r>
          </w:p>
        </w:tc>
        <w:tc>
          <w:tcPr>
            <w:tcW w:w="793" w:type="pct"/>
            <w:shd w:val="clear" w:color="auto" w:fill="FFFFFF"/>
            <w:vAlign w:val="center"/>
          </w:tcPr>
          <w:p w14:paraId="130F22B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0.8283 </w:t>
            </w:r>
          </w:p>
        </w:tc>
        <w:tc>
          <w:tcPr>
            <w:tcW w:w="793" w:type="pct"/>
            <w:shd w:val="clear" w:color="auto" w:fill="FFFFFF"/>
            <w:vAlign w:val="center"/>
          </w:tcPr>
          <w:p w14:paraId="0C1DD3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0.8916 </w:t>
            </w:r>
          </w:p>
        </w:tc>
        <w:tc>
          <w:tcPr>
            <w:tcW w:w="793" w:type="pct"/>
            <w:shd w:val="clear" w:color="auto" w:fill="FFFFFF"/>
            <w:vAlign w:val="center"/>
          </w:tcPr>
          <w:p w14:paraId="78547A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0.9405 </w:t>
            </w:r>
          </w:p>
        </w:tc>
        <w:tc>
          <w:tcPr>
            <w:tcW w:w="793" w:type="pct"/>
            <w:shd w:val="clear" w:color="auto" w:fill="FFFFFF"/>
            <w:vAlign w:val="center"/>
          </w:tcPr>
          <w:p w14:paraId="535AA9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0.9653 </w:t>
            </w:r>
          </w:p>
        </w:tc>
      </w:tr>
      <w:tr w14:paraId="0DCF2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659F46F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1.4</w:t>
            </w:r>
          </w:p>
        </w:tc>
        <w:tc>
          <w:tcPr>
            <w:tcW w:w="1066" w:type="pct"/>
            <w:shd w:val="clear" w:color="auto" w:fill="FFFFFF"/>
            <w:vAlign w:val="center"/>
          </w:tcPr>
          <w:p w14:paraId="5685E25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0.8324 </w:t>
            </w:r>
          </w:p>
        </w:tc>
        <w:tc>
          <w:tcPr>
            <w:tcW w:w="793" w:type="pct"/>
            <w:shd w:val="clear" w:color="auto" w:fill="FFFFFF"/>
            <w:vAlign w:val="center"/>
          </w:tcPr>
          <w:p w14:paraId="2D6C577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0.8556 </w:t>
            </w:r>
          </w:p>
        </w:tc>
        <w:tc>
          <w:tcPr>
            <w:tcW w:w="793" w:type="pct"/>
            <w:shd w:val="clear" w:color="auto" w:fill="FFFFFF"/>
            <w:vAlign w:val="center"/>
          </w:tcPr>
          <w:p w14:paraId="26B2AF0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0.9152 </w:t>
            </w:r>
          </w:p>
        </w:tc>
        <w:tc>
          <w:tcPr>
            <w:tcW w:w="793" w:type="pct"/>
            <w:shd w:val="clear" w:color="auto" w:fill="FFFFFF"/>
            <w:vAlign w:val="center"/>
          </w:tcPr>
          <w:p w14:paraId="1DE1451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0.9614 </w:t>
            </w:r>
          </w:p>
        </w:tc>
        <w:tc>
          <w:tcPr>
            <w:tcW w:w="793" w:type="pct"/>
            <w:shd w:val="clear" w:color="auto" w:fill="FFFFFF"/>
            <w:vAlign w:val="center"/>
          </w:tcPr>
          <w:p w14:paraId="1BD888D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0.9831 </w:t>
            </w:r>
          </w:p>
        </w:tc>
      </w:tr>
      <w:tr w14:paraId="06AC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36C948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1.5</w:t>
            </w:r>
          </w:p>
        </w:tc>
        <w:tc>
          <w:tcPr>
            <w:tcW w:w="1066" w:type="pct"/>
            <w:shd w:val="clear" w:color="auto" w:fill="FFFFFF"/>
            <w:vAlign w:val="center"/>
          </w:tcPr>
          <w:p w14:paraId="2089E02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0.8625 </w:t>
            </w:r>
          </w:p>
        </w:tc>
        <w:tc>
          <w:tcPr>
            <w:tcW w:w="793" w:type="pct"/>
            <w:shd w:val="clear" w:color="auto" w:fill="FFFFFF"/>
            <w:vAlign w:val="center"/>
          </w:tcPr>
          <w:p w14:paraId="4321CCD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0.8818 </w:t>
            </w:r>
          </w:p>
        </w:tc>
        <w:tc>
          <w:tcPr>
            <w:tcW w:w="793" w:type="pct"/>
            <w:shd w:val="clear" w:color="auto" w:fill="FFFFFF"/>
            <w:vAlign w:val="center"/>
          </w:tcPr>
          <w:p w14:paraId="7DD423F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0.9377 </w:t>
            </w:r>
          </w:p>
        </w:tc>
        <w:tc>
          <w:tcPr>
            <w:tcW w:w="793" w:type="pct"/>
            <w:shd w:val="clear" w:color="auto" w:fill="FFFFFF"/>
            <w:vAlign w:val="center"/>
          </w:tcPr>
          <w:p w14:paraId="056347D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0.9812 </w:t>
            </w:r>
          </w:p>
        </w:tc>
        <w:tc>
          <w:tcPr>
            <w:tcW w:w="793" w:type="pct"/>
            <w:shd w:val="clear" w:color="auto" w:fill="FFFFFF"/>
            <w:vAlign w:val="center"/>
          </w:tcPr>
          <w:p w14:paraId="1666410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1.0000 </w:t>
            </w:r>
          </w:p>
        </w:tc>
      </w:tr>
      <w:tr w14:paraId="36E56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4A9710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1.6</w:t>
            </w:r>
          </w:p>
        </w:tc>
        <w:tc>
          <w:tcPr>
            <w:tcW w:w="1066" w:type="pct"/>
            <w:shd w:val="clear" w:color="auto" w:fill="FFFFFF"/>
            <w:vAlign w:val="center"/>
          </w:tcPr>
          <w:p w14:paraId="5CE320F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0.8916 </w:t>
            </w:r>
          </w:p>
        </w:tc>
        <w:tc>
          <w:tcPr>
            <w:tcW w:w="793" w:type="pct"/>
            <w:shd w:val="clear" w:color="auto" w:fill="FFFFFF"/>
            <w:vAlign w:val="center"/>
          </w:tcPr>
          <w:p w14:paraId="3DE6B9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0.9070 </w:t>
            </w:r>
          </w:p>
        </w:tc>
        <w:tc>
          <w:tcPr>
            <w:tcW w:w="793" w:type="pct"/>
            <w:shd w:val="clear" w:color="auto" w:fill="FFFFFF"/>
            <w:vAlign w:val="center"/>
          </w:tcPr>
          <w:p w14:paraId="3EFB09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0.9593 </w:t>
            </w:r>
          </w:p>
        </w:tc>
        <w:tc>
          <w:tcPr>
            <w:tcW w:w="793" w:type="pct"/>
            <w:shd w:val="clear" w:color="auto" w:fill="FFFFFF"/>
            <w:vAlign w:val="center"/>
          </w:tcPr>
          <w:p w14:paraId="7CBE611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1.0000 </w:t>
            </w:r>
          </w:p>
        </w:tc>
        <w:tc>
          <w:tcPr>
            <w:tcW w:w="793" w:type="pct"/>
            <w:shd w:val="clear" w:color="auto" w:fill="FFFFFF"/>
            <w:vAlign w:val="center"/>
          </w:tcPr>
          <w:p w14:paraId="77342CB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1.0160 </w:t>
            </w:r>
          </w:p>
        </w:tc>
      </w:tr>
      <w:tr w14:paraId="7C286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3672B49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1.7</w:t>
            </w:r>
          </w:p>
        </w:tc>
        <w:tc>
          <w:tcPr>
            <w:tcW w:w="1066" w:type="pct"/>
            <w:shd w:val="clear" w:color="auto" w:fill="FFFFFF"/>
            <w:vAlign w:val="center"/>
          </w:tcPr>
          <w:p w14:paraId="0C30E8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0.9199 </w:t>
            </w:r>
          </w:p>
        </w:tc>
        <w:tc>
          <w:tcPr>
            <w:tcW w:w="793" w:type="pct"/>
            <w:shd w:val="clear" w:color="auto" w:fill="FFFFFF"/>
            <w:vAlign w:val="center"/>
          </w:tcPr>
          <w:p w14:paraId="674E3F0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0.9314 </w:t>
            </w:r>
          </w:p>
        </w:tc>
        <w:tc>
          <w:tcPr>
            <w:tcW w:w="793" w:type="pct"/>
            <w:shd w:val="clear" w:color="auto" w:fill="FFFFFF"/>
            <w:vAlign w:val="center"/>
          </w:tcPr>
          <w:p w14:paraId="1A42045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0.9801 </w:t>
            </w:r>
          </w:p>
        </w:tc>
        <w:tc>
          <w:tcPr>
            <w:tcW w:w="793" w:type="pct"/>
            <w:shd w:val="clear" w:color="auto" w:fill="FFFFFF"/>
            <w:vAlign w:val="center"/>
          </w:tcPr>
          <w:p w14:paraId="5136B42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1.0181 </w:t>
            </w:r>
          </w:p>
        </w:tc>
        <w:tc>
          <w:tcPr>
            <w:tcW w:w="793" w:type="pct"/>
            <w:shd w:val="clear" w:color="auto" w:fill="FFFFFF"/>
            <w:vAlign w:val="center"/>
          </w:tcPr>
          <w:p w14:paraId="59439C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1.0312 </w:t>
            </w:r>
          </w:p>
        </w:tc>
      </w:tr>
      <w:tr w14:paraId="2024A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4ACBF49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1.8</w:t>
            </w:r>
          </w:p>
        </w:tc>
        <w:tc>
          <w:tcPr>
            <w:tcW w:w="1066" w:type="pct"/>
            <w:shd w:val="clear" w:color="auto" w:fill="FFFFFF"/>
            <w:vAlign w:val="center"/>
          </w:tcPr>
          <w:p w14:paraId="3A16176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0.9473 </w:t>
            </w:r>
          </w:p>
        </w:tc>
        <w:tc>
          <w:tcPr>
            <w:tcW w:w="793" w:type="pct"/>
            <w:shd w:val="clear" w:color="auto" w:fill="FFFFFF"/>
            <w:vAlign w:val="center"/>
          </w:tcPr>
          <w:p w14:paraId="48FD0A3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0.9550 </w:t>
            </w:r>
          </w:p>
        </w:tc>
        <w:tc>
          <w:tcPr>
            <w:tcW w:w="793" w:type="pct"/>
            <w:shd w:val="clear" w:color="auto" w:fill="FFFFFF"/>
            <w:vAlign w:val="center"/>
          </w:tcPr>
          <w:p w14:paraId="570DFA6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1.0000 </w:t>
            </w:r>
          </w:p>
        </w:tc>
        <w:tc>
          <w:tcPr>
            <w:tcW w:w="793" w:type="pct"/>
            <w:shd w:val="clear" w:color="auto" w:fill="FFFFFF"/>
            <w:vAlign w:val="center"/>
          </w:tcPr>
          <w:p w14:paraId="0030F0D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1.0355 </w:t>
            </w:r>
          </w:p>
        </w:tc>
        <w:tc>
          <w:tcPr>
            <w:tcW w:w="793" w:type="pct"/>
            <w:shd w:val="clear" w:color="auto" w:fill="FFFFFF"/>
            <w:vAlign w:val="center"/>
          </w:tcPr>
          <w:p w14:paraId="3FC65A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1.0459 </w:t>
            </w:r>
          </w:p>
        </w:tc>
      </w:tr>
      <w:tr w14:paraId="6C483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112BA60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1.9</w:t>
            </w:r>
          </w:p>
        </w:tc>
        <w:tc>
          <w:tcPr>
            <w:tcW w:w="1066" w:type="pct"/>
            <w:shd w:val="clear" w:color="auto" w:fill="FFFFFF"/>
            <w:vAlign w:val="center"/>
          </w:tcPr>
          <w:p w14:paraId="562C949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0.9740 </w:t>
            </w:r>
          </w:p>
        </w:tc>
        <w:tc>
          <w:tcPr>
            <w:tcW w:w="793" w:type="pct"/>
            <w:shd w:val="clear" w:color="auto" w:fill="FFFFFF"/>
            <w:vAlign w:val="center"/>
          </w:tcPr>
          <w:p w14:paraId="37AE455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0.9778 </w:t>
            </w:r>
          </w:p>
        </w:tc>
        <w:tc>
          <w:tcPr>
            <w:tcW w:w="793" w:type="pct"/>
            <w:shd w:val="clear" w:color="auto" w:fill="FFFFFF"/>
            <w:vAlign w:val="center"/>
          </w:tcPr>
          <w:p w14:paraId="76C373F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1.0193 </w:t>
            </w:r>
          </w:p>
        </w:tc>
        <w:tc>
          <w:tcPr>
            <w:tcW w:w="793" w:type="pct"/>
            <w:shd w:val="clear" w:color="auto" w:fill="FFFFFF"/>
            <w:vAlign w:val="center"/>
          </w:tcPr>
          <w:p w14:paraId="044CA92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1.0522 </w:t>
            </w:r>
          </w:p>
        </w:tc>
        <w:tc>
          <w:tcPr>
            <w:tcW w:w="793" w:type="pct"/>
            <w:shd w:val="clear" w:color="auto" w:fill="FFFFFF"/>
            <w:vAlign w:val="center"/>
          </w:tcPr>
          <w:p w14:paraId="1050BC6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1.0600 </w:t>
            </w:r>
          </w:p>
        </w:tc>
      </w:tr>
      <w:tr w14:paraId="6C7BC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7F421DF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2</w:t>
            </w:r>
          </w:p>
        </w:tc>
        <w:tc>
          <w:tcPr>
            <w:tcW w:w="1066" w:type="pct"/>
            <w:shd w:val="clear" w:color="auto" w:fill="FFFFFF"/>
            <w:vAlign w:val="center"/>
          </w:tcPr>
          <w:p w14:paraId="07CE555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1.0000 </w:t>
            </w:r>
          </w:p>
        </w:tc>
        <w:tc>
          <w:tcPr>
            <w:tcW w:w="793" w:type="pct"/>
            <w:shd w:val="clear" w:color="auto" w:fill="FFFFFF"/>
            <w:vAlign w:val="center"/>
          </w:tcPr>
          <w:p w14:paraId="2C1873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1.0000 </w:t>
            </w:r>
          </w:p>
        </w:tc>
        <w:tc>
          <w:tcPr>
            <w:tcW w:w="793" w:type="pct"/>
            <w:shd w:val="clear" w:color="auto" w:fill="FFFFFF"/>
            <w:vAlign w:val="center"/>
          </w:tcPr>
          <w:p w14:paraId="7CEA94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1.0379 </w:t>
            </w:r>
          </w:p>
        </w:tc>
        <w:tc>
          <w:tcPr>
            <w:tcW w:w="793" w:type="pct"/>
            <w:shd w:val="clear" w:color="auto" w:fill="FFFFFF"/>
            <w:vAlign w:val="center"/>
          </w:tcPr>
          <w:p w14:paraId="29377B0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1.0683 </w:t>
            </w:r>
          </w:p>
        </w:tc>
        <w:tc>
          <w:tcPr>
            <w:tcW w:w="793" w:type="pct"/>
            <w:shd w:val="clear" w:color="auto" w:fill="FFFFFF"/>
            <w:vAlign w:val="center"/>
          </w:tcPr>
          <w:p w14:paraId="04DEF2B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1.0734 </w:t>
            </w:r>
          </w:p>
        </w:tc>
      </w:tr>
      <w:tr w14:paraId="60DCE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3CDE8F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2.1</w:t>
            </w:r>
          </w:p>
        </w:tc>
        <w:tc>
          <w:tcPr>
            <w:tcW w:w="1066" w:type="pct"/>
            <w:shd w:val="clear" w:color="auto" w:fill="FFFFFF"/>
            <w:vAlign w:val="center"/>
          </w:tcPr>
          <w:p w14:paraId="6297CEE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1.0255 </w:t>
            </w:r>
          </w:p>
        </w:tc>
        <w:tc>
          <w:tcPr>
            <w:tcW w:w="793" w:type="pct"/>
            <w:shd w:val="clear" w:color="auto" w:fill="FFFFFF"/>
            <w:vAlign w:val="center"/>
          </w:tcPr>
          <w:p w14:paraId="5F7D505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1.0217 </w:t>
            </w:r>
          </w:p>
        </w:tc>
        <w:tc>
          <w:tcPr>
            <w:tcW w:w="793" w:type="pct"/>
            <w:shd w:val="clear" w:color="auto" w:fill="FFFFFF"/>
            <w:vAlign w:val="center"/>
          </w:tcPr>
          <w:p w14:paraId="17C2EF5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1.0560 </w:t>
            </w:r>
          </w:p>
        </w:tc>
        <w:tc>
          <w:tcPr>
            <w:tcW w:w="793" w:type="pct"/>
            <w:shd w:val="clear" w:color="auto" w:fill="FFFFFF"/>
            <w:vAlign w:val="center"/>
          </w:tcPr>
          <w:p w14:paraId="017C25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1.0838 </w:t>
            </w:r>
          </w:p>
        </w:tc>
        <w:tc>
          <w:tcPr>
            <w:tcW w:w="793" w:type="pct"/>
            <w:shd w:val="clear" w:color="auto" w:fill="FFFFFF"/>
            <w:vAlign w:val="center"/>
          </w:tcPr>
          <w:p w14:paraId="1B13A53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1.0864 </w:t>
            </w:r>
          </w:p>
        </w:tc>
      </w:tr>
      <w:tr w14:paraId="6B43B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555DF7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2.2</w:t>
            </w:r>
          </w:p>
        </w:tc>
        <w:tc>
          <w:tcPr>
            <w:tcW w:w="1066" w:type="pct"/>
            <w:shd w:val="clear" w:color="auto" w:fill="FFFFFF"/>
            <w:vAlign w:val="center"/>
          </w:tcPr>
          <w:p w14:paraId="0635383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1.0503 </w:t>
            </w:r>
          </w:p>
        </w:tc>
        <w:tc>
          <w:tcPr>
            <w:tcW w:w="793" w:type="pct"/>
            <w:shd w:val="clear" w:color="auto" w:fill="FFFFFF"/>
            <w:vAlign w:val="center"/>
          </w:tcPr>
          <w:p w14:paraId="245BDB5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1.0426 </w:t>
            </w:r>
          </w:p>
        </w:tc>
        <w:tc>
          <w:tcPr>
            <w:tcW w:w="793" w:type="pct"/>
            <w:shd w:val="clear" w:color="auto" w:fill="FFFFFF"/>
            <w:vAlign w:val="center"/>
          </w:tcPr>
          <w:p w14:paraId="060E4D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1.0734 </w:t>
            </w:r>
          </w:p>
        </w:tc>
        <w:tc>
          <w:tcPr>
            <w:tcW w:w="793" w:type="pct"/>
            <w:shd w:val="clear" w:color="auto" w:fill="FFFFFF"/>
            <w:vAlign w:val="center"/>
          </w:tcPr>
          <w:p w14:paraId="56B82D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1.0988 </w:t>
            </w:r>
          </w:p>
        </w:tc>
        <w:tc>
          <w:tcPr>
            <w:tcW w:w="793" w:type="pct"/>
            <w:shd w:val="clear" w:color="auto" w:fill="FFFFFF"/>
            <w:vAlign w:val="center"/>
          </w:tcPr>
          <w:p w14:paraId="26DD6D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1.0989 </w:t>
            </w:r>
          </w:p>
        </w:tc>
      </w:tr>
      <w:tr w14:paraId="1EB32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5FA008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2.3</w:t>
            </w:r>
          </w:p>
        </w:tc>
        <w:tc>
          <w:tcPr>
            <w:tcW w:w="1066" w:type="pct"/>
            <w:shd w:val="clear" w:color="auto" w:fill="FFFFFF"/>
            <w:vAlign w:val="center"/>
          </w:tcPr>
          <w:p w14:paraId="598AFC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1.0746 </w:t>
            </w:r>
          </w:p>
        </w:tc>
        <w:tc>
          <w:tcPr>
            <w:tcW w:w="793" w:type="pct"/>
            <w:shd w:val="clear" w:color="auto" w:fill="FFFFFF"/>
            <w:vAlign w:val="center"/>
          </w:tcPr>
          <w:p w14:paraId="3DBDE1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1.0632 </w:t>
            </w:r>
          </w:p>
        </w:tc>
        <w:tc>
          <w:tcPr>
            <w:tcW w:w="793" w:type="pct"/>
            <w:shd w:val="clear" w:color="auto" w:fill="FFFFFF"/>
            <w:vAlign w:val="center"/>
          </w:tcPr>
          <w:p w14:paraId="27DD75C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1.0904 </w:t>
            </w:r>
          </w:p>
        </w:tc>
        <w:tc>
          <w:tcPr>
            <w:tcW w:w="793" w:type="pct"/>
            <w:shd w:val="clear" w:color="auto" w:fill="FFFFFF"/>
            <w:vAlign w:val="center"/>
          </w:tcPr>
          <w:p w14:paraId="2C14103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1.1133 </w:t>
            </w:r>
          </w:p>
        </w:tc>
        <w:tc>
          <w:tcPr>
            <w:tcW w:w="793" w:type="pct"/>
            <w:shd w:val="clear" w:color="auto" w:fill="FFFFFF"/>
            <w:vAlign w:val="center"/>
          </w:tcPr>
          <w:p w14:paraId="087E77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1.1110 </w:t>
            </w:r>
          </w:p>
        </w:tc>
      </w:tr>
      <w:tr w14:paraId="2B864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5CA1E5E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2.4</w:t>
            </w:r>
          </w:p>
        </w:tc>
        <w:tc>
          <w:tcPr>
            <w:tcW w:w="1066" w:type="pct"/>
            <w:shd w:val="clear" w:color="auto" w:fill="FFFFFF"/>
            <w:vAlign w:val="center"/>
          </w:tcPr>
          <w:p w14:paraId="7125143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1.0984 </w:t>
            </w:r>
          </w:p>
        </w:tc>
        <w:tc>
          <w:tcPr>
            <w:tcW w:w="793" w:type="pct"/>
            <w:shd w:val="clear" w:color="auto" w:fill="FFFFFF"/>
            <w:vAlign w:val="center"/>
          </w:tcPr>
          <w:p w14:paraId="1FFD5DF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1.0831 </w:t>
            </w:r>
          </w:p>
        </w:tc>
        <w:tc>
          <w:tcPr>
            <w:tcW w:w="793" w:type="pct"/>
            <w:shd w:val="clear" w:color="auto" w:fill="FFFFFF"/>
            <w:vAlign w:val="center"/>
          </w:tcPr>
          <w:p w14:paraId="3449D17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1.1068 </w:t>
            </w:r>
          </w:p>
        </w:tc>
        <w:tc>
          <w:tcPr>
            <w:tcW w:w="793" w:type="pct"/>
            <w:shd w:val="clear" w:color="auto" w:fill="FFFFFF"/>
            <w:vAlign w:val="center"/>
          </w:tcPr>
          <w:p w14:paraId="16EE816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1.1274 </w:t>
            </w:r>
          </w:p>
        </w:tc>
        <w:tc>
          <w:tcPr>
            <w:tcW w:w="793" w:type="pct"/>
            <w:shd w:val="clear" w:color="auto" w:fill="FFFFFF"/>
            <w:vAlign w:val="center"/>
          </w:tcPr>
          <w:p w14:paraId="08CF9A8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1.1227 </w:t>
            </w:r>
          </w:p>
        </w:tc>
      </w:tr>
      <w:tr w14:paraId="496D9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3F8B4E1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2.5</w:t>
            </w:r>
          </w:p>
        </w:tc>
        <w:tc>
          <w:tcPr>
            <w:tcW w:w="1066" w:type="pct"/>
            <w:shd w:val="clear" w:color="auto" w:fill="FFFFFF"/>
            <w:vAlign w:val="center"/>
          </w:tcPr>
          <w:p w14:paraId="72BF6B0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1.1217 </w:t>
            </w:r>
          </w:p>
        </w:tc>
        <w:tc>
          <w:tcPr>
            <w:tcW w:w="793" w:type="pct"/>
            <w:shd w:val="clear" w:color="auto" w:fill="FFFFFF"/>
            <w:vAlign w:val="center"/>
          </w:tcPr>
          <w:p w14:paraId="65474F9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1.1025 </w:t>
            </w:r>
          </w:p>
        </w:tc>
        <w:tc>
          <w:tcPr>
            <w:tcW w:w="793" w:type="pct"/>
            <w:shd w:val="clear" w:color="auto" w:fill="FFFFFF"/>
            <w:vAlign w:val="center"/>
          </w:tcPr>
          <w:p w14:paraId="0830A7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1.1230 </w:t>
            </w:r>
          </w:p>
        </w:tc>
        <w:tc>
          <w:tcPr>
            <w:tcW w:w="793" w:type="pct"/>
            <w:shd w:val="clear" w:color="auto" w:fill="FFFFFF"/>
            <w:vAlign w:val="center"/>
          </w:tcPr>
          <w:p w14:paraId="441160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1.1410 </w:t>
            </w:r>
          </w:p>
        </w:tc>
        <w:tc>
          <w:tcPr>
            <w:tcW w:w="793" w:type="pct"/>
            <w:shd w:val="clear" w:color="auto" w:fill="FFFFFF"/>
            <w:vAlign w:val="center"/>
          </w:tcPr>
          <w:p w14:paraId="2AE58F8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1.1340 </w:t>
            </w:r>
          </w:p>
        </w:tc>
      </w:tr>
      <w:tr w14:paraId="6DE0B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76D8065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2.6</w:t>
            </w:r>
          </w:p>
        </w:tc>
        <w:tc>
          <w:tcPr>
            <w:tcW w:w="1066" w:type="pct"/>
            <w:shd w:val="clear" w:color="auto" w:fill="FFFFFF"/>
            <w:vAlign w:val="center"/>
          </w:tcPr>
          <w:p w14:paraId="1151581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1.1446 </w:t>
            </w:r>
          </w:p>
        </w:tc>
        <w:tc>
          <w:tcPr>
            <w:tcW w:w="793" w:type="pct"/>
            <w:shd w:val="clear" w:color="auto" w:fill="FFFFFF"/>
            <w:vAlign w:val="center"/>
          </w:tcPr>
          <w:p w14:paraId="0FC7CA8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1.1217 </w:t>
            </w:r>
          </w:p>
        </w:tc>
        <w:tc>
          <w:tcPr>
            <w:tcW w:w="793" w:type="pct"/>
            <w:shd w:val="clear" w:color="auto" w:fill="FFFFFF"/>
            <w:vAlign w:val="center"/>
          </w:tcPr>
          <w:p w14:paraId="32EA96C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1.1386 </w:t>
            </w:r>
          </w:p>
        </w:tc>
        <w:tc>
          <w:tcPr>
            <w:tcW w:w="793" w:type="pct"/>
            <w:shd w:val="clear" w:color="auto" w:fill="FFFFFF"/>
            <w:vAlign w:val="center"/>
          </w:tcPr>
          <w:p w14:paraId="0776C1B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1.1543 </w:t>
            </w:r>
          </w:p>
        </w:tc>
        <w:tc>
          <w:tcPr>
            <w:tcW w:w="793" w:type="pct"/>
            <w:shd w:val="clear" w:color="auto" w:fill="FFFFFF"/>
            <w:vAlign w:val="center"/>
          </w:tcPr>
          <w:p w14:paraId="1DBAFF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1.1451 </w:t>
            </w:r>
          </w:p>
        </w:tc>
      </w:tr>
      <w:tr w14:paraId="1204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0B3F62F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2.7</w:t>
            </w:r>
          </w:p>
        </w:tc>
        <w:tc>
          <w:tcPr>
            <w:tcW w:w="1066" w:type="pct"/>
            <w:shd w:val="clear" w:color="auto" w:fill="FFFFFF"/>
            <w:vAlign w:val="center"/>
          </w:tcPr>
          <w:p w14:paraId="352D82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1.1670 </w:t>
            </w:r>
          </w:p>
        </w:tc>
        <w:tc>
          <w:tcPr>
            <w:tcW w:w="793" w:type="pct"/>
            <w:shd w:val="clear" w:color="auto" w:fill="FFFFFF"/>
            <w:vAlign w:val="center"/>
          </w:tcPr>
          <w:p w14:paraId="28B5DD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1.1404 </w:t>
            </w:r>
          </w:p>
        </w:tc>
        <w:tc>
          <w:tcPr>
            <w:tcW w:w="793" w:type="pct"/>
            <w:shd w:val="clear" w:color="auto" w:fill="FFFFFF"/>
            <w:vAlign w:val="center"/>
          </w:tcPr>
          <w:p w14:paraId="03B6133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1.1538 </w:t>
            </w:r>
          </w:p>
        </w:tc>
        <w:tc>
          <w:tcPr>
            <w:tcW w:w="793" w:type="pct"/>
            <w:shd w:val="clear" w:color="auto" w:fill="FFFFFF"/>
            <w:vAlign w:val="center"/>
          </w:tcPr>
          <w:p w14:paraId="4A040E5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1.1673 </w:t>
            </w:r>
          </w:p>
        </w:tc>
        <w:tc>
          <w:tcPr>
            <w:tcW w:w="793" w:type="pct"/>
            <w:shd w:val="clear" w:color="auto" w:fill="FFFFFF"/>
            <w:vAlign w:val="center"/>
          </w:tcPr>
          <w:p w14:paraId="42FC41A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1.1558 </w:t>
            </w:r>
          </w:p>
        </w:tc>
      </w:tr>
      <w:tr w14:paraId="20D9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07F7149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2.8</w:t>
            </w:r>
          </w:p>
        </w:tc>
        <w:tc>
          <w:tcPr>
            <w:tcW w:w="1066" w:type="pct"/>
            <w:shd w:val="clear" w:color="auto" w:fill="FFFFFF"/>
            <w:vAlign w:val="center"/>
          </w:tcPr>
          <w:p w14:paraId="2F9864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1.1891 </w:t>
            </w:r>
          </w:p>
        </w:tc>
        <w:tc>
          <w:tcPr>
            <w:tcW w:w="793" w:type="pct"/>
            <w:shd w:val="clear" w:color="auto" w:fill="FFFFFF"/>
            <w:vAlign w:val="center"/>
          </w:tcPr>
          <w:p w14:paraId="0F005AD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1.1586 </w:t>
            </w:r>
          </w:p>
        </w:tc>
        <w:tc>
          <w:tcPr>
            <w:tcW w:w="793" w:type="pct"/>
            <w:shd w:val="clear" w:color="auto" w:fill="FFFFFF"/>
            <w:vAlign w:val="center"/>
          </w:tcPr>
          <w:p w14:paraId="012628B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1.1688 </w:t>
            </w:r>
          </w:p>
        </w:tc>
        <w:tc>
          <w:tcPr>
            <w:tcW w:w="793" w:type="pct"/>
            <w:shd w:val="clear" w:color="auto" w:fill="FFFFFF"/>
            <w:vAlign w:val="center"/>
          </w:tcPr>
          <w:p w14:paraId="084ACE0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1.1799 </w:t>
            </w:r>
          </w:p>
        </w:tc>
        <w:tc>
          <w:tcPr>
            <w:tcW w:w="793" w:type="pct"/>
            <w:shd w:val="clear" w:color="auto" w:fill="FFFFFF"/>
            <w:vAlign w:val="center"/>
          </w:tcPr>
          <w:p w14:paraId="14BFDF4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1.1662 </w:t>
            </w:r>
          </w:p>
        </w:tc>
      </w:tr>
      <w:tr w14:paraId="0F97D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7874A64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4.07</w:t>
            </w:r>
          </w:p>
        </w:tc>
        <w:tc>
          <w:tcPr>
            <w:tcW w:w="1066" w:type="pct"/>
            <w:shd w:val="clear" w:color="auto" w:fill="FFFFFF"/>
            <w:vAlign w:val="center"/>
          </w:tcPr>
          <w:p w14:paraId="552212D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1.2107 </w:t>
            </w:r>
          </w:p>
        </w:tc>
        <w:tc>
          <w:tcPr>
            <w:tcW w:w="793" w:type="pct"/>
            <w:shd w:val="clear" w:color="auto" w:fill="FFFFFF"/>
            <w:vAlign w:val="center"/>
          </w:tcPr>
          <w:p w14:paraId="74822E9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1.1766 </w:t>
            </w:r>
          </w:p>
        </w:tc>
        <w:tc>
          <w:tcPr>
            <w:tcW w:w="793" w:type="pct"/>
            <w:shd w:val="clear" w:color="auto" w:fill="FFFFFF"/>
            <w:vAlign w:val="center"/>
          </w:tcPr>
          <w:p w14:paraId="30A8A34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1.1833 </w:t>
            </w:r>
          </w:p>
        </w:tc>
        <w:tc>
          <w:tcPr>
            <w:tcW w:w="793" w:type="pct"/>
            <w:shd w:val="clear" w:color="auto" w:fill="FFFFFF"/>
            <w:vAlign w:val="center"/>
          </w:tcPr>
          <w:p w14:paraId="090ACEF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1.1922 </w:t>
            </w:r>
          </w:p>
        </w:tc>
        <w:tc>
          <w:tcPr>
            <w:tcW w:w="793" w:type="pct"/>
            <w:shd w:val="clear" w:color="auto" w:fill="FFFFFF"/>
            <w:vAlign w:val="center"/>
          </w:tcPr>
          <w:p w14:paraId="14BDED9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1.1763 </w:t>
            </w:r>
          </w:p>
        </w:tc>
      </w:tr>
      <w:tr w14:paraId="0F864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5D347D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w:t>
            </w:r>
          </w:p>
        </w:tc>
        <w:tc>
          <w:tcPr>
            <w:tcW w:w="1066" w:type="pct"/>
            <w:shd w:val="clear" w:color="auto" w:fill="FFFFFF"/>
            <w:vAlign w:val="center"/>
          </w:tcPr>
          <w:p w14:paraId="1D372D1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1.2320 </w:t>
            </w:r>
          </w:p>
        </w:tc>
        <w:tc>
          <w:tcPr>
            <w:tcW w:w="793" w:type="pct"/>
            <w:shd w:val="clear" w:color="auto" w:fill="FFFFFF"/>
            <w:vAlign w:val="center"/>
          </w:tcPr>
          <w:p w14:paraId="4F4C7D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1.1942 </w:t>
            </w:r>
          </w:p>
        </w:tc>
        <w:tc>
          <w:tcPr>
            <w:tcW w:w="793" w:type="pct"/>
            <w:shd w:val="clear" w:color="auto" w:fill="FFFFFF"/>
            <w:vAlign w:val="center"/>
          </w:tcPr>
          <w:p w14:paraId="6623003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1.1975 </w:t>
            </w:r>
          </w:p>
        </w:tc>
        <w:tc>
          <w:tcPr>
            <w:tcW w:w="793" w:type="pct"/>
            <w:shd w:val="clear" w:color="auto" w:fill="FFFFFF"/>
            <w:vAlign w:val="center"/>
          </w:tcPr>
          <w:p w14:paraId="1245A2C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1.2042 </w:t>
            </w:r>
          </w:p>
        </w:tc>
        <w:tc>
          <w:tcPr>
            <w:tcW w:w="793" w:type="pct"/>
            <w:shd w:val="clear" w:color="auto" w:fill="FFFFFF"/>
            <w:vAlign w:val="center"/>
          </w:tcPr>
          <w:p w14:paraId="50EC00E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1.1862 </w:t>
            </w:r>
          </w:p>
        </w:tc>
      </w:tr>
      <w:tr w14:paraId="745DE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379DD3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3.1</w:t>
            </w:r>
          </w:p>
        </w:tc>
        <w:tc>
          <w:tcPr>
            <w:tcW w:w="1066" w:type="pct"/>
            <w:shd w:val="clear" w:color="auto" w:fill="FFFFFF"/>
            <w:vAlign w:val="center"/>
          </w:tcPr>
          <w:p w14:paraId="1DC0345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1.2530 </w:t>
            </w:r>
          </w:p>
        </w:tc>
        <w:tc>
          <w:tcPr>
            <w:tcW w:w="793" w:type="pct"/>
            <w:shd w:val="clear" w:color="auto" w:fill="FFFFFF"/>
            <w:vAlign w:val="center"/>
          </w:tcPr>
          <w:p w14:paraId="002E2F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1.2114 </w:t>
            </w:r>
          </w:p>
        </w:tc>
        <w:tc>
          <w:tcPr>
            <w:tcW w:w="793" w:type="pct"/>
            <w:shd w:val="clear" w:color="auto" w:fill="FFFFFF"/>
            <w:vAlign w:val="center"/>
          </w:tcPr>
          <w:p w14:paraId="311BB08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1.2114 </w:t>
            </w:r>
          </w:p>
        </w:tc>
        <w:tc>
          <w:tcPr>
            <w:tcW w:w="793" w:type="pct"/>
            <w:shd w:val="clear" w:color="auto" w:fill="FFFFFF"/>
            <w:vAlign w:val="center"/>
          </w:tcPr>
          <w:p w14:paraId="0779D4D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1.2160 </w:t>
            </w:r>
          </w:p>
        </w:tc>
        <w:tc>
          <w:tcPr>
            <w:tcW w:w="793" w:type="pct"/>
            <w:shd w:val="clear" w:color="auto" w:fill="FFFFFF"/>
            <w:vAlign w:val="center"/>
          </w:tcPr>
          <w:p w14:paraId="619FC8E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1.1959 </w:t>
            </w:r>
          </w:p>
        </w:tc>
      </w:tr>
      <w:tr w14:paraId="1FD1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41E5387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3.2</w:t>
            </w:r>
          </w:p>
        </w:tc>
        <w:tc>
          <w:tcPr>
            <w:tcW w:w="1066" w:type="pct"/>
            <w:shd w:val="clear" w:color="auto" w:fill="FFFFFF"/>
            <w:vAlign w:val="center"/>
          </w:tcPr>
          <w:p w14:paraId="2162466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1.2736 </w:t>
            </w:r>
          </w:p>
        </w:tc>
        <w:tc>
          <w:tcPr>
            <w:tcW w:w="793" w:type="pct"/>
            <w:shd w:val="clear" w:color="auto" w:fill="FFFFFF"/>
            <w:vAlign w:val="center"/>
          </w:tcPr>
          <w:p w14:paraId="1695B5F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1.2284 </w:t>
            </w:r>
          </w:p>
        </w:tc>
        <w:tc>
          <w:tcPr>
            <w:tcW w:w="793" w:type="pct"/>
            <w:shd w:val="clear" w:color="auto" w:fill="FFFFFF"/>
            <w:vAlign w:val="center"/>
          </w:tcPr>
          <w:p w14:paraId="49A6636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1.2250 </w:t>
            </w:r>
          </w:p>
        </w:tc>
        <w:tc>
          <w:tcPr>
            <w:tcW w:w="793" w:type="pct"/>
            <w:shd w:val="clear" w:color="auto" w:fill="FFFFFF"/>
            <w:vAlign w:val="center"/>
          </w:tcPr>
          <w:p w14:paraId="7F9DA40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1.2274 </w:t>
            </w:r>
          </w:p>
        </w:tc>
        <w:tc>
          <w:tcPr>
            <w:tcW w:w="793" w:type="pct"/>
            <w:shd w:val="clear" w:color="auto" w:fill="FFFFFF"/>
            <w:vAlign w:val="center"/>
          </w:tcPr>
          <w:p w14:paraId="5812BEA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1.2053 </w:t>
            </w:r>
          </w:p>
        </w:tc>
      </w:tr>
      <w:tr w14:paraId="6D3CD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4AF29C0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3.3</w:t>
            </w:r>
          </w:p>
        </w:tc>
        <w:tc>
          <w:tcPr>
            <w:tcW w:w="1066" w:type="pct"/>
            <w:shd w:val="clear" w:color="auto" w:fill="FFFFFF"/>
            <w:vAlign w:val="center"/>
          </w:tcPr>
          <w:p w14:paraId="4998FD7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1.2938 </w:t>
            </w:r>
          </w:p>
        </w:tc>
        <w:tc>
          <w:tcPr>
            <w:tcW w:w="793" w:type="pct"/>
            <w:shd w:val="clear" w:color="auto" w:fill="FFFFFF"/>
            <w:vAlign w:val="center"/>
          </w:tcPr>
          <w:p w14:paraId="7883351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1.2450 </w:t>
            </w:r>
          </w:p>
        </w:tc>
        <w:tc>
          <w:tcPr>
            <w:tcW w:w="793" w:type="pct"/>
            <w:shd w:val="clear" w:color="auto" w:fill="FFFFFF"/>
            <w:vAlign w:val="center"/>
          </w:tcPr>
          <w:p w14:paraId="7CC4B4C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1.2385 </w:t>
            </w:r>
          </w:p>
        </w:tc>
        <w:tc>
          <w:tcPr>
            <w:tcW w:w="793" w:type="pct"/>
            <w:shd w:val="clear" w:color="auto" w:fill="FFFFFF"/>
            <w:vAlign w:val="center"/>
          </w:tcPr>
          <w:p w14:paraId="2FF0DC9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1.2387 </w:t>
            </w:r>
          </w:p>
        </w:tc>
        <w:tc>
          <w:tcPr>
            <w:tcW w:w="793" w:type="pct"/>
            <w:shd w:val="clear" w:color="auto" w:fill="FFFFFF"/>
            <w:vAlign w:val="center"/>
          </w:tcPr>
          <w:p w14:paraId="5D8563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1.2143 </w:t>
            </w:r>
          </w:p>
        </w:tc>
      </w:tr>
      <w:tr w14:paraId="52C65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1D334CF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3.4</w:t>
            </w:r>
          </w:p>
        </w:tc>
        <w:tc>
          <w:tcPr>
            <w:tcW w:w="1066" w:type="pct"/>
            <w:shd w:val="clear" w:color="auto" w:fill="FFFFFF"/>
            <w:vAlign w:val="center"/>
          </w:tcPr>
          <w:p w14:paraId="58CCF89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1.3139 </w:t>
            </w:r>
          </w:p>
        </w:tc>
        <w:tc>
          <w:tcPr>
            <w:tcW w:w="793" w:type="pct"/>
            <w:shd w:val="clear" w:color="auto" w:fill="FFFFFF"/>
            <w:vAlign w:val="center"/>
          </w:tcPr>
          <w:p w14:paraId="5D83BFE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1.2614 </w:t>
            </w:r>
          </w:p>
        </w:tc>
        <w:tc>
          <w:tcPr>
            <w:tcW w:w="793" w:type="pct"/>
            <w:shd w:val="clear" w:color="auto" w:fill="FFFFFF"/>
            <w:vAlign w:val="center"/>
          </w:tcPr>
          <w:p w14:paraId="011C9A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1.2516 </w:t>
            </w:r>
          </w:p>
        </w:tc>
        <w:tc>
          <w:tcPr>
            <w:tcW w:w="793" w:type="pct"/>
            <w:shd w:val="clear" w:color="auto" w:fill="FFFFFF"/>
            <w:vAlign w:val="center"/>
          </w:tcPr>
          <w:p w14:paraId="015D04F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1.2497 </w:t>
            </w:r>
          </w:p>
        </w:tc>
        <w:tc>
          <w:tcPr>
            <w:tcW w:w="793" w:type="pct"/>
            <w:shd w:val="clear" w:color="auto" w:fill="FFFFFF"/>
            <w:vAlign w:val="center"/>
          </w:tcPr>
          <w:p w14:paraId="6109E32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1.2234 </w:t>
            </w:r>
          </w:p>
        </w:tc>
      </w:tr>
      <w:tr w14:paraId="47E7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68A9971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3.5</w:t>
            </w:r>
          </w:p>
        </w:tc>
        <w:tc>
          <w:tcPr>
            <w:tcW w:w="1066" w:type="pct"/>
            <w:shd w:val="clear" w:color="auto" w:fill="FFFFFF"/>
            <w:vAlign w:val="center"/>
          </w:tcPr>
          <w:p w14:paraId="2292910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1.3337 </w:t>
            </w:r>
          </w:p>
        </w:tc>
        <w:tc>
          <w:tcPr>
            <w:tcW w:w="793" w:type="pct"/>
            <w:shd w:val="clear" w:color="auto" w:fill="FFFFFF"/>
            <w:vAlign w:val="center"/>
          </w:tcPr>
          <w:p w14:paraId="7FC0F3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1.2775 </w:t>
            </w:r>
          </w:p>
        </w:tc>
        <w:tc>
          <w:tcPr>
            <w:tcW w:w="793" w:type="pct"/>
            <w:shd w:val="clear" w:color="auto" w:fill="FFFFFF"/>
            <w:vAlign w:val="center"/>
          </w:tcPr>
          <w:p w14:paraId="5D180B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1.2644 </w:t>
            </w:r>
          </w:p>
        </w:tc>
        <w:tc>
          <w:tcPr>
            <w:tcW w:w="793" w:type="pct"/>
            <w:shd w:val="clear" w:color="auto" w:fill="FFFFFF"/>
            <w:vAlign w:val="center"/>
          </w:tcPr>
          <w:p w14:paraId="7A1B6D0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1.2604 </w:t>
            </w:r>
          </w:p>
        </w:tc>
        <w:tc>
          <w:tcPr>
            <w:tcW w:w="793" w:type="pct"/>
            <w:shd w:val="clear" w:color="auto" w:fill="FFFFFF"/>
            <w:vAlign w:val="center"/>
          </w:tcPr>
          <w:p w14:paraId="47CED9D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1.2321 </w:t>
            </w:r>
          </w:p>
        </w:tc>
      </w:tr>
      <w:tr w14:paraId="01F8A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427702C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3.6</w:t>
            </w:r>
          </w:p>
        </w:tc>
        <w:tc>
          <w:tcPr>
            <w:tcW w:w="1066" w:type="pct"/>
            <w:shd w:val="clear" w:color="auto" w:fill="FFFFFF"/>
            <w:vAlign w:val="center"/>
          </w:tcPr>
          <w:p w14:paraId="541C1BD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1.3532 </w:t>
            </w:r>
          </w:p>
        </w:tc>
        <w:tc>
          <w:tcPr>
            <w:tcW w:w="793" w:type="pct"/>
            <w:shd w:val="clear" w:color="auto" w:fill="FFFFFF"/>
            <w:vAlign w:val="center"/>
          </w:tcPr>
          <w:p w14:paraId="4D6EBE4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1.2933 </w:t>
            </w:r>
          </w:p>
        </w:tc>
        <w:tc>
          <w:tcPr>
            <w:tcW w:w="793" w:type="pct"/>
            <w:shd w:val="clear" w:color="auto" w:fill="FFFFFF"/>
            <w:vAlign w:val="center"/>
          </w:tcPr>
          <w:p w14:paraId="4358AAF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1.2771 </w:t>
            </w:r>
          </w:p>
        </w:tc>
        <w:tc>
          <w:tcPr>
            <w:tcW w:w="793" w:type="pct"/>
            <w:shd w:val="clear" w:color="auto" w:fill="FFFFFF"/>
            <w:vAlign w:val="center"/>
          </w:tcPr>
          <w:p w14:paraId="6EFDCB9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1.2710 </w:t>
            </w:r>
          </w:p>
        </w:tc>
        <w:tc>
          <w:tcPr>
            <w:tcW w:w="793" w:type="pct"/>
            <w:shd w:val="clear" w:color="auto" w:fill="FFFFFF"/>
            <w:vAlign w:val="center"/>
          </w:tcPr>
          <w:p w14:paraId="4F75606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1.2407 </w:t>
            </w:r>
          </w:p>
        </w:tc>
      </w:tr>
      <w:tr w14:paraId="13E8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491A8A7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3.7</w:t>
            </w:r>
          </w:p>
        </w:tc>
        <w:tc>
          <w:tcPr>
            <w:tcW w:w="1066" w:type="pct"/>
            <w:shd w:val="clear" w:color="auto" w:fill="FFFFFF"/>
            <w:vAlign w:val="center"/>
          </w:tcPr>
          <w:p w14:paraId="28BC91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1.3723 </w:t>
            </w:r>
          </w:p>
        </w:tc>
        <w:tc>
          <w:tcPr>
            <w:tcW w:w="793" w:type="pct"/>
            <w:shd w:val="clear" w:color="auto" w:fill="FFFFFF"/>
            <w:vAlign w:val="center"/>
          </w:tcPr>
          <w:p w14:paraId="6669F8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1.3089 </w:t>
            </w:r>
          </w:p>
        </w:tc>
        <w:tc>
          <w:tcPr>
            <w:tcW w:w="793" w:type="pct"/>
            <w:shd w:val="clear" w:color="auto" w:fill="FFFFFF"/>
            <w:vAlign w:val="center"/>
          </w:tcPr>
          <w:p w14:paraId="342D69D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1.2895 </w:t>
            </w:r>
          </w:p>
        </w:tc>
        <w:tc>
          <w:tcPr>
            <w:tcW w:w="793" w:type="pct"/>
            <w:shd w:val="clear" w:color="auto" w:fill="FFFFFF"/>
            <w:vAlign w:val="center"/>
          </w:tcPr>
          <w:p w14:paraId="778E0DD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1.2812 </w:t>
            </w:r>
          </w:p>
        </w:tc>
        <w:tc>
          <w:tcPr>
            <w:tcW w:w="793" w:type="pct"/>
            <w:shd w:val="clear" w:color="auto" w:fill="FFFFFF"/>
            <w:vAlign w:val="center"/>
          </w:tcPr>
          <w:p w14:paraId="00F8C79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1.2491 </w:t>
            </w:r>
          </w:p>
        </w:tc>
      </w:tr>
      <w:tr w14:paraId="4DAD5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501245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3.8</w:t>
            </w:r>
          </w:p>
        </w:tc>
        <w:tc>
          <w:tcPr>
            <w:tcW w:w="1066" w:type="pct"/>
            <w:shd w:val="clear" w:color="auto" w:fill="FFFFFF"/>
            <w:vAlign w:val="center"/>
          </w:tcPr>
          <w:p w14:paraId="3CBE408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1.3912 </w:t>
            </w:r>
          </w:p>
        </w:tc>
        <w:tc>
          <w:tcPr>
            <w:tcW w:w="793" w:type="pct"/>
            <w:shd w:val="clear" w:color="auto" w:fill="FFFFFF"/>
            <w:vAlign w:val="center"/>
          </w:tcPr>
          <w:p w14:paraId="49430D5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1.3243 </w:t>
            </w:r>
          </w:p>
        </w:tc>
        <w:tc>
          <w:tcPr>
            <w:tcW w:w="793" w:type="pct"/>
            <w:shd w:val="clear" w:color="auto" w:fill="FFFFFF"/>
            <w:vAlign w:val="center"/>
          </w:tcPr>
          <w:p w14:paraId="74B567E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1.3017 </w:t>
            </w:r>
          </w:p>
        </w:tc>
        <w:tc>
          <w:tcPr>
            <w:tcW w:w="793" w:type="pct"/>
            <w:shd w:val="clear" w:color="auto" w:fill="FFFFFF"/>
            <w:vAlign w:val="center"/>
          </w:tcPr>
          <w:p w14:paraId="26AE345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1.2915 </w:t>
            </w:r>
          </w:p>
        </w:tc>
        <w:tc>
          <w:tcPr>
            <w:tcW w:w="793" w:type="pct"/>
            <w:shd w:val="clear" w:color="auto" w:fill="FFFFFF"/>
            <w:vAlign w:val="center"/>
          </w:tcPr>
          <w:p w14:paraId="1B44906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1.2574 </w:t>
            </w:r>
          </w:p>
        </w:tc>
      </w:tr>
      <w:tr w14:paraId="2EFA1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434D99F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3.9</w:t>
            </w:r>
          </w:p>
        </w:tc>
        <w:tc>
          <w:tcPr>
            <w:tcW w:w="1066" w:type="pct"/>
            <w:shd w:val="clear" w:color="auto" w:fill="FFFFFF"/>
            <w:vAlign w:val="center"/>
          </w:tcPr>
          <w:p w14:paraId="59A7EE1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1.4100 </w:t>
            </w:r>
          </w:p>
        </w:tc>
        <w:tc>
          <w:tcPr>
            <w:tcW w:w="793" w:type="pct"/>
            <w:shd w:val="clear" w:color="auto" w:fill="FFFFFF"/>
            <w:vAlign w:val="center"/>
          </w:tcPr>
          <w:p w14:paraId="2FFF766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1.3394 </w:t>
            </w:r>
          </w:p>
        </w:tc>
        <w:tc>
          <w:tcPr>
            <w:tcW w:w="793" w:type="pct"/>
            <w:shd w:val="clear" w:color="auto" w:fill="FFFFFF"/>
            <w:vAlign w:val="center"/>
          </w:tcPr>
          <w:p w14:paraId="08DC7F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1.3137 </w:t>
            </w:r>
          </w:p>
        </w:tc>
        <w:tc>
          <w:tcPr>
            <w:tcW w:w="793" w:type="pct"/>
            <w:shd w:val="clear" w:color="auto" w:fill="FFFFFF"/>
            <w:vAlign w:val="center"/>
          </w:tcPr>
          <w:p w14:paraId="3F52BA6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1.3014 </w:t>
            </w:r>
          </w:p>
        </w:tc>
        <w:tc>
          <w:tcPr>
            <w:tcW w:w="793" w:type="pct"/>
            <w:shd w:val="clear" w:color="auto" w:fill="FFFFFF"/>
            <w:vAlign w:val="center"/>
          </w:tcPr>
          <w:p w14:paraId="6E2FFDD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1.2655 </w:t>
            </w:r>
          </w:p>
        </w:tc>
      </w:tr>
      <w:tr w14:paraId="486D6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2177C66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w:t>
            </w:r>
          </w:p>
        </w:tc>
        <w:tc>
          <w:tcPr>
            <w:tcW w:w="1066" w:type="pct"/>
            <w:shd w:val="clear" w:color="auto" w:fill="FFFFFF"/>
            <w:vAlign w:val="center"/>
          </w:tcPr>
          <w:p w14:paraId="23C04A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1.4286 </w:t>
            </w:r>
          </w:p>
        </w:tc>
        <w:tc>
          <w:tcPr>
            <w:tcW w:w="793" w:type="pct"/>
            <w:shd w:val="clear" w:color="auto" w:fill="FFFFFF"/>
            <w:vAlign w:val="center"/>
          </w:tcPr>
          <w:p w14:paraId="7E33FA6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1.3543 </w:t>
            </w:r>
          </w:p>
        </w:tc>
        <w:tc>
          <w:tcPr>
            <w:tcW w:w="793" w:type="pct"/>
            <w:shd w:val="clear" w:color="auto" w:fill="FFFFFF"/>
            <w:vAlign w:val="center"/>
          </w:tcPr>
          <w:p w14:paraId="7D9168F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1.3254 </w:t>
            </w:r>
          </w:p>
        </w:tc>
        <w:tc>
          <w:tcPr>
            <w:tcW w:w="793" w:type="pct"/>
            <w:shd w:val="clear" w:color="auto" w:fill="FFFFFF"/>
            <w:vAlign w:val="center"/>
          </w:tcPr>
          <w:p w14:paraId="7DD4A2A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1.3111 </w:t>
            </w:r>
          </w:p>
        </w:tc>
        <w:tc>
          <w:tcPr>
            <w:tcW w:w="793" w:type="pct"/>
            <w:shd w:val="clear" w:color="auto" w:fill="FFFFFF"/>
            <w:vAlign w:val="center"/>
          </w:tcPr>
          <w:p w14:paraId="6433122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1.2734 </w:t>
            </w:r>
          </w:p>
        </w:tc>
      </w:tr>
      <w:tr w14:paraId="58D4D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1EAD3D0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4.1</w:t>
            </w:r>
          </w:p>
        </w:tc>
        <w:tc>
          <w:tcPr>
            <w:tcW w:w="1066" w:type="pct"/>
            <w:shd w:val="clear" w:color="auto" w:fill="FFFFFF"/>
            <w:vAlign w:val="center"/>
          </w:tcPr>
          <w:p w14:paraId="76E4CA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1.4468 </w:t>
            </w:r>
          </w:p>
        </w:tc>
        <w:tc>
          <w:tcPr>
            <w:tcW w:w="793" w:type="pct"/>
            <w:shd w:val="clear" w:color="auto" w:fill="FFFFFF"/>
            <w:vAlign w:val="center"/>
          </w:tcPr>
          <w:p w14:paraId="4B598E5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1.3691 </w:t>
            </w:r>
          </w:p>
        </w:tc>
        <w:tc>
          <w:tcPr>
            <w:tcW w:w="793" w:type="pct"/>
            <w:shd w:val="clear" w:color="auto" w:fill="FFFFFF"/>
            <w:vAlign w:val="center"/>
          </w:tcPr>
          <w:p w14:paraId="64DB527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1.3371 </w:t>
            </w:r>
          </w:p>
        </w:tc>
        <w:tc>
          <w:tcPr>
            <w:tcW w:w="793" w:type="pct"/>
            <w:shd w:val="clear" w:color="auto" w:fill="FFFFFF"/>
            <w:vAlign w:val="center"/>
          </w:tcPr>
          <w:p w14:paraId="50B4A5D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1.3208 </w:t>
            </w:r>
          </w:p>
        </w:tc>
        <w:tc>
          <w:tcPr>
            <w:tcW w:w="793" w:type="pct"/>
            <w:shd w:val="clear" w:color="auto" w:fill="FFFFFF"/>
            <w:vAlign w:val="center"/>
          </w:tcPr>
          <w:p w14:paraId="6B59C0A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1.2811 </w:t>
            </w:r>
          </w:p>
        </w:tc>
      </w:tr>
      <w:tr w14:paraId="39E53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0DED33D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4.2</w:t>
            </w:r>
          </w:p>
        </w:tc>
        <w:tc>
          <w:tcPr>
            <w:tcW w:w="1066" w:type="pct"/>
            <w:shd w:val="clear" w:color="auto" w:fill="FFFFFF"/>
            <w:vAlign w:val="center"/>
          </w:tcPr>
          <w:p w14:paraId="45C7EA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1.4648 </w:t>
            </w:r>
          </w:p>
        </w:tc>
        <w:tc>
          <w:tcPr>
            <w:tcW w:w="793" w:type="pct"/>
            <w:shd w:val="clear" w:color="auto" w:fill="FFFFFF"/>
            <w:vAlign w:val="center"/>
          </w:tcPr>
          <w:p w14:paraId="32D82F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1.3835 </w:t>
            </w:r>
          </w:p>
        </w:tc>
        <w:tc>
          <w:tcPr>
            <w:tcW w:w="793" w:type="pct"/>
            <w:shd w:val="clear" w:color="auto" w:fill="FFFFFF"/>
            <w:vAlign w:val="center"/>
          </w:tcPr>
          <w:p w14:paraId="6006F58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1.3484 </w:t>
            </w:r>
          </w:p>
        </w:tc>
        <w:tc>
          <w:tcPr>
            <w:tcW w:w="793" w:type="pct"/>
            <w:shd w:val="clear" w:color="auto" w:fill="FFFFFF"/>
            <w:vAlign w:val="center"/>
          </w:tcPr>
          <w:p w14:paraId="00FC67A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1.3301 </w:t>
            </w:r>
          </w:p>
        </w:tc>
        <w:tc>
          <w:tcPr>
            <w:tcW w:w="793" w:type="pct"/>
            <w:shd w:val="clear" w:color="auto" w:fill="FFFFFF"/>
            <w:vAlign w:val="center"/>
          </w:tcPr>
          <w:p w14:paraId="7B51561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1.2888 </w:t>
            </w:r>
          </w:p>
        </w:tc>
      </w:tr>
      <w:tr w14:paraId="59EF5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1769630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4.3</w:t>
            </w:r>
          </w:p>
        </w:tc>
        <w:tc>
          <w:tcPr>
            <w:tcW w:w="1066" w:type="pct"/>
            <w:shd w:val="clear" w:color="auto" w:fill="FFFFFF"/>
            <w:vAlign w:val="center"/>
          </w:tcPr>
          <w:p w14:paraId="43BFD1E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1.4826 </w:t>
            </w:r>
          </w:p>
        </w:tc>
        <w:tc>
          <w:tcPr>
            <w:tcW w:w="793" w:type="pct"/>
            <w:shd w:val="clear" w:color="auto" w:fill="FFFFFF"/>
            <w:vAlign w:val="center"/>
          </w:tcPr>
          <w:p w14:paraId="19E3310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1.3978 </w:t>
            </w:r>
          </w:p>
        </w:tc>
        <w:tc>
          <w:tcPr>
            <w:tcW w:w="793" w:type="pct"/>
            <w:shd w:val="clear" w:color="auto" w:fill="FFFFFF"/>
            <w:vAlign w:val="center"/>
          </w:tcPr>
          <w:p w14:paraId="3768A79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1.3596 </w:t>
            </w:r>
          </w:p>
        </w:tc>
        <w:tc>
          <w:tcPr>
            <w:tcW w:w="793" w:type="pct"/>
            <w:shd w:val="clear" w:color="auto" w:fill="FFFFFF"/>
            <w:vAlign w:val="center"/>
          </w:tcPr>
          <w:p w14:paraId="69272B7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1.3394 </w:t>
            </w:r>
          </w:p>
        </w:tc>
        <w:tc>
          <w:tcPr>
            <w:tcW w:w="793" w:type="pct"/>
            <w:shd w:val="clear" w:color="auto" w:fill="FFFFFF"/>
            <w:vAlign w:val="center"/>
          </w:tcPr>
          <w:p w14:paraId="2522227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1.2962 </w:t>
            </w:r>
          </w:p>
        </w:tc>
      </w:tr>
      <w:tr w14:paraId="250F8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1E28C14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4.4</w:t>
            </w:r>
          </w:p>
        </w:tc>
        <w:tc>
          <w:tcPr>
            <w:tcW w:w="1066" w:type="pct"/>
            <w:shd w:val="clear" w:color="auto" w:fill="FFFFFF"/>
            <w:vAlign w:val="center"/>
          </w:tcPr>
          <w:p w14:paraId="1ED9DAB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1.5004 </w:t>
            </w:r>
          </w:p>
        </w:tc>
        <w:tc>
          <w:tcPr>
            <w:tcW w:w="793" w:type="pct"/>
            <w:shd w:val="clear" w:color="auto" w:fill="FFFFFF"/>
            <w:vAlign w:val="center"/>
          </w:tcPr>
          <w:p w14:paraId="4EB7315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1.4120 </w:t>
            </w:r>
          </w:p>
        </w:tc>
        <w:tc>
          <w:tcPr>
            <w:tcW w:w="793" w:type="pct"/>
            <w:shd w:val="clear" w:color="auto" w:fill="FFFFFF"/>
            <w:vAlign w:val="center"/>
          </w:tcPr>
          <w:p w14:paraId="0194BF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1.3708 </w:t>
            </w:r>
          </w:p>
        </w:tc>
        <w:tc>
          <w:tcPr>
            <w:tcW w:w="793" w:type="pct"/>
            <w:shd w:val="clear" w:color="auto" w:fill="FFFFFF"/>
            <w:vAlign w:val="center"/>
          </w:tcPr>
          <w:p w14:paraId="3A04584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1.3486 </w:t>
            </w:r>
          </w:p>
        </w:tc>
        <w:tc>
          <w:tcPr>
            <w:tcW w:w="793" w:type="pct"/>
            <w:shd w:val="clear" w:color="auto" w:fill="FFFFFF"/>
            <w:vAlign w:val="center"/>
          </w:tcPr>
          <w:p w14:paraId="197AF6F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1.3036 </w:t>
            </w:r>
          </w:p>
        </w:tc>
      </w:tr>
      <w:tr w14:paraId="4C795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02B8EAA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4.5</w:t>
            </w:r>
          </w:p>
        </w:tc>
        <w:tc>
          <w:tcPr>
            <w:tcW w:w="1066" w:type="pct"/>
            <w:shd w:val="clear" w:color="auto" w:fill="FFFFFF"/>
            <w:vAlign w:val="center"/>
          </w:tcPr>
          <w:p w14:paraId="4EFEB8E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1.5177 </w:t>
            </w:r>
          </w:p>
        </w:tc>
        <w:tc>
          <w:tcPr>
            <w:tcW w:w="793" w:type="pct"/>
            <w:shd w:val="clear" w:color="auto" w:fill="FFFFFF"/>
            <w:vAlign w:val="center"/>
          </w:tcPr>
          <w:p w14:paraId="5FE1EE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1.4259 </w:t>
            </w:r>
          </w:p>
        </w:tc>
        <w:tc>
          <w:tcPr>
            <w:tcW w:w="793" w:type="pct"/>
            <w:shd w:val="clear" w:color="auto" w:fill="FFFFFF"/>
            <w:vAlign w:val="center"/>
          </w:tcPr>
          <w:p w14:paraId="1AD11FF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1.3816 </w:t>
            </w:r>
          </w:p>
        </w:tc>
        <w:tc>
          <w:tcPr>
            <w:tcW w:w="793" w:type="pct"/>
            <w:shd w:val="clear" w:color="auto" w:fill="FFFFFF"/>
            <w:vAlign w:val="center"/>
          </w:tcPr>
          <w:p w14:paraId="3E3CDDD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1.3576 </w:t>
            </w:r>
          </w:p>
        </w:tc>
        <w:tc>
          <w:tcPr>
            <w:tcW w:w="793" w:type="pct"/>
            <w:shd w:val="clear" w:color="auto" w:fill="FFFFFF"/>
            <w:vAlign w:val="center"/>
          </w:tcPr>
          <w:p w14:paraId="7107538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1.3108 </w:t>
            </w:r>
          </w:p>
        </w:tc>
      </w:tr>
      <w:tr w14:paraId="1DA4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657C9FE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4.6</w:t>
            </w:r>
          </w:p>
        </w:tc>
        <w:tc>
          <w:tcPr>
            <w:tcW w:w="1066" w:type="pct"/>
            <w:shd w:val="clear" w:color="auto" w:fill="FFFFFF"/>
            <w:vAlign w:val="center"/>
          </w:tcPr>
          <w:p w14:paraId="3CB1876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1.5349 </w:t>
            </w:r>
          </w:p>
        </w:tc>
        <w:tc>
          <w:tcPr>
            <w:tcW w:w="793" w:type="pct"/>
            <w:shd w:val="clear" w:color="auto" w:fill="FFFFFF"/>
            <w:vAlign w:val="center"/>
          </w:tcPr>
          <w:p w14:paraId="047CA41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1.4397 </w:t>
            </w:r>
          </w:p>
        </w:tc>
        <w:tc>
          <w:tcPr>
            <w:tcW w:w="793" w:type="pct"/>
            <w:shd w:val="clear" w:color="auto" w:fill="FFFFFF"/>
            <w:vAlign w:val="center"/>
          </w:tcPr>
          <w:p w14:paraId="4489C4D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1.3924 </w:t>
            </w:r>
          </w:p>
        </w:tc>
        <w:tc>
          <w:tcPr>
            <w:tcW w:w="793" w:type="pct"/>
            <w:shd w:val="clear" w:color="auto" w:fill="FFFFFF"/>
            <w:vAlign w:val="center"/>
          </w:tcPr>
          <w:p w14:paraId="5E693F3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1.3665 </w:t>
            </w:r>
          </w:p>
        </w:tc>
        <w:tc>
          <w:tcPr>
            <w:tcW w:w="793" w:type="pct"/>
            <w:shd w:val="clear" w:color="auto" w:fill="FFFFFF"/>
            <w:vAlign w:val="center"/>
          </w:tcPr>
          <w:p w14:paraId="4426C6F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1.3180 </w:t>
            </w:r>
          </w:p>
        </w:tc>
      </w:tr>
      <w:tr w14:paraId="05B7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64C082D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4.7</w:t>
            </w:r>
          </w:p>
        </w:tc>
        <w:tc>
          <w:tcPr>
            <w:tcW w:w="1066" w:type="pct"/>
            <w:shd w:val="clear" w:color="auto" w:fill="FFFFFF"/>
            <w:vAlign w:val="center"/>
          </w:tcPr>
          <w:p w14:paraId="482CF2D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1.5521 </w:t>
            </w:r>
          </w:p>
        </w:tc>
        <w:tc>
          <w:tcPr>
            <w:tcW w:w="793" w:type="pct"/>
            <w:shd w:val="clear" w:color="auto" w:fill="FFFFFF"/>
            <w:vAlign w:val="center"/>
          </w:tcPr>
          <w:p w14:paraId="5F73F8A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1.4533 </w:t>
            </w:r>
          </w:p>
        </w:tc>
        <w:tc>
          <w:tcPr>
            <w:tcW w:w="793" w:type="pct"/>
            <w:shd w:val="clear" w:color="auto" w:fill="FFFFFF"/>
            <w:vAlign w:val="center"/>
          </w:tcPr>
          <w:p w14:paraId="6D7BB49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1.4031 </w:t>
            </w:r>
          </w:p>
        </w:tc>
        <w:tc>
          <w:tcPr>
            <w:tcW w:w="793" w:type="pct"/>
            <w:shd w:val="clear" w:color="auto" w:fill="FFFFFF"/>
            <w:vAlign w:val="center"/>
          </w:tcPr>
          <w:p w14:paraId="2949779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1.3751 </w:t>
            </w:r>
          </w:p>
        </w:tc>
        <w:tc>
          <w:tcPr>
            <w:tcW w:w="793" w:type="pct"/>
            <w:shd w:val="clear" w:color="auto" w:fill="FFFFFF"/>
            <w:vAlign w:val="center"/>
          </w:tcPr>
          <w:p w14:paraId="25F87B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1.3250 </w:t>
            </w:r>
          </w:p>
        </w:tc>
      </w:tr>
      <w:tr w14:paraId="71DFD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6071797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4.8</w:t>
            </w:r>
          </w:p>
        </w:tc>
        <w:tc>
          <w:tcPr>
            <w:tcW w:w="1066" w:type="pct"/>
            <w:shd w:val="clear" w:color="auto" w:fill="FFFFFF"/>
            <w:vAlign w:val="center"/>
          </w:tcPr>
          <w:p w14:paraId="4FE982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1.5689 </w:t>
            </w:r>
          </w:p>
        </w:tc>
        <w:tc>
          <w:tcPr>
            <w:tcW w:w="793" w:type="pct"/>
            <w:shd w:val="clear" w:color="auto" w:fill="FFFFFF"/>
            <w:vAlign w:val="center"/>
          </w:tcPr>
          <w:p w14:paraId="5429A76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1.4667 </w:t>
            </w:r>
          </w:p>
        </w:tc>
        <w:tc>
          <w:tcPr>
            <w:tcW w:w="793" w:type="pct"/>
            <w:shd w:val="clear" w:color="auto" w:fill="FFFFFF"/>
            <w:vAlign w:val="center"/>
          </w:tcPr>
          <w:p w14:paraId="5C41A8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1.4134 </w:t>
            </w:r>
          </w:p>
        </w:tc>
        <w:tc>
          <w:tcPr>
            <w:tcW w:w="793" w:type="pct"/>
            <w:shd w:val="clear" w:color="auto" w:fill="FFFFFF"/>
            <w:vAlign w:val="center"/>
          </w:tcPr>
          <w:p w14:paraId="562DCC1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1.3837 </w:t>
            </w:r>
          </w:p>
        </w:tc>
        <w:tc>
          <w:tcPr>
            <w:tcW w:w="793" w:type="pct"/>
            <w:shd w:val="clear" w:color="auto" w:fill="FFFFFF"/>
            <w:vAlign w:val="center"/>
          </w:tcPr>
          <w:p w14:paraId="6ABA91A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1.3319 </w:t>
            </w:r>
          </w:p>
        </w:tc>
      </w:tr>
      <w:tr w14:paraId="7A2D6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06" w:hRule="atLeast"/>
          <w:jc w:val="center"/>
        </w:trPr>
        <w:tc>
          <w:tcPr>
            <w:tcW w:w="759" w:type="pct"/>
            <w:shd w:val="clear" w:color="auto" w:fill="FFFFFF"/>
            <w:vAlign w:val="center"/>
          </w:tcPr>
          <w:p w14:paraId="2BBFFB5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4.9</w:t>
            </w:r>
          </w:p>
        </w:tc>
        <w:tc>
          <w:tcPr>
            <w:tcW w:w="1066" w:type="pct"/>
            <w:shd w:val="clear" w:color="auto" w:fill="FFFFFF"/>
            <w:vAlign w:val="center"/>
          </w:tcPr>
          <w:p w14:paraId="5000254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1.5858 </w:t>
            </w:r>
          </w:p>
        </w:tc>
        <w:tc>
          <w:tcPr>
            <w:tcW w:w="793" w:type="pct"/>
            <w:shd w:val="clear" w:color="auto" w:fill="FFFFFF"/>
            <w:vAlign w:val="center"/>
          </w:tcPr>
          <w:p w14:paraId="33E916E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1.4799 </w:t>
            </w:r>
          </w:p>
        </w:tc>
        <w:tc>
          <w:tcPr>
            <w:tcW w:w="793" w:type="pct"/>
            <w:shd w:val="clear" w:color="auto" w:fill="FFFFFF"/>
            <w:vAlign w:val="center"/>
          </w:tcPr>
          <w:p w14:paraId="586F8A9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1.4239 </w:t>
            </w:r>
          </w:p>
        </w:tc>
        <w:tc>
          <w:tcPr>
            <w:tcW w:w="793" w:type="pct"/>
            <w:shd w:val="clear" w:color="auto" w:fill="FFFFFF"/>
            <w:vAlign w:val="center"/>
          </w:tcPr>
          <w:p w14:paraId="365AEA1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1.3922 </w:t>
            </w:r>
          </w:p>
        </w:tc>
        <w:tc>
          <w:tcPr>
            <w:tcW w:w="793" w:type="pct"/>
            <w:shd w:val="clear" w:color="auto" w:fill="FFFFFF"/>
            <w:vAlign w:val="center"/>
          </w:tcPr>
          <w:p w14:paraId="19D78F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1.3387 </w:t>
            </w:r>
          </w:p>
        </w:tc>
      </w:tr>
      <w:tr w14:paraId="0843A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jc w:val="center"/>
        </w:trPr>
        <w:tc>
          <w:tcPr>
            <w:tcW w:w="759" w:type="pct"/>
            <w:shd w:val="clear" w:color="auto" w:fill="FFFFFF"/>
            <w:vAlign w:val="center"/>
          </w:tcPr>
          <w:p w14:paraId="36A4BE5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≥5</w:t>
            </w:r>
          </w:p>
        </w:tc>
        <w:tc>
          <w:tcPr>
            <w:tcW w:w="1066" w:type="pct"/>
            <w:shd w:val="clear" w:color="auto" w:fill="FFFFFF"/>
            <w:vAlign w:val="center"/>
          </w:tcPr>
          <w:p w14:paraId="0CEC116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1.6023 </w:t>
            </w:r>
          </w:p>
        </w:tc>
        <w:tc>
          <w:tcPr>
            <w:tcW w:w="793" w:type="pct"/>
            <w:shd w:val="clear" w:color="auto" w:fill="FFFFFF"/>
            <w:vAlign w:val="center"/>
          </w:tcPr>
          <w:p w14:paraId="71E2088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1.4932 </w:t>
            </w:r>
          </w:p>
        </w:tc>
        <w:tc>
          <w:tcPr>
            <w:tcW w:w="793" w:type="pct"/>
            <w:shd w:val="clear" w:color="auto" w:fill="FFFFFF"/>
            <w:vAlign w:val="center"/>
          </w:tcPr>
          <w:p w14:paraId="78CED41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1.4341 </w:t>
            </w:r>
          </w:p>
        </w:tc>
        <w:tc>
          <w:tcPr>
            <w:tcW w:w="793" w:type="pct"/>
            <w:shd w:val="clear" w:color="auto" w:fill="FFFFFF"/>
            <w:vAlign w:val="center"/>
          </w:tcPr>
          <w:p w14:paraId="3DED30A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auto"/>
                <w:sz w:val="20"/>
                <w:szCs w:val="20"/>
                <w:highlight w:val="none"/>
                <w:u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1.4006 </w:t>
            </w:r>
          </w:p>
        </w:tc>
        <w:tc>
          <w:tcPr>
            <w:tcW w:w="793" w:type="pct"/>
            <w:shd w:val="clear" w:color="auto" w:fill="FFFFFF"/>
            <w:vAlign w:val="center"/>
          </w:tcPr>
          <w:p w14:paraId="15E392D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snapToGrid w:val="0"/>
                <w:color w:val="auto"/>
                <w:kern w:val="0"/>
                <w:sz w:val="20"/>
                <w:szCs w:val="20"/>
                <w:highlight w:val="none"/>
                <w:u w:val="none"/>
                <w:lang w:val="en-US" w:eastAsia="zh-CN"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1.3454 </w:t>
            </w:r>
          </w:p>
        </w:tc>
      </w:tr>
    </w:tbl>
    <w:p w14:paraId="141E48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sz w:val="28"/>
          <w:szCs w:val="28"/>
          <w:highlight w:val="none"/>
          <w:lang w:val="de-DE"/>
        </w:rPr>
      </w:pPr>
      <w:r>
        <w:rPr>
          <w:rFonts w:hint="eastAsia" w:ascii="仿宋_GB2312" w:hAnsi="仿宋_GB2312" w:eastAsia="仿宋_GB2312" w:cs="仿宋_GB2312"/>
          <w:sz w:val="28"/>
          <w:szCs w:val="28"/>
          <w:highlight w:val="none"/>
          <w:lang w:val="de-DE"/>
        </w:rPr>
        <w:t>5、土地使用年期修正系数（Ky）的确定</w:t>
      </w:r>
    </w:p>
    <w:p w14:paraId="34BCC5F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zh-CN"/>
        </w:rPr>
        <w:t>通道县出让基准地价设定的土地使用年期为各用途土地法定出让最高使用年期，</w:t>
      </w:r>
      <w:r>
        <w:rPr>
          <w:rFonts w:hint="eastAsia" w:ascii="仿宋_GB2312" w:hAnsi="仿宋_GB2312" w:eastAsia="仿宋_GB2312" w:cs="仿宋_GB2312"/>
          <w:color w:val="000000"/>
          <w:sz w:val="28"/>
          <w:highlight w:val="none"/>
        </w:rPr>
        <w:t>为</w:t>
      </w:r>
      <w:r>
        <w:rPr>
          <w:rFonts w:hint="eastAsia" w:ascii="仿宋_GB2312" w:hAnsi="仿宋_GB2312" w:eastAsia="仿宋_GB2312" w:cs="仿宋_GB2312"/>
          <w:color w:val="000000"/>
          <w:sz w:val="28"/>
          <w:highlight w:val="none"/>
          <w:lang w:val="en-US" w:eastAsia="zh-CN"/>
        </w:rPr>
        <w:t>商服用地40年、</w:t>
      </w:r>
      <w:r>
        <w:rPr>
          <w:rFonts w:hint="eastAsia" w:ascii="仿宋_GB2312" w:hAnsi="仿宋_GB2312" w:eastAsia="仿宋_GB2312" w:cs="仿宋_GB2312"/>
          <w:color w:val="000000"/>
          <w:sz w:val="28"/>
          <w:highlight w:val="none"/>
        </w:rPr>
        <w:t>住宅用地</w:t>
      </w:r>
      <w:r>
        <w:rPr>
          <w:rFonts w:hint="eastAsia" w:ascii="仿宋_GB2312" w:hAnsi="仿宋_GB2312" w:eastAsia="仿宋_GB2312" w:cs="仿宋_GB2312"/>
          <w:color w:val="000000"/>
          <w:sz w:val="28"/>
          <w:highlight w:val="none"/>
          <w:lang w:val="en-US" w:eastAsia="zh-CN"/>
        </w:rPr>
        <w:t>70</w:t>
      </w:r>
      <w:r>
        <w:rPr>
          <w:rFonts w:hint="eastAsia" w:ascii="仿宋_GB2312" w:hAnsi="仿宋_GB2312" w:eastAsia="仿宋_GB2312" w:cs="仿宋_GB2312"/>
          <w:color w:val="000000"/>
          <w:sz w:val="28"/>
          <w:highlight w:val="none"/>
          <w:lang w:eastAsia="zh-CN"/>
        </w:rPr>
        <w:t>年</w:t>
      </w:r>
      <w:r>
        <w:rPr>
          <w:rFonts w:hint="eastAsia" w:ascii="仿宋_GB2312" w:hAnsi="仿宋_GB2312" w:eastAsia="仿宋_GB2312" w:cs="仿宋_GB2312"/>
          <w:color w:val="000000"/>
          <w:sz w:val="28"/>
          <w:highlight w:val="none"/>
        </w:rPr>
        <w:t>；</w:t>
      </w:r>
      <w:r>
        <w:rPr>
          <w:rFonts w:hint="eastAsia" w:ascii="仿宋_GB2312" w:hAnsi="仿宋_GB2312" w:eastAsia="仿宋_GB2312" w:cs="仿宋_GB2312"/>
          <w:sz w:val="28"/>
          <w:szCs w:val="28"/>
          <w:highlight w:val="none"/>
        </w:rPr>
        <w:t>此次</w:t>
      </w:r>
      <w:r>
        <w:rPr>
          <w:rFonts w:hint="eastAsia" w:ascii="仿宋_GB2312" w:hAnsi="仿宋_GB2312" w:eastAsia="仿宋_GB2312" w:cs="仿宋_GB2312"/>
          <w:sz w:val="28"/>
          <w:szCs w:val="28"/>
          <w:highlight w:val="none"/>
          <w:lang w:val="zh-CN"/>
        </w:rPr>
        <w:t>评估设定</w:t>
      </w:r>
      <w:r>
        <w:rPr>
          <w:rFonts w:hint="eastAsia" w:ascii="仿宋_GB2312" w:hAnsi="仿宋_GB2312" w:eastAsia="仿宋_GB2312" w:cs="仿宋_GB2312"/>
          <w:sz w:val="28"/>
          <w:highlight w:val="none"/>
        </w:rPr>
        <w:t>宗地的</w:t>
      </w:r>
      <w:r>
        <w:rPr>
          <w:rFonts w:hint="eastAsia" w:ascii="仿宋_GB2312" w:hAnsi="仿宋_GB2312" w:eastAsia="仿宋_GB2312" w:cs="仿宋_GB2312"/>
          <w:sz w:val="28"/>
          <w:highlight w:val="none"/>
          <w:lang w:eastAsia="zh-CN"/>
        </w:rPr>
        <w:t>出让</w:t>
      </w:r>
      <w:r>
        <w:rPr>
          <w:rFonts w:hint="eastAsia" w:ascii="仿宋_GB2312" w:hAnsi="仿宋_GB2312" w:eastAsia="仿宋_GB2312" w:cs="仿宋_GB2312"/>
          <w:sz w:val="28"/>
          <w:highlight w:val="none"/>
        </w:rPr>
        <w:t>土地使用权</w:t>
      </w:r>
      <w:r>
        <w:rPr>
          <w:rFonts w:hint="eastAsia" w:ascii="仿宋_GB2312" w:hAnsi="仿宋_GB2312" w:eastAsia="仿宋_GB2312" w:cs="仿宋_GB2312"/>
          <w:sz w:val="28"/>
          <w:szCs w:val="28"/>
          <w:highlight w:val="none"/>
          <w:lang w:val="zh-CN"/>
        </w:rPr>
        <w:t>土地使用年期为</w:t>
      </w:r>
      <w:r>
        <w:rPr>
          <w:rFonts w:hint="eastAsia" w:ascii="仿宋_GB2312" w:hAnsi="仿宋_GB2312" w:eastAsia="仿宋_GB2312" w:cs="仿宋_GB2312"/>
          <w:color w:val="000000"/>
          <w:sz w:val="28"/>
          <w:highlight w:val="none"/>
          <w:lang w:val="en-US" w:eastAsia="zh-CN"/>
        </w:rPr>
        <w:t>商服用地40年、</w:t>
      </w:r>
      <w:r>
        <w:rPr>
          <w:rFonts w:hint="eastAsia" w:ascii="仿宋_GB2312" w:hAnsi="仿宋_GB2312" w:eastAsia="仿宋_GB2312" w:cs="仿宋_GB2312"/>
          <w:color w:val="000000"/>
          <w:sz w:val="28"/>
          <w:highlight w:val="none"/>
        </w:rPr>
        <w:t>住宅用地</w:t>
      </w:r>
      <w:r>
        <w:rPr>
          <w:rFonts w:hint="eastAsia" w:ascii="仿宋_GB2312" w:hAnsi="仿宋_GB2312" w:eastAsia="仿宋_GB2312" w:cs="仿宋_GB2312"/>
          <w:color w:val="000000"/>
          <w:sz w:val="28"/>
          <w:highlight w:val="none"/>
          <w:lang w:eastAsia="zh-CN"/>
        </w:rPr>
        <w:t>70年</w:t>
      </w:r>
      <w:r>
        <w:rPr>
          <w:rFonts w:hint="eastAsia" w:ascii="仿宋_GB2312" w:hAnsi="仿宋_GB2312" w:eastAsia="仿宋_GB2312" w:cs="仿宋_GB2312"/>
          <w:sz w:val="28"/>
          <w:szCs w:val="28"/>
          <w:highlight w:val="none"/>
          <w:lang w:val="zh-CN"/>
        </w:rPr>
        <w:t>，</w:t>
      </w:r>
      <w:r>
        <w:rPr>
          <w:rFonts w:hint="eastAsia" w:ascii="仿宋_GB2312" w:hAnsi="仿宋_GB2312" w:eastAsia="仿宋_GB2312" w:cs="仿宋_GB2312"/>
          <w:color w:val="000000"/>
          <w:sz w:val="28"/>
          <w:highlight w:val="none"/>
        </w:rPr>
        <w:t>与</w:t>
      </w:r>
      <w:r>
        <w:rPr>
          <w:rFonts w:hint="eastAsia" w:ascii="仿宋_GB2312" w:hAnsi="仿宋_GB2312" w:eastAsia="仿宋_GB2312" w:cs="仿宋_GB2312"/>
          <w:color w:val="000000"/>
          <w:sz w:val="28"/>
          <w:highlight w:val="none"/>
          <w:lang w:eastAsia="zh-CN"/>
        </w:rPr>
        <w:t>出让</w:t>
      </w:r>
      <w:r>
        <w:rPr>
          <w:rFonts w:hint="eastAsia" w:ascii="仿宋_GB2312" w:hAnsi="仿宋_GB2312" w:eastAsia="仿宋_GB2312" w:cs="仿宋_GB2312"/>
          <w:color w:val="000000"/>
          <w:sz w:val="28"/>
          <w:highlight w:val="none"/>
        </w:rPr>
        <w:t>基准地价设定用途的内涵使用年期一致，</w:t>
      </w:r>
      <w:r>
        <w:rPr>
          <w:rFonts w:hint="eastAsia" w:ascii="仿宋_GB2312" w:hAnsi="仿宋_GB2312" w:eastAsia="仿宋_GB2312" w:cs="仿宋_GB2312"/>
          <w:sz w:val="28"/>
          <w:szCs w:val="28"/>
          <w:highlight w:val="none"/>
        </w:rPr>
        <w:t>故此次评估不需要进行使用年期修正，则</w:t>
      </w:r>
      <w:r>
        <w:rPr>
          <w:rFonts w:hint="eastAsia" w:ascii="仿宋_GB2312" w:hAnsi="仿宋_GB2312" w:eastAsia="仿宋_GB2312" w:cs="仿宋_GB2312"/>
          <w:sz w:val="28"/>
          <w:highlight w:val="none"/>
        </w:rPr>
        <w:t>Ky</w:t>
      </w:r>
      <w:r>
        <w:rPr>
          <w:rFonts w:hint="eastAsia" w:ascii="仿宋_GB2312" w:hAnsi="仿宋_GB2312" w:eastAsia="仿宋_GB2312" w:cs="仿宋_GB2312"/>
          <w:sz w:val="28"/>
          <w:highlight w:val="none"/>
          <w:lang w:val="en-US" w:eastAsia="zh-CN"/>
        </w:rPr>
        <w:t>商</w:t>
      </w:r>
      <w:r>
        <w:rPr>
          <w:rFonts w:hint="eastAsia" w:ascii="仿宋_GB2312" w:hAnsi="仿宋_GB2312" w:eastAsia="仿宋_GB2312" w:cs="仿宋_GB2312"/>
          <w:sz w:val="28"/>
          <w:szCs w:val="28"/>
          <w:highlight w:val="none"/>
        </w:rPr>
        <w:t>=1.0</w:t>
      </w:r>
      <w:r>
        <w:rPr>
          <w:rFonts w:hint="eastAsia" w:ascii="仿宋_GB2312" w:hAnsi="仿宋_GB2312" w:eastAsia="仿宋_GB2312" w:cs="仿宋_GB2312"/>
          <w:sz w:val="28"/>
          <w:szCs w:val="28"/>
          <w:highlight w:val="none"/>
          <w:lang w:eastAsia="zh-CN"/>
        </w:rPr>
        <w:t>、</w:t>
      </w:r>
      <w:r>
        <w:rPr>
          <w:rFonts w:hint="eastAsia" w:ascii="仿宋_GB2312" w:hAnsi="仿宋_GB2312" w:eastAsia="仿宋_GB2312" w:cs="仿宋_GB2312"/>
          <w:sz w:val="28"/>
          <w:highlight w:val="none"/>
        </w:rPr>
        <w:t>Ky</w:t>
      </w:r>
      <w:r>
        <w:rPr>
          <w:rFonts w:hint="eastAsia" w:ascii="仿宋_GB2312" w:hAnsi="仿宋_GB2312" w:eastAsia="仿宋_GB2312" w:cs="仿宋_GB2312"/>
          <w:sz w:val="28"/>
          <w:highlight w:val="none"/>
          <w:lang w:val="en-US" w:eastAsia="zh-CN"/>
        </w:rPr>
        <w:t>住</w:t>
      </w:r>
      <w:r>
        <w:rPr>
          <w:rFonts w:hint="eastAsia" w:ascii="仿宋_GB2312" w:hAnsi="仿宋_GB2312" w:eastAsia="仿宋_GB2312" w:cs="仿宋_GB2312"/>
          <w:sz w:val="28"/>
          <w:szCs w:val="28"/>
          <w:highlight w:val="none"/>
        </w:rPr>
        <w:t>=1.0。</w:t>
      </w:r>
    </w:p>
    <w:p w14:paraId="05260F4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sz w:val="28"/>
          <w:szCs w:val="28"/>
          <w:highlight w:val="none"/>
          <w:lang w:val="de-DE"/>
        </w:rPr>
      </w:pPr>
      <w:r>
        <w:rPr>
          <w:rFonts w:hint="eastAsia" w:ascii="仿宋_GB2312" w:hAnsi="仿宋_GB2312" w:eastAsia="仿宋_GB2312" w:cs="仿宋_GB2312"/>
          <w:sz w:val="28"/>
          <w:szCs w:val="28"/>
          <w:highlight w:val="none"/>
          <w:lang w:val="de-DE"/>
        </w:rPr>
        <w:t>6、期日修正系数（Ｋ</w:t>
      </w:r>
      <w:r>
        <w:rPr>
          <w:rFonts w:hint="eastAsia" w:ascii="仿宋_GB2312" w:hAnsi="仿宋_GB2312" w:eastAsia="仿宋_GB2312" w:cs="仿宋_GB2312"/>
          <w:sz w:val="28"/>
          <w:szCs w:val="28"/>
          <w:highlight w:val="none"/>
          <w:vertAlign w:val="baseline"/>
          <w:lang w:val="de-DE"/>
        </w:rPr>
        <w:t>t</w:t>
      </w:r>
      <w:r>
        <w:rPr>
          <w:rFonts w:hint="eastAsia" w:ascii="仿宋_GB2312" w:hAnsi="仿宋_GB2312" w:eastAsia="仿宋_GB2312" w:cs="仿宋_GB2312"/>
          <w:sz w:val="28"/>
          <w:szCs w:val="28"/>
          <w:highlight w:val="none"/>
          <w:lang w:val="de-DE"/>
        </w:rPr>
        <w:t>）的确定</w:t>
      </w:r>
    </w:p>
    <w:p w14:paraId="42677AA2">
      <w:pPr>
        <w:overflowPunct w:val="0"/>
        <w:autoSpaceDE w:val="0"/>
        <w:autoSpaceDN w:val="0"/>
        <w:snapToGrid w:val="0"/>
        <w:spacing w:line="460" w:lineRule="exact"/>
        <w:ind w:firstLine="560" w:firstLineChars="200"/>
        <w:rPr>
          <w:rFonts w:hint="eastAsia" w:ascii="仿宋" w:hAnsi="仿宋" w:eastAsia="仿宋"/>
          <w:sz w:val="28"/>
          <w:szCs w:val="28"/>
          <w:highlight w:val="none"/>
          <w:lang w:val="en-US" w:eastAsia="zh-CN"/>
        </w:rPr>
      </w:pPr>
      <w:r>
        <w:rPr>
          <w:rFonts w:hint="eastAsia" w:ascii="仿宋_GB2312" w:hAnsi="Times New Roman" w:eastAsia="仿宋_GB2312" w:cs="Times New Roman"/>
          <w:sz w:val="28"/>
          <w:szCs w:val="30"/>
          <w:highlight w:val="none"/>
          <w:lang w:val="en-GB"/>
        </w:rPr>
        <w:t>根据</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val="en-US" w:eastAsia="zh-CN"/>
        </w:rPr>
        <w:t>通道侗族自治县城镇</w:t>
      </w:r>
      <w:r>
        <w:rPr>
          <w:rFonts w:hint="eastAsia" w:ascii="仿宋_GB2312" w:hAnsi="仿宋_GB2312" w:eastAsia="仿宋_GB2312" w:cs="仿宋_GB2312"/>
          <w:sz w:val="28"/>
          <w:highlight w:val="none"/>
        </w:rPr>
        <w:t>基准地价成果技术报告》</w:t>
      </w:r>
      <w:r>
        <w:rPr>
          <w:rFonts w:hint="eastAsia" w:ascii="仿宋_GB2312" w:hAnsi="仿宋_GB2312" w:eastAsia="仿宋_GB2312" w:cs="仿宋_GB2312"/>
          <w:sz w:val="28"/>
          <w:highlight w:val="none"/>
          <w:lang w:eastAsia="zh-CN"/>
        </w:rPr>
        <w:t>（</w:t>
      </w:r>
      <w:r>
        <w:rPr>
          <w:rFonts w:hint="eastAsia" w:ascii="仿宋_GB2312" w:hAnsi="仿宋_GB2312" w:eastAsia="仿宋_GB2312" w:cs="仿宋_GB2312"/>
          <w:sz w:val="28"/>
          <w:highlight w:val="none"/>
          <w:lang w:val="en-US" w:eastAsia="zh-CN"/>
        </w:rPr>
        <w:t>2025年11月）</w:t>
      </w:r>
      <w:r>
        <w:rPr>
          <w:rFonts w:hint="eastAsia" w:ascii="仿宋_GB2312" w:hAnsi="Times New Roman" w:eastAsia="仿宋_GB2312" w:cs="Times New Roman"/>
          <w:sz w:val="28"/>
          <w:szCs w:val="30"/>
          <w:highlight w:val="none"/>
          <w:lang w:val="en-GB"/>
        </w:rPr>
        <w:t>，</w:t>
      </w:r>
      <w:r>
        <w:rPr>
          <w:rFonts w:hint="eastAsia" w:ascii="仿宋_GB2312" w:hAnsi="Times New Roman" w:eastAsia="仿宋_GB2312" w:cs="Times New Roman"/>
          <w:sz w:val="28"/>
          <w:szCs w:val="30"/>
          <w:highlight w:val="none"/>
          <w:lang w:val="en-US" w:eastAsia="zh-CN"/>
        </w:rPr>
        <w:t>通道县城镇</w:t>
      </w:r>
      <w:r>
        <w:rPr>
          <w:rFonts w:hint="eastAsia" w:ascii="仿宋_GB2312" w:hAnsi="Times New Roman" w:eastAsia="仿宋_GB2312" w:cs="Times New Roman"/>
          <w:sz w:val="28"/>
          <w:szCs w:val="30"/>
          <w:highlight w:val="none"/>
          <w:lang w:val="en-GB"/>
        </w:rPr>
        <w:t>基准地价基准日为</w:t>
      </w:r>
      <w:r>
        <w:rPr>
          <w:rFonts w:hint="eastAsia" w:ascii="仿宋_GB2312" w:hAnsi="Times New Roman" w:eastAsia="仿宋_GB2312" w:cs="Times New Roman"/>
          <w:sz w:val="28"/>
          <w:szCs w:val="30"/>
          <w:highlight w:val="none"/>
          <w:lang w:val="en-US" w:eastAsia="zh-CN"/>
        </w:rPr>
        <w:t>2025年4月1日</w:t>
      </w:r>
      <w:r>
        <w:rPr>
          <w:rFonts w:hint="eastAsia" w:ascii="仿宋_GB2312" w:hAnsi="Times New Roman" w:eastAsia="仿宋_GB2312" w:cs="Times New Roman"/>
          <w:sz w:val="28"/>
          <w:szCs w:val="30"/>
          <w:highlight w:val="none"/>
          <w:lang w:val="en-GB"/>
        </w:rPr>
        <w:t>，</w:t>
      </w:r>
      <w:r>
        <w:rPr>
          <w:rFonts w:hint="eastAsia" w:ascii="仿宋_GB2312" w:hAnsi="Times New Roman" w:eastAsia="仿宋_GB2312" w:cs="Times New Roman"/>
          <w:sz w:val="28"/>
          <w:szCs w:val="30"/>
          <w:highlight w:val="none"/>
          <w:lang w:val="en-US" w:eastAsia="zh-CN"/>
        </w:rPr>
        <w:t>本次评估估价期日为</w:t>
      </w:r>
      <w:r>
        <w:rPr>
          <w:rFonts w:hint="eastAsia" w:ascii="仿宋_GB2312" w:eastAsia="仿宋_GB2312" w:cs="Times New Roman"/>
          <w:sz w:val="28"/>
          <w:szCs w:val="30"/>
          <w:highlight w:val="none"/>
          <w:lang w:val="en-US" w:eastAsia="zh-CN"/>
        </w:rPr>
        <w:t>2026年2月3日</w:t>
      </w:r>
      <w:r>
        <w:rPr>
          <w:rFonts w:hint="eastAsia" w:ascii="仿宋_GB2312" w:hAnsi="Times New Roman" w:eastAsia="仿宋_GB2312" w:cs="Times New Roman"/>
          <w:sz w:val="28"/>
          <w:szCs w:val="30"/>
          <w:highlight w:val="none"/>
          <w:lang w:val="en-US" w:eastAsia="zh-CN"/>
        </w:rPr>
        <w:t>，历时</w:t>
      </w:r>
      <w:r>
        <w:rPr>
          <w:rFonts w:hint="eastAsia" w:ascii="仿宋_GB2312" w:eastAsia="仿宋_GB2312" w:cs="Times New Roman"/>
          <w:sz w:val="28"/>
          <w:szCs w:val="30"/>
          <w:highlight w:val="none"/>
          <w:lang w:val="en-US" w:eastAsia="zh-CN"/>
        </w:rPr>
        <w:t>10.07</w:t>
      </w:r>
      <w:r>
        <w:rPr>
          <w:rFonts w:hint="eastAsia" w:ascii="仿宋_GB2312" w:hAnsi="Times New Roman" w:eastAsia="仿宋_GB2312" w:cs="Times New Roman"/>
          <w:sz w:val="28"/>
          <w:szCs w:val="30"/>
          <w:highlight w:val="none"/>
          <w:lang w:val="en-US" w:eastAsia="zh-CN"/>
        </w:rPr>
        <w:t>个月，需进行估价期日修正，通道</w:t>
      </w:r>
      <w:r>
        <w:rPr>
          <w:rFonts w:hint="eastAsia" w:ascii="仿宋_GB2312" w:hAnsi="Times New Roman" w:eastAsia="仿宋_GB2312" w:cs="Times New Roman"/>
          <w:sz w:val="28"/>
          <w:szCs w:val="30"/>
          <w:highlight w:val="none"/>
          <w:lang w:val="en-GB"/>
        </w:rPr>
        <w:t>县目前尚未建立地价动态监测体系，经查询</w:t>
      </w:r>
      <w:r>
        <w:rPr>
          <w:rFonts w:hint="eastAsia" w:ascii="仿宋_GB2312" w:hAnsi="Times New Roman" w:eastAsia="仿宋_GB2312" w:cs="Times New Roman"/>
          <w:sz w:val="28"/>
          <w:szCs w:val="30"/>
          <w:highlight w:val="none"/>
          <w:lang w:val="en-US" w:eastAsia="zh-CN"/>
        </w:rPr>
        <w:t>道</w:t>
      </w:r>
      <w:r>
        <w:rPr>
          <w:rFonts w:hint="eastAsia" w:ascii="仿宋_GB2312" w:hAnsi="Times New Roman" w:eastAsia="仿宋_GB2312" w:cs="Times New Roman"/>
          <w:sz w:val="28"/>
          <w:szCs w:val="30"/>
          <w:highlight w:val="none"/>
          <w:lang w:val="en-GB"/>
        </w:rPr>
        <w:t>县土地成交信息，</w:t>
      </w:r>
      <w:r>
        <w:rPr>
          <w:rFonts w:hint="eastAsia" w:ascii="仿宋_GB2312" w:hAnsi="Times New Roman" w:eastAsia="仿宋_GB2312" w:cs="Times New Roman"/>
          <w:sz w:val="28"/>
          <w:szCs w:val="30"/>
          <w:highlight w:val="none"/>
          <w:lang w:val="en-US" w:eastAsia="zh-CN"/>
        </w:rPr>
        <w:t>道</w:t>
      </w:r>
      <w:r>
        <w:rPr>
          <w:rFonts w:hint="eastAsia" w:ascii="仿宋_GB2312" w:hAnsi="Times New Roman" w:eastAsia="仿宋_GB2312" w:cs="Times New Roman"/>
          <w:sz w:val="28"/>
          <w:szCs w:val="30"/>
          <w:highlight w:val="none"/>
          <w:lang w:val="en-GB"/>
        </w:rPr>
        <w:t>县类似住宅用地成交案例较少，无法采用成交案例建立地价指数表。</w:t>
      </w:r>
      <w:r>
        <w:rPr>
          <w:rFonts w:hint="eastAsia" w:ascii="仿宋_GB2312" w:hAnsi="Times New Roman" w:eastAsia="仿宋_GB2312" w:cs="Times New Roman"/>
          <w:sz w:val="28"/>
          <w:szCs w:val="30"/>
          <w:highlight w:val="none"/>
          <w:lang w:val="en-US" w:eastAsia="zh-CN"/>
        </w:rPr>
        <w:t>根据估价人员调查估价对象周边土地于2025年4月至2026年</w:t>
      </w:r>
      <w:r>
        <w:rPr>
          <w:rFonts w:hint="eastAsia" w:ascii="仿宋_GB2312" w:eastAsia="仿宋_GB2312" w:cs="Times New Roman"/>
          <w:sz w:val="28"/>
          <w:szCs w:val="30"/>
          <w:highlight w:val="none"/>
          <w:lang w:val="en-US" w:eastAsia="zh-CN"/>
        </w:rPr>
        <w:t>2</w:t>
      </w:r>
      <w:r>
        <w:rPr>
          <w:rFonts w:hint="eastAsia" w:ascii="仿宋_GB2312" w:hAnsi="Times New Roman" w:eastAsia="仿宋_GB2312" w:cs="Times New Roman"/>
          <w:sz w:val="28"/>
          <w:szCs w:val="30"/>
          <w:highlight w:val="none"/>
          <w:lang w:val="en-US" w:eastAsia="zh-CN"/>
        </w:rPr>
        <w:t>月的地价市场情况，同类型</w:t>
      </w:r>
      <w:r>
        <w:rPr>
          <w:rFonts w:hint="eastAsia" w:ascii="仿宋_GB2312" w:eastAsia="仿宋_GB2312" w:cs="Times New Roman"/>
          <w:sz w:val="28"/>
          <w:szCs w:val="30"/>
          <w:highlight w:val="none"/>
          <w:lang w:val="en-US" w:eastAsia="zh-CN"/>
        </w:rPr>
        <w:t>商服用地</w:t>
      </w:r>
      <w:r>
        <w:rPr>
          <w:rFonts w:hint="eastAsia" w:ascii="仿宋_GB2312" w:hAnsi="Times New Roman" w:eastAsia="仿宋_GB2312" w:cs="Times New Roman"/>
          <w:sz w:val="28"/>
          <w:szCs w:val="30"/>
          <w:highlight w:val="none"/>
          <w:lang w:val="en-US" w:eastAsia="zh-CN"/>
        </w:rPr>
        <w:t>在此期间的地价月平均上涨率约为0.</w:t>
      </w:r>
      <w:r>
        <w:rPr>
          <w:rFonts w:hint="eastAsia" w:ascii="仿宋_GB2312" w:eastAsia="仿宋_GB2312" w:cs="Times New Roman"/>
          <w:sz w:val="28"/>
          <w:szCs w:val="30"/>
          <w:highlight w:val="none"/>
          <w:lang w:val="en-US" w:eastAsia="zh-CN"/>
        </w:rPr>
        <w:t>3</w:t>
      </w:r>
      <w:r>
        <w:rPr>
          <w:rFonts w:hint="eastAsia" w:ascii="仿宋_GB2312" w:hAnsi="Times New Roman" w:eastAsia="仿宋_GB2312" w:cs="Times New Roman"/>
          <w:sz w:val="28"/>
          <w:szCs w:val="30"/>
          <w:highlight w:val="none"/>
          <w:lang w:val="en-US" w:eastAsia="zh-CN"/>
        </w:rPr>
        <w:t>%，住宅用地在此期间的地价月平均上涨率约为0.</w:t>
      </w:r>
      <w:r>
        <w:rPr>
          <w:rFonts w:hint="eastAsia" w:ascii="仿宋_GB2312" w:eastAsia="仿宋_GB2312" w:cs="Times New Roman"/>
          <w:sz w:val="28"/>
          <w:szCs w:val="30"/>
          <w:highlight w:val="none"/>
          <w:lang w:val="en-US" w:eastAsia="zh-CN"/>
        </w:rPr>
        <w:t>2</w:t>
      </w:r>
      <w:r>
        <w:rPr>
          <w:rFonts w:hint="eastAsia" w:ascii="仿宋_GB2312" w:hAnsi="Times New Roman" w:eastAsia="仿宋_GB2312" w:cs="Times New Roman"/>
          <w:sz w:val="28"/>
          <w:szCs w:val="30"/>
          <w:highlight w:val="none"/>
          <w:lang w:val="en-US" w:eastAsia="zh-CN"/>
        </w:rPr>
        <w:t>%，本次</w:t>
      </w:r>
      <w:r>
        <w:rPr>
          <w:rFonts w:hint="eastAsia" w:ascii="仿宋_GB2312" w:hAnsi="Times New Roman" w:eastAsia="仿宋_GB2312" w:cs="Times New Roman"/>
          <w:sz w:val="28"/>
          <w:szCs w:val="30"/>
          <w:highlight w:val="none"/>
          <w:lang w:val="en-GB"/>
        </w:rPr>
        <w:t>评估结合宗地所在区域地价上涨幅度</w:t>
      </w:r>
      <w:r>
        <w:rPr>
          <w:rFonts w:hint="eastAsia" w:ascii="仿宋_GB2312" w:hAnsi="Times New Roman" w:eastAsia="仿宋_GB2312" w:cs="Times New Roman"/>
          <w:sz w:val="28"/>
          <w:szCs w:val="30"/>
          <w:highlight w:val="none"/>
          <w:lang w:val="en-GB" w:eastAsia="zh-CN"/>
        </w:rPr>
        <w:t>，</w:t>
      </w:r>
      <w:r>
        <w:rPr>
          <w:rFonts w:hint="eastAsia" w:ascii="仿宋_GB2312" w:hAnsi="Times New Roman" w:eastAsia="仿宋_GB2312" w:cs="Times New Roman"/>
          <w:sz w:val="28"/>
          <w:szCs w:val="30"/>
          <w:highlight w:val="none"/>
          <w:lang w:val="en-US" w:eastAsia="zh-CN"/>
        </w:rPr>
        <w:t>确定</w:t>
      </w:r>
      <w:r>
        <w:rPr>
          <w:rFonts w:hint="eastAsia" w:ascii="仿宋_GB2312" w:hAnsi="Times New Roman" w:eastAsia="仿宋_GB2312" w:cs="Times New Roman"/>
          <w:sz w:val="28"/>
          <w:szCs w:val="30"/>
          <w:highlight w:val="none"/>
          <w:lang w:val="en-GB"/>
        </w:rPr>
        <w:t>估价对象估价期日修正系数Kt</w:t>
      </w:r>
      <w:r>
        <w:rPr>
          <w:rFonts w:hint="eastAsia" w:ascii="仿宋_GB2312" w:eastAsia="仿宋_GB2312" w:cs="Times New Roman"/>
          <w:sz w:val="28"/>
          <w:szCs w:val="30"/>
          <w:highlight w:val="none"/>
          <w:lang w:val="en-US" w:eastAsia="zh-CN"/>
        </w:rPr>
        <w:t>商</w:t>
      </w:r>
      <w:r>
        <w:rPr>
          <w:rFonts w:hint="eastAsia" w:ascii="仿宋_GB2312" w:hAnsi="Times New Roman" w:eastAsia="仿宋_GB2312" w:cs="Times New Roman"/>
          <w:sz w:val="28"/>
          <w:szCs w:val="30"/>
          <w:highlight w:val="none"/>
          <w:lang w:val="en-US" w:eastAsia="zh-CN"/>
        </w:rPr>
        <w:t>=1.0</w:t>
      </w:r>
      <w:r>
        <w:rPr>
          <w:rFonts w:hint="eastAsia" w:ascii="仿宋_GB2312" w:eastAsia="仿宋_GB2312" w:cs="Times New Roman"/>
          <w:sz w:val="28"/>
          <w:szCs w:val="30"/>
          <w:highlight w:val="none"/>
          <w:lang w:val="en-US" w:eastAsia="zh-CN"/>
        </w:rPr>
        <w:t>306、</w:t>
      </w:r>
      <w:r>
        <w:rPr>
          <w:rFonts w:hint="eastAsia" w:ascii="仿宋_GB2312" w:hAnsi="Times New Roman" w:eastAsia="仿宋_GB2312" w:cs="Times New Roman"/>
          <w:sz w:val="28"/>
          <w:szCs w:val="30"/>
          <w:highlight w:val="none"/>
          <w:lang w:val="en-GB"/>
        </w:rPr>
        <w:t>Kt</w:t>
      </w:r>
      <w:r>
        <w:rPr>
          <w:rFonts w:hint="eastAsia" w:ascii="仿宋_GB2312" w:hAnsi="Times New Roman" w:eastAsia="仿宋_GB2312" w:cs="Times New Roman"/>
          <w:sz w:val="28"/>
          <w:szCs w:val="30"/>
          <w:highlight w:val="none"/>
          <w:lang w:val="en-US" w:eastAsia="zh-CN"/>
        </w:rPr>
        <w:t>住=1.02</w:t>
      </w:r>
      <w:r>
        <w:rPr>
          <w:rFonts w:hint="eastAsia" w:ascii="仿宋_GB2312" w:eastAsia="仿宋_GB2312" w:cs="Times New Roman"/>
          <w:sz w:val="28"/>
          <w:szCs w:val="30"/>
          <w:highlight w:val="none"/>
          <w:lang w:val="en-US" w:eastAsia="zh-CN"/>
        </w:rPr>
        <w:t>03</w:t>
      </w:r>
      <w:r>
        <w:rPr>
          <w:rFonts w:hint="eastAsia" w:ascii="仿宋_GB2312" w:hAnsi="Times New Roman" w:eastAsia="仿宋_GB2312" w:cs="Times New Roman"/>
          <w:sz w:val="28"/>
          <w:szCs w:val="30"/>
          <w:highlight w:val="none"/>
          <w:lang w:val="en-US" w:eastAsia="zh-CN"/>
        </w:rPr>
        <w:t>。具体测算见下表：</w:t>
      </w:r>
    </w:p>
    <w:p w14:paraId="16FE8216">
      <w:pPr>
        <w:overflowPunct w:val="0"/>
        <w:autoSpaceDE w:val="0"/>
        <w:autoSpaceDN w:val="0"/>
        <w:snapToGrid w:val="0"/>
        <w:spacing w:line="460" w:lineRule="exact"/>
        <w:jc w:val="center"/>
        <w:rPr>
          <w:rFonts w:hint="default" w:ascii="仿宋" w:hAnsi="仿宋" w:eastAsia="仿宋"/>
          <w:sz w:val="28"/>
          <w:szCs w:val="28"/>
          <w:highlight w:val="none"/>
          <w:lang w:val="en-US" w:eastAsia="zh-CN"/>
        </w:rPr>
      </w:pPr>
      <w:r>
        <w:rPr>
          <w:rFonts w:hint="eastAsia" w:ascii="仿宋" w:hAnsi="仿宋" w:eastAsia="仿宋" w:cs="仿宋"/>
          <w:snapToGrid w:val="0"/>
          <w:kern w:val="0"/>
          <w:sz w:val="28"/>
          <w:szCs w:val="28"/>
          <w:highlight w:val="none"/>
          <w:lang w:val="en-US" w:eastAsia="zh-CN" w:bidi="ar-SA"/>
        </w:rPr>
        <w:t xml:space="preserve">表3-5 </w:t>
      </w:r>
      <w:r>
        <w:rPr>
          <w:rFonts w:hint="eastAsia" w:ascii="仿宋" w:hAnsi="仿宋" w:eastAsia="仿宋"/>
          <w:sz w:val="28"/>
          <w:szCs w:val="28"/>
          <w:highlight w:val="none"/>
          <w:lang w:val="en-US" w:eastAsia="zh-CN"/>
        </w:rPr>
        <w:t>估价对象住宅用地期日修正测算表</w:t>
      </w:r>
    </w:p>
    <w:tbl>
      <w:tblPr>
        <w:tblStyle w:val="1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678"/>
        <w:gridCol w:w="2828"/>
        <w:gridCol w:w="2828"/>
      </w:tblGrid>
      <w:tr w14:paraId="1EBF9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2" w:hRule="atLeast"/>
          <w:jc w:val="center"/>
        </w:trPr>
        <w:tc>
          <w:tcPr>
            <w:tcW w:w="1607" w:type="pct"/>
            <w:noWrap/>
            <w:tcMar>
              <w:top w:w="15" w:type="dxa"/>
              <w:left w:w="15" w:type="dxa"/>
              <w:right w:w="15" w:type="dxa"/>
            </w:tcMar>
            <w:vAlign w:val="center"/>
          </w:tcPr>
          <w:p w14:paraId="315ACA7B">
            <w:pPr>
              <w:widowControl/>
              <w:adjustRightInd w:val="0"/>
              <w:snapToGrid w:val="0"/>
              <w:spacing w:line="0" w:lineRule="atLeast"/>
              <w:jc w:val="center"/>
              <w:textAlignment w:val="center"/>
              <w:rPr>
                <w:rFonts w:hint="eastAsia" w:ascii="仿宋_GB2312" w:hAnsi="仿宋_GB2312" w:eastAsia="仿宋_GB2312" w:cs="仿宋_GB2312"/>
                <w:kern w:val="0"/>
                <w:sz w:val="20"/>
                <w:highlight w:val="none"/>
              </w:rPr>
            </w:pPr>
            <w:r>
              <w:rPr>
                <w:rFonts w:hint="eastAsia" w:ascii="仿宋_GB2312" w:hAnsi="仿宋_GB2312" w:eastAsia="仿宋_GB2312" w:cs="仿宋_GB2312"/>
                <w:kern w:val="0"/>
                <w:sz w:val="20"/>
                <w:highlight w:val="none"/>
              </w:rPr>
              <w:t>土地用途</w:t>
            </w:r>
          </w:p>
        </w:tc>
        <w:tc>
          <w:tcPr>
            <w:tcW w:w="1696" w:type="pct"/>
            <w:noWrap/>
            <w:tcMar>
              <w:top w:w="15" w:type="dxa"/>
              <w:left w:w="15" w:type="dxa"/>
              <w:right w:w="15" w:type="dxa"/>
            </w:tcMar>
            <w:vAlign w:val="center"/>
          </w:tcPr>
          <w:p w14:paraId="13637764">
            <w:pPr>
              <w:widowControl/>
              <w:adjustRightInd w:val="0"/>
              <w:snapToGrid w:val="0"/>
              <w:spacing w:line="0" w:lineRule="atLeast"/>
              <w:jc w:val="center"/>
              <w:textAlignment w:val="center"/>
              <w:rPr>
                <w:rFonts w:ascii="仿宋_GB2312" w:hAnsi="仿宋_GB2312" w:eastAsia="仿宋_GB2312" w:cs="仿宋_GB2312"/>
                <w:kern w:val="0"/>
                <w:sz w:val="20"/>
                <w:highlight w:val="none"/>
              </w:rPr>
            </w:pPr>
            <w:r>
              <w:rPr>
                <w:rFonts w:hint="eastAsia" w:ascii="仿宋_GB2312" w:hAnsi="仿宋_GB2312" w:eastAsia="仿宋_GB2312" w:cs="仿宋_GB2312"/>
                <w:kern w:val="0"/>
                <w:sz w:val="20"/>
                <w:highlight w:val="none"/>
                <w:lang w:val="en-US" w:eastAsia="zh-CN"/>
              </w:rPr>
              <w:t>商服</w:t>
            </w:r>
            <w:r>
              <w:rPr>
                <w:rFonts w:hint="eastAsia" w:ascii="仿宋_GB2312" w:hAnsi="仿宋_GB2312" w:eastAsia="仿宋_GB2312" w:cs="仿宋_GB2312"/>
                <w:kern w:val="0"/>
                <w:sz w:val="20"/>
                <w:highlight w:val="none"/>
              </w:rPr>
              <w:t>用地</w:t>
            </w:r>
          </w:p>
        </w:tc>
        <w:tc>
          <w:tcPr>
            <w:tcW w:w="1696" w:type="pct"/>
            <w:noWrap/>
            <w:tcMar>
              <w:top w:w="15" w:type="dxa"/>
              <w:left w:w="15" w:type="dxa"/>
              <w:right w:w="15" w:type="dxa"/>
            </w:tcMar>
            <w:vAlign w:val="center"/>
          </w:tcPr>
          <w:p w14:paraId="53B0B9D3">
            <w:pPr>
              <w:widowControl/>
              <w:adjustRightInd w:val="0"/>
              <w:snapToGrid w:val="0"/>
              <w:spacing w:line="0" w:lineRule="atLeast"/>
              <w:jc w:val="center"/>
              <w:textAlignment w:val="center"/>
              <w:rPr>
                <w:rFonts w:hint="default" w:ascii="仿宋_GB2312" w:hAnsi="仿宋_GB2312" w:eastAsia="仿宋_GB2312" w:cs="仿宋_GB2312"/>
                <w:kern w:val="0"/>
                <w:sz w:val="20"/>
                <w:highlight w:val="none"/>
                <w:lang w:val="en-US" w:eastAsia="zh-CN"/>
              </w:rPr>
            </w:pPr>
            <w:r>
              <w:rPr>
                <w:rFonts w:hint="eastAsia" w:ascii="仿宋_GB2312" w:hAnsi="仿宋_GB2312" w:eastAsia="仿宋_GB2312" w:cs="仿宋_GB2312"/>
                <w:kern w:val="0"/>
                <w:sz w:val="20"/>
                <w:highlight w:val="none"/>
                <w:lang w:val="en-US" w:eastAsia="zh-CN"/>
              </w:rPr>
              <w:t>住宅用地</w:t>
            </w:r>
          </w:p>
        </w:tc>
      </w:tr>
      <w:tr w14:paraId="36E59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2" w:hRule="atLeast"/>
          <w:jc w:val="center"/>
        </w:trPr>
        <w:tc>
          <w:tcPr>
            <w:tcW w:w="1607" w:type="pct"/>
            <w:noWrap/>
            <w:tcMar>
              <w:top w:w="15" w:type="dxa"/>
              <w:left w:w="15" w:type="dxa"/>
              <w:right w:w="15" w:type="dxa"/>
            </w:tcMar>
            <w:vAlign w:val="center"/>
          </w:tcPr>
          <w:p w14:paraId="26D29E44">
            <w:pPr>
              <w:widowControl/>
              <w:adjustRightInd w:val="0"/>
              <w:snapToGrid w:val="0"/>
              <w:spacing w:line="0" w:lineRule="atLeast"/>
              <w:jc w:val="center"/>
              <w:textAlignment w:val="center"/>
              <w:rPr>
                <w:rFonts w:hint="eastAsia" w:ascii="仿宋_GB2312" w:hAnsi="仿宋_GB2312" w:eastAsia="仿宋_GB2312" w:cs="仿宋_GB2312"/>
                <w:kern w:val="0"/>
                <w:sz w:val="20"/>
                <w:highlight w:val="none"/>
              </w:rPr>
            </w:pPr>
            <w:r>
              <w:rPr>
                <w:rFonts w:hint="eastAsia" w:ascii="仿宋_GB2312" w:hAnsi="仿宋_GB2312" w:eastAsia="仿宋_GB2312" w:cs="仿宋_GB2312"/>
                <w:kern w:val="0"/>
                <w:sz w:val="20"/>
                <w:highlight w:val="none"/>
              </w:rPr>
              <w:t>基准地价的基准日</w:t>
            </w:r>
          </w:p>
        </w:tc>
        <w:tc>
          <w:tcPr>
            <w:tcW w:w="1696" w:type="pct"/>
            <w:noWrap/>
            <w:tcMar>
              <w:top w:w="15" w:type="dxa"/>
              <w:left w:w="15" w:type="dxa"/>
              <w:right w:w="15" w:type="dxa"/>
            </w:tcMar>
            <w:vAlign w:val="center"/>
          </w:tcPr>
          <w:p w14:paraId="2AD8CDBA">
            <w:pPr>
              <w:widowControl/>
              <w:jc w:val="center"/>
              <w:textAlignment w:val="center"/>
              <w:rPr>
                <w:rFonts w:ascii="仿宋_GB2312" w:hAnsi="仿宋_GB2312" w:eastAsia="仿宋_GB2312" w:cs="仿宋_GB2312"/>
                <w:kern w:val="0"/>
                <w:sz w:val="20"/>
                <w:highlight w:val="none"/>
              </w:rPr>
            </w:pPr>
            <w:r>
              <w:rPr>
                <w:rFonts w:hint="eastAsia" w:ascii="仿宋_GB2312" w:hAnsi="仿宋_GB2312" w:eastAsia="仿宋_GB2312" w:cs="仿宋_GB2312"/>
                <w:kern w:val="0"/>
                <w:sz w:val="20"/>
                <w:highlight w:val="none"/>
              </w:rPr>
              <w:t>20</w:t>
            </w:r>
            <w:r>
              <w:rPr>
                <w:rFonts w:hint="eastAsia" w:ascii="仿宋_GB2312" w:hAnsi="仿宋_GB2312" w:eastAsia="仿宋_GB2312" w:cs="仿宋_GB2312"/>
                <w:kern w:val="0"/>
                <w:sz w:val="20"/>
                <w:highlight w:val="none"/>
                <w:lang w:val="en-US" w:eastAsia="zh-CN"/>
              </w:rPr>
              <w:t>25</w:t>
            </w:r>
            <w:r>
              <w:rPr>
                <w:rFonts w:hint="eastAsia" w:ascii="仿宋_GB2312" w:hAnsi="仿宋_GB2312" w:eastAsia="仿宋_GB2312" w:cs="仿宋_GB2312"/>
                <w:kern w:val="0"/>
                <w:sz w:val="20"/>
                <w:highlight w:val="none"/>
              </w:rPr>
              <w:t>年</w:t>
            </w:r>
            <w:r>
              <w:rPr>
                <w:rFonts w:hint="eastAsia" w:ascii="仿宋_GB2312" w:hAnsi="仿宋_GB2312" w:eastAsia="仿宋_GB2312" w:cs="仿宋_GB2312"/>
                <w:kern w:val="0"/>
                <w:sz w:val="20"/>
                <w:highlight w:val="none"/>
                <w:lang w:val="en-US" w:eastAsia="zh-CN"/>
              </w:rPr>
              <w:t>4</w:t>
            </w:r>
            <w:r>
              <w:rPr>
                <w:rFonts w:hint="eastAsia" w:ascii="仿宋_GB2312" w:hAnsi="仿宋_GB2312" w:eastAsia="仿宋_GB2312" w:cs="仿宋_GB2312"/>
                <w:kern w:val="0"/>
                <w:sz w:val="20"/>
                <w:highlight w:val="none"/>
              </w:rPr>
              <w:t>月</w:t>
            </w:r>
            <w:r>
              <w:rPr>
                <w:rFonts w:hint="eastAsia" w:ascii="仿宋_GB2312" w:hAnsi="仿宋_GB2312" w:eastAsia="仿宋_GB2312" w:cs="仿宋_GB2312"/>
                <w:kern w:val="0"/>
                <w:sz w:val="20"/>
                <w:highlight w:val="none"/>
                <w:lang w:val="en-US" w:eastAsia="zh-CN"/>
              </w:rPr>
              <w:t>1</w:t>
            </w:r>
            <w:r>
              <w:rPr>
                <w:rFonts w:hint="eastAsia" w:ascii="仿宋_GB2312" w:hAnsi="仿宋_GB2312" w:eastAsia="仿宋_GB2312" w:cs="仿宋_GB2312"/>
                <w:kern w:val="0"/>
                <w:sz w:val="20"/>
                <w:highlight w:val="none"/>
              </w:rPr>
              <w:t>日</w:t>
            </w:r>
          </w:p>
        </w:tc>
        <w:tc>
          <w:tcPr>
            <w:tcW w:w="2828" w:type="dxa"/>
            <w:noWrap/>
            <w:tcMar>
              <w:top w:w="15" w:type="dxa"/>
              <w:left w:w="15" w:type="dxa"/>
              <w:right w:w="15" w:type="dxa"/>
            </w:tcMar>
            <w:vAlign w:val="center"/>
          </w:tcPr>
          <w:p w14:paraId="341FAAA8">
            <w:pPr>
              <w:widowControl/>
              <w:jc w:val="center"/>
              <w:textAlignment w:val="center"/>
              <w:rPr>
                <w:rFonts w:hint="eastAsia" w:ascii="仿宋_GB2312" w:hAnsi="仿宋_GB2312" w:eastAsia="仿宋_GB2312" w:cs="仿宋_GB2312"/>
                <w:kern w:val="0"/>
                <w:sz w:val="20"/>
                <w:highlight w:val="none"/>
              </w:rPr>
            </w:pPr>
            <w:r>
              <w:rPr>
                <w:rFonts w:hint="eastAsia" w:ascii="仿宋_GB2312" w:hAnsi="仿宋_GB2312" w:eastAsia="仿宋_GB2312" w:cs="仿宋_GB2312"/>
                <w:kern w:val="0"/>
                <w:sz w:val="20"/>
                <w:highlight w:val="none"/>
              </w:rPr>
              <w:t>20</w:t>
            </w:r>
            <w:r>
              <w:rPr>
                <w:rFonts w:hint="eastAsia" w:ascii="仿宋_GB2312" w:hAnsi="仿宋_GB2312" w:eastAsia="仿宋_GB2312" w:cs="仿宋_GB2312"/>
                <w:kern w:val="0"/>
                <w:sz w:val="20"/>
                <w:highlight w:val="none"/>
                <w:lang w:val="en-US" w:eastAsia="zh-CN"/>
              </w:rPr>
              <w:t>25</w:t>
            </w:r>
            <w:r>
              <w:rPr>
                <w:rFonts w:hint="eastAsia" w:ascii="仿宋_GB2312" w:hAnsi="仿宋_GB2312" w:eastAsia="仿宋_GB2312" w:cs="仿宋_GB2312"/>
                <w:kern w:val="0"/>
                <w:sz w:val="20"/>
                <w:highlight w:val="none"/>
              </w:rPr>
              <w:t>年</w:t>
            </w:r>
            <w:r>
              <w:rPr>
                <w:rFonts w:hint="eastAsia" w:ascii="仿宋_GB2312" w:hAnsi="仿宋_GB2312" w:eastAsia="仿宋_GB2312" w:cs="仿宋_GB2312"/>
                <w:kern w:val="0"/>
                <w:sz w:val="20"/>
                <w:highlight w:val="none"/>
                <w:lang w:val="en-US" w:eastAsia="zh-CN"/>
              </w:rPr>
              <w:t>4</w:t>
            </w:r>
            <w:r>
              <w:rPr>
                <w:rFonts w:hint="eastAsia" w:ascii="仿宋_GB2312" w:hAnsi="仿宋_GB2312" w:eastAsia="仿宋_GB2312" w:cs="仿宋_GB2312"/>
                <w:kern w:val="0"/>
                <w:sz w:val="20"/>
                <w:highlight w:val="none"/>
              </w:rPr>
              <w:t>月</w:t>
            </w:r>
            <w:r>
              <w:rPr>
                <w:rFonts w:hint="eastAsia" w:ascii="仿宋_GB2312" w:hAnsi="仿宋_GB2312" w:eastAsia="仿宋_GB2312" w:cs="仿宋_GB2312"/>
                <w:kern w:val="0"/>
                <w:sz w:val="20"/>
                <w:highlight w:val="none"/>
                <w:lang w:val="en-US" w:eastAsia="zh-CN"/>
              </w:rPr>
              <w:t>1</w:t>
            </w:r>
            <w:r>
              <w:rPr>
                <w:rFonts w:hint="eastAsia" w:ascii="仿宋_GB2312" w:hAnsi="仿宋_GB2312" w:eastAsia="仿宋_GB2312" w:cs="仿宋_GB2312"/>
                <w:kern w:val="0"/>
                <w:sz w:val="20"/>
                <w:highlight w:val="none"/>
              </w:rPr>
              <w:t>日</w:t>
            </w:r>
          </w:p>
        </w:tc>
      </w:tr>
      <w:tr w14:paraId="53134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2" w:hRule="atLeast"/>
          <w:jc w:val="center"/>
        </w:trPr>
        <w:tc>
          <w:tcPr>
            <w:tcW w:w="1607" w:type="pct"/>
            <w:noWrap/>
            <w:tcMar>
              <w:top w:w="15" w:type="dxa"/>
              <w:left w:w="15" w:type="dxa"/>
              <w:right w:w="15" w:type="dxa"/>
            </w:tcMar>
            <w:vAlign w:val="center"/>
          </w:tcPr>
          <w:p w14:paraId="2F3C5539">
            <w:pPr>
              <w:widowControl/>
              <w:adjustRightInd w:val="0"/>
              <w:snapToGrid w:val="0"/>
              <w:spacing w:line="0" w:lineRule="atLeast"/>
              <w:jc w:val="center"/>
              <w:textAlignment w:val="center"/>
              <w:rPr>
                <w:rFonts w:hint="eastAsia" w:ascii="仿宋_GB2312" w:hAnsi="仿宋_GB2312" w:eastAsia="仿宋_GB2312" w:cs="仿宋_GB2312"/>
                <w:kern w:val="0"/>
                <w:sz w:val="20"/>
                <w:highlight w:val="none"/>
              </w:rPr>
            </w:pPr>
            <w:r>
              <w:rPr>
                <w:rFonts w:hint="eastAsia" w:ascii="仿宋_GB2312" w:hAnsi="仿宋_GB2312" w:eastAsia="仿宋_GB2312" w:cs="仿宋_GB2312"/>
                <w:kern w:val="0"/>
                <w:sz w:val="20"/>
                <w:highlight w:val="none"/>
              </w:rPr>
              <w:t>估价期日</w:t>
            </w:r>
          </w:p>
        </w:tc>
        <w:tc>
          <w:tcPr>
            <w:tcW w:w="1696" w:type="pct"/>
            <w:noWrap/>
            <w:tcMar>
              <w:top w:w="15" w:type="dxa"/>
              <w:left w:w="15" w:type="dxa"/>
              <w:right w:w="15" w:type="dxa"/>
            </w:tcMar>
            <w:vAlign w:val="center"/>
          </w:tcPr>
          <w:p w14:paraId="7862FA0C">
            <w:pPr>
              <w:widowControl/>
              <w:jc w:val="center"/>
              <w:textAlignment w:val="center"/>
              <w:rPr>
                <w:rFonts w:hint="eastAsia" w:ascii="仿宋_GB2312" w:hAnsi="仿宋_GB2312" w:eastAsia="仿宋_GB2312" w:cs="仿宋_GB2312"/>
                <w:kern w:val="0"/>
                <w:sz w:val="20"/>
                <w:highlight w:val="none"/>
                <w:lang w:eastAsia="zh-CN"/>
              </w:rPr>
            </w:pPr>
            <w:r>
              <w:rPr>
                <w:rFonts w:hint="eastAsia" w:ascii="仿宋_GB2312" w:hAnsi="仿宋_GB2312" w:eastAsia="仿宋_GB2312" w:cs="仿宋_GB2312"/>
                <w:kern w:val="0"/>
                <w:sz w:val="20"/>
                <w:highlight w:val="none"/>
                <w:lang w:eastAsia="zh-CN"/>
              </w:rPr>
              <w:t>2026年2月3日</w:t>
            </w:r>
          </w:p>
        </w:tc>
        <w:tc>
          <w:tcPr>
            <w:tcW w:w="2828" w:type="dxa"/>
            <w:noWrap/>
            <w:tcMar>
              <w:top w:w="15" w:type="dxa"/>
              <w:left w:w="15" w:type="dxa"/>
              <w:right w:w="15" w:type="dxa"/>
            </w:tcMar>
            <w:vAlign w:val="center"/>
          </w:tcPr>
          <w:p w14:paraId="61586802">
            <w:pPr>
              <w:widowControl/>
              <w:jc w:val="center"/>
              <w:textAlignment w:val="center"/>
              <w:rPr>
                <w:rFonts w:hint="eastAsia" w:ascii="仿宋_GB2312" w:hAnsi="仿宋_GB2312" w:eastAsia="仿宋_GB2312" w:cs="仿宋_GB2312"/>
                <w:kern w:val="0"/>
                <w:sz w:val="20"/>
                <w:highlight w:val="none"/>
                <w:lang w:eastAsia="zh-CN"/>
              </w:rPr>
            </w:pPr>
            <w:r>
              <w:rPr>
                <w:rFonts w:hint="eastAsia" w:ascii="仿宋_GB2312" w:hAnsi="仿宋_GB2312" w:eastAsia="仿宋_GB2312" w:cs="仿宋_GB2312"/>
                <w:kern w:val="0"/>
                <w:sz w:val="20"/>
                <w:highlight w:val="none"/>
                <w:lang w:eastAsia="zh-CN"/>
              </w:rPr>
              <w:t>2026年2月3日</w:t>
            </w:r>
          </w:p>
        </w:tc>
      </w:tr>
      <w:tr w14:paraId="28C4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2" w:hRule="atLeast"/>
          <w:jc w:val="center"/>
        </w:trPr>
        <w:tc>
          <w:tcPr>
            <w:tcW w:w="1607" w:type="pct"/>
            <w:noWrap/>
            <w:tcMar>
              <w:top w:w="15" w:type="dxa"/>
              <w:left w:w="15" w:type="dxa"/>
              <w:right w:w="15" w:type="dxa"/>
            </w:tcMar>
            <w:vAlign w:val="center"/>
          </w:tcPr>
          <w:p w14:paraId="623F7EE0">
            <w:pPr>
              <w:widowControl/>
              <w:adjustRightInd w:val="0"/>
              <w:snapToGrid w:val="0"/>
              <w:spacing w:line="0" w:lineRule="atLeast"/>
              <w:jc w:val="center"/>
              <w:textAlignment w:val="center"/>
              <w:rPr>
                <w:rFonts w:hint="eastAsia" w:ascii="仿宋_GB2312" w:hAnsi="仿宋_GB2312" w:eastAsia="仿宋_GB2312" w:cs="仿宋_GB2312"/>
                <w:kern w:val="0"/>
                <w:sz w:val="20"/>
                <w:highlight w:val="none"/>
              </w:rPr>
            </w:pPr>
            <w:r>
              <w:rPr>
                <w:rFonts w:hint="eastAsia" w:ascii="仿宋_GB2312" w:hAnsi="仿宋_GB2312" w:eastAsia="仿宋_GB2312" w:cs="仿宋_GB2312"/>
                <w:kern w:val="0"/>
                <w:sz w:val="20"/>
                <w:highlight w:val="none"/>
              </w:rPr>
              <w:t>估价期日修正的上涨时间(月)</w:t>
            </w:r>
          </w:p>
        </w:tc>
        <w:tc>
          <w:tcPr>
            <w:tcW w:w="1696" w:type="pct"/>
            <w:noWrap/>
            <w:tcMar>
              <w:top w:w="15" w:type="dxa"/>
              <w:left w:w="15" w:type="dxa"/>
              <w:right w:w="15" w:type="dxa"/>
            </w:tcMar>
            <w:vAlign w:val="center"/>
          </w:tcPr>
          <w:p w14:paraId="0450040F">
            <w:pPr>
              <w:widowControl/>
              <w:adjustRightInd w:val="0"/>
              <w:snapToGrid w:val="0"/>
              <w:spacing w:line="0" w:lineRule="atLeast"/>
              <w:jc w:val="center"/>
              <w:textAlignment w:val="center"/>
              <w:rPr>
                <w:rFonts w:hint="default" w:ascii="仿宋_GB2312" w:hAnsi="仿宋_GB2312" w:eastAsia="仿宋_GB2312" w:cs="仿宋_GB2312"/>
                <w:kern w:val="0"/>
                <w:sz w:val="20"/>
                <w:highlight w:val="none"/>
                <w:lang w:val="en-US"/>
              </w:rPr>
            </w:pPr>
            <w:r>
              <w:rPr>
                <w:rFonts w:hint="eastAsia" w:ascii="仿宋_GB2312" w:hAnsi="仿宋_GB2312" w:eastAsia="仿宋_GB2312" w:cs="仿宋_GB2312"/>
                <w:kern w:val="0"/>
                <w:sz w:val="20"/>
                <w:highlight w:val="none"/>
                <w:lang w:val="en-US" w:eastAsia="zh-CN"/>
              </w:rPr>
              <w:t>10.07</w:t>
            </w:r>
          </w:p>
        </w:tc>
        <w:tc>
          <w:tcPr>
            <w:tcW w:w="2828" w:type="dxa"/>
            <w:noWrap/>
            <w:tcMar>
              <w:top w:w="15" w:type="dxa"/>
              <w:left w:w="15" w:type="dxa"/>
              <w:right w:w="15" w:type="dxa"/>
            </w:tcMar>
            <w:vAlign w:val="center"/>
          </w:tcPr>
          <w:p w14:paraId="70473CCF">
            <w:pPr>
              <w:widowControl/>
              <w:adjustRightInd w:val="0"/>
              <w:snapToGrid w:val="0"/>
              <w:spacing w:line="0" w:lineRule="atLeast"/>
              <w:jc w:val="center"/>
              <w:textAlignment w:val="center"/>
              <w:rPr>
                <w:rFonts w:hint="eastAsia" w:ascii="仿宋_GB2312" w:hAnsi="仿宋_GB2312" w:eastAsia="仿宋_GB2312" w:cs="仿宋_GB2312"/>
                <w:kern w:val="0"/>
                <w:sz w:val="20"/>
                <w:highlight w:val="none"/>
                <w:lang w:val="en-US" w:eastAsia="zh-CN"/>
              </w:rPr>
            </w:pPr>
            <w:r>
              <w:rPr>
                <w:rFonts w:hint="eastAsia" w:ascii="仿宋_GB2312" w:hAnsi="仿宋_GB2312" w:eastAsia="仿宋_GB2312" w:cs="仿宋_GB2312"/>
                <w:kern w:val="0"/>
                <w:sz w:val="20"/>
                <w:highlight w:val="none"/>
                <w:lang w:val="en-US" w:eastAsia="zh-CN"/>
              </w:rPr>
              <w:t>10.07</w:t>
            </w:r>
          </w:p>
        </w:tc>
      </w:tr>
      <w:tr w14:paraId="3D3DD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2" w:hRule="atLeast"/>
          <w:jc w:val="center"/>
        </w:trPr>
        <w:tc>
          <w:tcPr>
            <w:tcW w:w="1607" w:type="pct"/>
            <w:noWrap/>
            <w:tcMar>
              <w:top w:w="15" w:type="dxa"/>
              <w:left w:w="15" w:type="dxa"/>
              <w:right w:w="15" w:type="dxa"/>
            </w:tcMar>
            <w:vAlign w:val="center"/>
          </w:tcPr>
          <w:p w14:paraId="68C069FD">
            <w:pPr>
              <w:widowControl/>
              <w:adjustRightInd w:val="0"/>
              <w:snapToGrid w:val="0"/>
              <w:spacing w:line="0" w:lineRule="atLeast"/>
              <w:jc w:val="center"/>
              <w:textAlignment w:val="center"/>
              <w:rPr>
                <w:rFonts w:hint="eastAsia" w:ascii="仿宋_GB2312" w:hAnsi="仿宋_GB2312" w:eastAsia="仿宋_GB2312" w:cs="仿宋_GB2312"/>
                <w:kern w:val="0"/>
                <w:sz w:val="20"/>
                <w:highlight w:val="none"/>
              </w:rPr>
            </w:pPr>
            <w:r>
              <w:rPr>
                <w:rFonts w:hint="eastAsia" w:ascii="仿宋_GB2312" w:hAnsi="仿宋_GB2312" w:eastAsia="仿宋_GB2312" w:cs="仿宋_GB2312"/>
                <w:kern w:val="0"/>
                <w:sz w:val="20"/>
                <w:highlight w:val="none"/>
              </w:rPr>
              <w:t>月上涨率</w:t>
            </w:r>
          </w:p>
        </w:tc>
        <w:tc>
          <w:tcPr>
            <w:tcW w:w="1696" w:type="pct"/>
            <w:noWrap/>
            <w:tcMar>
              <w:top w:w="15" w:type="dxa"/>
              <w:left w:w="15" w:type="dxa"/>
              <w:right w:w="15" w:type="dxa"/>
            </w:tcMar>
            <w:vAlign w:val="center"/>
          </w:tcPr>
          <w:p w14:paraId="1CB548CF">
            <w:pPr>
              <w:widowControl/>
              <w:adjustRightInd w:val="0"/>
              <w:snapToGrid w:val="0"/>
              <w:spacing w:line="0" w:lineRule="atLeast"/>
              <w:jc w:val="center"/>
              <w:textAlignment w:val="center"/>
              <w:rPr>
                <w:rFonts w:hint="eastAsia" w:ascii="仿宋_GB2312" w:hAnsi="仿宋_GB2312" w:eastAsia="仿宋_GB2312" w:cs="仿宋_GB2312"/>
                <w:kern w:val="0"/>
                <w:sz w:val="20"/>
                <w:highlight w:val="none"/>
              </w:rPr>
            </w:pPr>
            <w:r>
              <w:rPr>
                <w:rFonts w:hint="eastAsia" w:ascii="仿宋_GB2312" w:hAnsi="仿宋_GB2312" w:eastAsia="仿宋_GB2312" w:cs="仿宋_GB2312"/>
                <w:kern w:val="0"/>
                <w:sz w:val="20"/>
                <w:highlight w:val="none"/>
              </w:rPr>
              <w:t>0.</w:t>
            </w:r>
            <w:r>
              <w:rPr>
                <w:rFonts w:hint="eastAsia" w:ascii="仿宋_GB2312" w:hAnsi="仿宋_GB2312" w:eastAsia="仿宋_GB2312" w:cs="仿宋_GB2312"/>
                <w:kern w:val="0"/>
                <w:sz w:val="20"/>
                <w:highlight w:val="none"/>
                <w:lang w:val="en-US" w:eastAsia="zh-CN"/>
              </w:rPr>
              <w:t>3</w:t>
            </w:r>
            <w:r>
              <w:rPr>
                <w:rFonts w:hint="eastAsia" w:ascii="仿宋_GB2312" w:hAnsi="仿宋_GB2312" w:eastAsia="仿宋_GB2312" w:cs="仿宋_GB2312"/>
                <w:kern w:val="0"/>
                <w:sz w:val="20"/>
                <w:highlight w:val="none"/>
              </w:rPr>
              <w:t>%</w:t>
            </w:r>
          </w:p>
        </w:tc>
        <w:tc>
          <w:tcPr>
            <w:tcW w:w="2828" w:type="dxa"/>
            <w:noWrap/>
            <w:tcMar>
              <w:top w:w="15" w:type="dxa"/>
              <w:left w:w="15" w:type="dxa"/>
              <w:right w:w="15" w:type="dxa"/>
            </w:tcMar>
            <w:vAlign w:val="center"/>
          </w:tcPr>
          <w:p w14:paraId="02F8FFB4">
            <w:pPr>
              <w:widowControl/>
              <w:adjustRightInd w:val="0"/>
              <w:snapToGrid w:val="0"/>
              <w:spacing w:line="0" w:lineRule="atLeast"/>
              <w:jc w:val="center"/>
              <w:textAlignment w:val="center"/>
              <w:rPr>
                <w:rFonts w:hint="eastAsia" w:ascii="仿宋_GB2312" w:hAnsi="仿宋_GB2312" w:eastAsia="仿宋_GB2312" w:cs="仿宋_GB2312"/>
                <w:kern w:val="0"/>
                <w:sz w:val="20"/>
                <w:highlight w:val="none"/>
              </w:rPr>
            </w:pPr>
            <w:r>
              <w:rPr>
                <w:rFonts w:hint="eastAsia" w:ascii="仿宋_GB2312" w:hAnsi="仿宋_GB2312" w:eastAsia="仿宋_GB2312" w:cs="仿宋_GB2312"/>
                <w:kern w:val="0"/>
                <w:sz w:val="20"/>
                <w:highlight w:val="none"/>
              </w:rPr>
              <w:t>0.</w:t>
            </w:r>
            <w:r>
              <w:rPr>
                <w:rFonts w:hint="eastAsia" w:ascii="仿宋_GB2312" w:hAnsi="仿宋_GB2312" w:eastAsia="仿宋_GB2312" w:cs="仿宋_GB2312"/>
                <w:kern w:val="0"/>
                <w:sz w:val="20"/>
                <w:highlight w:val="none"/>
                <w:lang w:val="en-US" w:eastAsia="zh-CN"/>
              </w:rPr>
              <w:t>2</w:t>
            </w:r>
            <w:r>
              <w:rPr>
                <w:rFonts w:hint="eastAsia" w:ascii="仿宋_GB2312" w:hAnsi="仿宋_GB2312" w:eastAsia="仿宋_GB2312" w:cs="仿宋_GB2312"/>
                <w:kern w:val="0"/>
                <w:sz w:val="20"/>
                <w:highlight w:val="none"/>
              </w:rPr>
              <w:t>%</w:t>
            </w:r>
          </w:p>
        </w:tc>
      </w:tr>
      <w:tr w14:paraId="03E09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2" w:hRule="atLeast"/>
          <w:jc w:val="center"/>
        </w:trPr>
        <w:tc>
          <w:tcPr>
            <w:tcW w:w="1607" w:type="pct"/>
            <w:noWrap/>
            <w:tcMar>
              <w:top w:w="15" w:type="dxa"/>
              <w:left w:w="15" w:type="dxa"/>
              <w:right w:w="15" w:type="dxa"/>
            </w:tcMar>
            <w:vAlign w:val="center"/>
          </w:tcPr>
          <w:p w14:paraId="2EABD339">
            <w:pPr>
              <w:widowControl/>
              <w:adjustRightInd w:val="0"/>
              <w:snapToGrid w:val="0"/>
              <w:spacing w:line="0" w:lineRule="atLeast"/>
              <w:jc w:val="center"/>
              <w:textAlignment w:val="center"/>
              <w:rPr>
                <w:rFonts w:hint="eastAsia" w:ascii="仿宋_GB2312" w:hAnsi="仿宋_GB2312" w:eastAsia="仿宋_GB2312" w:cs="仿宋_GB2312"/>
                <w:kern w:val="0"/>
                <w:sz w:val="20"/>
                <w:highlight w:val="none"/>
              </w:rPr>
            </w:pPr>
            <w:r>
              <w:rPr>
                <w:rFonts w:hint="eastAsia" w:ascii="仿宋_GB2312" w:hAnsi="仿宋_GB2312" w:eastAsia="仿宋_GB2312" w:cs="仿宋_GB2312"/>
                <w:kern w:val="0"/>
                <w:sz w:val="20"/>
                <w:highlight w:val="none"/>
              </w:rPr>
              <w:t>估价对象期日修正系数</w:t>
            </w:r>
          </w:p>
        </w:tc>
        <w:tc>
          <w:tcPr>
            <w:tcW w:w="1696" w:type="pct"/>
            <w:noWrap/>
            <w:tcMar>
              <w:top w:w="15" w:type="dxa"/>
              <w:left w:w="15" w:type="dxa"/>
              <w:right w:w="15" w:type="dxa"/>
            </w:tcMar>
            <w:vAlign w:val="center"/>
          </w:tcPr>
          <w:p w14:paraId="2088B494">
            <w:pPr>
              <w:widowControl/>
              <w:adjustRightInd w:val="0"/>
              <w:snapToGrid w:val="0"/>
              <w:spacing w:line="0" w:lineRule="atLeast"/>
              <w:jc w:val="center"/>
              <w:textAlignment w:val="center"/>
              <w:rPr>
                <w:rFonts w:hint="default" w:ascii="仿宋_GB2312" w:hAnsi="仿宋_GB2312" w:eastAsia="仿宋_GB2312" w:cs="仿宋_GB2312"/>
                <w:kern w:val="0"/>
                <w:sz w:val="20"/>
                <w:highlight w:val="none"/>
                <w:lang w:val="en-US"/>
              </w:rPr>
            </w:pPr>
            <w:r>
              <w:rPr>
                <w:rFonts w:hint="eastAsia" w:ascii="宋体" w:hAnsi="宋体" w:eastAsia="宋体" w:cs="宋体"/>
                <w:kern w:val="0"/>
                <w:sz w:val="20"/>
                <w:highlight w:val="none"/>
                <w:lang w:val="en-US" w:eastAsia="zh-CN"/>
              </w:rPr>
              <w:t>=</w:t>
            </w:r>
            <w:r>
              <w:rPr>
                <w:rFonts w:hint="eastAsia" w:ascii="仿宋_GB2312" w:hAnsi="仿宋_GB2312" w:eastAsia="仿宋_GB2312" w:cs="仿宋_GB2312"/>
                <w:kern w:val="0"/>
                <w:sz w:val="20"/>
                <w:highlight w:val="none"/>
                <w:lang w:val="en-US" w:eastAsia="zh-CN"/>
              </w:rPr>
              <w:t>（1+0.3%）</w:t>
            </w:r>
            <w:r>
              <w:rPr>
                <w:rFonts w:hint="eastAsia" w:ascii="仿宋_GB2312" w:hAnsi="仿宋_GB2312" w:eastAsia="仿宋_GB2312" w:cs="仿宋_GB2312"/>
                <w:kern w:val="0"/>
                <w:sz w:val="20"/>
                <w:highlight w:val="none"/>
                <w:vertAlign w:val="superscript"/>
                <w:lang w:val="en-US" w:eastAsia="zh-CN"/>
              </w:rPr>
              <w:t>10.07</w:t>
            </w:r>
            <w:r>
              <w:rPr>
                <w:rFonts w:hint="eastAsia" w:ascii="宋体" w:hAnsi="宋体" w:eastAsia="宋体" w:cs="宋体"/>
                <w:kern w:val="0"/>
                <w:sz w:val="20"/>
                <w:highlight w:val="none"/>
                <w:lang w:val="en-US" w:eastAsia="zh-CN"/>
              </w:rPr>
              <w:t>=</w:t>
            </w:r>
            <w:r>
              <w:rPr>
                <w:rFonts w:hint="eastAsia" w:ascii="仿宋_GB2312" w:hAnsi="仿宋_GB2312" w:eastAsia="仿宋_GB2312" w:cs="仿宋_GB2312"/>
                <w:kern w:val="0"/>
                <w:sz w:val="20"/>
                <w:highlight w:val="none"/>
                <w:lang w:val="en-US" w:eastAsia="zh-CN"/>
              </w:rPr>
              <w:t>1.0306</w:t>
            </w:r>
          </w:p>
        </w:tc>
        <w:tc>
          <w:tcPr>
            <w:tcW w:w="2828" w:type="dxa"/>
            <w:noWrap/>
            <w:tcMar>
              <w:top w:w="15" w:type="dxa"/>
              <w:left w:w="15" w:type="dxa"/>
              <w:right w:w="15" w:type="dxa"/>
            </w:tcMar>
            <w:vAlign w:val="center"/>
          </w:tcPr>
          <w:p w14:paraId="7F03B56C">
            <w:pPr>
              <w:widowControl/>
              <w:adjustRightInd w:val="0"/>
              <w:snapToGrid w:val="0"/>
              <w:spacing w:line="0" w:lineRule="atLeast"/>
              <w:jc w:val="center"/>
              <w:textAlignment w:val="center"/>
              <w:rPr>
                <w:rFonts w:hint="default" w:ascii="宋体" w:hAnsi="宋体" w:eastAsia="宋体" w:cs="宋体"/>
                <w:kern w:val="0"/>
                <w:sz w:val="20"/>
                <w:highlight w:val="none"/>
                <w:lang w:val="en-US" w:eastAsia="zh-CN"/>
              </w:rPr>
            </w:pPr>
            <w:r>
              <w:rPr>
                <w:rFonts w:hint="eastAsia" w:ascii="宋体" w:hAnsi="宋体" w:eastAsia="宋体" w:cs="宋体"/>
                <w:kern w:val="0"/>
                <w:sz w:val="20"/>
                <w:highlight w:val="none"/>
                <w:lang w:val="en-US" w:eastAsia="zh-CN"/>
              </w:rPr>
              <w:t>=</w:t>
            </w:r>
            <w:r>
              <w:rPr>
                <w:rFonts w:hint="eastAsia" w:ascii="仿宋_GB2312" w:hAnsi="仿宋_GB2312" w:eastAsia="仿宋_GB2312" w:cs="仿宋_GB2312"/>
                <w:kern w:val="0"/>
                <w:sz w:val="20"/>
                <w:highlight w:val="none"/>
                <w:lang w:val="en-US" w:eastAsia="zh-CN"/>
              </w:rPr>
              <w:t>（1+0.2%）</w:t>
            </w:r>
            <w:r>
              <w:rPr>
                <w:rFonts w:hint="eastAsia" w:ascii="仿宋_GB2312" w:hAnsi="仿宋_GB2312" w:eastAsia="仿宋_GB2312" w:cs="仿宋_GB2312"/>
                <w:kern w:val="0"/>
                <w:sz w:val="20"/>
                <w:highlight w:val="none"/>
                <w:vertAlign w:val="superscript"/>
                <w:lang w:val="en-US" w:eastAsia="zh-CN"/>
              </w:rPr>
              <w:t>10.07</w:t>
            </w:r>
            <w:r>
              <w:rPr>
                <w:rFonts w:hint="eastAsia" w:ascii="宋体" w:hAnsi="宋体" w:eastAsia="宋体" w:cs="宋体"/>
                <w:kern w:val="0"/>
                <w:sz w:val="20"/>
                <w:highlight w:val="none"/>
                <w:lang w:val="en-US" w:eastAsia="zh-CN"/>
              </w:rPr>
              <w:t>=</w:t>
            </w:r>
            <w:r>
              <w:rPr>
                <w:rFonts w:hint="eastAsia" w:ascii="仿宋_GB2312" w:hAnsi="仿宋_GB2312" w:eastAsia="仿宋_GB2312" w:cs="仿宋_GB2312"/>
                <w:kern w:val="0"/>
                <w:sz w:val="20"/>
                <w:highlight w:val="none"/>
                <w:lang w:val="en-US" w:eastAsia="zh-CN"/>
              </w:rPr>
              <w:t>1.0203</w:t>
            </w:r>
          </w:p>
        </w:tc>
      </w:tr>
    </w:tbl>
    <w:p w14:paraId="3530D2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val="0"/>
          <w:sz w:val="28"/>
          <w:szCs w:val="28"/>
          <w:highlight w:val="none"/>
          <w:lang w:val="de-DE"/>
        </w:rPr>
      </w:pPr>
      <w:r>
        <w:rPr>
          <w:rFonts w:hint="eastAsia" w:ascii="仿宋_GB2312" w:hAnsi="仿宋_GB2312" w:eastAsia="仿宋_GB2312" w:cs="仿宋_GB2312"/>
          <w:bCs w:val="0"/>
          <w:sz w:val="28"/>
          <w:szCs w:val="28"/>
          <w:highlight w:val="none"/>
          <w:lang w:val="de-DE"/>
        </w:rPr>
        <w:t>7、宗地修正系数表中各区域因素修正系数（∑K</w:t>
      </w:r>
      <w:r>
        <w:rPr>
          <w:rFonts w:hint="eastAsia" w:ascii="仿宋_GB2312" w:hAnsi="仿宋_GB2312" w:eastAsia="仿宋_GB2312" w:cs="仿宋_GB2312"/>
          <w:bCs w:val="0"/>
          <w:sz w:val="28"/>
          <w:szCs w:val="28"/>
          <w:highlight w:val="none"/>
          <w:vertAlign w:val="baseline"/>
          <w:lang w:val="de-DE"/>
        </w:rPr>
        <w:t>i</w:t>
      </w:r>
      <w:r>
        <w:rPr>
          <w:rFonts w:hint="eastAsia" w:ascii="仿宋_GB2312" w:hAnsi="仿宋_GB2312" w:eastAsia="仿宋_GB2312" w:cs="仿宋_GB2312"/>
          <w:bCs w:val="0"/>
          <w:sz w:val="28"/>
          <w:szCs w:val="28"/>
          <w:highlight w:val="none"/>
          <w:lang w:val="de-DE"/>
        </w:rPr>
        <w:t>）的确定</w:t>
      </w:r>
    </w:p>
    <w:p w14:paraId="0D83B81A">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sz w:val="28"/>
          <w:szCs w:val="20"/>
          <w:highlight w:val="none"/>
        </w:rPr>
      </w:pPr>
      <w:r>
        <w:rPr>
          <w:rFonts w:hint="eastAsia" w:ascii="仿宋_GB2312" w:hAnsi="仿宋_GB2312" w:eastAsia="仿宋_GB2312" w:cs="仿宋_GB2312"/>
          <w:bCs/>
          <w:sz w:val="28"/>
          <w:szCs w:val="20"/>
          <w:highlight w:val="none"/>
        </w:rPr>
        <w:t>根据</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val="en-US" w:eastAsia="zh-CN"/>
        </w:rPr>
        <w:t>通道侗族自治县城镇</w:t>
      </w:r>
      <w:r>
        <w:rPr>
          <w:rFonts w:hint="eastAsia" w:ascii="仿宋_GB2312" w:hAnsi="仿宋_GB2312" w:eastAsia="仿宋_GB2312" w:cs="仿宋_GB2312"/>
          <w:sz w:val="28"/>
          <w:highlight w:val="none"/>
        </w:rPr>
        <w:t>基准地价成果技术报告》</w:t>
      </w:r>
      <w:r>
        <w:rPr>
          <w:rFonts w:hint="eastAsia" w:ascii="仿宋_GB2312" w:hAnsi="仿宋_GB2312" w:eastAsia="仿宋_GB2312" w:cs="仿宋_GB2312"/>
          <w:sz w:val="28"/>
          <w:highlight w:val="none"/>
          <w:lang w:eastAsia="zh-CN"/>
        </w:rPr>
        <w:t>（</w:t>
      </w:r>
      <w:r>
        <w:rPr>
          <w:rFonts w:hint="eastAsia" w:ascii="仿宋_GB2312" w:hAnsi="仿宋_GB2312" w:eastAsia="仿宋_GB2312" w:cs="仿宋_GB2312"/>
          <w:sz w:val="28"/>
          <w:highlight w:val="none"/>
          <w:lang w:val="en-US" w:eastAsia="zh-CN"/>
        </w:rPr>
        <w:t>2025年11月）</w:t>
      </w:r>
      <w:r>
        <w:rPr>
          <w:rFonts w:hint="eastAsia" w:ascii="仿宋_GB2312" w:hAnsi="仿宋_GB2312" w:eastAsia="仿宋_GB2312" w:cs="仿宋_GB2312"/>
          <w:bCs/>
          <w:sz w:val="28"/>
          <w:szCs w:val="20"/>
          <w:highlight w:val="none"/>
        </w:rPr>
        <w:t>中《</w:t>
      </w:r>
      <w:r>
        <w:rPr>
          <w:rFonts w:hint="eastAsia" w:ascii="仿宋_GB2312" w:hAnsi="仿宋_GB2312" w:eastAsia="仿宋_GB2312" w:cs="仿宋_GB2312"/>
          <w:sz w:val="28"/>
          <w:szCs w:val="28"/>
          <w:highlight w:val="none"/>
          <w:lang w:eastAsia="zh-CN"/>
        </w:rPr>
        <w:t>城区Ⅱ级居住用地宗地地价区域因素修正系数表</w:t>
      </w:r>
      <w:r>
        <w:rPr>
          <w:rFonts w:hint="eastAsia" w:ascii="仿宋_GB2312" w:hAnsi="仿宋_GB2312" w:eastAsia="仿宋_GB2312" w:cs="仿宋_GB2312"/>
          <w:sz w:val="28"/>
          <w:szCs w:val="20"/>
          <w:highlight w:val="none"/>
        </w:rPr>
        <w:t>》与《</w:t>
      </w:r>
      <w:r>
        <w:rPr>
          <w:rFonts w:hint="eastAsia" w:ascii="仿宋_GB2312" w:hAnsi="仿宋_GB2312" w:eastAsia="仿宋_GB2312" w:cs="仿宋_GB2312"/>
          <w:sz w:val="28"/>
          <w:szCs w:val="28"/>
          <w:highlight w:val="none"/>
          <w:lang w:eastAsia="zh-CN"/>
        </w:rPr>
        <w:t>城区Ⅱ级居住用地宗地地价区域因素修正系数指标说明表</w:t>
      </w:r>
      <w:r>
        <w:rPr>
          <w:rFonts w:hint="eastAsia" w:ascii="仿宋_GB2312" w:hAnsi="仿宋_GB2312" w:eastAsia="仿宋_GB2312" w:cs="仿宋_GB2312"/>
          <w:sz w:val="28"/>
          <w:szCs w:val="20"/>
          <w:highlight w:val="none"/>
        </w:rPr>
        <w:t>》；按照估价对象的区域因素和个别因素条件，建立估价对象地价影响因素说明表和修正系数表，得出估价对象区域因素和个别因素修正系数。</w:t>
      </w:r>
    </w:p>
    <w:p w14:paraId="193E6056">
      <w:pPr>
        <w:pStyle w:val="21"/>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hint="eastAsia" w:ascii="仿宋" w:hAnsi="仿宋" w:eastAsia="仿宋" w:cs="Times New Roman"/>
          <w:b w:val="0"/>
          <w:bCs w:val="0"/>
          <w:kern w:val="2"/>
          <w:sz w:val="28"/>
          <w:szCs w:val="28"/>
          <w:highlight w:val="none"/>
          <w:lang w:val="en-US" w:eastAsia="zh-CN" w:bidi="ar-SA"/>
        </w:rPr>
      </w:pPr>
      <w:r>
        <w:rPr>
          <w:rFonts w:hint="eastAsia" w:ascii="仿宋_GB2312" w:hAnsi="仿宋_GB2312" w:eastAsia="仿宋_GB2312" w:cs="仿宋_GB2312"/>
          <w:b w:val="0"/>
          <w:bCs w:val="0"/>
          <w:sz w:val="28"/>
          <w:szCs w:val="28"/>
          <w:highlight w:val="none"/>
          <w:lang w:val="zh-CN"/>
        </w:rPr>
        <w:t>表3</w:t>
      </w:r>
      <w:r>
        <w:rPr>
          <w:rFonts w:hint="eastAsia" w:ascii="仿宋_GB2312" w:hAnsi="仿宋_GB2312" w:eastAsia="仿宋_GB2312" w:cs="仿宋_GB2312"/>
          <w:b w:val="0"/>
          <w:bCs w:val="0"/>
          <w:sz w:val="28"/>
          <w:szCs w:val="28"/>
          <w:highlight w:val="none"/>
          <w:lang w:val="en-US" w:eastAsia="zh-CN"/>
        </w:rPr>
        <w:t xml:space="preserve">-6 </w:t>
      </w:r>
      <w:r>
        <w:rPr>
          <w:rFonts w:hint="eastAsia" w:ascii="仿宋" w:hAnsi="仿宋" w:eastAsia="仿宋" w:cs="Times New Roman"/>
          <w:b w:val="0"/>
          <w:bCs w:val="0"/>
          <w:kern w:val="2"/>
          <w:sz w:val="28"/>
          <w:szCs w:val="28"/>
          <w:highlight w:val="none"/>
          <w:lang w:val="en-US" w:eastAsia="zh-CN" w:bidi="ar-SA"/>
        </w:rPr>
        <w:t>城区Ⅱ级居住用地宗地地价区域因素修正系数表</w:t>
      </w:r>
    </w:p>
    <w:tbl>
      <w:tblPr>
        <w:tblStyle w:val="11"/>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35"/>
        <w:gridCol w:w="2350"/>
        <w:gridCol w:w="1062"/>
        <w:gridCol w:w="1101"/>
        <w:gridCol w:w="912"/>
        <w:gridCol w:w="980"/>
        <w:gridCol w:w="977"/>
      </w:tblGrid>
      <w:tr w14:paraId="5EDFD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0" w:hRule="atLeast"/>
        </w:trPr>
        <w:tc>
          <w:tcPr>
            <w:tcW w:w="666" w:type="pct"/>
            <w:shd w:val="clear" w:color="auto" w:fill="auto"/>
            <w:vAlign w:val="center"/>
          </w:tcPr>
          <w:p w14:paraId="65CC7B3C">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kern w:val="0"/>
                <w:sz w:val="20"/>
                <w:szCs w:val="20"/>
                <w:highlight w:val="none"/>
              </w:rPr>
            </w:pPr>
            <w:r>
              <w:rPr>
                <w:rFonts w:hint="eastAsia" w:ascii="仿宋_GB2312" w:hAnsi="仿宋_GB2312" w:eastAsia="仿宋_GB2312" w:cs="仿宋_GB2312"/>
                <w:b/>
                <w:bCs/>
                <w:kern w:val="0"/>
                <w:sz w:val="20"/>
                <w:szCs w:val="20"/>
                <w:highlight w:val="none"/>
                <w:lang w:val="en-US" w:eastAsia="zh-CN"/>
              </w:rPr>
              <w:t>因素</w:t>
            </w:r>
          </w:p>
        </w:tc>
        <w:tc>
          <w:tcPr>
            <w:tcW w:w="1379" w:type="pct"/>
            <w:shd w:val="clear" w:color="auto" w:fill="auto"/>
            <w:vAlign w:val="center"/>
          </w:tcPr>
          <w:p w14:paraId="68AC9CC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kern w:val="0"/>
                <w:sz w:val="20"/>
                <w:szCs w:val="20"/>
                <w:highlight w:val="none"/>
              </w:rPr>
            </w:pPr>
            <w:r>
              <w:rPr>
                <w:rFonts w:hint="eastAsia" w:ascii="仿宋_GB2312" w:hAnsi="仿宋_GB2312" w:eastAsia="仿宋_GB2312" w:cs="仿宋_GB2312"/>
                <w:b/>
                <w:bCs/>
                <w:kern w:val="0"/>
                <w:sz w:val="20"/>
                <w:szCs w:val="20"/>
                <w:highlight w:val="none"/>
                <w:lang w:val="en-US" w:eastAsia="zh-CN"/>
              </w:rPr>
              <w:t>因子</w:t>
            </w:r>
          </w:p>
        </w:tc>
        <w:tc>
          <w:tcPr>
            <w:tcW w:w="623" w:type="pct"/>
            <w:shd w:val="clear" w:color="auto" w:fill="auto"/>
            <w:vAlign w:val="center"/>
          </w:tcPr>
          <w:p w14:paraId="1110671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kern w:val="0"/>
                <w:sz w:val="20"/>
                <w:szCs w:val="20"/>
                <w:highlight w:val="none"/>
              </w:rPr>
            </w:pPr>
            <w:r>
              <w:rPr>
                <w:rFonts w:hint="eastAsia" w:ascii="仿宋_GB2312" w:hAnsi="仿宋_GB2312" w:eastAsia="仿宋_GB2312" w:cs="仿宋_GB2312"/>
                <w:b/>
                <w:bCs/>
                <w:kern w:val="0"/>
                <w:sz w:val="20"/>
                <w:szCs w:val="20"/>
                <w:highlight w:val="none"/>
                <w:lang w:val="en-US" w:eastAsia="zh-CN"/>
              </w:rPr>
              <w:t>优</w:t>
            </w:r>
          </w:p>
        </w:tc>
        <w:tc>
          <w:tcPr>
            <w:tcW w:w="646" w:type="pct"/>
            <w:shd w:val="clear" w:color="auto" w:fill="auto"/>
            <w:vAlign w:val="center"/>
          </w:tcPr>
          <w:p w14:paraId="2CBCCFE9">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kern w:val="0"/>
                <w:sz w:val="20"/>
                <w:szCs w:val="20"/>
                <w:highlight w:val="none"/>
              </w:rPr>
            </w:pPr>
            <w:r>
              <w:rPr>
                <w:rFonts w:hint="eastAsia" w:ascii="仿宋_GB2312" w:hAnsi="仿宋_GB2312" w:eastAsia="仿宋_GB2312" w:cs="仿宋_GB2312"/>
                <w:b/>
                <w:bCs/>
                <w:kern w:val="0"/>
                <w:sz w:val="20"/>
                <w:szCs w:val="20"/>
                <w:highlight w:val="none"/>
                <w:lang w:val="en-US" w:eastAsia="zh-CN"/>
              </w:rPr>
              <w:t>较优</w:t>
            </w:r>
          </w:p>
        </w:tc>
        <w:tc>
          <w:tcPr>
            <w:tcW w:w="535" w:type="pct"/>
            <w:shd w:val="clear" w:color="auto" w:fill="auto"/>
            <w:vAlign w:val="center"/>
          </w:tcPr>
          <w:p w14:paraId="0ADD612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kern w:val="0"/>
                <w:sz w:val="20"/>
                <w:szCs w:val="20"/>
                <w:highlight w:val="none"/>
              </w:rPr>
            </w:pPr>
            <w:r>
              <w:rPr>
                <w:rFonts w:hint="eastAsia" w:ascii="仿宋_GB2312" w:hAnsi="仿宋_GB2312" w:eastAsia="仿宋_GB2312" w:cs="仿宋_GB2312"/>
                <w:b/>
                <w:bCs/>
                <w:kern w:val="0"/>
                <w:sz w:val="20"/>
                <w:szCs w:val="20"/>
                <w:highlight w:val="none"/>
                <w:lang w:val="en-US" w:eastAsia="zh-CN"/>
              </w:rPr>
              <w:t>一般</w:t>
            </w:r>
          </w:p>
        </w:tc>
        <w:tc>
          <w:tcPr>
            <w:tcW w:w="575" w:type="pct"/>
            <w:shd w:val="clear" w:color="auto" w:fill="auto"/>
            <w:vAlign w:val="center"/>
          </w:tcPr>
          <w:p w14:paraId="2BC4186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kern w:val="0"/>
                <w:sz w:val="20"/>
                <w:szCs w:val="20"/>
                <w:highlight w:val="none"/>
              </w:rPr>
            </w:pPr>
            <w:r>
              <w:rPr>
                <w:rFonts w:hint="eastAsia" w:ascii="仿宋_GB2312" w:hAnsi="仿宋_GB2312" w:eastAsia="仿宋_GB2312" w:cs="仿宋_GB2312"/>
                <w:b/>
                <w:bCs/>
                <w:kern w:val="0"/>
                <w:sz w:val="20"/>
                <w:szCs w:val="20"/>
                <w:highlight w:val="none"/>
                <w:lang w:val="en-US" w:eastAsia="zh-CN"/>
              </w:rPr>
              <w:t>较劣</w:t>
            </w:r>
          </w:p>
        </w:tc>
        <w:tc>
          <w:tcPr>
            <w:tcW w:w="573" w:type="pct"/>
            <w:shd w:val="clear" w:color="auto" w:fill="auto"/>
            <w:vAlign w:val="center"/>
          </w:tcPr>
          <w:p w14:paraId="394AC79B">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kern w:val="0"/>
                <w:sz w:val="20"/>
                <w:szCs w:val="20"/>
                <w:highlight w:val="none"/>
              </w:rPr>
            </w:pPr>
            <w:r>
              <w:rPr>
                <w:rFonts w:hint="eastAsia" w:ascii="仿宋_GB2312" w:hAnsi="仿宋_GB2312" w:eastAsia="仿宋_GB2312" w:cs="仿宋_GB2312"/>
                <w:b/>
                <w:bCs/>
                <w:kern w:val="0"/>
                <w:sz w:val="20"/>
                <w:szCs w:val="20"/>
                <w:highlight w:val="none"/>
                <w:lang w:val="en-US" w:eastAsia="zh-CN"/>
              </w:rPr>
              <w:t>劣</w:t>
            </w:r>
          </w:p>
        </w:tc>
      </w:tr>
      <w:tr w14:paraId="3A69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7" w:hRule="atLeast"/>
        </w:trPr>
        <w:tc>
          <w:tcPr>
            <w:tcW w:w="666" w:type="pct"/>
            <w:shd w:val="clear" w:color="auto" w:fill="auto"/>
            <w:vAlign w:val="center"/>
          </w:tcPr>
          <w:p w14:paraId="196122D5">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繁华程度</w:t>
            </w:r>
          </w:p>
        </w:tc>
        <w:tc>
          <w:tcPr>
            <w:tcW w:w="1379" w:type="pct"/>
            <w:shd w:val="clear" w:color="auto" w:fill="auto"/>
            <w:vAlign w:val="center"/>
          </w:tcPr>
          <w:p w14:paraId="133E43D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距小区级商服中心距离</w:t>
            </w:r>
          </w:p>
        </w:tc>
        <w:tc>
          <w:tcPr>
            <w:tcW w:w="623" w:type="pct"/>
            <w:shd w:val="clear" w:color="auto" w:fill="auto"/>
            <w:noWrap/>
            <w:vAlign w:val="center"/>
          </w:tcPr>
          <w:p w14:paraId="5F19C5DB">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0.7746</w:t>
            </w:r>
          </w:p>
        </w:tc>
        <w:tc>
          <w:tcPr>
            <w:tcW w:w="646" w:type="pct"/>
            <w:shd w:val="clear" w:color="auto" w:fill="auto"/>
            <w:noWrap/>
            <w:vAlign w:val="center"/>
          </w:tcPr>
          <w:p w14:paraId="440BAB2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0.3873</w:t>
            </w:r>
          </w:p>
        </w:tc>
        <w:tc>
          <w:tcPr>
            <w:tcW w:w="535" w:type="pct"/>
            <w:shd w:val="clear" w:color="auto" w:fill="auto"/>
            <w:noWrap/>
            <w:vAlign w:val="center"/>
          </w:tcPr>
          <w:p w14:paraId="3338B28A">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w:t>
            </w:r>
          </w:p>
        </w:tc>
        <w:tc>
          <w:tcPr>
            <w:tcW w:w="575" w:type="pct"/>
            <w:shd w:val="clear" w:color="auto" w:fill="auto"/>
            <w:noWrap/>
            <w:vAlign w:val="center"/>
          </w:tcPr>
          <w:p w14:paraId="251009F2">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-0.6037</w:t>
            </w:r>
          </w:p>
        </w:tc>
        <w:tc>
          <w:tcPr>
            <w:tcW w:w="573" w:type="pct"/>
            <w:shd w:val="clear" w:color="auto" w:fill="auto"/>
            <w:noWrap/>
            <w:vAlign w:val="center"/>
          </w:tcPr>
          <w:p w14:paraId="7BAC5B92">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-1.2073</w:t>
            </w:r>
          </w:p>
        </w:tc>
      </w:tr>
      <w:tr w14:paraId="1EFC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0" w:hRule="atLeast"/>
        </w:trPr>
        <w:tc>
          <w:tcPr>
            <w:tcW w:w="666" w:type="pct"/>
            <w:vMerge w:val="restart"/>
            <w:shd w:val="clear" w:color="auto" w:fill="auto"/>
            <w:vAlign w:val="center"/>
          </w:tcPr>
          <w:p w14:paraId="64F6D418">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交通条件</w:t>
            </w:r>
          </w:p>
        </w:tc>
        <w:tc>
          <w:tcPr>
            <w:tcW w:w="1379" w:type="pct"/>
            <w:shd w:val="clear" w:color="auto" w:fill="auto"/>
            <w:vAlign w:val="center"/>
          </w:tcPr>
          <w:p w14:paraId="00BF65AF">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距汽车站距离</w:t>
            </w:r>
          </w:p>
        </w:tc>
        <w:tc>
          <w:tcPr>
            <w:tcW w:w="623" w:type="pct"/>
            <w:shd w:val="clear" w:color="auto" w:fill="auto"/>
            <w:noWrap/>
            <w:vAlign w:val="center"/>
          </w:tcPr>
          <w:p w14:paraId="512BAC57">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0.4108</w:t>
            </w:r>
          </w:p>
        </w:tc>
        <w:tc>
          <w:tcPr>
            <w:tcW w:w="646" w:type="pct"/>
            <w:shd w:val="clear" w:color="auto" w:fill="auto"/>
            <w:noWrap/>
            <w:vAlign w:val="center"/>
          </w:tcPr>
          <w:p w14:paraId="01812449">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0.2054</w:t>
            </w:r>
          </w:p>
        </w:tc>
        <w:tc>
          <w:tcPr>
            <w:tcW w:w="535" w:type="pct"/>
            <w:shd w:val="clear" w:color="auto" w:fill="auto"/>
            <w:noWrap/>
            <w:vAlign w:val="center"/>
          </w:tcPr>
          <w:p w14:paraId="59E9975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w:t>
            </w:r>
          </w:p>
        </w:tc>
        <w:tc>
          <w:tcPr>
            <w:tcW w:w="575" w:type="pct"/>
            <w:shd w:val="clear" w:color="auto" w:fill="auto"/>
            <w:noWrap/>
            <w:vAlign w:val="center"/>
          </w:tcPr>
          <w:p w14:paraId="65013635">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-0.3202</w:t>
            </w:r>
          </w:p>
        </w:tc>
        <w:tc>
          <w:tcPr>
            <w:tcW w:w="573" w:type="pct"/>
            <w:shd w:val="clear" w:color="auto" w:fill="auto"/>
            <w:noWrap/>
            <w:vAlign w:val="center"/>
          </w:tcPr>
          <w:p w14:paraId="02B9DBCE">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-0.6403</w:t>
            </w:r>
          </w:p>
        </w:tc>
      </w:tr>
      <w:tr w14:paraId="14048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0" w:hRule="atLeast"/>
        </w:trPr>
        <w:tc>
          <w:tcPr>
            <w:tcW w:w="666" w:type="pct"/>
            <w:vMerge w:val="continue"/>
            <w:shd w:val="clear" w:color="auto" w:fill="auto"/>
            <w:vAlign w:val="center"/>
          </w:tcPr>
          <w:p w14:paraId="6C7DFA7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p>
        </w:tc>
        <w:tc>
          <w:tcPr>
            <w:tcW w:w="1379" w:type="pct"/>
            <w:shd w:val="clear" w:color="auto" w:fill="auto"/>
            <w:vAlign w:val="center"/>
          </w:tcPr>
          <w:p w14:paraId="3D17BF8F">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临近道路状况</w:t>
            </w:r>
          </w:p>
        </w:tc>
        <w:tc>
          <w:tcPr>
            <w:tcW w:w="623" w:type="pct"/>
            <w:shd w:val="clear" w:color="auto" w:fill="auto"/>
            <w:noWrap/>
            <w:vAlign w:val="center"/>
          </w:tcPr>
          <w:p w14:paraId="2D9E403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0.4578</w:t>
            </w:r>
          </w:p>
        </w:tc>
        <w:tc>
          <w:tcPr>
            <w:tcW w:w="646" w:type="pct"/>
            <w:shd w:val="clear" w:color="auto" w:fill="auto"/>
            <w:noWrap/>
            <w:vAlign w:val="center"/>
          </w:tcPr>
          <w:p w14:paraId="7C6D09C6">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0.2289</w:t>
            </w:r>
          </w:p>
        </w:tc>
        <w:tc>
          <w:tcPr>
            <w:tcW w:w="535" w:type="pct"/>
            <w:shd w:val="clear" w:color="auto" w:fill="auto"/>
            <w:noWrap/>
            <w:vAlign w:val="center"/>
          </w:tcPr>
          <w:p w14:paraId="29D578A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w:t>
            </w:r>
          </w:p>
        </w:tc>
        <w:tc>
          <w:tcPr>
            <w:tcW w:w="575" w:type="pct"/>
            <w:shd w:val="clear" w:color="auto" w:fill="auto"/>
            <w:noWrap/>
            <w:vAlign w:val="center"/>
          </w:tcPr>
          <w:p w14:paraId="305F2C6C">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-0.3568</w:t>
            </w:r>
          </w:p>
        </w:tc>
        <w:tc>
          <w:tcPr>
            <w:tcW w:w="573" w:type="pct"/>
            <w:shd w:val="clear" w:color="auto" w:fill="auto"/>
            <w:noWrap/>
            <w:vAlign w:val="center"/>
          </w:tcPr>
          <w:p w14:paraId="4C27D6E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-0.7135</w:t>
            </w:r>
          </w:p>
        </w:tc>
      </w:tr>
      <w:tr w14:paraId="712BE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666" w:type="pct"/>
            <w:vMerge w:val="continue"/>
            <w:shd w:val="clear" w:color="auto" w:fill="auto"/>
            <w:vAlign w:val="center"/>
          </w:tcPr>
          <w:p w14:paraId="55B6CCC5">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p>
        </w:tc>
        <w:tc>
          <w:tcPr>
            <w:tcW w:w="1379" w:type="pct"/>
            <w:shd w:val="clear" w:color="auto" w:fill="auto"/>
            <w:vAlign w:val="center"/>
          </w:tcPr>
          <w:p w14:paraId="29F3D7C9">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距公交站点距离</w:t>
            </w:r>
          </w:p>
        </w:tc>
        <w:tc>
          <w:tcPr>
            <w:tcW w:w="623" w:type="pct"/>
            <w:shd w:val="clear" w:color="auto" w:fill="auto"/>
            <w:noWrap/>
            <w:vAlign w:val="center"/>
          </w:tcPr>
          <w:p w14:paraId="6789C6B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0.282</w:t>
            </w:r>
          </w:p>
        </w:tc>
        <w:tc>
          <w:tcPr>
            <w:tcW w:w="646" w:type="pct"/>
            <w:shd w:val="clear" w:color="auto" w:fill="auto"/>
            <w:noWrap/>
            <w:vAlign w:val="center"/>
          </w:tcPr>
          <w:p w14:paraId="7C457BB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0.141</w:t>
            </w:r>
          </w:p>
        </w:tc>
        <w:tc>
          <w:tcPr>
            <w:tcW w:w="535" w:type="pct"/>
            <w:shd w:val="clear" w:color="auto" w:fill="auto"/>
            <w:noWrap/>
            <w:vAlign w:val="center"/>
          </w:tcPr>
          <w:p w14:paraId="1768B175">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w:t>
            </w:r>
          </w:p>
        </w:tc>
        <w:tc>
          <w:tcPr>
            <w:tcW w:w="575" w:type="pct"/>
            <w:shd w:val="clear" w:color="auto" w:fill="auto"/>
            <w:noWrap/>
            <w:vAlign w:val="center"/>
          </w:tcPr>
          <w:p w14:paraId="7C398612">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-0.2198</w:t>
            </w:r>
          </w:p>
        </w:tc>
        <w:tc>
          <w:tcPr>
            <w:tcW w:w="573" w:type="pct"/>
            <w:shd w:val="clear" w:color="auto" w:fill="auto"/>
            <w:noWrap/>
            <w:vAlign w:val="center"/>
          </w:tcPr>
          <w:p w14:paraId="6554476D">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-0.4395</w:t>
            </w:r>
          </w:p>
        </w:tc>
      </w:tr>
      <w:tr w14:paraId="04775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0" w:hRule="atLeast"/>
        </w:trPr>
        <w:tc>
          <w:tcPr>
            <w:tcW w:w="666" w:type="pct"/>
            <w:vMerge w:val="restart"/>
            <w:shd w:val="clear" w:color="auto" w:fill="auto"/>
            <w:vAlign w:val="center"/>
          </w:tcPr>
          <w:p w14:paraId="556B0C2B">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基本设施状况</w:t>
            </w:r>
          </w:p>
        </w:tc>
        <w:tc>
          <w:tcPr>
            <w:tcW w:w="1379" w:type="pct"/>
            <w:shd w:val="clear" w:color="auto" w:fill="auto"/>
            <w:vAlign w:val="center"/>
          </w:tcPr>
          <w:p w14:paraId="776B979F">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供水保证率</w:t>
            </w:r>
          </w:p>
        </w:tc>
        <w:tc>
          <w:tcPr>
            <w:tcW w:w="623" w:type="pct"/>
            <w:shd w:val="clear" w:color="auto" w:fill="auto"/>
            <w:noWrap/>
            <w:vAlign w:val="center"/>
          </w:tcPr>
          <w:p w14:paraId="0DCC28DC">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0.3807</w:t>
            </w:r>
          </w:p>
        </w:tc>
        <w:tc>
          <w:tcPr>
            <w:tcW w:w="646" w:type="pct"/>
            <w:shd w:val="clear" w:color="auto" w:fill="auto"/>
            <w:noWrap/>
            <w:vAlign w:val="center"/>
          </w:tcPr>
          <w:p w14:paraId="70A0D779">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0.1904</w:t>
            </w:r>
          </w:p>
        </w:tc>
        <w:tc>
          <w:tcPr>
            <w:tcW w:w="535" w:type="pct"/>
            <w:shd w:val="clear" w:color="auto" w:fill="auto"/>
            <w:noWrap/>
            <w:vAlign w:val="center"/>
          </w:tcPr>
          <w:p w14:paraId="1708978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w:t>
            </w:r>
          </w:p>
        </w:tc>
        <w:tc>
          <w:tcPr>
            <w:tcW w:w="575" w:type="pct"/>
            <w:shd w:val="clear" w:color="auto" w:fill="auto"/>
            <w:noWrap/>
            <w:vAlign w:val="center"/>
          </w:tcPr>
          <w:p w14:paraId="6D91055A">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-0.2967</w:t>
            </w:r>
          </w:p>
        </w:tc>
        <w:tc>
          <w:tcPr>
            <w:tcW w:w="573" w:type="pct"/>
            <w:shd w:val="clear" w:color="auto" w:fill="auto"/>
            <w:noWrap/>
            <w:vAlign w:val="center"/>
          </w:tcPr>
          <w:p w14:paraId="4A61C0FB">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-0.5934</w:t>
            </w:r>
          </w:p>
        </w:tc>
      </w:tr>
      <w:tr w14:paraId="51D21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666" w:type="pct"/>
            <w:vMerge w:val="continue"/>
            <w:shd w:val="clear" w:color="auto" w:fill="auto"/>
            <w:vAlign w:val="center"/>
          </w:tcPr>
          <w:p w14:paraId="15280241">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p>
        </w:tc>
        <w:tc>
          <w:tcPr>
            <w:tcW w:w="1379" w:type="pct"/>
            <w:shd w:val="clear" w:color="auto" w:fill="auto"/>
            <w:vAlign w:val="center"/>
          </w:tcPr>
          <w:p w14:paraId="4492932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供电保证率</w:t>
            </w:r>
          </w:p>
        </w:tc>
        <w:tc>
          <w:tcPr>
            <w:tcW w:w="623" w:type="pct"/>
            <w:shd w:val="clear" w:color="auto" w:fill="auto"/>
            <w:noWrap/>
            <w:vAlign w:val="center"/>
          </w:tcPr>
          <w:p w14:paraId="1CB0535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0.123</w:t>
            </w:r>
          </w:p>
        </w:tc>
        <w:tc>
          <w:tcPr>
            <w:tcW w:w="646" w:type="pct"/>
            <w:shd w:val="clear" w:color="auto" w:fill="auto"/>
            <w:noWrap/>
            <w:vAlign w:val="center"/>
          </w:tcPr>
          <w:p w14:paraId="1A939DB1">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0.0615</w:t>
            </w:r>
          </w:p>
        </w:tc>
        <w:tc>
          <w:tcPr>
            <w:tcW w:w="535" w:type="pct"/>
            <w:shd w:val="clear" w:color="auto" w:fill="auto"/>
            <w:noWrap/>
            <w:vAlign w:val="center"/>
          </w:tcPr>
          <w:p w14:paraId="3DE38C0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w:t>
            </w:r>
          </w:p>
        </w:tc>
        <w:tc>
          <w:tcPr>
            <w:tcW w:w="575" w:type="pct"/>
            <w:shd w:val="clear" w:color="auto" w:fill="auto"/>
            <w:noWrap/>
            <w:vAlign w:val="center"/>
          </w:tcPr>
          <w:p w14:paraId="49D6775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-0.0959</w:t>
            </w:r>
          </w:p>
        </w:tc>
        <w:tc>
          <w:tcPr>
            <w:tcW w:w="573" w:type="pct"/>
            <w:shd w:val="clear" w:color="auto" w:fill="auto"/>
            <w:noWrap/>
            <w:vAlign w:val="center"/>
          </w:tcPr>
          <w:p w14:paraId="7EAB9CD9">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-0.1918</w:t>
            </w:r>
          </w:p>
        </w:tc>
      </w:tr>
      <w:tr w14:paraId="5CBC5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666" w:type="pct"/>
            <w:vMerge w:val="continue"/>
            <w:shd w:val="clear" w:color="auto" w:fill="auto"/>
            <w:vAlign w:val="center"/>
          </w:tcPr>
          <w:p w14:paraId="116168FA">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p>
        </w:tc>
        <w:tc>
          <w:tcPr>
            <w:tcW w:w="1379" w:type="pct"/>
            <w:shd w:val="clear" w:color="auto" w:fill="auto"/>
            <w:vAlign w:val="center"/>
          </w:tcPr>
          <w:p w14:paraId="1CFD8527">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排水状况</w:t>
            </w:r>
          </w:p>
        </w:tc>
        <w:tc>
          <w:tcPr>
            <w:tcW w:w="623" w:type="pct"/>
            <w:shd w:val="clear" w:color="auto" w:fill="auto"/>
            <w:noWrap/>
            <w:vAlign w:val="center"/>
          </w:tcPr>
          <w:p w14:paraId="4A895E9F">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0.3453</w:t>
            </w:r>
          </w:p>
        </w:tc>
        <w:tc>
          <w:tcPr>
            <w:tcW w:w="646" w:type="pct"/>
            <w:shd w:val="clear" w:color="auto" w:fill="auto"/>
            <w:noWrap/>
            <w:vAlign w:val="center"/>
          </w:tcPr>
          <w:p w14:paraId="126A0ADD">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0.1727</w:t>
            </w:r>
          </w:p>
        </w:tc>
        <w:tc>
          <w:tcPr>
            <w:tcW w:w="535" w:type="pct"/>
            <w:shd w:val="clear" w:color="auto" w:fill="auto"/>
            <w:noWrap/>
            <w:vAlign w:val="center"/>
          </w:tcPr>
          <w:p w14:paraId="05F98AD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w:t>
            </w:r>
          </w:p>
        </w:tc>
        <w:tc>
          <w:tcPr>
            <w:tcW w:w="575" w:type="pct"/>
            <w:shd w:val="clear" w:color="auto" w:fill="auto"/>
            <w:noWrap/>
            <w:vAlign w:val="center"/>
          </w:tcPr>
          <w:p w14:paraId="48DE4E05">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-0.2691</w:t>
            </w:r>
          </w:p>
        </w:tc>
        <w:tc>
          <w:tcPr>
            <w:tcW w:w="573" w:type="pct"/>
            <w:shd w:val="clear" w:color="auto" w:fill="auto"/>
            <w:noWrap/>
            <w:vAlign w:val="center"/>
          </w:tcPr>
          <w:p w14:paraId="3C6E315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-0.5382</w:t>
            </w:r>
          </w:p>
        </w:tc>
      </w:tr>
      <w:tr w14:paraId="1C360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666" w:type="pct"/>
            <w:vMerge w:val="continue"/>
            <w:shd w:val="clear" w:color="auto" w:fill="auto"/>
            <w:vAlign w:val="center"/>
          </w:tcPr>
          <w:p w14:paraId="7ECBA461">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p>
        </w:tc>
        <w:tc>
          <w:tcPr>
            <w:tcW w:w="1379" w:type="pct"/>
            <w:shd w:val="clear" w:color="auto" w:fill="auto"/>
            <w:vAlign w:val="center"/>
          </w:tcPr>
          <w:p w14:paraId="519D0826">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公用设施完善度</w:t>
            </w:r>
          </w:p>
        </w:tc>
        <w:tc>
          <w:tcPr>
            <w:tcW w:w="623" w:type="pct"/>
            <w:shd w:val="clear" w:color="auto" w:fill="auto"/>
            <w:noWrap/>
            <w:vAlign w:val="center"/>
          </w:tcPr>
          <w:p w14:paraId="0E8F2DA7">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0.8738</w:t>
            </w:r>
          </w:p>
        </w:tc>
        <w:tc>
          <w:tcPr>
            <w:tcW w:w="646" w:type="pct"/>
            <w:shd w:val="clear" w:color="auto" w:fill="auto"/>
            <w:noWrap/>
            <w:vAlign w:val="center"/>
          </w:tcPr>
          <w:p w14:paraId="4A7E808F">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0.4369</w:t>
            </w:r>
          </w:p>
        </w:tc>
        <w:tc>
          <w:tcPr>
            <w:tcW w:w="535" w:type="pct"/>
            <w:shd w:val="clear" w:color="auto" w:fill="auto"/>
            <w:noWrap/>
            <w:vAlign w:val="center"/>
          </w:tcPr>
          <w:p w14:paraId="045B1178">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w:t>
            </w:r>
          </w:p>
        </w:tc>
        <w:tc>
          <w:tcPr>
            <w:tcW w:w="575" w:type="pct"/>
            <w:shd w:val="clear" w:color="auto" w:fill="auto"/>
            <w:noWrap/>
            <w:vAlign w:val="center"/>
          </w:tcPr>
          <w:p w14:paraId="1F370827">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-0.6811</w:t>
            </w:r>
          </w:p>
        </w:tc>
        <w:tc>
          <w:tcPr>
            <w:tcW w:w="573" w:type="pct"/>
            <w:shd w:val="clear" w:color="auto" w:fill="auto"/>
            <w:noWrap/>
            <w:vAlign w:val="center"/>
          </w:tcPr>
          <w:p w14:paraId="3268557D">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-1.3621</w:t>
            </w:r>
          </w:p>
        </w:tc>
      </w:tr>
      <w:tr w14:paraId="6205B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666" w:type="pct"/>
            <w:shd w:val="clear" w:color="auto" w:fill="auto"/>
            <w:vAlign w:val="center"/>
          </w:tcPr>
          <w:p w14:paraId="05A589DD">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人口状况</w:t>
            </w:r>
          </w:p>
        </w:tc>
        <w:tc>
          <w:tcPr>
            <w:tcW w:w="1379" w:type="pct"/>
            <w:shd w:val="clear" w:color="auto" w:fill="auto"/>
            <w:vAlign w:val="center"/>
          </w:tcPr>
          <w:p w14:paraId="0AB06325">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人口密度</w:t>
            </w:r>
          </w:p>
        </w:tc>
        <w:tc>
          <w:tcPr>
            <w:tcW w:w="623" w:type="pct"/>
            <w:shd w:val="clear" w:color="auto" w:fill="auto"/>
            <w:noWrap/>
            <w:vAlign w:val="center"/>
          </w:tcPr>
          <w:p w14:paraId="79A71FB9">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0.547</w:t>
            </w:r>
          </w:p>
        </w:tc>
        <w:tc>
          <w:tcPr>
            <w:tcW w:w="646" w:type="pct"/>
            <w:shd w:val="clear" w:color="auto" w:fill="auto"/>
            <w:noWrap/>
            <w:vAlign w:val="center"/>
          </w:tcPr>
          <w:p w14:paraId="685B42C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0.2735</w:t>
            </w:r>
          </w:p>
        </w:tc>
        <w:tc>
          <w:tcPr>
            <w:tcW w:w="535" w:type="pct"/>
            <w:shd w:val="clear" w:color="auto" w:fill="auto"/>
            <w:noWrap/>
            <w:vAlign w:val="center"/>
          </w:tcPr>
          <w:p w14:paraId="3DD3A0D5">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w:t>
            </w:r>
          </w:p>
        </w:tc>
        <w:tc>
          <w:tcPr>
            <w:tcW w:w="575" w:type="pct"/>
            <w:shd w:val="clear" w:color="auto" w:fill="auto"/>
            <w:noWrap/>
            <w:vAlign w:val="center"/>
          </w:tcPr>
          <w:p w14:paraId="6D8438FD">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-0.4263</w:t>
            </w:r>
          </w:p>
        </w:tc>
        <w:tc>
          <w:tcPr>
            <w:tcW w:w="573" w:type="pct"/>
            <w:shd w:val="clear" w:color="auto" w:fill="auto"/>
            <w:noWrap/>
            <w:vAlign w:val="center"/>
          </w:tcPr>
          <w:p w14:paraId="0FACCFD5">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-0.8526</w:t>
            </w:r>
          </w:p>
        </w:tc>
      </w:tr>
      <w:tr w14:paraId="56279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666" w:type="pct"/>
            <w:vMerge w:val="restart"/>
            <w:shd w:val="clear" w:color="auto" w:fill="auto"/>
            <w:vAlign w:val="center"/>
          </w:tcPr>
          <w:p w14:paraId="0C5C2F99">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环境状况</w:t>
            </w:r>
          </w:p>
        </w:tc>
        <w:tc>
          <w:tcPr>
            <w:tcW w:w="1379" w:type="pct"/>
            <w:shd w:val="clear" w:color="auto" w:fill="auto"/>
            <w:vAlign w:val="center"/>
          </w:tcPr>
          <w:p w14:paraId="7DAE130B">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噪声污染状况</w:t>
            </w:r>
          </w:p>
        </w:tc>
        <w:tc>
          <w:tcPr>
            <w:tcW w:w="623" w:type="pct"/>
            <w:shd w:val="clear" w:color="auto" w:fill="auto"/>
            <w:noWrap/>
            <w:vAlign w:val="center"/>
          </w:tcPr>
          <w:p w14:paraId="3E4411A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0.3369</w:t>
            </w:r>
          </w:p>
        </w:tc>
        <w:tc>
          <w:tcPr>
            <w:tcW w:w="646" w:type="pct"/>
            <w:shd w:val="clear" w:color="auto" w:fill="auto"/>
            <w:noWrap/>
            <w:vAlign w:val="center"/>
          </w:tcPr>
          <w:p w14:paraId="5C54937C">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0.1685</w:t>
            </w:r>
          </w:p>
        </w:tc>
        <w:tc>
          <w:tcPr>
            <w:tcW w:w="535" w:type="pct"/>
            <w:shd w:val="clear" w:color="auto" w:fill="auto"/>
            <w:noWrap/>
            <w:vAlign w:val="center"/>
          </w:tcPr>
          <w:p w14:paraId="7BF12AEC">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w:t>
            </w:r>
          </w:p>
        </w:tc>
        <w:tc>
          <w:tcPr>
            <w:tcW w:w="575" w:type="pct"/>
            <w:shd w:val="clear" w:color="auto" w:fill="auto"/>
            <w:noWrap/>
            <w:vAlign w:val="center"/>
          </w:tcPr>
          <w:p w14:paraId="01EEEEAA">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-0.2626</w:t>
            </w:r>
          </w:p>
        </w:tc>
        <w:tc>
          <w:tcPr>
            <w:tcW w:w="573" w:type="pct"/>
            <w:shd w:val="clear" w:color="auto" w:fill="auto"/>
            <w:noWrap/>
            <w:vAlign w:val="center"/>
          </w:tcPr>
          <w:p w14:paraId="3E488DEB">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-0.5251</w:t>
            </w:r>
          </w:p>
        </w:tc>
      </w:tr>
      <w:tr w14:paraId="6F478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64" w:hRule="atLeast"/>
        </w:trPr>
        <w:tc>
          <w:tcPr>
            <w:tcW w:w="666" w:type="pct"/>
            <w:vMerge w:val="continue"/>
            <w:shd w:val="clear" w:color="auto" w:fill="auto"/>
            <w:vAlign w:val="center"/>
          </w:tcPr>
          <w:p w14:paraId="0863E899">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p>
        </w:tc>
        <w:tc>
          <w:tcPr>
            <w:tcW w:w="1379" w:type="pct"/>
            <w:shd w:val="clear" w:color="auto" w:fill="auto"/>
            <w:vAlign w:val="center"/>
          </w:tcPr>
          <w:p w14:paraId="2E07FA68">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水污染状况</w:t>
            </w:r>
          </w:p>
        </w:tc>
        <w:tc>
          <w:tcPr>
            <w:tcW w:w="623" w:type="pct"/>
            <w:shd w:val="clear" w:color="auto" w:fill="auto"/>
            <w:noWrap/>
            <w:vAlign w:val="center"/>
          </w:tcPr>
          <w:p w14:paraId="77C7E16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0.3585</w:t>
            </w:r>
          </w:p>
        </w:tc>
        <w:tc>
          <w:tcPr>
            <w:tcW w:w="646" w:type="pct"/>
            <w:shd w:val="clear" w:color="auto" w:fill="auto"/>
            <w:noWrap/>
            <w:vAlign w:val="center"/>
          </w:tcPr>
          <w:p w14:paraId="4E0171B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0.1793</w:t>
            </w:r>
          </w:p>
        </w:tc>
        <w:tc>
          <w:tcPr>
            <w:tcW w:w="535" w:type="pct"/>
            <w:shd w:val="clear" w:color="auto" w:fill="auto"/>
            <w:noWrap/>
            <w:vAlign w:val="center"/>
          </w:tcPr>
          <w:p w14:paraId="7BEFDC97">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w:t>
            </w:r>
          </w:p>
        </w:tc>
        <w:tc>
          <w:tcPr>
            <w:tcW w:w="575" w:type="pct"/>
            <w:shd w:val="clear" w:color="auto" w:fill="auto"/>
            <w:noWrap/>
            <w:vAlign w:val="center"/>
          </w:tcPr>
          <w:p w14:paraId="0B3C705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-0.2794</w:t>
            </w:r>
          </w:p>
        </w:tc>
        <w:tc>
          <w:tcPr>
            <w:tcW w:w="573" w:type="pct"/>
            <w:shd w:val="clear" w:color="auto" w:fill="auto"/>
            <w:noWrap/>
            <w:vAlign w:val="center"/>
          </w:tcPr>
          <w:p w14:paraId="3D1AEDD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-0.5588</w:t>
            </w:r>
          </w:p>
        </w:tc>
      </w:tr>
      <w:tr w14:paraId="40E2C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37" w:hRule="atLeast"/>
        </w:trPr>
        <w:tc>
          <w:tcPr>
            <w:tcW w:w="666" w:type="pct"/>
            <w:shd w:val="clear" w:color="auto" w:fill="auto"/>
            <w:vAlign w:val="center"/>
          </w:tcPr>
          <w:p w14:paraId="2BA2B23E">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城市规划</w:t>
            </w:r>
          </w:p>
        </w:tc>
        <w:tc>
          <w:tcPr>
            <w:tcW w:w="1379" w:type="pct"/>
            <w:shd w:val="clear" w:color="auto" w:fill="auto"/>
            <w:vAlign w:val="center"/>
          </w:tcPr>
          <w:p w14:paraId="35A4A6AB">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道路规划</w:t>
            </w:r>
          </w:p>
        </w:tc>
        <w:tc>
          <w:tcPr>
            <w:tcW w:w="623" w:type="pct"/>
            <w:shd w:val="clear" w:color="auto" w:fill="auto"/>
            <w:noWrap/>
            <w:vAlign w:val="center"/>
          </w:tcPr>
          <w:p w14:paraId="43355AC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0.3897</w:t>
            </w:r>
          </w:p>
        </w:tc>
        <w:tc>
          <w:tcPr>
            <w:tcW w:w="646" w:type="pct"/>
            <w:shd w:val="clear" w:color="auto" w:fill="auto"/>
            <w:noWrap/>
            <w:vAlign w:val="center"/>
          </w:tcPr>
          <w:p w14:paraId="37343B8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0.1949</w:t>
            </w:r>
          </w:p>
        </w:tc>
        <w:tc>
          <w:tcPr>
            <w:tcW w:w="535" w:type="pct"/>
            <w:shd w:val="clear" w:color="auto" w:fill="auto"/>
            <w:noWrap/>
            <w:vAlign w:val="center"/>
          </w:tcPr>
          <w:p w14:paraId="5DCB698B">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w:t>
            </w:r>
          </w:p>
        </w:tc>
        <w:tc>
          <w:tcPr>
            <w:tcW w:w="575" w:type="pct"/>
            <w:shd w:val="clear" w:color="auto" w:fill="auto"/>
            <w:noWrap/>
            <w:vAlign w:val="center"/>
          </w:tcPr>
          <w:p w14:paraId="40CDA5AE">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-0.3037</w:t>
            </w:r>
          </w:p>
        </w:tc>
        <w:tc>
          <w:tcPr>
            <w:tcW w:w="573" w:type="pct"/>
            <w:shd w:val="clear" w:color="auto" w:fill="auto"/>
            <w:noWrap/>
            <w:vAlign w:val="center"/>
          </w:tcPr>
          <w:p w14:paraId="284D4F72">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-0.6074</w:t>
            </w:r>
          </w:p>
        </w:tc>
      </w:tr>
    </w:tbl>
    <w:p w14:paraId="6948F584">
      <w:pPr>
        <w:pStyle w:val="21"/>
        <w:ind w:firstLine="420"/>
        <w:jc w:val="both"/>
        <w:rPr>
          <w:rFonts w:hint="eastAsia" w:ascii="仿宋_GB2312" w:hAnsi="仿宋_GB2312" w:eastAsia="仿宋_GB2312" w:cs="仿宋_GB2312"/>
          <w:b w:val="0"/>
          <w:szCs w:val="21"/>
          <w:highlight w:val="none"/>
        </w:rPr>
      </w:pPr>
      <w:r>
        <w:rPr>
          <w:rFonts w:hint="eastAsia" w:ascii="仿宋_GB2312" w:hAnsi="仿宋_GB2312" w:eastAsia="仿宋_GB2312" w:cs="仿宋_GB2312"/>
          <w:b w:val="0"/>
          <w:szCs w:val="21"/>
          <w:highlight w:val="none"/>
        </w:rPr>
        <w:t>注：区间左开右闭</w:t>
      </w:r>
    </w:p>
    <w:p w14:paraId="7E914A03">
      <w:pPr>
        <w:pStyle w:val="21"/>
        <w:ind w:firstLine="0" w:firstLineChars="0"/>
        <w:rPr>
          <w:rFonts w:hint="eastAsia" w:ascii="仿宋_GB2312" w:hAnsi="仿宋_GB2312" w:eastAsia="仿宋_GB2312" w:cs="仿宋_GB2312"/>
          <w:b w:val="0"/>
          <w:bCs w:val="0"/>
          <w:sz w:val="28"/>
          <w:szCs w:val="28"/>
          <w:highlight w:val="none"/>
          <w:lang w:val="zh-CN"/>
        </w:rPr>
      </w:pPr>
      <w:r>
        <w:rPr>
          <w:rFonts w:hint="eastAsia" w:ascii="仿宋_GB2312" w:hAnsi="仿宋_GB2312" w:eastAsia="仿宋_GB2312" w:cs="仿宋_GB2312"/>
          <w:b w:val="0"/>
          <w:bCs w:val="0"/>
          <w:sz w:val="28"/>
          <w:szCs w:val="28"/>
          <w:highlight w:val="none"/>
          <w:lang w:val="zh-CN"/>
        </w:rPr>
        <w:t>表3-</w:t>
      </w:r>
      <w:r>
        <w:rPr>
          <w:rFonts w:hint="eastAsia" w:ascii="仿宋_GB2312" w:hAnsi="仿宋_GB2312" w:eastAsia="仿宋_GB2312" w:cs="仿宋_GB2312"/>
          <w:b w:val="0"/>
          <w:bCs w:val="0"/>
          <w:sz w:val="28"/>
          <w:szCs w:val="28"/>
          <w:highlight w:val="none"/>
          <w:lang w:val="en-US" w:eastAsia="zh-CN"/>
        </w:rPr>
        <w:t>7</w:t>
      </w:r>
      <w:r>
        <w:rPr>
          <w:rFonts w:hint="eastAsia" w:ascii="仿宋_GB2312" w:hAnsi="仿宋_GB2312" w:eastAsia="仿宋_GB2312" w:cs="仿宋_GB2312"/>
          <w:b w:val="0"/>
          <w:bCs w:val="0"/>
          <w:sz w:val="28"/>
          <w:szCs w:val="28"/>
          <w:highlight w:val="none"/>
          <w:lang w:val="zh-CN"/>
        </w:rPr>
        <w:t xml:space="preserve"> 城区Ⅱ级居住用地宗地地价区域因素修正系数指标说明表</w:t>
      </w:r>
    </w:p>
    <w:tbl>
      <w:tblPr>
        <w:tblStyle w:val="11"/>
        <w:tblW w:w="500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9"/>
        <w:gridCol w:w="1450"/>
        <w:gridCol w:w="1315"/>
        <w:gridCol w:w="1349"/>
        <w:gridCol w:w="1298"/>
        <w:gridCol w:w="1295"/>
      </w:tblGrid>
      <w:tr w14:paraId="6EFF2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1071" w:type="pct"/>
            <w:noWrap w:val="0"/>
            <w:vAlign w:val="center"/>
          </w:tcPr>
          <w:p w14:paraId="477F1B45">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color w:val="auto"/>
                <w:kern w:val="0"/>
                <w:sz w:val="20"/>
                <w:szCs w:val="20"/>
                <w:highlight w:val="none"/>
              </w:rPr>
            </w:pPr>
            <w:r>
              <w:rPr>
                <w:rFonts w:hint="eastAsia" w:ascii="仿宋_GB2312" w:hAnsi="仿宋_GB2312" w:eastAsia="仿宋_GB2312" w:cs="仿宋_GB2312"/>
                <w:b/>
                <w:bCs/>
                <w:color w:val="auto"/>
                <w:kern w:val="0"/>
                <w:sz w:val="20"/>
                <w:szCs w:val="20"/>
                <w:highlight w:val="none"/>
              </w:rPr>
              <w:t>因 子</w:t>
            </w:r>
          </w:p>
        </w:tc>
        <w:tc>
          <w:tcPr>
            <w:tcW w:w="849" w:type="pct"/>
            <w:noWrap w:val="0"/>
            <w:vAlign w:val="center"/>
          </w:tcPr>
          <w:p w14:paraId="0B255DBC">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color w:val="auto"/>
                <w:kern w:val="0"/>
                <w:sz w:val="20"/>
                <w:szCs w:val="20"/>
                <w:highlight w:val="none"/>
              </w:rPr>
            </w:pPr>
            <w:r>
              <w:rPr>
                <w:rFonts w:hint="eastAsia" w:ascii="仿宋_GB2312" w:hAnsi="仿宋_GB2312" w:eastAsia="仿宋_GB2312" w:cs="仿宋_GB2312"/>
                <w:b/>
                <w:bCs/>
                <w:color w:val="auto"/>
                <w:kern w:val="0"/>
                <w:sz w:val="20"/>
                <w:szCs w:val="20"/>
                <w:highlight w:val="none"/>
              </w:rPr>
              <w:t>优</w:t>
            </w:r>
          </w:p>
        </w:tc>
        <w:tc>
          <w:tcPr>
            <w:tcW w:w="770" w:type="pct"/>
            <w:noWrap w:val="0"/>
            <w:vAlign w:val="center"/>
          </w:tcPr>
          <w:p w14:paraId="57DFED0A">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color w:val="auto"/>
                <w:kern w:val="0"/>
                <w:sz w:val="20"/>
                <w:szCs w:val="20"/>
                <w:highlight w:val="none"/>
              </w:rPr>
            </w:pPr>
            <w:r>
              <w:rPr>
                <w:rFonts w:hint="eastAsia" w:ascii="仿宋_GB2312" w:hAnsi="仿宋_GB2312" w:eastAsia="仿宋_GB2312" w:cs="仿宋_GB2312"/>
                <w:b/>
                <w:bCs/>
                <w:color w:val="auto"/>
                <w:kern w:val="0"/>
                <w:sz w:val="20"/>
                <w:szCs w:val="20"/>
                <w:highlight w:val="none"/>
              </w:rPr>
              <w:t>较优</w:t>
            </w:r>
          </w:p>
        </w:tc>
        <w:tc>
          <w:tcPr>
            <w:tcW w:w="790" w:type="pct"/>
            <w:noWrap w:val="0"/>
            <w:vAlign w:val="center"/>
          </w:tcPr>
          <w:p w14:paraId="2F578FE9">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color w:val="auto"/>
                <w:kern w:val="0"/>
                <w:sz w:val="20"/>
                <w:szCs w:val="20"/>
                <w:highlight w:val="none"/>
              </w:rPr>
            </w:pPr>
            <w:r>
              <w:rPr>
                <w:rFonts w:hint="eastAsia" w:ascii="仿宋_GB2312" w:hAnsi="仿宋_GB2312" w:eastAsia="仿宋_GB2312" w:cs="仿宋_GB2312"/>
                <w:b/>
                <w:bCs/>
                <w:color w:val="auto"/>
                <w:kern w:val="0"/>
                <w:sz w:val="20"/>
                <w:szCs w:val="20"/>
                <w:highlight w:val="none"/>
              </w:rPr>
              <w:t>一般</w:t>
            </w:r>
          </w:p>
        </w:tc>
        <w:tc>
          <w:tcPr>
            <w:tcW w:w="760" w:type="pct"/>
            <w:noWrap w:val="0"/>
            <w:vAlign w:val="center"/>
          </w:tcPr>
          <w:p w14:paraId="2C0B7129">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color w:val="auto"/>
                <w:kern w:val="0"/>
                <w:sz w:val="20"/>
                <w:szCs w:val="20"/>
                <w:highlight w:val="none"/>
              </w:rPr>
            </w:pPr>
            <w:r>
              <w:rPr>
                <w:rFonts w:hint="eastAsia" w:ascii="仿宋_GB2312" w:hAnsi="仿宋_GB2312" w:eastAsia="仿宋_GB2312" w:cs="仿宋_GB2312"/>
                <w:b/>
                <w:bCs/>
                <w:color w:val="auto"/>
                <w:kern w:val="0"/>
                <w:sz w:val="20"/>
                <w:szCs w:val="20"/>
                <w:highlight w:val="none"/>
              </w:rPr>
              <w:t>较劣</w:t>
            </w:r>
          </w:p>
        </w:tc>
        <w:tc>
          <w:tcPr>
            <w:tcW w:w="758" w:type="pct"/>
            <w:noWrap w:val="0"/>
            <w:vAlign w:val="center"/>
          </w:tcPr>
          <w:p w14:paraId="2EC989B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color w:val="auto"/>
                <w:kern w:val="0"/>
                <w:sz w:val="20"/>
                <w:szCs w:val="20"/>
                <w:highlight w:val="none"/>
              </w:rPr>
            </w:pPr>
            <w:r>
              <w:rPr>
                <w:rFonts w:hint="eastAsia" w:ascii="仿宋_GB2312" w:hAnsi="仿宋_GB2312" w:eastAsia="仿宋_GB2312" w:cs="仿宋_GB2312"/>
                <w:b/>
                <w:bCs/>
                <w:color w:val="auto"/>
                <w:kern w:val="0"/>
                <w:sz w:val="20"/>
                <w:szCs w:val="20"/>
                <w:highlight w:val="none"/>
              </w:rPr>
              <w:t>劣</w:t>
            </w:r>
          </w:p>
        </w:tc>
      </w:tr>
      <w:tr w14:paraId="65AD5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1071" w:type="pct"/>
            <w:noWrap w:val="0"/>
            <w:vAlign w:val="center"/>
          </w:tcPr>
          <w:p w14:paraId="606EBC57">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距</w:t>
            </w:r>
            <w:r>
              <w:rPr>
                <w:rFonts w:hint="eastAsia" w:ascii="仿宋_GB2312" w:hAnsi="仿宋_GB2312" w:eastAsia="仿宋_GB2312" w:cs="仿宋_GB2312"/>
                <w:i w:val="0"/>
                <w:iCs w:val="0"/>
                <w:snapToGrid w:val="0"/>
                <w:color w:val="auto"/>
                <w:kern w:val="0"/>
                <w:sz w:val="20"/>
                <w:szCs w:val="20"/>
                <w:highlight w:val="none"/>
                <w:u w:val="none"/>
                <w:lang w:val="en-US" w:eastAsia="zh-CN" w:bidi="ar"/>
              </w:rPr>
              <w:t>小区级</w:t>
            </w:r>
            <w:r>
              <w:rPr>
                <w:rFonts w:hint="eastAsia" w:ascii="仿宋_GB2312" w:hAnsi="仿宋_GB2312" w:eastAsia="仿宋_GB2312" w:cs="仿宋_GB2312"/>
                <w:color w:val="auto"/>
                <w:kern w:val="0"/>
                <w:sz w:val="20"/>
                <w:szCs w:val="20"/>
                <w:highlight w:val="none"/>
              </w:rPr>
              <w:t>商服</w:t>
            </w:r>
          </w:p>
          <w:p w14:paraId="79054B21">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中心距离(m)</w:t>
            </w:r>
          </w:p>
        </w:tc>
        <w:tc>
          <w:tcPr>
            <w:tcW w:w="849" w:type="pct"/>
            <w:noWrap w:val="0"/>
            <w:vAlign w:val="top"/>
          </w:tcPr>
          <w:p w14:paraId="7CEEA8DC">
            <w:pPr>
              <w:keepNext w:val="0"/>
              <w:keepLines w:val="0"/>
              <w:pageBreakBefore w:val="0"/>
              <w:kinsoku/>
              <w:wordWrap/>
              <w:overflowPunct/>
              <w:topLinePunct w:val="0"/>
              <w:autoSpaceDE/>
              <w:autoSpaceDN/>
              <w:bidi w:val="0"/>
              <w:adjustRightInd/>
              <w:snapToGrid/>
              <w:spacing w:before="131"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pacing w:val="5"/>
                <w:position w:val="2"/>
                <w:sz w:val="20"/>
                <w:szCs w:val="20"/>
                <w:highlight w:val="none"/>
              </w:rPr>
              <w:t>≤</w:t>
            </w:r>
            <w:r>
              <w:rPr>
                <w:rFonts w:hint="eastAsia" w:ascii="仿宋_GB2312" w:hAnsi="仿宋_GB2312" w:eastAsia="仿宋_GB2312" w:cs="仿宋_GB2312"/>
                <w:color w:val="auto"/>
                <w:spacing w:val="5"/>
                <w:position w:val="2"/>
                <w:sz w:val="20"/>
                <w:szCs w:val="20"/>
                <w:highlight w:val="none"/>
                <w:lang w:val="en-US" w:eastAsia="zh-CN"/>
              </w:rPr>
              <w:t>3</w:t>
            </w:r>
            <w:r>
              <w:rPr>
                <w:rFonts w:hint="eastAsia" w:ascii="仿宋_GB2312" w:hAnsi="仿宋_GB2312" w:eastAsia="仿宋_GB2312" w:cs="仿宋_GB2312"/>
                <w:color w:val="auto"/>
                <w:spacing w:val="5"/>
                <w:position w:val="2"/>
                <w:sz w:val="20"/>
                <w:szCs w:val="20"/>
                <w:highlight w:val="none"/>
              </w:rPr>
              <w:t>0</w:t>
            </w:r>
            <w:r>
              <w:rPr>
                <w:rFonts w:hint="eastAsia" w:ascii="仿宋_GB2312" w:hAnsi="仿宋_GB2312" w:eastAsia="仿宋_GB2312" w:cs="仿宋_GB2312"/>
                <w:color w:val="auto"/>
                <w:spacing w:val="4"/>
                <w:position w:val="2"/>
                <w:sz w:val="20"/>
                <w:szCs w:val="20"/>
                <w:highlight w:val="none"/>
              </w:rPr>
              <w:t>0</w:t>
            </w:r>
          </w:p>
        </w:tc>
        <w:tc>
          <w:tcPr>
            <w:tcW w:w="770" w:type="pct"/>
            <w:noWrap w:val="0"/>
            <w:vAlign w:val="top"/>
          </w:tcPr>
          <w:p w14:paraId="0DCA0045">
            <w:pPr>
              <w:keepNext w:val="0"/>
              <w:keepLines w:val="0"/>
              <w:pageBreakBefore w:val="0"/>
              <w:kinsoku/>
              <w:wordWrap/>
              <w:overflowPunct/>
              <w:topLinePunct w:val="0"/>
              <w:autoSpaceDE/>
              <w:autoSpaceDN/>
              <w:bidi w:val="0"/>
              <w:adjustRightInd/>
              <w:snapToGrid/>
              <w:spacing w:before="194"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pacing w:val="5"/>
                <w:sz w:val="20"/>
                <w:szCs w:val="20"/>
                <w:highlight w:val="none"/>
                <w:lang w:val="en-US" w:eastAsia="zh-CN"/>
              </w:rPr>
              <w:t>3</w:t>
            </w:r>
            <w:r>
              <w:rPr>
                <w:rFonts w:hint="eastAsia" w:ascii="仿宋_GB2312" w:hAnsi="仿宋_GB2312" w:eastAsia="仿宋_GB2312" w:cs="仿宋_GB2312"/>
                <w:color w:val="auto"/>
                <w:spacing w:val="4"/>
                <w:sz w:val="20"/>
                <w:szCs w:val="20"/>
                <w:highlight w:val="none"/>
              </w:rPr>
              <w:t>00-</w:t>
            </w:r>
            <w:r>
              <w:rPr>
                <w:rFonts w:hint="eastAsia" w:ascii="仿宋_GB2312" w:hAnsi="仿宋_GB2312" w:eastAsia="仿宋_GB2312" w:cs="仿宋_GB2312"/>
                <w:color w:val="auto"/>
                <w:spacing w:val="4"/>
                <w:sz w:val="20"/>
                <w:szCs w:val="20"/>
                <w:highlight w:val="none"/>
                <w:lang w:val="en-US" w:eastAsia="zh-CN"/>
              </w:rPr>
              <w:t>7</w:t>
            </w:r>
            <w:r>
              <w:rPr>
                <w:rFonts w:hint="eastAsia" w:ascii="仿宋_GB2312" w:hAnsi="仿宋_GB2312" w:eastAsia="仿宋_GB2312" w:cs="仿宋_GB2312"/>
                <w:color w:val="auto"/>
                <w:spacing w:val="4"/>
                <w:sz w:val="20"/>
                <w:szCs w:val="20"/>
                <w:highlight w:val="none"/>
              </w:rPr>
              <w:t>00</w:t>
            </w:r>
          </w:p>
        </w:tc>
        <w:tc>
          <w:tcPr>
            <w:tcW w:w="790" w:type="pct"/>
            <w:noWrap w:val="0"/>
            <w:vAlign w:val="top"/>
          </w:tcPr>
          <w:p w14:paraId="02AC345B">
            <w:pPr>
              <w:keepNext w:val="0"/>
              <w:keepLines w:val="0"/>
              <w:pageBreakBefore w:val="0"/>
              <w:kinsoku/>
              <w:wordWrap/>
              <w:overflowPunct/>
              <w:topLinePunct w:val="0"/>
              <w:autoSpaceDE/>
              <w:autoSpaceDN/>
              <w:bidi w:val="0"/>
              <w:adjustRightInd/>
              <w:snapToGrid/>
              <w:spacing w:before="194"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pacing w:val="-4"/>
                <w:sz w:val="20"/>
                <w:szCs w:val="20"/>
                <w:highlight w:val="none"/>
                <w:lang w:val="en-US" w:eastAsia="zh-CN"/>
              </w:rPr>
              <w:t>7</w:t>
            </w:r>
            <w:r>
              <w:rPr>
                <w:rFonts w:hint="eastAsia" w:ascii="仿宋_GB2312" w:hAnsi="仿宋_GB2312" w:eastAsia="仿宋_GB2312" w:cs="仿宋_GB2312"/>
                <w:color w:val="auto"/>
                <w:spacing w:val="-4"/>
                <w:sz w:val="20"/>
                <w:szCs w:val="20"/>
                <w:highlight w:val="none"/>
              </w:rPr>
              <w:t>0</w:t>
            </w:r>
            <w:r>
              <w:rPr>
                <w:rFonts w:hint="eastAsia" w:ascii="仿宋_GB2312" w:hAnsi="仿宋_GB2312" w:eastAsia="仿宋_GB2312" w:cs="仿宋_GB2312"/>
                <w:color w:val="auto"/>
                <w:spacing w:val="-2"/>
                <w:sz w:val="20"/>
                <w:szCs w:val="20"/>
                <w:highlight w:val="none"/>
              </w:rPr>
              <w:t>0-1</w:t>
            </w:r>
            <w:r>
              <w:rPr>
                <w:rFonts w:hint="eastAsia" w:ascii="仿宋_GB2312" w:hAnsi="仿宋_GB2312" w:eastAsia="仿宋_GB2312" w:cs="仿宋_GB2312"/>
                <w:color w:val="auto"/>
                <w:spacing w:val="-2"/>
                <w:sz w:val="20"/>
                <w:szCs w:val="20"/>
                <w:highlight w:val="none"/>
                <w:lang w:val="en-US" w:eastAsia="zh-CN"/>
              </w:rPr>
              <w:t>1</w:t>
            </w:r>
            <w:r>
              <w:rPr>
                <w:rFonts w:hint="eastAsia" w:ascii="仿宋_GB2312" w:hAnsi="仿宋_GB2312" w:eastAsia="仿宋_GB2312" w:cs="仿宋_GB2312"/>
                <w:color w:val="auto"/>
                <w:spacing w:val="-2"/>
                <w:sz w:val="20"/>
                <w:szCs w:val="20"/>
                <w:highlight w:val="none"/>
              </w:rPr>
              <w:t>00</w:t>
            </w:r>
          </w:p>
        </w:tc>
        <w:tc>
          <w:tcPr>
            <w:tcW w:w="760" w:type="pct"/>
            <w:noWrap w:val="0"/>
            <w:vAlign w:val="top"/>
          </w:tcPr>
          <w:p w14:paraId="3A92A956">
            <w:pPr>
              <w:keepNext w:val="0"/>
              <w:keepLines w:val="0"/>
              <w:pageBreakBefore w:val="0"/>
              <w:kinsoku/>
              <w:wordWrap/>
              <w:overflowPunct/>
              <w:topLinePunct w:val="0"/>
              <w:autoSpaceDE/>
              <w:autoSpaceDN/>
              <w:bidi w:val="0"/>
              <w:adjustRightInd/>
              <w:snapToGrid/>
              <w:spacing w:before="194"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pacing w:val="-4"/>
                <w:sz w:val="20"/>
                <w:szCs w:val="20"/>
                <w:highlight w:val="none"/>
              </w:rPr>
              <w:t>1</w:t>
            </w:r>
            <w:r>
              <w:rPr>
                <w:rFonts w:hint="eastAsia" w:ascii="仿宋_GB2312" w:hAnsi="仿宋_GB2312" w:eastAsia="仿宋_GB2312" w:cs="仿宋_GB2312"/>
                <w:color w:val="auto"/>
                <w:spacing w:val="-4"/>
                <w:sz w:val="20"/>
                <w:szCs w:val="20"/>
                <w:highlight w:val="none"/>
                <w:lang w:val="en-US" w:eastAsia="zh-CN"/>
              </w:rPr>
              <w:t>1</w:t>
            </w:r>
            <w:r>
              <w:rPr>
                <w:rFonts w:hint="eastAsia" w:ascii="仿宋_GB2312" w:hAnsi="仿宋_GB2312" w:eastAsia="仿宋_GB2312" w:cs="仿宋_GB2312"/>
                <w:color w:val="auto"/>
                <w:spacing w:val="-4"/>
                <w:sz w:val="20"/>
                <w:szCs w:val="20"/>
                <w:highlight w:val="none"/>
              </w:rPr>
              <w:t>0</w:t>
            </w:r>
            <w:r>
              <w:rPr>
                <w:rFonts w:hint="eastAsia" w:ascii="仿宋_GB2312" w:hAnsi="仿宋_GB2312" w:eastAsia="仿宋_GB2312" w:cs="仿宋_GB2312"/>
                <w:color w:val="auto"/>
                <w:spacing w:val="-3"/>
                <w:sz w:val="20"/>
                <w:szCs w:val="20"/>
                <w:highlight w:val="none"/>
              </w:rPr>
              <w:t>0</w:t>
            </w:r>
            <w:r>
              <w:rPr>
                <w:rFonts w:hint="eastAsia" w:ascii="仿宋_GB2312" w:hAnsi="仿宋_GB2312" w:eastAsia="仿宋_GB2312" w:cs="仿宋_GB2312"/>
                <w:color w:val="auto"/>
                <w:spacing w:val="-2"/>
                <w:sz w:val="20"/>
                <w:szCs w:val="20"/>
                <w:highlight w:val="none"/>
              </w:rPr>
              <w:t>-1</w:t>
            </w:r>
            <w:r>
              <w:rPr>
                <w:rFonts w:hint="eastAsia" w:ascii="仿宋_GB2312" w:hAnsi="仿宋_GB2312" w:eastAsia="仿宋_GB2312" w:cs="仿宋_GB2312"/>
                <w:color w:val="auto"/>
                <w:spacing w:val="-2"/>
                <w:sz w:val="20"/>
                <w:szCs w:val="20"/>
                <w:highlight w:val="none"/>
                <w:lang w:val="en-US" w:eastAsia="zh-CN"/>
              </w:rPr>
              <w:t>5</w:t>
            </w:r>
            <w:r>
              <w:rPr>
                <w:rFonts w:hint="eastAsia" w:ascii="仿宋_GB2312" w:hAnsi="仿宋_GB2312" w:eastAsia="仿宋_GB2312" w:cs="仿宋_GB2312"/>
                <w:color w:val="auto"/>
                <w:spacing w:val="-2"/>
                <w:sz w:val="20"/>
                <w:szCs w:val="20"/>
                <w:highlight w:val="none"/>
              </w:rPr>
              <w:t>00</w:t>
            </w:r>
          </w:p>
        </w:tc>
        <w:tc>
          <w:tcPr>
            <w:tcW w:w="758" w:type="pct"/>
            <w:noWrap w:val="0"/>
            <w:vAlign w:val="top"/>
          </w:tcPr>
          <w:p w14:paraId="6C2A4DC4">
            <w:pPr>
              <w:keepNext w:val="0"/>
              <w:keepLines w:val="0"/>
              <w:pageBreakBefore w:val="0"/>
              <w:kinsoku/>
              <w:wordWrap/>
              <w:overflowPunct/>
              <w:topLinePunct w:val="0"/>
              <w:autoSpaceDE/>
              <w:autoSpaceDN/>
              <w:bidi w:val="0"/>
              <w:adjustRightInd/>
              <w:snapToGrid/>
              <w:spacing w:before="131"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pacing w:val="-6"/>
                <w:position w:val="2"/>
                <w:sz w:val="20"/>
                <w:szCs w:val="20"/>
                <w:highlight w:val="none"/>
              </w:rPr>
              <w:t>&gt;</w:t>
            </w:r>
            <w:r>
              <w:rPr>
                <w:rFonts w:hint="eastAsia" w:ascii="仿宋_GB2312" w:hAnsi="仿宋_GB2312" w:eastAsia="仿宋_GB2312" w:cs="仿宋_GB2312"/>
                <w:color w:val="auto"/>
                <w:spacing w:val="-4"/>
                <w:position w:val="2"/>
                <w:sz w:val="20"/>
                <w:szCs w:val="20"/>
                <w:highlight w:val="none"/>
              </w:rPr>
              <w:t xml:space="preserve"> 1</w:t>
            </w:r>
            <w:r>
              <w:rPr>
                <w:rFonts w:hint="eastAsia" w:ascii="仿宋_GB2312" w:hAnsi="仿宋_GB2312" w:eastAsia="仿宋_GB2312" w:cs="仿宋_GB2312"/>
                <w:color w:val="auto"/>
                <w:spacing w:val="-4"/>
                <w:position w:val="2"/>
                <w:sz w:val="20"/>
                <w:szCs w:val="20"/>
                <w:highlight w:val="none"/>
                <w:lang w:val="en-US" w:eastAsia="zh-CN"/>
              </w:rPr>
              <w:t>5</w:t>
            </w:r>
            <w:r>
              <w:rPr>
                <w:rFonts w:hint="eastAsia" w:ascii="仿宋_GB2312" w:hAnsi="仿宋_GB2312" w:eastAsia="仿宋_GB2312" w:cs="仿宋_GB2312"/>
                <w:color w:val="auto"/>
                <w:spacing w:val="-4"/>
                <w:position w:val="2"/>
                <w:sz w:val="20"/>
                <w:szCs w:val="20"/>
                <w:highlight w:val="none"/>
              </w:rPr>
              <w:t>00</w:t>
            </w:r>
          </w:p>
        </w:tc>
      </w:tr>
      <w:tr w14:paraId="5DB79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1071" w:type="pct"/>
            <w:noWrap w:val="0"/>
            <w:vAlign w:val="center"/>
          </w:tcPr>
          <w:p w14:paraId="55C072C2">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距汽车站距离(m)</w:t>
            </w:r>
          </w:p>
        </w:tc>
        <w:tc>
          <w:tcPr>
            <w:tcW w:w="849" w:type="pct"/>
            <w:noWrap w:val="0"/>
            <w:vAlign w:val="top"/>
          </w:tcPr>
          <w:p w14:paraId="044B78DF">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z w:val="20"/>
                <w:szCs w:val="20"/>
                <w:highlight w:val="none"/>
              </w:rPr>
              <w:t>≤</w:t>
            </w:r>
            <w:r>
              <w:rPr>
                <w:rFonts w:hint="eastAsia" w:ascii="仿宋_GB2312" w:hAnsi="仿宋_GB2312" w:eastAsia="仿宋_GB2312" w:cs="仿宋_GB2312"/>
                <w:color w:val="auto"/>
                <w:sz w:val="20"/>
                <w:szCs w:val="20"/>
                <w:highlight w:val="none"/>
                <w:lang w:val="en-US" w:eastAsia="zh-CN"/>
              </w:rPr>
              <w:t>3</w:t>
            </w:r>
            <w:r>
              <w:rPr>
                <w:rFonts w:hint="eastAsia" w:ascii="仿宋_GB2312" w:hAnsi="仿宋_GB2312" w:eastAsia="仿宋_GB2312" w:cs="仿宋_GB2312"/>
                <w:color w:val="auto"/>
                <w:sz w:val="20"/>
                <w:szCs w:val="20"/>
                <w:highlight w:val="none"/>
              </w:rPr>
              <w:t>00</w:t>
            </w:r>
          </w:p>
        </w:tc>
        <w:tc>
          <w:tcPr>
            <w:tcW w:w="770" w:type="pct"/>
            <w:noWrap w:val="0"/>
            <w:vAlign w:val="top"/>
          </w:tcPr>
          <w:p w14:paraId="5932AEE9">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z w:val="20"/>
                <w:szCs w:val="20"/>
                <w:highlight w:val="none"/>
                <w:lang w:val="en-US" w:eastAsia="zh-CN"/>
              </w:rPr>
              <w:t>3</w:t>
            </w:r>
            <w:r>
              <w:rPr>
                <w:rFonts w:hint="eastAsia" w:ascii="仿宋_GB2312" w:hAnsi="仿宋_GB2312" w:eastAsia="仿宋_GB2312" w:cs="仿宋_GB2312"/>
                <w:color w:val="auto"/>
                <w:sz w:val="20"/>
                <w:szCs w:val="20"/>
                <w:highlight w:val="none"/>
              </w:rPr>
              <w:t>00-</w:t>
            </w:r>
            <w:r>
              <w:rPr>
                <w:rFonts w:hint="eastAsia" w:ascii="仿宋_GB2312" w:hAnsi="仿宋_GB2312" w:eastAsia="仿宋_GB2312" w:cs="仿宋_GB2312"/>
                <w:color w:val="auto"/>
                <w:sz w:val="20"/>
                <w:szCs w:val="20"/>
                <w:highlight w:val="none"/>
                <w:lang w:val="en-US" w:eastAsia="zh-CN"/>
              </w:rPr>
              <w:t>7</w:t>
            </w:r>
            <w:r>
              <w:rPr>
                <w:rFonts w:hint="eastAsia" w:ascii="仿宋_GB2312" w:hAnsi="仿宋_GB2312" w:eastAsia="仿宋_GB2312" w:cs="仿宋_GB2312"/>
                <w:color w:val="auto"/>
                <w:sz w:val="20"/>
                <w:szCs w:val="20"/>
                <w:highlight w:val="none"/>
              </w:rPr>
              <w:t>00</w:t>
            </w:r>
          </w:p>
        </w:tc>
        <w:tc>
          <w:tcPr>
            <w:tcW w:w="790" w:type="pct"/>
            <w:noWrap w:val="0"/>
            <w:vAlign w:val="top"/>
          </w:tcPr>
          <w:p w14:paraId="5A8E4FC5">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z w:val="20"/>
                <w:szCs w:val="20"/>
                <w:highlight w:val="none"/>
                <w:lang w:val="en-US" w:eastAsia="zh-CN"/>
              </w:rPr>
              <w:t>7</w:t>
            </w:r>
            <w:r>
              <w:rPr>
                <w:rFonts w:hint="eastAsia" w:ascii="仿宋_GB2312" w:hAnsi="仿宋_GB2312" w:eastAsia="仿宋_GB2312" w:cs="仿宋_GB2312"/>
                <w:color w:val="auto"/>
                <w:sz w:val="20"/>
                <w:szCs w:val="20"/>
                <w:highlight w:val="none"/>
              </w:rPr>
              <w:t>00-1</w:t>
            </w:r>
            <w:r>
              <w:rPr>
                <w:rFonts w:hint="eastAsia" w:ascii="仿宋_GB2312" w:hAnsi="仿宋_GB2312" w:eastAsia="仿宋_GB2312" w:cs="仿宋_GB2312"/>
                <w:color w:val="auto"/>
                <w:sz w:val="20"/>
                <w:szCs w:val="20"/>
                <w:highlight w:val="none"/>
                <w:lang w:val="en-US" w:eastAsia="zh-CN"/>
              </w:rPr>
              <w:t>1</w:t>
            </w:r>
            <w:r>
              <w:rPr>
                <w:rFonts w:hint="eastAsia" w:ascii="仿宋_GB2312" w:hAnsi="仿宋_GB2312" w:eastAsia="仿宋_GB2312" w:cs="仿宋_GB2312"/>
                <w:color w:val="auto"/>
                <w:sz w:val="20"/>
                <w:szCs w:val="20"/>
                <w:highlight w:val="none"/>
              </w:rPr>
              <w:t>00</w:t>
            </w:r>
          </w:p>
        </w:tc>
        <w:tc>
          <w:tcPr>
            <w:tcW w:w="760" w:type="pct"/>
            <w:noWrap w:val="0"/>
            <w:vAlign w:val="top"/>
          </w:tcPr>
          <w:p w14:paraId="0844FEE7">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z w:val="20"/>
                <w:szCs w:val="20"/>
                <w:highlight w:val="none"/>
              </w:rPr>
              <w:t>1</w:t>
            </w:r>
            <w:r>
              <w:rPr>
                <w:rFonts w:hint="eastAsia" w:ascii="仿宋_GB2312" w:hAnsi="仿宋_GB2312" w:eastAsia="仿宋_GB2312" w:cs="仿宋_GB2312"/>
                <w:color w:val="auto"/>
                <w:sz w:val="20"/>
                <w:szCs w:val="20"/>
                <w:highlight w:val="none"/>
                <w:lang w:val="en-US" w:eastAsia="zh-CN"/>
              </w:rPr>
              <w:t>1</w:t>
            </w:r>
            <w:r>
              <w:rPr>
                <w:rFonts w:hint="eastAsia" w:ascii="仿宋_GB2312" w:hAnsi="仿宋_GB2312" w:eastAsia="仿宋_GB2312" w:cs="仿宋_GB2312"/>
                <w:color w:val="auto"/>
                <w:sz w:val="20"/>
                <w:szCs w:val="20"/>
                <w:highlight w:val="none"/>
              </w:rPr>
              <w:t>00-1</w:t>
            </w:r>
            <w:r>
              <w:rPr>
                <w:rFonts w:hint="eastAsia" w:ascii="仿宋_GB2312" w:hAnsi="仿宋_GB2312" w:eastAsia="仿宋_GB2312" w:cs="仿宋_GB2312"/>
                <w:color w:val="auto"/>
                <w:sz w:val="20"/>
                <w:szCs w:val="20"/>
                <w:highlight w:val="none"/>
                <w:lang w:val="en-US" w:eastAsia="zh-CN"/>
              </w:rPr>
              <w:t>5</w:t>
            </w:r>
            <w:r>
              <w:rPr>
                <w:rFonts w:hint="eastAsia" w:ascii="仿宋_GB2312" w:hAnsi="仿宋_GB2312" w:eastAsia="仿宋_GB2312" w:cs="仿宋_GB2312"/>
                <w:color w:val="auto"/>
                <w:sz w:val="20"/>
                <w:szCs w:val="20"/>
                <w:highlight w:val="none"/>
              </w:rPr>
              <w:t>00</w:t>
            </w:r>
          </w:p>
        </w:tc>
        <w:tc>
          <w:tcPr>
            <w:tcW w:w="758" w:type="pct"/>
            <w:noWrap w:val="0"/>
            <w:vAlign w:val="top"/>
          </w:tcPr>
          <w:p w14:paraId="6DA1EEFC">
            <w:pPr>
              <w:keepNext w:val="0"/>
              <w:keepLines w:val="0"/>
              <w:pageBreakBefore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z w:val="20"/>
                <w:szCs w:val="20"/>
                <w:highlight w:val="none"/>
              </w:rPr>
              <w:t>&gt; 1</w:t>
            </w:r>
            <w:r>
              <w:rPr>
                <w:rFonts w:hint="eastAsia" w:ascii="仿宋_GB2312" w:hAnsi="仿宋_GB2312" w:eastAsia="仿宋_GB2312" w:cs="仿宋_GB2312"/>
                <w:color w:val="auto"/>
                <w:sz w:val="20"/>
                <w:szCs w:val="20"/>
                <w:highlight w:val="none"/>
                <w:lang w:val="en-US" w:eastAsia="zh-CN"/>
              </w:rPr>
              <w:t>5</w:t>
            </w:r>
            <w:r>
              <w:rPr>
                <w:rFonts w:hint="eastAsia" w:ascii="仿宋_GB2312" w:hAnsi="仿宋_GB2312" w:eastAsia="仿宋_GB2312" w:cs="仿宋_GB2312"/>
                <w:color w:val="auto"/>
                <w:sz w:val="20"/>
                <w:szCs w:val="20"/>
                <w:highlight w:val="none"/>
              </w:rPr>
              <w:t>00</w:t>
            </w:r>
          </w:p>
        </w:tc>
      </w:tr>
      <w:tr w14:paraId="618F0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1071" w:type="pct"/>
            <w:noWrap w:val="0"/>
            <w:vAlign w:val="center"/>
          </w:tcPr>
          <w:p w14:paraId="4435AB9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临近道路状况</w:t>
            </w:r>
          </w:p>
        </w:tc>
        <w:tc>
          <w:tcPr>
            <w:tcW w:w="849" w:type="pct"/>
            <w:noWrap w:val="0"/>
            <w:vAlign w:val="center"/>
          </w:tcPr>
          <w:p w14:paraId="50350969">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临繁华主干道</w:t>
            </w:r>
          </w:p>
        </w:tc>
        <w:tc>
          <w:tcPr>
            <w:tcW w:w="770" w:type="pct"/>
            <w:noWrap w:val="0"/>
            <w:vAlign w:val="center"/>
          </w:tcPr>
          <w:p w14:paraId="3F17CB3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临主干道</w:t>
            </w:r>
          </w:p>
        </w:tc>
        <w:tc>
          <w:tcPr>
            <w:tcW w:w="790" w:type="pct"/>
            <w:noWrap w:val="0"/>
            <w:vAlign w:val="center"/>
          </w:tcPr>
          <w:p w14:paraId="6F73253A">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临繁华</w:t>
            </w:r>
          </w:p>
          <w:p w14:paraId="6A8A79FF">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次干道</w:t>
            </w:r>
          </w:p>
        </w:tc>
        <w:tc>
          <w:tcPr>
            <w:tcW w:w="760" w:type="pct"/>
            <w:noWrap w:val="0"/>
            <w:vAlign w:val="center"/>
          </w:tcPr>
          <w:p w14:paraId="504621AA">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临次干道</w:t>
            </w:r>
          </w:p>
        </w:tc>
        <w:tc>
          <w:tcPr>
            <w:tcW w:w="758" w:type="pct"/>
            <w:noWrap w:val="0"/>
            <w:vAlign w:val="center"/>
          </w:tcPr>
          <w:p w14:paraId="45EE67D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临支路</w:t>
            </w:r>
          </w:p>
        </w:tc>
      </w:tr>
      <w:tr w14:paraId="6CBE8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1071" w:type="pct"/>
            <w:noWrap w:val="0"/>
            <w:vAlign w:val="center"/>
          </w:tcPr>
          <w:p w14:paraId="14CA18F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距公交站点距离(m)</w:t>
            </w:r>
          </w:p>
        </w:tc>
        <w:tc>
          <w:tcPr>
            <w:tcW w:w="849" w:type="pct"/>
            <w:noWrap w:val="0"/>
            <w:vAlign w:val="center"/>
          </w:tcPr>
          <w:p w14:paraId="5A118076">
            <w:pPr>
              <w:keepNext w:val="0"/>
              <w:keepLines w:val="0"/>
              <w:pageBreakBefore w:val="0"/>
              <w:kinsoku/>
              <w:wordWrap/>
              <w:overflowPunct/>
              <w:topLinePunct w:val="0"/>
              <w:autoSpaceDE/>
              <w:autoSpaceDN/>
              <w:bidi w:val="0"/>
              <w:adjustRightInd/>
              <w:snapToGrid/>
              <w:spacing w:before="45"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pacing w:val="-8"/>
                <w:position w:val="2"/>
                <w:sz w:val="20"/>
                <w:szCs w:val="20"/>
                <w:highlight w:val="none"/>
              </w:rPr>
              <w:t>≤</w:t>
            </w:r>
            <w:r>
              <w:rPr>
                <w:rFonts w:hint="eastAsia" w:ascii="仿宋_GB2312" w:hAnsi="仿宋_GB2312" w:eastAsia="仿宋_GB2312" w:cs="仿宋_GB2312"/>
                <w:color w:val="auto"/>
                <w:spacing w:val="-5"/>
                <w:position w:val="2"/>
                <w:sz w:val="20"/>
                <w:szCs w:val="20"/>
                <w:highlight w:val="none"/>
              </w:rPr>
              <w:t xml:space="preserve"> 100</w:t>
            </w:r>
          </w:p>
        </w:tc>
        <w:tc>
          <w:tcPr>
            <w:tcW w:w="770" w:type="pct"/>
            <w:noWrap w:val="0"/>
            <w:vAlign w:val="center"/>
          </w:tcPr>
          <w:p w14:paraId="77CFED98">
            <w:pPr>
              <w:keepNext w:val="0"/>
              <w:keepLines w:val="0"/>
              <w:pageBreakBefore w:val="0"/>
              <w:kinsoku/>
              <w:wordWrap/>
              <w:overflowPunct/>
              <w:topLinePunct w:val="0"/>
              <w:autoSpaceDE/>
              <w:autoSpaceDN/>
              <w:bidi w:val="0"/>
              <w:adjustRightInd/>
              <w:snapToGrid/>
              <w:spacing w:before="109"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pacing w:val="2"/>
                <w:sz w:val="20"/>
                <w:szCs w:val="20"/>
                <w:highlight w:val="none"/>
              </w:rPr>
              <w:t>10</w:t>
            </w:r>
            <w:r>
              <w:rPr>
                <w:rFonts w:hint="eastAsia" w:ascii="仿宋_GB2312" w:hAnsi="仿宋_GB2312" w:eastAsia="仿宋_GB2312" w:cs="仿宋_GB2312"/>
                <w:color w:val="auto"/>
                <w:spacing w:val="1"/>
                <w:sz w:val="20"/>
                <w:szCs w:val="20"/>
                <w:highlight w:val="none"/>
              </w:rPr>
              <w:t>0-200</w:t>
            </w:r>
          </w:p>
        </w:tc>
        <w:tc>
          <w:tcPr>
            <w:tcW w:w="790" w:type="pct"/>
            <w:noWrap w:val="0"/>
            <w:vAlign w:val="center"/>
          </w:tcPr>
          <w:p w14:paraId="1F776257">
            <w:pPr>
              <w:keepNext w:val="0"/>
              <w:keepLines w:val="0"/>
              <w:pageBreakBefore w:val="0"/>
              <w:kinsoku/>
              <w:wordWrap/>
              <w:overflowPunct/>
              <w:topLinePunct w:val="0"/>
              <w:autoSpaceDE/>
              <w:autoSpaceDN/>
              <w:bidi w:val="0"/>
              <w:adjustRightInd/>
              <w:snapToGrid/>
              <w:spacing w:before="109"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pacing w:val="4"/>
                <w:sz w:val="20"/>
                <w:szCs w:val="20"/>
                <w:highlight w:val="none"/>
              </w:rPr>
              <w:t>200-300</w:t>
            </w:r>
          </w:p>
        </w:tc>
        <w:tc>
          <w:tcPr>
            <w:tcW w:w="760" w:type="pct"/>
            <w:noWrap w:val="0"/>
            <w:vAlign w:val="center"/>
          </w:tcPr>
          <w:p w14:paraId="134B59E2">
            <w:pPr>
              <w:keepNext w:val="0"/>
              <w:keepLines w:val="0"/>
              <w:pageBreakBefore w:val="0"/>
              <w:kinsoku/>
              <w:wordWrap/>
              <w:overflowPunct/>
              <w:topLinePunct w:val="0"/>
              <w:autoSpaceDE/>
              <w:autoSpaceDN/>
              <w:bidi w:val="0"/>
              <w:adjustRightInd/>
              <w:snapToGrid/>
              <w:spacing w:before="109"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pacing w:val="6"/>
                <w:sz w:val="20"/>
                <w:szCs w:val="20"/>
                <w:highlight w:val="none"/>
              </w:rPr>
              <w:t>3</w:t>
            </w:r>
            <w:r>
              <w:rPr>
                <w:rFonts w:hint="eastAsia" w:ascii="仿宋_GB2312" w:hAnsi="仿宋_GB2312" w:eastAsia="仿宋_GB2312" w:cs="仿宋_GB2312"/>
                <w:color w:val="auto"/>
                <w:spacing w:val="3"/>
                <w:sz w:val="20"/>
                <w:szCs w:val="20"/>
                <w:highlight w:val="none"/>
              </w:rPr>
              <w:t>00-400</w:t>
            </w:r>
          </w:p>
        </w:tc>
        <w:tc>
          <w:tcPr>
            <w:tcW w:w="758" w:type="pct"/>
            <w:noWrap w:val="0"/>
            <w:vAlign w:val="center"/>
          </w:tcPr>
          <w:p w14:paraId="29F01D30">
            <w:pPr>
              <w:keepNext w:val="0"/>
              <w:keepLines w:val="0"/>
              <w:pageBreakBefore w:val="0"/>
              <w:kinsoku/>
              <w:wordWrap/>
              <w:overflowPunct/>
              <w:topLinePunct w:val="0"/>
              <w:autoSpaceDE/>
              <w:autoSpaceDN/>
              <w:bidi w:val="0"/>
              <w:adjustRightInd/>
              <w:snapToGrid/>
              <w:spacing w:before="45"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pacing w:val="6"/>
                <w:position w:val="2"/>
                <w:sz w:val="20"/>
                <w:szCs w:val="20"/>
                <w:highlight w:val="none"/>
              </w:rPr>
              <w:t>&gt;</w:t>
            </w:r>
            <w:r>
              <w:rPr>
                <w:rFonts w:hint="eastAsia" w:ascii="仿宋_GB2312" w:hAnsi="仿宋_GB2312" w:eastAsia="仿宋_GB2312" w:cs="仿宋_GB2312"/>
                <w:color w:val="auto"/>
                <w:spacing w:val="4"/>
                <w:position w:val="2"/>
                <w:sz w:val="20"/>
                <w:szCs w:val="20"/>
                <w:highlight w:val="none"/>
              </w:rPr>
              <w:t>400</w:t>
            </w:r>
          </w:p>
        </w:tc>
      </w:tr>
      <w:tr w14:paraId="0777B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1071" w:type="pct"/>
            <w:noWrap w:val="0"/>
            <w:vAlign w:val="center"/>
          </w:tcPr>
          <w:p w14:paraId="71475F89">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供水保证率（%）</w:t>
            </w:r>
          </w:p>
        </w:tc>
        <w:tc>
          <w:tcPr>
            <w:tcW w:w="849" w:type="pct"/>
            <w:noWrap w:val="0"/>
            <w:vAlign w:val="center"/>
          </w:tcPr>
          <w:p w14:paraId="0517CE5E">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≥98</w:t>
            </w:r>
          </w:p>
        </w:tc>
        <w:tc>
          <w:tcPr>
            <w:tcW w:w="770" w:type="pct"/>
            <w:noWrap w:val="0"/>
            <w:vAlign w:val="center"/>
          </w:tcPr>
          <w:p w14:paraId="3F15AD66">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98-95</w:t>
            </w:r>
          </w:p>
        </w:tc>
        <w:tc>
          <w:tcPr>
            <w:tcW w:w="790" w:type="pct"/>
            <w:noWrap w:val="0"/>
            <w:vAlign w:val="center"/>
          </w:tcPr>
          <w:p w14:paraId="1997A54C">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95-90</w:t>
            </w:r>
          </w:p>
        </w:tc>
        <w:tc>
          <w:tcPr>
            <w:tcW w:w="760" w:type="pct"/>
            <w:noWrap w:val="0"/>
            <w:vAlign w:val="center"/>
          </w:tcPr>
          <w:p w14:paraId="0851DB55">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90-85</w:t>
            </w:r>
          </w:p>
        </w:tc>
        <w:tc>
          <w:tcPr>
            <w:tcW w:w="758" w:type="pct"/>
            <w:noWrap w:val="0"/>
            <w:vAlign w:val="center"/>
          </w:tcPr>
          <w:p w14:paraId="77BA7578">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&lt;85</w:t>
            </w:r>
          </w:p>
        </w:tc>
      </w:tr>
      <w:tr w14:paraId="18D7C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1071" w:type="pct"/>
            <w:noWrap w:val="0"/>
            <w:vAlign w:val="center"/>
          </w:tcPr>
          <w:p w14:paraId="0EB829E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供电保证率（%）</w:t>
            </w:r>
          </w:p>
        </w:tc>
        <w:tc>
          <w:tcPr>
            <w:tcW w:w="849" w:type="pct"/>
            <w:noWrap w:val="0"/>
            <w:vAlign w:val="center"/>
          </w:tcPr>
          <w:p w14:paraId="2506833E">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≥98</w:t>
            </w:r>
          </w:p>
        </w:tc>
        <w:tc>
          <w:tcPr>
            <w:tcW w:w="770" w:type="pct"/>
            <w:noWrap w:val="0"/>
            <w:vAlign w:val="center"/>
          </w:tcPr>
          <w:p w14:paraId="42AC6C3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98-95</w:t>
            </w:r>
          </w:p>
        </w:tc>
        <w:tc>
          <w:tcPr>
            <w:tcW w:w="790" w:type="pct"/>
            <w:noWrap w:val="0"/>
            <w:vAlign w:val="center"/>
          </w:tcPr>
          <w:p w14:paraId="1B2F351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95-90</w:t>
            </w:r>
          </w:p>
        </w:tc>
        <w:tc>
          <w:tcPr>
            <w:tcW w:w="760" w:type="pct"/>
            <w:noWrap w:val="0"/>
            <w:vAlign w:val="center"/>
          </w:tcPr>
          <w:p w14:paraId="082A9338">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90-85</w:t>
            </w:r>
          </w:p>
        </w:tc>
        <w:tc>
          <w:tcPr>
            <w:tcW w:w="758" w:type="pct"/>
            <w:noWrap w:val="0"/>
            <w:vAlign w:val="center"/>
          </w:tcPr>
          <w:p w14:paraId="349C271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&lt;85</w:t>
            </w:r>
          </w:p>
        </w:tc>
      </w:tr>
      <w:tr w14:paraId="6F7AE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0" w:hRule="atLeast"/>
          <w:jc w:val="center"/>
        </w:trPr>
        <w:tc>
          <w:tcPr>
            <w:tcW w:w="1071" w:type="pct"/>
            <w:noWrap w:val="0"/>
            <w:vAlign w:val="center"/>
          </w:tcPr>
          <w:p w14:paraId="31EF6B6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排水状况</w:t>
            </w:r>
          </w:p>
        </w:tc>
        <w:tc>
          <w:tcPr>
            <w:tcW w:w="849" w:type="pct"/>
            <w:noWrap w:val="0"/>
            <w:vAlign w:val="center"/>
          </w:tcPr>
          <w:p w14:paraId="494653AA">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在雨水大的情况下无洪涝和积水现象，排水畅通</w:t>
            </w:r>
          </w:p>
        </w:tc>
        <w:tc>
          <w:tcPr>
            <w:tcW w:w="770" w:type="pct"/>
            <w:noWrap w:val="0"/>
            <w:vAlign w:val="center"/>
          </w:tcPr>
          <w:p w14:paraId="1E5125F5">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在雨水大的情况下无洪涝和积水现象，排水较畅通</w:t>
            </w:r>
          </w:p>
        </w:tc>
        <w:tc>
          <w:tcPr>
            <w:tcW w:w="790" w:type="pct"/>
            <w:noWrap w:val="0"/>
            <w:vAlign w:val="center"/>
          </w:tcPr>
          <w:p w14:paraId="43CFD247">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在雨水大的情况下有短时的积水现象</w:t>
            </w:r>
          </w:p>
        </w:tc>
        <w:tc>
          <w:tcPr>
            <w:tcW w:w="760" w:type="pct"/>
            <w:noWrap w:val="0"/>
            <w:vAlign w:val="center"/>
          </w:tcPr>
          <w:p w14:paraId="05AAC93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一般雨水情况下有积水现象</w:t>
            </w:r>
          </w:p>
        </w:tc>
        <w:tc>
          <w:tcPr>
            <w:tcW w:w="758" w:type="pct"/>
            <w:noWrap w:val="0"/>
            <w:vAlign w:val="center"/>
          </w:tcPr>
          <w:p w14:paraId="68A7512D">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一般雨水情况下，有洪涝和积水现象，且持续时间较长</w:t>
            </w:r>
          </w:p>
        </w:tc>
      </w:tr>
      <w:tr w14:paraId="1DF13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1071" w:type="pct"/>
            <w:noWrap w:val="0"/>
            <w:vAlign w:val="center"/>
          </w:tcPr>
          <w:p w14:paraId="3FC1D5C7">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公用设施完善度</w:t>
            </w:r>
          </w:p>
        </w:tc>
        <w:tc>
          <w:tcPr>
            <w:tcW w:w="849" w:type="pct"/>
            <w:noWrap w:val="0"/>
            <w:vAlign w:val="center"/>
          </w:tcPr>
          <w:p w14:paraId="13E1C32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完善</w:t>
            </w:r>
          </w:p>
        </w:tc>
        <w:tc>
          <w:tcPr>
            <w:tcW w:w="770" w:type="pct"/>
            <w:noWrap w:val="0"/>
            <w:vAlign w:val="center"/>
          </w:tcPr>
          <w:p w14:paraId="15C65D8F">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较完善</w:t>
            </w:r>
          </w:p>
        </w:tc>
        <w:tc>
          <w:tcPr>
            <w:tcW w:w="790" w:type="pct"/>
            <w:noWrap w:val="0"/>
            <w:vAlign w:val="center"/>
          </w:tcPr>
          <w:p w14:paraId="69795FD2">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一般</w:t>
            </w:r>
          </w:p>
        </w:tc>
        <w:tc>
          <w:tcPr>
            <w:tcW w:w="760" w:type="pct"/>
            <w:noWrap w:val="0"/>
            <w:vAlign w:val="center"/>
          </w:tcPr>
          <w:p w14:paraId="0A6ADC0B">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较差</w:t>
            </w:r>
          </w:p>
        </w:tc>
        <w:tc>
          <w:tcPr>
            <w:tcW w:w="758" w:type="pct"/>
            <w:noWrap w:val="0"/>
            <w:vAlign w:val="center"/>
          </w:tcPr>
          <w:p w14:paraId="5AD4391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差</w:t>
            </w:r>
          </w:p>
        </w:tc>
      </w:tr>
      <w:tr w14:paraId="00DDF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1071" w:type="pct"/>
            <w:noWrap w:val="0"/>
            <w:vAlign w:val="center"/>
          </w:tcPr>
          <w:p w14:paraId="2D2407CB">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人口密度</w:t>
            </w:r>
          </w:p>
          <w:p w14:paraId="068E3451">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（人/平方公里）</w:t>
            </w:r>
          </w:p>
        </w:tc>
        <w:tc>
          <w:tcPr>
            <w:tcW w:w="849" w:type="pct"/>
            <w:noWrap w:val="0"/>
            <w:vAlign w:val="top"/>
          </w:tcPr>
          <w:p w14:paraId="2C5B25B1">
            <w:pPr>
              <w:keepNext w:val="0"/>
              <w:keepLines w:val="0"/>
              <w:pageBreakBefore w:val="0"/>
              <w:kinsoku/>
              <w:wordWrap/>
              <w:overflowPunct/>
              <w:topLinePunct w:val="0"/>
              <w:autoSpaceDE/>
              <w:autoSpaceDN/>
              <w:bidi w:val="0"/>
              <w:adjustRightInd/>
              <w:snapToGrid/>
              <w:spacing w:before="150" w:line="240" w:lineRule="exact"/>
              <w:ind w:left="331" w:leftChars="0"/>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pacing w:val="-3"/>
                <w:position w:val="2"/>
                <w:sz w:val="20"/>
                <w:szCs w:val="20"/>
                <w:highlight w:val="none"/>
              </w:rPr>
              <w:t xml:space="preserve">≥ </w:t>
            </w:r>
            <w:r>
              <w:rPr>
                <w:rFonts w:hint="eastAsia" w:ascii="仿宋_GB2312" w:hAnsi="仿宋_GB2312" w:eastAsia="仿宋_GB2312" w:cs="仿宋_GB2312"/>
                <w:color w:val="auto"/>
                <w:spacing w:val="-3"/>
                <w:position w:val="2"/>
                <w:sz w:val="20"/>
                <w:szCs w:val="20"/>
                <w:highlight w:val="none"/>
                <w:lang w:val="en-US" w:eastAsia="zh-CN"/>
              </w:rPr>
              <w:t>4500</w:t>
            </w:r>
          </w:p>
        </w:tc>
        <w:tc>
          <w:tcPr>
            <w:tcW w:w="770" w:type="pct"/>
            <w:noWrap w:val="0"/>
            <w:vAlign w:val="top"/>
          </w:tcPr>
          <w:p w14:paraId="2D5910A7">
            <w:pPr>
              <w:keepNext w:val="0"/>
              <w:keepLines w:val="0"/>
              <w:pageBreakBefore w:val="0"/>
              <w:kinsoku/>
              <w:wordWrap/>
              <w:overflowPunct/>
              <w:topLinePunct w:val="0"/>
              <w:autoSpaceDE/>
              <w:autoSpaceDN/>
              <w:bidi w:val="0"/>
              <w:adjustRightInd/>
              <w:snapToGrid/>
              <w:spacing w:before="214"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pacing w:val="4"/>
                <w:sz w:val="20"/>
                <w:szCs w:val="20"/>
                <w:highlight w:val="none"/>
                <w:lang w:val="en-US" w:eastAsia="zh-CN"/>
              </w:rPr>
              <w:t>4000-4500</w:t>
            </w:r>
          </w:p>
        </w:tc>
        <w:tc>
          <w:tcPr>
            <w:tcW w:w="790" w:type="pct"/>
            <w:noWrap w:val="0"/>
            <w:vAlign w:val="top"/>
          </w:tcPr>
          <w:p w14:paraId="0F5E8BA6">
            <w:pPr>
              <w:keepNext w:val="0"/>
              <w:keepLines w:val="0"/>
              <w:pageBreakBefore w:val="0"/>
              <w:kinsoku/>
              <w:wordWrap/>
              <w:overflowPunct/>
              <w:topLinePunct w:val="0"/>
              <w:autoSpaceDE/>
              <w:autoSpaceDN/>
              <w:bidi w:val="0"/>
              <w:adjustRightInd/>
              <w:snapToGrid/>
              <w:spacing w:before="214" w:line="240" w:lineRule="exact"/>
              <w:jc w:val="both"/>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pacing w:val="6"/>
                <w:sz w:val="20"/>
                <w:szCs w:val="20"/>
                <w:highlight w:val="none"/>
                <w:lang w:val="en-US" w:eastAsia="zh-CN"/>
              </w:rPr>
              <w:t>3500-4000</w:t>
            </w:r>
          </w:p>
        </w:tc>
        <w:tc>
          <w:tcPr>
            <w:tcW w:w="760" w:type="pct"/>
            <w:noWrap w:val="0"/>
            <w:vAlign w:val="top"/>
          </w:tcPr>
          <w:p w14:paraId="16E1D461">
            <w:pPr>
              <w:keepNext w:val="0"/>
              <w:keepLines w:val="0"/>
              <w:pageBreakBefore w:val="0"/>
              <w:kinsoku/>
              <w:wordWrap/>
              <w:overflowPunct/>
              <w:topLinePunct w:val="0"/>
              <w:autoSpaceDE/>
              <w:autoSpaceDN/>
              <w:bidi w:val="0"/>
              <w:adjustRightInd/>
              <w:snapToGrid/>
              <w:spacing w:before="214"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pacing w:val="4"/>
                <w:sz w:val="20"/>
                <w:szCs w:val="20"/>
                <w:highlight w:val="none"/>
                <w:lang w:val="en-US" w:eastAsia="zh-CN"/>
              </w:rPr>
              <w:t>3000-3500</w:t>
            </w:r>
          </w:p>
        </w:tc>
        <w:tc>
          <w:tcPr>
            <w:tcW w:w="758" w:type="pct"/>
            <w:noWrap w:val="0"/>
            <w:vAlign w:val="top"/>
          </w:tcPr>
          <w:p w14:paraId="313C37C8">
            <w:pPr>
              <w:keepNext w:val="0"/>
              <w:keepLines w:val="0"/>
              <w:pageBreakBefore w:val="0"/>
              <w:kinsoku/>
              <w:wordWrap/>
              <w:overflowPunct/>
              <w:topLinePunct w:val="0"/>
              <w:autoSpaceDE/>
              <w:autoSpaceDN/>
              <w:bidi w:val="0"/>
              <w:adjustRightInd/>
              <w:snapToGrid/>
              <w:spacing w:before="150"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pacing w:val="5"/>
                <w:position w:val="2"/>
                <w:sz w:val="20"/>
                <w:szCs w:val="20"/>
                <w:highlight w:val="none"/>
              </w:rPr>
              <w:t>&lt;</w:t>
            </w:r>
            <w:r>
              <w:rPr>
                <w:rFonts w:hint="eastAsia" w:ascii="仿宋_GB2312" w:hAnsi="仿宋_GB2312" w:eastAsia="仿宋_GB2312" w:cs="仿宋_GB2312"/>
                <w:color w:val="auto"/>
                <w:spacing w:val="4"/>
                <w:position w:val="2"/>
                <w:sz w:val="20"/>
                <w:szCs w:val="20"/>
                <w:highlight w:val="none"/>
                <w:lang w:val="en-US" w:eastAsia="zh-CN"/>
              </w:rPr>
              <w:t>30</w:t>
            </w:r>
            <w:r>
              <w:rPr>
                <w:rFonts w:hint="eastAsia" w:ascii="仿宋_GB2312" w:hAnsi="仿宋_GB2312" w:eastAsia="仿宋_GB2312" w:cs="仿宋_GB2312"/>
                <w:color w:val="auto"/>
                <w:spacing w:val="4"/>
                <w:position w:val="2"/>
                <w:sz w:val="20"/>
                <w:szCs w:val="20"/>
                <w:highlight w:val="none"/>
              </w:rPr>
              <w:t>00</w:t>
            </w:r>
          </w:p>
        </w:tc>
      </w:tr>
      <w:tr w14:paraId="112CF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1071" w:type="pct"/>
            <w:noWrap w:val="0"/>
            <w:vAlign w:val="center"/>
          </w:tcPr>
          <w:p w14:paraId="32BFD45D">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噪声污染状况</w:t>
            </w:r>
          </w:p>
        </w:tc>
        <w:tc>
          <w:tcPr>
            <w:tcW w:w="849" w:type="pct"/>
            <w:noWrap w:val="0"/>
            <w:vAlign w:val="center"/>
          </w:tcPr>
          <w:p w14:paraId="540D775A">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低</w:t>
            </w:r>
          </w:p>
        </w:tc>
        <w:tc>
          <w:tcPr>
            <w:tcW w:w="770" w:type="pct"/>
            <w:noWrap w:val="0"/>
            <w:vAlign w:val="center"/>
          </w:tcPr>
          <w:p w14:paraId="6A9B765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较低</w:t>
            </w:r>
          </w:p>
        </w:tc>
        <w:tc>
          <w:tcPr>
            <w:tcW w:w="790" w:type="pct"/>
            <w:noWrap w:val="0"/>
            <w:vAlign w:val="center"/>
          </w:tcPr>
          <w:p w14:paraId="4137838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一般</w:t>
            </w:r>
          </w:p>
        </w:tc>
        <w:tc>
          <w:tcPr>
            <w:tcW w:w="760" w:type="pct"/>
            <w:noWrap w:val="0"/>
            <w:vAlign w:val="center"/>
          </w:tcPr>
          <w:p w14:paraId="504807EC">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较高</w:t>
            </w:r>
          </w:p>
        </w:tc>
        <w:tc>
          <w:tcPr>
            <w:tcW w:w="758" w:type="pct"/>
            <w:noWrap w:val="0"/>
            <w:vAlign w:val="center"/>
          </w:tcPr>
          <w:p w14:paraId="6E05141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高</w:t>
            </w:r>
          </w:p>
        </w:tc>
      </w:tr>
      <w:tr w14:paraId="62C0C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1071" w:type="pct"/>
            <w:noWrap w:val="0"/>
            <w:vAlign w:val="center"/>
          </w:tcPr>
          <w:p w14:paraId="25020106">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水污染状况</w:t>
            </w:r>
          </w:p>
        </w:tc>
        <w:tc>
          <w:tcPr>
            <w:tcW w:w="849" w:type="pct"/>
            <w:noWrap w:val="0"/>
            <w:vAlign w:val="center"/>
          </w:tcPr>
          <w:p w14:paraId="408F8A5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低</w:t>
            </w:r>
          </w:p>
        </w:tc>
        <w:tc>
          <w:tcPr>
            <w:tcW w:w="770" w:type="pct"/>
            <w:noWrap w:val="0"/>
            <w:vAlign w:val="center"/>
          </w:tcPr>
          <w:p w14:paraId="620C86E8">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较低</w:t>
            </w:r>
          </w:p>
        </w:tc>
        <w:tc>
          <w:tcPr>
            <w:tcW w:w="790" w:type="pct"/>
            <w:noWrap w:val="0"/>
            <w:vAlign w:val="center"/>
          </w:tcPr>
          <w:p w14:paraId="32EB90F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一般</w:t>
            </w:r>
          </w:p>
        </w:tc>
        <w:tc>
          <w:tcPr>
            <w:tcW w:w="760" w:type="pct"/>
            <w:noWrap w:val="0"/>
            <w:vAlign w:val="center"/>
          </w:tcPr>
          <w:p w14:paraId="3FD7B687">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较高</w:t>
            </w:r>
          </w:p>
        </w:tc>
        <w:tc>
          <w:tcPr>
            <w:tcW w:w="758" w:type="pct"/>
            <w:noWrap w:val="0"/>
            <w:vAlign w:val="center"/>
          </w:tcPr>
          <w:p w14:paraId="4F306B42">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高</w:t>
            </w:r>
          </w:p>
        </w:tc>
      </w:tr>
      <w:tr w14:paraId="408BA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jc w:val="center"/>
        </w:trPr>
        <w:tc>
          <w:tcPr>
            <w:tcW w:w="1071" w:type="pct"/>
            <w:noWrap w:val="0"/>
            <w:vAlign w:val="center"/>
          </w:tcPr>
          <w:p w14:paraId="06AB03EA">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道路规划</w:t>
            </w:r>
          </w:p>
        </w:tc>
        <w:tc>
          <w:tcPr>
            <w:tcW w:w="849" w:type="pct"/>
            <w:noWrap w:val="0"/>
            <w:vAlign w:val="center"/>
          </w:tcPr>
          <w:p w14:paraId="05DFCD58">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混合型主干道</w:t>
            </w:r>
          </w:p>
        </w:tc>
        <w:tc>
          <w:tcPr>
            <w:tcW w:w="770" w:type="pct"/>
            <w:noWrap w:val="0"/>
            <w:vAlign w:val="center"/>
          </w:tcPr>
          <w:p w14:paraId="5C5C990E">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生活型</w:t>
            </w:r>
          </w:p>
          <w:p w14:paraId="6A8D79DD">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主干道</w:t>
            </w:r>
          </w:p>
        </w:tc>
        <w:tc>
          <w:tcPr>
            <w:tcW w:w="790" w:type="pct"/>
            <w:noWrap w:val="0"/>
            <w:vAlign w:val="center"/>
          </w:tcPr>
          <w:p w14:paraId="41FCE766">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生活型次干道或交通型主干道</w:t>
            </w:r>
          </w:p>
        </w:tc>
        <w:tc>
          <w:tcPr>
            <w:tcW w:w="760" w:type="pct"/>
            <w:noWrap w:val="0"/>
            <w:vAlign w:val="center"/>
          </w:tcPr>
          <w:p w14:paraId="2DB2119E">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交通型</w:t>
            </w:r>
          </w:p>
          <w:p w14:paraId="21D5C67D">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次干道</w:t>
            </w:r>
          </w:p>
        </w:tc>
        <w:tc>
          <w:tcPr>
            <w:tcW w:w="758" w:type="pct"/>
            <w:noWrap w:val="0"/>
            <w:vAlign w:val="center"/>
          </w:tcPr>
          <w:p w14:paraId="301A2AAC">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kern w:val="0"/>
                <w:sz w:val="20"/>
                <w:szCs w:val="20"/>
                <w:highlight w:val="none"/>
              </w:rPr>
              <w:t>支路</w:t>
            </w:r>
          </w:p>
        </w:tc>
      </w:tr>
    </w:tbl>
    <w:p w14:paraId="30AB330D">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仿宋_GB2312" w:hAnsi="仿宋_GB2312" w:eastAsia="仿宋_GB2312" w:cs="仿宋_GB2312"/>
          <w:sz w:val="28"/>
          <w:szCs w:val="20"/>
          <w:highlight w:val="none"/>
        </w:rPr>
      </w:pPr>
      <w:r>
        <w:rPr>
          <w:rFonts w:hint="eastAsia" w:ascii="仿宋_GB2312" w:hAnsi="仿宋_GB2312" w:eastAsia="仿宋_GB2312" w:cs="仿宋_GB2312"/>
          <w:sz w:val="28"/>
          <w:szCs w:val="20"/>
          <w:highlight w:val="none"/>
        </w:rPr>
        <w:t>表3-</w:t>
      </w:r>
      <w:r>
        <w:rPr>
          <w:rFonts w:hint="eastAsia" w:ascii="仿宋_GB2312" w:hAnsi="仿宋_GB2312" w:eastAsia="仿宋_GB2312" w:cs="仿宋_GB2312"/>
          <w:sz w:val="28"/>
          <w:szCs w:val="20"/>
          <w:highlight w:val="none"/>
          <w:lang w:val="en-US" w:eastAsia="zh-CN"/>
        </w:rPr>
        <w:t>8</w:t>
      </w:r>
      <w:r>
        <w:rPr>
          <w:rFonts w:hint="eastAsia" w:ascii="仿宋_GB2312" w:hAnsi="仿宋_GB2312" w:eastAsia="仿宋_GB2312" w:cs="仿宋_GB2312"/>
          <w:sz w:val="28"/>
          <w:szCs w:val="20"/>
          <w:highlight w:val="none"/>
        </w:rPr>
        <w:t xml:space="preserve"> 宗地地价区位因素修正系数表</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61"/>
        <w:gridCol w:w="2311"/>
        <w:gridCol w:w="2411"/>
        <w:gridCol w:w="1155"/>
        <w:gridCol w:w="1581"/>
      </w:tblGrid>
      <w:tr w14:paraId="0F563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7" w:hRule="atLeast"/>
        </w:trPr>
        <w:tc>
          <w:tcPr>
            <w:tcW w:w="1061" w:type="dxa"/>
            <w:shd w:val="clear" w:color="auto" w:fill="auto"/>
            <w:vAlign w:val="center"/>
          </w:tcPr>
          <w:p w14:paraId="24E44874">
            <w:pPr>
              <w:keepNext w:val="0"/>
              <w:keepLines w:val="0"/>
              <w:pageBreakBefore w:val="0"/>
              <w:widowControl/>
              <w:kinsoku/>
              <w:wordWrap/>
              <w:overflowPunct/>
              <w:topLinePunct w:val="0"/>
              <w:autoSpaceDE/>
              <w:autoSpaceDN/>
              <w:bidi w:val="0"/>
              <w:adjustRightInd/>
              <w:snapToGrid/>
              <w:spacing w:line="204" w:lineRule="auto"/>
              <w:jc w:val="center"/>
              <w:rPr>
                <w:rFonts w:hint="eastAsia" w:ascii="仿宋_GB2312" w:hAnsi="仿宋_GB2312" w:eastAsia="仿宋_GB2312" w:cs="仿宋_GB2312"/>
                <w:b/>
                <w:bCs/>
                <w:kern w:val="0"/>
                <w:sz w:val="20"/>
                <w:szCs w:val="20"/>
                <w:highlight w:val="none"/>
                <w:lang w:val="en-US" w:eastAsia="zh-CN"/>
              </w:rPr>
            </w:pPr>
            <w:r>
              <w:rPr>
                <w:rFonts w:hint="eastAsia" w:ascii="仿宋_GB2312" w:hAnsi="仿宋_GB2312" w:eastAsia="仿宋_GB2312" w:cs="仿宋_GB2312"/>
                <w:b/>
                <w:bCs/>
                <w:kern w:val="0"/>
                <w:sz w:val="20"/>
                <w:szCs w:val="20"/>
                <w:highlight w:val="none"/>
              </w:rPr>
              <w:t>因素</w:t>
            </w:r>
          </w:p>
        </w:tc>
        <w:tc>
          <w:tcPr>
            <w:tcW w:w="2311" w:type="dxa"/>
            <w:shd w:val="clear" w:color="auto" w:fill="auto"/>
            <w:vAlign w:val="center"/>
          </w:tcPr>
          <w:p w14:paraId="23A8643D">
            <w:pPr>
              <w:keepNext w:val="0"/>
              <w:keepLines w:val="0"/>
              <w:pageBreakBefore w:val="0"/>
              <w:widowControl/>
              <w:kinsoku/>
              <w:wordWrap/>
              <w:overflowPunct/>
              <w:topLinePunct w:val="0"/>
              <w:autoSpaceDE/>
              <w:autoSpaceDN/>
              <w:bidi w:val="0"/>
              <w:adjustRightInd/>
              <w:snapToGrid/>
              <w:spacing w:line="204" w:lineRule="auto"/>
              <w:jc w:val="center"/>
              <w:rPr>
                <w:rFonts w:hint="eastAsia" w:ascii="仿宋_GB2312" w:hAnsi="仿宋_GB2312" w:eastAsia="仿宋_GB2312" w:cs="仿宋_GB2312"/>
                <w:b/>
                <w:bCs/>
                <w:kern w:val="0"/>
                <w:sz w:val="20"/>
                <w:szCs w:val="20"/>
                <w:highlight w:val="none"/>
                <w:lang w:val="en-US" w:eastAsia="zh-CN"/>
              </w:rPr>
            </w:pPr>
            <w:r>
              <w:rPr>
                <w:rFonts w:hint="eastAsia" w:ascii="仿宋_GB2312" w:hAnsi="仿宋_GB2312" w:eastAsia="仿宋_GB2312" w:cs="仿宋_GB2312"/>
                <w:b/>
                <w:bCs/>
                <w:kern w:val="0"/>
                <w:sz w:val="20"/>
                <w:szCs w:val="20"/>
                <w:highlight w:val="none"/>
              </w:rPr>
              <w:t>因子</w:t>
            </w:r>
          </w:p>
        </w:tc>
        <w:tc>
          <w:tcPr>
            <w:tcW w:w="2411" w:type="dxa"/>
            <w:shd w:val="clear" w:color="auto" w:fill="auto"/>
            <w:vAlign w:val="center"/>
          </w:tcPr>
          <w:p w14:paraId="0CB9169A">
            <w:pPr>
              <w:keepNext w:val="0"/>
              <w:keepLines w:val="0"/>
              <w:pageBreakBefore w:val="0"/>
              <w:kinsoku/>
              <w:wordWrap/>
              <w:overflowPunct/>
              <w:topLinePunct w:val="0"/>
              <w:autoSpaceDE/>
              <w:autoSpaceDN/>
              <w:bidi w:val="0"/>
              <w:adjustRightInd/>
              <w:snapToGrid/>
              <w:spacing w:line="204" w:lineRule="auto"/>
              <w:jc w:val="center"/>
              <w:rPr>
                <w:rFonts w:hint="eastAsia" w:ascii="仿宋_GB2312" w:hAnsi="仿宋_GB2312" w:eastAsia="仿宋_GB2312" w:cs="仿宋_GB2312"/>
                <w:b/>
                <w:bCs/>
                <w:kern w:val="0"/>
                <w:sz w:val="20"/>
                <w:szCs w:val="20"/>
                <w:highlight w:val="none"/>
                <w:lang w:val="en-US" w:eastAsia="zh-CN"/>
              </w:rPr>
            </w:pPr>
            <w:r>
              <w:rPr>
                <w:rFonts w:hint="eastAsia" w:ascii="仿宋_GB2312" w:hAnsi="仿宋_GB2312" w:eastAsia="仿宋_GB2312" w:cs="仿宋_GB2312"/>
                <w:b/>
                <w:bCs/>
                <w:sz w:val="20"/>
                <w:szCs w:val="20"/>
                <w:highlight w:val="none"/>
              </w:rPr>
              <w:t>因素说明</w:t>
            </w:r>
          </w:p>
        </w:tc>
        <w:tc>
          <w:tcPr>
            <w:tcW w:w="1155" w:type="dxa"/>
            <w:shd w:val="clear" w:color="auto" w:fill="auto"/>
            <w:vAlign w:val="center"/>
          </w:tcPr>
          <w:p w14:paraId="103AE75E">
            <w:pPr>
              <w:keepNext w:val="0"/>
              <w:keepLines w:val="0"/>
              <w:pageBreakBefore w:val="0"/>
              <w:kinsoku/>
              <w:wordWrap/>
              <w:overflowPunct/>
              <w:topLinePunct w:val="0"/>
              <w:autoSpaceDE/>
              <w:autoSpaceDN/>
              <w:bidi w:val="0"/>
              <w:adjustRightInd/>
              <w:snapToGrid/>
              <w:spacing w:line="204" w:lineRule="auto"/>
              <w:jc w:val="center"/>
              <w:rPr>
                <w:rFonts w:hint="eastAsia" w:ascii="仿宋_GB2312" w:hAnsi="仿宋_GB2312" w:eastAsia="仿宋_GB2312" w:cs="仿宋_GB2312"/>
                <w:b/>
                <w:bCs/>
                <w:kern w:val="0"/>
                <w:sz w:val="20"/>
                <w:szCs w:val="20"/>
                <w:highlight w:val="none"/>
                <w:lang w:val="en-US" w:eastAsia="zh-CN"/>
              </w:rPr>
            </w:pPr>
            <w:r>
              <w:rPr>
                <w:rFonts w:hint="eastAsia" w:ascii="仿宋_GB2312" w:hAnsi="仿宋_GB2312" w:eastAsia="仿宋_GB2312" w:cs="仿宋_GB2312"/>
                <w:b/>
                <w:bCs/>
                <w:sz w:val="20"/>
                <w:szCs w:val="20"/>
                <w:highlight w:val="none"/>
              </w:rPr>
              <w:t>优劣度</w:t>
            </w:r>
          </w:p>
        </w:tc>
        <w:tc>
          <w:tcPr>
            <w:tcW w:w="1581" w:type="dxa"/>
            <w:shd w:val="clear" w:color="auto" w:fill="auto"/>
            <w:vAlign w:val="center"/>
          </w:tcPr>
          <w:p w14:paraId="0862A2C5">
            <w:pPr>
              <w:keepNext w:val="0"/>
              <w:keepLines w:val="0"/>
              <w:pageBreakBefore w:val="0"/>
              <w:kinsoku/>
              <w:wordWrap/>
              <w:overflowPunct/>
              <w:topLinePunct w:val="0"/>
              <w:autoSpaceDE/>
              <w:autoSpaceDN/>
              <w:bidi w:val="0"/>
              <w:adjustRightInd/>
              <w:snapToGrid/>
              <w:spacing w:line="204" w:lineRule="auto"/>
              <w:jc w:val="center"/>
              <w:rPr>
                <w:rFonts w:hint="eastAsia" w:ascii="仿宋_GB2312" w:hAnsi="仿宋_GB2312" w:eastAsia="仿宋_GB2312" w:cs="仿宋_GB2312"/>
                <w:b/>
                <w:bCs/>
                <w:kern w:val="0"/>
                <w:sz w:val="20"/>
                <w:szCs w:val="20"/>
                <w:highlight w:val="none"/>
                <w:lang w:val="en-US" w:eastAsia="zh-CN"/>
              </w:rPr>
            </w:pPr>
            <w:r>
              <w:rPr>
                <w:rFonts w:hint="eastAsia" w:ascii="仿宋_GB2312" w:hAnsi="仿宋_GB2312" w:eastAsia="仿宋_GB2312" w:cs="仿宋_GB2312"/>
                <w:b/>
                <w:bCs/>
                <w:sz w:val="20"/>
                <w:szCs w:val="20"/>
                <w:highlight w:val="none"/>
              </w:rPr>
              <w:t>修正系数</w:t>
            </w:r>
            <w:r>
              <w:rPr>
                <w:rFonts w:hint="eastAsia" w:ascii="仿宋_GB2312" w:hAnsi="仿宋_GB2312" w:eastAsia="仿宋_GB2312" w:cs="仿宋_GB2312"/>
                <w:b/>
                <w:bCs/>
                <w:sz w:val="20"/>
                <w:szCs w:val="20"/>
                <w:highlight w:val="none"/>
                <w:lang w:eastAsia="zh-CN"/>
              </w:rPr>
              <w:t>（</w:t>
            </w:r>
            <w:r>
              <w:rPr>
                <w:rFonts w:hint="eastAsia" w:ascii="仿宋_GB2312" w:hAnsi="仿宋_GB2312" w:eastAsia="仿宋_GB2312" w:cs="仿宋_GB2312"/>
                <w:b/>
                <w:bCs/>
                <w:sz w:val="20"/>
                <w:szCs w:val="20"/>
                <w:highlight w:val="none"/>
                <w:lang w:val="en-US" w:eastAsia="zh-CN"/>
              </w:rPr>
              <w:t>%</w:t>
            </w:r>
            <w:r>
              <w:rPr>
                <w:rFonts w:hint="eastAsia" w:ascii="仿宋_GB2312" w:hAnsi="仿宋_GB2312" w:eastAsia="仿宋_GB2312" w:cs="仿宋_GB2312"/>
                <w:b/>
                <w:bCs/>
                <w:sz w:val="20"/>
                <w:szCs w:val="20"/>
                <w:highlight w:val="none"/>
                <w:lang w:eastAsia="zh-CN"/>
              </w:rPr>
              <w:t>）</w:t>
            </w:r>
          </w:p>
        </w:tc>
      </w:tr>
      <w:tr w14:paraId="1AF5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7" w:hRule="atLeast"/>
        </w:trPr>
        <w:tc>
          <w:tcPr>
            <w:tcW w:w="1061" w:type="dxa"/>
            <w:shd w:val="clear" w:color="auto" w:fill="auto"/>
            <w:vAlign w:val="center"/>
          </w:tcPr>
          <w:p w14:paraId="533B9C11">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繁华程度</w:t>
            </w:r>
          </w:p>
        </w:tc>
        <w:tc>
          <w:tcPr>
            <w:tcW w:w="2311" w:type="dxa"/>
            <w:shd w:val="clear" w:color="auto" w:fill="auto"/>
            <w:vAlign w:val="center"/>
          </w:tcPr>
          <w:p w14:paraId="6F4E38A8">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距小区级商服中心距离</w:t>
            </w:r>
          </w:p>
        </w:tc>
        <w:tc>
          <w:tcPr>
            <w:tcW w:w="2411" w:type="dxa"/>
            <w:shd w:val="clear" w:color="auto" w:fill="auto"/>
            <w:vAlign w:val="center"/>
          </w:tcPr>
          <w:p w14:paraId="5B156FFC">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距大统发购物广场650米</w:t>
            </w:r>
          </w:p>
        </w:tc>
        <w:tc>
          <w:tcPr>
            <w:tcW w:w="1155" w:type="dxa"/>
            <w:shd w:val="clear" w:color="auto" w:fill="auto"/>
            <w:vAlign w:val="center"/>
          </w:tcPr>
          <w:p w14:paraId="2950779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default"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较优</w:t>
            </w:r>
          </w:p>
        </w:tc>
        <w:tc>
          <w:tcPr>
            <w:tcW w:w="1581" w:type="dxa"/>
            <w:shd w:val="clear" w:color="auto" w:fill="auto"/>
            <w:vAlign w:val="center"/>
          </w:tcPr>
          <w:p w14:paraId="5287BBC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default" w:ascii="仿宋_GB2312" w:hAnsi="仿宋_GB2312" w:eastAsia="仿宋_GB2312" w:cs="仿宋_GB2312"/>
                <w:kern w:val="0"/>
                <w:sz w:val="20"/>
                <w:szCs w:val="20"/>
                <w:highlight w:val="none"/>
                <w:lang w:val="en-US" w:eastAsia="zh-CN"/>
              </w:rPr>
              <w:t>0.3873</w:t>
            </w:r>
          </w:p>
        </w:tc>
      </w:tr>
      <w:tr w14:paraId="6C256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0" w:hRule="atLeast"/>
        </w:trPr>
        <w:tc>
          <w:tcPr>
            <w:tcW w:w="1061" w:type="dxa"/>
            <w:vMerge w:val="restart"/>
            <w:shd w:val="clear" w:color="auto" w:fill="auto"/>
            <w:vAlign w:val="center"/>
          </w:tcPr>
          <w:p w14:paraId="0239DF9A">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交通条件</w:t>
            </w:r>
          </w:p>
        </w:tc>
        <w:tc>
          <w:tcPr>
            <w:tcW w:w="2311" w:type="dxa"/>
            <w:shd w:val="clear" w:color="auto" w:fill="auto"/>
            <w:vAlign w:val="center"/>
          </w:tcPr>
          <w:p w14:paraId="4156D94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距汽车站距离</w:t>
            </w:r>
          </w:p>
        </w:tc>
        <w:tc>
          <w:tcPr>
            <w:tcW w:w="2411" w:type="dxa"/>
            <w:shd w:val="clear" w:color="auto" w:fill="auto"/>
            <w:vAlign w:val="center"/>
          </w:tcPr>
          <w:p w14:paraId="3273BF9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距通道汽车站650米</w:t>
            </w:r>
          </w:p>
        </w:tc>
        <w:tc>
          <w:tcPr>
            <w:tcW w:w="1155" w:type="dxa"/>
            <w:shd w:val="clear" w:color="auto" w:fill="auto"/>
            <w:vAlign w:val="center"/>
          </w:tcPr>
          <w:p w14:paraId="6F55FEB1">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default"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较优</w:t>
            </w:r>
          </w:p>
        </w:tc>
        <w:tc>
          <w:tcPr>
            <w:tcW w:w="1581" w:type="dxa"/>
            <w:shd w:val="clear" w:color="auto" w:fill="auto"/>
            <w:vAlign w:val="center"/>
          </w:tcPr>
          <w:p w14:paraId="7F1CCFF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default" w:ascii="仿宋_GB2312" w:hAnsi="仿宋_GB2312" w:eastAsia="仿宋_GB2312" w:cs="仿宋_GB2312"/>
                <w:kern w:val="0"/>
                <w:sz w:val="20"/>
                <w:szCs w:val="20"/>
                <w:highlight w:val="none"/>
                <w:lang w:val="en-US" w:eastAsia="zh-CN"/>
              </w:rPr>
              <w:t>0.2054</w:t>
            </w:r>
          </w:p>
        </w:tc>
      </w:tr>
      <w:tr w14:paraId="19575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061" w:type="dxa"/>
            <w:vMerge w:val="continue"/>
            <w:shd w:val="clear" w:color="auto" w:fill="auto"/>
            <w:vAlign w:val="center"/>
          </w:tcPr>
          <w:p w14:paraId="49EABB9D">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p>
        </w:tc>
        <w:tc>
          <w:tcPr>
            <w:tcW w:w="2311" w:type="dxa"/>
            <w:shd w:val="clear" w:color="auto" w:fill="auto"/>
            <w:vAlign w:val="center"/>
          </w:tcPr>
          <w:p w14:paraId="47C5185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临近道路状况</w:t>
            </w:r>
          </w:p>
        </w:tc>
        <w:tc>
          <w:tcPr>
            <w:tcW w:w="2411" w:type="dxa"/>
            <w:shd w:val="clear" w:color="auto" w:fill="auto"/>
            <w:vAlign w:val="center"/>
          </w:tcPr>
          <w:p w14:paraId="04503F36">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临繁华次干道行政街</w:t>
            </w:r>
          </w:p>
        </w:tc>
        <w:tc>
          <w:tcPr>
            <w:tcW w:w="1155" w:type="dxa"/>
            <w:shd w:val="clear" w:color="auto" w:fill="auto"/>
            <w:vAlign w:val="center"/>
          </w:tcPr>
          <w:p w14:paraId="11D6EC1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default"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一般</w:t>
            </w:r>
          </w:p>
        </w:tc>
        <w:tc>
          <w:tcPr>
            <w:tcW w:w="1581" w:type="dxa"/>
            <w:shd w:val="clear" w:color="auto" w:fill="auto"/>
            <w:vAlign w:val="center"/>
          </w:tcPr>
          <w:p w14:paraId="4C37409C">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default"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0</w:t>
            </w:r>
          </w:p>
        </w:tc>
      </w:tr>
      <w:tr w14:paraId="16AFE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061" w:type="dxa"/>
            <w:vMerge w:val="continue"/>
            <w:shd w:val="clear" w:color="auto" w:fill="auto"/>
            <w:vAlign w:val="center"/>
          </w:tcPr>
          <w:p w14:paraId="2FC735F5">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p>
        </w:tc>
        <w:tc>
          <w:tcPr>
            <w:tcW w:w="2311" w:type="dxa"/>
            <w:shd w:val="clear" w:color="auto" w:fill="auto"/>
            <w:vAlign w:val="center"/>
          </w:tcPr>
          <w:p w14:paraId="4409B13B">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距公交站点距离</w:t>
            </w:r>
          </w:p>
        </w:tc>
        <w:tc>
          <w:tcPr>
            <w:tcW w:w="2411" w:type="dxa"/>
            <w:shd w:val="clear" w:color="auto" w:fill="auto"/>
            <w:vAlign w:val="center"/>
          </w:tcPr>
          <w:p w14:paraId="6F42C465">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距文化馆公交站100米</w:t>
            </w:r>
          </w:p>
        </w:tc>
        <w:tc>
          <w:tcPr>
            <w:tcW w:w="1155" w:type="dxa"/>
            <w:shd w:val="clear" w:color="auto" w:fill="auto"/>
            <w:vAlign w:val="center"/>
          </w:tcPr>
          <w:p w14:paraId="0A509F4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default"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优</w:t>
            </w:r>
          </w:p>
        </w:tc>
        <w:tc>
          <w:tcPr>
            <w:tcW w:w="1581" w:type="dxa"/>
            <w:shd w:val="clear" w:color="auto" w:fill="auto"/>
            <w:vAlign w:val="center"/>
          </w:tcPr>
          <w:p w14:paraId="3B867E0B">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default" w:ascii="仿宋_GB2312" w:hAnsi="仿宋_GB2312" w:eastAsia="仿宋_GB2312" w:cs="仿宋_GB2312"/>
                <w:kern w:val="0"/>
                <w:sz w:val="20"/>
                <w:szCs w:val="20"/>
                <w:highlight w:val="none"/>
                <w:lang w:val="en-US" w:eastAsia="zh-CN"/>
              </w:rPr>
              <w:t>0.282</w:t>
            </w:r>
          </w:p>
        </w:tc>
      </w:tr>
      <w:tr w14:paraId="48DF8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0" w:hRule="atLeast"/>
        </w:trPr>
        <w:tc>
          <w:tcPr>
            <w:tcW w:w="1061" w:type="dxa"/>
            <w:vMerge w:val="restart"/>
            <w:shd w:val="clear" w:color="auto" w:fill="auto"/>
            <w:vAlign w:val="center"/>
          </w:tcPr>
          <w:p w14:paraId="0C11CAC5">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基本设施状况</w:t>
            </w:r>
          </w:p>
        </w:tc>
        <w:tc>
          <w:tcPr>
            <w:tcW w:w="2311" w:type="dxa"/>
            <w:shd w:val="clear" w:color="auto" w:fill="auto"/>
            <w:vAlign w:val="center"/>
          </w:tcPr>
          <w:p w14:paraId="72308AAB">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供水保证率</w:t>
            </w:r>
          </w:p>
        </w:tc>
        <w:tc>
          <w:tcPr>
            <w:tcW w:w="2411" w:type="dxa"/>
            <w:shd w:val="clear" w:color="auto" w:fill="auto"/>
            <w:vAlign w:val="center"/>
          </w:tcPr>
          <w:p w14:paraId="03476FF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default" w:ascii="仿宋_GB2312" w:hAnsi="仿宋_GB2312" w:eastAsia="仿宋_GB2312" w:cs="仿宋_GB2312"/>
                <w:kern w:val="0"/>
                <w:sz w:val="20"/>
                <w:szCs w:val="20"/>
                <w:highlight w:val="none"/>
                <w:lang w:val="en-US" w:eastAsia="zh-CN"/>
              </w:rPr>
              <w:t>≥98</w:t>
            </w:r>
          </w:p>
        </w:tc>
        <w:tc>
          <w:tcPr>
            <w:tcW w:w="1155" w:type="dxa"/>
            <w:shd w:val="clear" w:color="auto" w:fill="auto"/>
            <w:vAlign w:val="center"/>
          </w:tcPr>
          <w:p w14:paraId="0408809C">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优</w:t>
            </w:r>
          </w:p>
        </w:tc>
        <w:tc>
          <w:tcPr>
            <w:tcW w:w="1581" w:type="dxa"/>
            <w:shd w:val="clear" w:color="auto" w:fill="auto"/>
            <w:vAlign w:val="center"/>
          </w:tcPr>
          <w:p w14:paraId="633CD00E">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default" w:ascii="仿宋_GB2312" w:hAnsi="仿宋_GB2312" w:eastAsia="仿宋_GB2312" w:cs="仿宋_GB2312"/>
                <w:kern w:val="0"/>
                <w:sz w:val="20"/>
                <w:szCs w:val="20"/>
                <w:highlight w:val="none"/>
                <w:lang w:val="en-US" w:eastAsia="zh-CN"/>
              </w:rPr>
              <w:t>0.3807</w:t>
            </w:r>
          </w:p>
        </w:tc>
      </w:tr>
      <w:tr w14:paraId="5AA14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061" w:type="dxa"/>
            <w:vMerge w:val="continue"/>
            <w:shd w:val="clear" w:color="auto" w:fill="auto"/>
            <w:vAlign w:val="center"/>
          </w:tcPr>
          <w:p w14:paraId="6EAE0BBF">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p>
        </w:tc>
        <w:tc>
          <w:tcPr>
            <w:tcW w:w="2311" w:type="dxa"/>
            <w:shd w:val="clear" w:color="auto" w:fill="auto"/>
            <w:vAlign w:val="center"/>
          </w:tcPr>
          <w:p w14:paraId="5A11A577">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供电保证率</w:t>
            </w:r>
          </w:p>
        </w:tc>
        <w:tc>
          <w:tcPr>
            <w:tcW w:w="2411" w:type="dxa"/>
            <w:shd w:val="clear" w:color="auto" w:fill="auto"/>
            <w:vAlign w:val="center"/>
          </w:tcPr>
          <w:p w14:paraId="755E9F5F">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default" w:ascii="仿宋_GB2312" w:hAnsi="仿宋_GB2312" w:eastAsia="仿宋_GB2312" w:cs="仿宋_GB2312"/>
                <w:kern w:val="0"/>
                <w:sz w:val="20"/>
                <w:szCs w:val="20"/>
                <w:highlight w:val="none"/>
                <w:lang w:val="en-US" w:eastAsia="zh-CN"/>
              </w:rPr>
              <w:t>≥98</w:t>
            </w:r>
          </w:p>
        </w:tc>
        <w:tc>
          <w:tcPr>
            <w:tcW w:w="1155" w:type="dxa"/>
            <w:shd w:val="clear" w:color="auto" w:fill="auto"/>
            <w:vAlign w:val="center"/>
          </w:tcPr>
          <w:p w14:paraId="69DF4B1B">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优</w:t>
            </w:r>
          </w:p>
        </w:tc>
        <w:tc>
          <w:tcPr>
            <w:tcW w:w="1581" w:type="dxa"/>
            <w:shd w:val="clear" w:color="auto" w:fill="auto"/>
            <w:vAlign w:val="center"/>
          </w:tcPr>
          <w:p w14:paraId="74BC27D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default" w:ascii="仿宋_GB2312" w:hAnsi="仿宋_GB2312" w:eastAsia="仿宋_GB2312" w:cs="仿宋_GB2312"/>
                <w:kern w:val="0"/>
                <w:sz w:val="20"/>
                <w:szCs w:val="20"/>
                <w:highlight w:val="none"/>
                <w:lang w:val="en-US" w:eastAsia="zh-CN"/>
              </w:rPr>
              <w:t>0.123</w:t>
            </w:r>
          </w:p>
        </w:tc>
      </w:tr>
      <w:tr w14:paraId="7436C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061" w:type="dxa"/>
            <w:vMerge w:val="continue"/>
            <w:shd w:val="clear" w:color="auto" w:fill="auto"/>
            <w:vAlign w:val="center"/>
          </w:tcPr>
          <w:p w14:paraId="37E7B95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p>
        </w:tc>
        <w:tc>
          <w:tcPr>
            <w:tcW w:w="2311" w:type="dxa"/>
            <w:shd w:val="clear" w:color="auto" w:fill="auto"/>
            <w:vAlign w:val="center"/>
          </w:tcPr>
          <w:p w14:paraId="6D203D72">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排水状况</w:t>
            </w:r>
          </w:p>
        </w:tc>
        <w:tc>
          <w:tcPr>
            <w:tcW w:w="2411" w:type="dxa"/>
            <w:shd w:val="clear" w:color="auto" w:fill="auto"/>
            <w:vAlign w:val="center"/>
          </w:tcPr>
          <w:p w14:paraId="3C095E4E">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在雨水大的情况下无洪涝和积水现象，排水畅通</w:t>
            </w:r>
          </w:p>
        </w:tc>
        <w:tc>
          <w:tcPr>
            <w:tcW w:w="1155" w:type="dxa"/>
            <w:shd w:val="clear" w:color="auto" w:fill="auto"/>
            <w:vAlign w:val="center"/>
          </w:tcPr>
          <w:p w14:paraId="4CA6A98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优</w:t>
            </w:r>
          </w:p>
        </w:tc>
        <w:tc>
          <w:tcPr>
            <w:tcW w:w="1581" w:type="dxa"/>
            <w:shd w:val="clear" w:color="auto" w:fill="auto"/>
            <w:vAlign w:val="center"/>
          </w:tcPr>
          <w:p w14:paraId="035FD533">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default" w:ascii="仿宋_GB2312" w:hAnsi="仿宋_GB2312" w:eastAsia="仿宋_GB2312" w:cs="仿宋_GB2312"/>
                <w:kern w:val="0"/>
                <w:sz w:val="20"/>
                <w:szCs w:val="20"/>
                <w:highlight w:val="none"/>
                <w:lang w:val="en-US" w:eastAsia="zh-CN"/>
              </w:rPr>
              <w:t>0.3453</w:t>
            </w:r>
          </w:p>
        </w:tc>
      </w:tr>
      <w:tr w14:paraId="3EAED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44" w:hRule="atLeast"/>
        </w:trPr>
        <w:tc>
          <w:tcPr>
            <w:tcW w:w="1061" w:type="dxa"/>
            <w:vMerge w:val="continue"/>
            <w:shd w:val="clear" w:color="auto" w:fill="auto"/>
            <w:vAlign w:val="center"/>
          </w:tcPr>
          <w:p w14:paraId="255EAA9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p>
        </w:tc>
        <w:tc>
          <w:tcPr>
            <w:tcW w:w="2311" w:type="dxa"/>
            <w:shd w:val="clear" w:color="auto" w:fill="auto"/>
            <w:vAlign w:val="center"/>
          </w:tcPr>
          <w:p w14:paraId="1EF78109">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公用设施完善度</w:t>
            </w:r>
          </w:p>
        </w:tc>
        <w:tc>
          <w:tcPr>
            <w:tcW w:w="2411" w:type="dxa"/>
            <w:shd w:val="clear" w:color="auto" w:fill="auto"/>
            <w:vAlign w:val="center"/>
          </w:tcPr>
          <w:p w14:paraId="6BC7A2C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完善</w:t>
            </w:r>
          </w:p>
        </w:tc>
        <w:tc>
          <w:tcPr>
            <w:tcW w:w="1155" w:type="dxa"/>
            <w:shd w:val="clear" w:color="auto" w:fill="auto"/>
            <w:vAlign w:val="center"/>
          </w:tcPr>
          <w:p w14:paraId="548B7AB2">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优</w:t>
            </w:r>
          </w:p>
        </w:tc>
        <w:tc>
          <w:tcPr>
            <w:tcW w:w="1581" w:type="dxa"/>
            <w:shd w:val="clear" w:color="auto" w:fill="auto"/>
            <w:vAlign w:val="center"/>
          </w:tcPr>
          <w:p w14:paraId="1C83D079">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default" w:ascii="仿宋_GB2312" w:hAnsi="仿宋_GB2312" w:eastAsia="仿宋_GB2312" w:cs="仿宋_GB2312"/>
                <w:kern w:val="0"/>
                <w:sz w:val="20"/>
                <w:szCs w:val="20"/>
                <w:highlight w:val="none"/>
                <w:lang w:val="en-US" w:eastAsia="zh-CN"/>
              </w:rPr>
              <w:t>0.8738</w:t>
            </w:r>
          </w:p>
        </w:tc>
      </w:tr>
      <w:tr w14:paraId="34938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061" w:type="dxa"/>
            <w:shd w:val="clear" w:color="auto" w:fill="auto"/>
            <w:vAlign w:val="center"/>
          </w:tcPr>
          <w:p w14:paraId="2D6A1AE8">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人口状况</w:t>
            </w:r>
          </w:p>
        </w:tc>
        <w:tc>
          <w:tcPr>
            <w:tcW w:w="2311" w:type="dxa"/>
            <w:shd w:val="clear" w:color="auto" w:fill="auto"/>
            <w:vAlign w:val="center"/>
          </w:tcPr>
          <w:p w14:paraId="0D923D27">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人口密度</w:t>
            </w:r>
          </w:p>
        </w:tc>
        <w:tc>
          <w:tcPr>
            <w:tcW w:w="2411" w:type="dxa"/>
            <w:shd w:val="clear" w:color="auto" w:fill="auto"/>
            <w:vAlign w:val="center"/>
          </w:tcPr>
          <w:p w14:paraId="4820915C">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default"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4000-4500人/平方公里</w:t>
            </w:r>
          </w:p>
        </w:tc>
        <w:tc>
          <w:tcPr>
            <w:tcW w:w="1155" w:type="dxa"/>
            <w:shd w:val="clear" w:color="auto" w:fill="auto"/>
            <w:vAlign w:val="center"/>
          </w:tcPr>
          <w:p w14:paraId="7543D901">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较优</w:t>
            </w:r>
          </w:p>
        </w:tc>
        <w:tc>
          <w:tcPr>
            <w:tcW w:w="1581" w:type="dxa"/>
            <w:shd w:val="clear" w:color="auto" w:fill="auto"/>
            <w:vAlign w:val="center"/>
          </w:tcPr>
          <w:p w14:paraId="79BF5B5E">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default" w:ascii="仿宋_GB2312" w:hAnsi="仿宋_GB2312" w:eastAsia="仿宋_GB2312" w:cs="仿宋_GB2312"/>
                <w:kern w:val="0"/>
                <w:sz w:val="20"/>
                <w:szCs w:val="20"/>
                <w:highlight w:val="none"/>
                <w:lang w:val="en-US" w:eastAsia="zh-CN"/>
              </w:rPr>
            </w:pPr>
            <w:r>
              <w:rPr>
                <w:rFonts w:hint="default" w:ascii="仿宋_GB2312" w:hAnsi="仿宋_GB2312" w:eastAsia="仿宋_GB2312" w:cs="仿宋_GB2312"/>
                <w:kern w:val="0"/>
                <w:sz w:val="20"/>
                <w:szCs w:val="20"/>
                <w:highlight w:val="none"/>
                <w:lang w:val="en-US" w:eastAsia="zh-CN"/>
              </w:rPr>
              <w:t>0.</w:t>
            </w:r>
            <w:r>
              <w:rPr>
                <w:rFonts w:hint="eastAsia" w:ascii="仿宋_GB2312" w:hAnsi="仿宋_GB2312" w:eastAsia="仿宋_GB2312" w:cs="仿宋_GB2312"/>
                <w:kern w:val="0"/>
                <w:sz w:val="20"/>
                <w:szCs w:val="20"/>
                <w:highlight w:val="none"/>
                <w:lang w:val="en-US" w:eastAsia="zh-CN"/>
              </w:rPr>
              <w:t>2735</w:t>
            </w:r>
          </w:p>
        </w:tc>
      </w:tr>
      <w:tr w14:paraId="60249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061" w:type="dxa"/>
            <w:vMerge w:val="restart"/>
            <w:shd w:val="clear" w:color="auto" w:fill="auto"/>
            <w:vAlign w:val="center"/>
          </w:tcPr>
          <w:p w14:paraId="23350942">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环境状况</w:t>
            </w:r>
          </w:p>
        </w:tc>
        <w:tc>
          <w:tcPr>
            <w:tcW w:w="2311" w:type="dxa"/>
            <w:shd w:val="clear" w:color="auto" w:fill="auto"/>
            <w:vAlign w:val="center"/>
          </w:tcPr>
          <w:p w14:paraId="725735A8">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噪声污染状况</w:t>
            </w:r>
          </w:p>
        </w:tc>
        <w:tc>
          <w:tcPr>
            <w:tcW w:w="2411" w:type="dxa"/>
            <w:shd w:val="clear" w:color="auto" w:fill="auto"/>
            <w:vAlign w:val="center"/>
          </w:tcPr>
          <w:p w14:paraId="78478CF9">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低</w:t>
            </w:r>
          </w:p>
        </w:tc>
        <w:tc>
          <w:tcPr>
            <w:tcW w:w="1155" w:type="dxa"/>
            <w:shd w:val="clear" w:color="auto" w:fill="auto"/>
            <w:vAlign w:val="center"/>
          </w:tcPr>
          <w:p w14:paraId="67FA3FB2">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优</w:t>
            </w:r>
          </w:p>
        </w:tc>
        <w:tc>
          <w:tcPr>
            <w:tcW w:w="1581" w:type="dxa"/>
            <w:shd w:val="clear" w:color="auto" w:fill="auto"/>
            <w:vAlign w:val="center"/>
          </w:tcPr>
          <w:p w14:paraId="164BED01">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default" w:ascii="仿宋_GB2312" w:hAnsi="仿宋_GB2312" w:eastAsia="仿宋_GB2312" w:cs="仿宋_GB2312"/>
                <w:kern w:val="0"/>
                <w:sz w:val="20"/>
                <w:szCs w:val="20"/>
                <w:highlight w:val="none"/>
                <w:lang w:val="en-US" w:eastAsia="zh-CN"/>
              </w:rPr>
              <w:t>0.3369</w:t>
            </w:r>
          </w:p>
        </w:tc>
      </w:tr>
      <w:tr w14:paraId="29D7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64" w:hRule="atLeast"/>
        </w:trPr>
        <w:tc>
          <w:tcPr>
            <w:tcW w:w="1061" w:type="dxa"/>
            <w:vMerge w:val="continue"/>
            <w:shd w:val="clear" w:color="auto" w:fill="auto"/>
            <w:vAlign w:val="center"/>
          </w:tcPr>
          <w:p w14:paraId="3F9356AE">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p>
        </w:tc>
        <w:tc>
          <w:tcPr>
            <w:tcW w:w="2311" w:type="dxa"/>
            <w:shd w:val="clear" w:color="auto" w:fill="auto"/>
            <w:vAlign w:val="center"/>
          </w:tcPr>
          <w:p w14:paraId="098B962D">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水污染状况</w:t>
            </w:r>
          </w:p>
        </w:tc>
        <w:tc>
          <w:tcPr>
            <w:tcW w:w="2411" w:type="dxa"/>
            <w:shd w:val="clear" w:color="auto" w:fill="auto"/>
            <w:vAlign w:val="center"/>
          </w:tcPr>
          <w:p w14:paraId="13D8C607">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低</w:t>
            </w:r>
          </w:p>
        </w:tc>
        <w:tc>
          <w:tcPr>
            <w:tcW w:w="1155" w:type="dxa"/>
            <w:shd w:val="clear" w:color="auto" w:fill="auto"/>
            <w:vAlign w:val="center"/>
          </w:tcPr>
          <w:p w14:paraId="35D52507">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优</w:t>
            </w:r>
          </w:p>
        </w:tc>
        <w:tc>
          <w:tcPr>
            <w:tcW w:w="1581" w:type="dxa"/>
            <w:shd w:val="clear" w:color="auto" w:fill="auto"/>
            <w:vAlign w:val="center"/>
          </w:tcPr>
          <w:p w14:paraId="1D8D1AE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default" w:ascii="仿宋_GB2312" w:hAnsi="仿宋_GB2312" w:eastAsia="仿宋_GB2312" w:cs="仿宋_GB2312"/>
                <w:kern w:val="0"/>
                <w:sz w:val="20"/>
                <w:szCs w:val="20"/>
                <w:highlight w:val="none"/>
                <w:lang w:val="en-US" w:eastAsia="zh-CN"/>
              </w:rPr>
              <w:t>0.3585</w:t>
            </w:r>
          </w:p>
        </w:tc>
      </w:tr>
      <w:tr w14:paraId="279E2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37" w:hRule="atLeast"/>
        </w:trPr>
        <w:tc>
          <w:tcPr>
            <w:tcW w:w="1061" w:type="dxa"/>
            <w:shd w:val="clear" w:color="auto" w:fill="auto"/>
            <w:vAlign w:val="center"/>
          </w:tcPr>
          <w:p w14:paraId="2753999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城市规划</w:t>
            </w:r>
          </w:p>
        </w:tc>
        <w:tc>
          <w:tcPr>
            <w:tcW w:w="2311" w:type="dxa"/>
            <w:shd w:val="clear" w:color="auto" w:fill="auto"/>
            <w:vAlign w:val="center"/>
          </w:tcPr>
          <w:p w14:paraId="15FE70B7">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kern w:val="0"/>
                <w:sz w:val="20"/>
                <w:szCs w:val="20"/>
                <w:highlight w:val="none"/>
                <w:lang w:val="en-US" w:eastAsia="zh-CN"/>
              </w:rPr>
              <w:t>道路规划</w:t>
            </w:r>
          </w:p>
        </w:tc>
        <w:tc>
          <w:tcPr>
            <w:tcW w:w="2411" w:type="dxa"/>
            <w:shd w:val="clear" w:color="auto" w:fill="auto"/>
            <w:vAlign w:val="center"/>
          </w:tcPr>
          <w:p w14:paraId="4577C1C9">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生活型次干道或交通型主干道</w:t>
            </w:r>
          </w:p>
        </w:tc>
        <w:tc>
          <w:tcPr>
            <w:tcW w:w="1155" w:type="dxa"/>
            <w:shd w:val="clear" w:color="auto" w:fill="auto"/>
            <w:vAlign w:val="center"/>
          </w:tcPr>
          <w:p w14:paraId="00F3C96E">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default"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一般</w:t>
            </w:r>
          </w:p>
        </w:tc>
        <w:tc>
          <w:tcPr>
            <w:tcW w:w="1581" w:type="dxa"/>
            <w:shd w:val="clear" w:color="auto" w:fill="auto"/>
            <w:vAlign w:val="center"/>
          </w:tcPr>
          <w:p w14:paraId="7E8BE775">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default"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0</w:t>
            </w:r>
          </w:p>
        </w:tc>
      </w:tr>
      <w:tr w14:paraId="23CA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37" w:hRule="atLeast"/>
        </w:trPr>
        <w:tc>
          <w:tcPr>
            <w:tcW w:w="1061" w:type="dxa"/>
            <w:shd w:val="clear" w:color="auto" w:fill="auto"/>
            <w:vAlign w:val="center"/>
          </w:tcPr>
          <w:p w14:paraId="75917A80">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default"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合计</w:t>
            </w:r>
          </w:p>
        </w:tc>
        <w:tc>
          <w:tcPr>
            <w:tcW w:w="2311" w:type="dxa"/>
            <w:shd w:val="clear" w:color="auto" w:fill="auto"/>
            <w:vAlign w:val="center"/>
          </w:tcPr>
          <w:p w14:paraId="2F8E6814">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default"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w:t>
            </w:r>
          </w:p>
        </w:tc>
        <w:tc>
          <w:tcPr>
            <w:tcW w:w="2411" w:type="dxa"/>
            <w:shd w:val="clear" w:color="auto" w:fill="auto"/>
            <w:vAlign w:val="center"/>
          </w:tcPr>
          <w:p w14:paraId="03E78DFF">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default"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w:t>
            </w:r>
          </w:p>
        </w:tc>
        <w:tc>
          <w:tcPr>
            <w:tcW w:w="1155" w:type="dxa"/>
            <w:shd w:val="clear" w:color="auto" w:fill="auto"/>
            <w:vAlign w:val="center"/>
          </w:tcPr>
          <w:p w14:paraId="61E9AB29">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default"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w:t>
            </w:r>
          </w:p>
        </w:tc>
        <w:tc>
          <w:tcPr>
            <w:tcW w:w="1581" w:type="dxa"/>
            <w:shd w:val="clear" w:color="auto" w:fill="auto"/>
            <w:vAlign w:val="center"/>
          </w:tcPr>
          <w:p w14:paraId="5088426D">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default" w:ascii="仿宋_GB2312" w:hAnsi="仿宋_GB2312" w:eastAsia="仿宋_GB2312" w:cs="仿宋_GB2312"/>
                <w:kern w:val="0"/>
                <w:sz w:val="20"/>
                <w:szCs w:val="20"/>
                <w:highlight w:val="none"/>
                <w:lang w:val="en-US" w:eastAsia="zh-CN"/>
              </w:rPr>
            </w:pPr>
            <w:r>
              <w:rPr>
                <w:rFonts w:hint="eastAsia" w:ascii="仿宋_GB2312" w:hAnsi="仿宋_GB2312" w:eastAsia="仿宋_GB2312" w:cs="仿宋_GB2312"/>
                <w:kern w:val="0"/>
                <w:sz w:val="20"/>
                <w:szCs w:val="20"/>
                <w:highlight w:val="none"/>
                <w:lang w:val="en-US" w:eastAsia="zh-CN"/>
              </w:rPr>
              <w:t>3.5664</w:t>
            </w:r>
          </w:p>
        </w:tc>
      </w:tr>
    </w:tbl>
    <w:p w14:paraId="2DBAD106">
      <w:pPr>
        <w:keepNext w:val="0"/>
        <w:keepLines w:val="0"/>
        <w:pageBreakBefore w:val="0"/>
        <w:widowControl w:val="0"/>
        <w:kinsoku/>
        <w:wordWrap/>
        <w:overflowPunct/>
        <w:topLinePunct w:val="0"/>
        <w:autoSpaceDE/>
        <w:autoSpaceDN/>
        <w:bidi w:val="0"/>
        <w:adjustRightInd w:val="0"/>
        <w:snapToGrid w:val="0"/>
        <w:spacing w:line="480" w:lineRule="exact"/>
        <w:ind w:firstLine="601" w:firstLineChars="0"/>
        <w:textAlignment w:val="auto"/>
        <w:rPr>
          <w:rFonts w:hint="eastAsia" w:ascii="仿宋_GB2312" w:hAnsi="仿宋_GB2312" w:eastAsia="仿宋_GB2312" w:cs="仿宋_GB2312"/>
          <w:sz w:val="28"/>
          <w:szCs w:val="28"/>
          <w:highlight w:val="none"/>
          <w:lang w:val="de-DE"/>
        </w:rPr>
      </w:pPr>
      <w:r>
        <w:rPr>
          <w:rFonts w:hint="eastAsia" w:ascii="仿宋_GB2312" w:hAnsi="仿宋_GB2312" w:eastAsia="仿宋_GB2312" w:cs="仿宋_GB2312"/>
          <w:sz w:val="28"/>
          <w:szCs w:val="28"/>
          <w:highlight w:val="none"/>
          <w:lang w:val="de-DE"/>
        </w:rPr>
        <w:t>8、宗地面积修正（Ks）</w:t>
      </w:r>
    </w:p>
    <w:p w14:paraId="6976C3A4">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szCs w:val="20"/>
          <w:highlight w:val="none"/>
        </w:rPr>
      </w:pPr>
      <w:r>
        <w:rPr>
          <w:rFonts w:hint="eastAsia" w:ascii="仿宋_GB2312" w:hAnsi="仿宋_GB2312" w:eastAsia="仿宋_GB2312" w:cs="仿宋_GB2312"/>
          <w:bCs/>
          <w:sz w:val="28"/>
          <w:szCs w:val="20"/>
          <w:highlight w:val="none"/>
        </w:rPr>
        <w:t>土地面积对土地的利用有一定影响，过大或者过小均对土地的最佳利用产生不良影响。</w:t>
      </w:r>
      <w:r>
        <w:rPr>
          <w:rFonts w:hint="eastAsia" w:ascii="仿宋_GB2312" w:hAnsi="仿宋_GB2312" w:eastAsia="仿宋_GB2312" w:cs="仿宋_GB2312"/>
          <w:sz w:val="28"/>
          <w:szCs w:val="28"/>
          <w:highlight w:val="none"/>
        </w:rPr>
        <w:t>估价对象</w:t>
      </w:r>
      <w:r>
        <w:rPr>
          <w:rFonts w:hint="eastAsia" w:ascii="仿宋_GB2312" w:hAnsi="仿宋_GB2312" w:eastAsia="仿宋_GB2312" w:cs="仿宋_GB2312"/>
          <w:bCs/>
          <w:sz w:val="28"/>
          <w:szCs w:val="20"/>
          <w:highlight w:val="none"/>
        </w:rPr>
        <w:t>分摊土地使用权面积为</w:t>
      </w:r>
      <w:r>
        <w:rPr>
          <w:rFonts w:hint="eastAsia" w:ascii="仿宋_GB2312" w:hAnsi="仿宋_GB2312" w:eastAsia="仿宋_GB2312" w:cs="仿宋_GB2312"/>
          <w:bCs/>
          <w:sz w:val="28"/>
          <w:szCs w:val="20"/>
          <w:highlight w:val="none"/>
          <w:lang w:val="en-US" w:eastAsia="zh-CN"/>
        </w:rPr>
        <w:t>183.27平方米</w:t>
      </w:r>
      <w:r>
        <w:rPr>
          <w:rFonts w:hint="eastAsia" w:ascii="仿宋_GB2312" w:hAnsi="仿宋_GB2312" w:eastAsia="仿宋_GB2312" w:cs="仿宋_GB2312"/>
          <w:bCs/>
          <w:sz w:val="28"/>
          <w:szCs w:val="20"/>
          <w:highlight w:val="none"/>
          <w:lang w:eastAsia="zh-CN"/>
        </w:rPr>
        <w:t>，面积过小，对土地利用产生严重的影响</w:t>
      </w:r>
      <w:r>
        <w:rPr>
          <w:rFonts w:hint="eastAsia" w:ascii="仿宋_GB2312" w:hAnsi="仿宋_GB2312" w:eastAsia="仿宋_GB2312" w:cs="仿宋_GB2312"/>
          <w:sz w:val="28"/>
          <w:highlight w:val="none"/>
        </w:rPr>
        <w:t>。</w:t>
      </w:r>
      <w:r>
        <w:rPr>
          <w:rFonts w:hint="eastAsia" w:ascii="仿宋_GB2312" w:hAnsi="仿宋_GB2312" w:eastAsia="仿宋_GB2312" w:cs="仿宋_GB2312"/>
          <w:bCs/>
          <w:sz w:val="28"/>
          <w:szCs w:val="20"/>
          <w:highlight w:val="none"/>
        </w:rPr>
        <w:t>根据</w:t>
      </w:r>
      <w:r>
        <w:rPr>
          <w:rFonts w:hint="eastAsia" w:ascii="仿宋_GB2312" w:hAnsi="仿宋_GB2312" w:eastAsia="仿宋_GB2312" w:cs="仿宋_GB2312"/>
          <w:bCs/>
          <w:sz w:val="28"/>
          <w:szCs w:val="20"/>
          <w:highlight w:val="none"/>
          <w:lang w:eastAsia="zh-CN"/>
        </w:rPr>
        <w:t>《</w:t>
      </w:r>
      <w:r>
        <w:rPr>
          <w:rFonts w:hint="eastAsia" w:ascii="仿宋_GB2312" w:hAnsi="仿宋_GB2312" w:eastAsia="仿宋_GB2312" w:cs="仿宋_GB2312"/>
          <w:bCs/>
          <w:sz w:val="28"/>
          <w:szCs w:val="20"/>
          <w:highlight w:val="none"/>
          <w:lang w:val="en-US" w:eastAsia="zh-CN"/>
        </w:rPr>
        <w:t>通道侗族自治县</w:t>
      </w:r>
      <w:r>
        <w:rPr>
          <w:rFonts w:hint="eastAsia" w:ascii="仿宋_GB2312" w:hAnsi="仿宋_GB2312" w:eastAsia="仿宋_GB2312" w:cs="仿宋_GB2312"/>
          <w:bCs/>
          <w:sz w:val="28"/>
          <w:szCs w:val="20"/>
          <w:highlight w:val="none"/>
          <w:lang w:eastAsia="zh-CN"/>
        </w:rPr>
        <w:t>城镇基准地价更新技术报告》（202</w:t>
      </w:r>
      <w:r>
        <w:rPr>
          <w:rFonts w:hint="eastAsia" w:ascii="仿宋_GB2312" w:hAnsi="仿宋_GB2312" w:eastAsia="仿宋_GB2312" w:cs="仿宋_GB2312"/>
          <w:bCs/>
          <w:sz w:val="28"/>
          <w:szCs w:val="20"/>
          <w:highlight w:val="none"/>
          <w:lang w:val="en-US" w:eastAsia="zh-CN"/>
        </w:rPr>
        <w:t>5</w:t>
      </w:r>
      <w:r>
        <w:rPr>
          <w:rFonts w:hint="eastAsia" w:ascii="仿宋_GB2312" w:hAnsi="仿宋_GB2312" w:eastAsia="仿宋_GB2312" w:cs="仿宋_GB2312"/>
          <w:bCs/>
          <w:sz w:val="28"/>
          <w:szCs w:val="20"/>
          <w:highlight w:val="none"/>
          <w:lang w:eastAsia="zh-CN"/>
        </w:rPr>
        <w:t>年</w:t>
      </w:r>
      <w:r>
        <w:rPr>
          <w:rFonts w:hint="eastAsia" w:ascii="仿宋_GB2312" w:hAnsi="仿宋_GB2312" w:eastAsia="仿宋_GB2312" w:cs="仿宋_GB2312"/>
          <w:bCs/>
          <w:sz w:val="28"/>
          <w:szCs w:val="20"/>
          <w:highlight w:val="none"/>
          <w:lang w:val="en-US" w:eastAsia="zh-CN"/>
        </w:rPr>
        <w:t>11</w:t>
      </w:r>
      <w:r>
        <w:rPr>
          <w:rFonts w:hint="eastAsia" w:ascii="仿宋_GB2312" w:hAnsi="仿宋_GB2312" w:eastAsia="仿宋_GB2312" w:cs="仿宋_GB2312"/>
          <w:bCs/>
          <w:sz w:val="28"/>
          <w:szCs w:val="20"/>
          <w:highlight w:val="none"/>
          <w:lang w:eastAsia="zh-CN"/>
        </w:rPr>
        <w:t>月）</w:t>
      </w:r>
      <w:r>
        <w:rPr>
          <w:rFonts w:hint="eastAsia" w:ascii="仿宋_GB2312" w:hAnsi="仿宋_GB2312" w:eastAsia="仿宋_GB2312" w:cs="仿宋_GB2312"/>
          <w:bCs/>
          <w:sz w:val="28"/>
          <w:szCs w:val="20"/>
          <w:highlight w:val="none"/>
        </w:rPr>
        <w:t>，查《宗地面积修正系数表》，得出估价对象面积正系数Ks</w:t>
      </w:r>
      <w:r>
        <w:rPr>
          <w:rFonts w:hint="eastAsia" w:ascii="仿宋_GB2312" w:hAnsi="仿宋_GB2312" w:eastAsia="仿宋_GB2312" w:cs="仿宋_GB2312"/>
          <w:bCs/>
          <w:sz w:val="28"/>
          <w:szCs w:val="20"/>
          <w:highlight w:val="none"/>
          <w:lang w:val="en-US" w:eastAsia="zh-CN"/>
        </w:rPr>
        <w:t>商</w:t>
      </w:r>
      <w:r>
        <w:rPr>
          <w:rFonts w:hint="eastAsia" w:ascii="仿宋_GB2312" w:hAnsi="仿宋_GB2312" w:eastAsia="仿宋_GB2312" w:cs="仿宋_GB2312"/>
          <w:bCs/>
          <w:sz w:val="28"/>
          <w:szCs w:val="20"/>
          <w:highlight w:val="none"/>
        </w:rPr>
        <w:t>=</w:t>
      </w:r>
      <w:r>
        <w:rPr>
          <w:rFonts w:hint="eastAsia" w:ascii="仿宋_GB2312" w:hAnsi="仿宋_GB2312" w:eastAsia="仿宋_GB2312" w:cs="仿宋_GB2312"/>
          <w:bCs/>
          <w:sz w:val="28"/>
          <w:szCs w:val="20"/>
          <w:highlight w:val="none"/>
          <w:lang w:val="en-US" w:eastAsia="zh-CN"/>
        </w:rPr>
        <w:t>0.98、</w:t>
      </w:r>
      <w:r>
        <w:rPr>
          <w:rFonts w:hint="eastAsia" w:ascii="仿宋_GB2312" w:hAnsi="仿宋_GB2312" w:eastAsia="仿宋_GB2312" w:cs="仿宋_GB2312"/>
          <w:bCs/>
          <w:sz w:val="28"/>
          <w:szCs w:val="20"/>
          <w:highlight w:val="none"/>
        </w:rPr>
        <w:t>Ks</w:t>
      </w:r>
      <w:r>
        <w:rPr>
          <w:rFonts w:hint="eastAsia" w:ascii="仿宋_GB2312" w:hAnsi="仿宋_GB2312" w:eastAsia="仿宋_GB2312" w:cs="仿宋_GB2312"/>
          <w:bCs/>
          <w:sz w:val="28"/>
          <w:szCs w:val="20"/>
          <w:highlight w:val="none"/>
          <w:lang w:val="en-US" w:eastAsia="zh-CN"/>
        </w:rPr>
        <w:t>住</w:t>
      </w:r>
      <w:r>
        <w:rPr>
          <w:rFonts w:hint="eastAsia" w:ascii="仿宋_GB2312" w:hAnsi="仿宋_GB2312" w:eastAsia="仿宋_GB2312" w:cs="仿宋_GB2312"/>
          <w:bCs/>
          <w:sz w:val="28"/>
          <w:szCs w:val="20"/>
          <w:highlight w:val="none"/>
        </w:rPr>
        <w:t>=</w:t>
      </w:r>
      <w:r>
        <w:rPr>
          <w:rFonts w:hint="eastAsia" w:ascii="仿宋_GB2312" w:hAnsi="仿宋_GB2312" w:eastAsia="仿宋_GB2312" w:cs="仿宋_GB2312"/>
          <w:bCs/>
          <w:sz w:val="28"/>
          <w:szCs w:val="20"/>
          <w:highlight w:val="none"/>
          <w:lang w:val="en-US" w:eastAsia="zh-CN"/>
        </w:rPr>
        <w:t>0.98</w:t>
      </w:r>
      <w:r>
        <w:rPr>
          <w:rFonts w:hint="eastAsia" w:ascii="仿宋_GB2312" w:hAnsi="仿宋_GB2312" w:eastAsia="仿宋_GB2312" w:cs="仿宋_GB2312"/>
          <w:bCs/>
          <w:sz w:val="28"/>
          <w:szCs w:val="20"/>
          <w:highlight w:val="none"/>
        </w:rPr>
        <w:t>。</w:t>
      </w:r>
    </w:p>
    <w:p w14:paraId="7410AD65">
      <w:pPr>
        <w:keepNext w:val="0"/>
        <w:keepLines w:val="0"/>
        <w:pageBreakBefore w:val="0"/>
        <w:widowControl w:val="0"/>
        <w:kinsoku/>
        <w:wordWrap/>
        <w:overflowPunct/>
        <w:topLinePunct w:val="0"/>
        <w:autoSpaceDE/>
        <w:autoSpaceDN/>
        <w:bidi w:val="0"/>
        <w:spacing w:line="480" w:lineRule="exact"/>
        <w:ind w:firstLine="280" w:firstLineChars="100"/>
        <w:jc w:val="center"/>
        <w:textAlignment w:val="auto"/>
        <w:rPr>
          <w:rFonts w:hint="eastAsia" w:ascii="仿宋_GB2312" w:hAnsi="仿宋_GB2312" w:eastAsia="仿宋_GB2312" w:cs="仿宋_GB2312"/>
          <w:sz w:val="28"/>
          <w:szCs w:val="20"/>
          <w:highlight w:val="none"/>
        </w:rPr>
      </w:pPr>
      <w:r>
        <w:rPr>
          <w:rFonts w:hint="eastAsia" w:ascii="仿宋_GB2312" w:hAnsi="仿宋_GB2312" w:eastAsia="仿宋_GB2312" w:cs="仿宋_GB2312"/>
          <w:sz w:val="28"/>
          <w:szCs w:val="20"/>
          <w:highlight w:val="none"/>
        </w:rPr>
        <w:t>表3-</w:t>
      </w:r>
      <w:r>
        <w:rPr>
          <w:rFonts w:hint="eastAsia" w:ascii="仿宋_GB2312" w:hAnsi="仿宋_GB2312" w:eastAsia="仿宋_GB2312" w:cs="仿宋_GB2312"/>
          <w:sz w:val="28"/>
          <w:szCs w:val="20"/>
          <w:highlight w:val="none"/>
          <w:lang w:val="en-US" w:eastAsia="zh-CN"/>
        </w:rPr>
        <w:t>9</w:t>
      </w:r>
      <w:r>
        <w:rPr>
          <w:rFonts w:hint="eastAsia" w:ascii="仿宋_GB2312" w:hAnsi="仿宋_GB2312" w:eastAsia="仿宋_GB2312" w:cs="仿宋_GB2312"/>
          <w:sz w:val="28"/>
          <w:szCs w:val="20"/>
          <w:highlight w:val="none"/>
        </w:rPr>
        <w:t xml:space="preserve"> 宗地面积修正系数表</w:t>
      </w:r>
    </w:p>
    <w:tbl>
      <w:tblPr>
        <w:tblStyle w:val="2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87"/>
        <w:gridCol w:w="1296"/>
        <w:gridCol w:w="1334"/>
        <w:gridCol w:w="1362"/>
        <w:gridCol w:w="1298"/>
        <w:gridCol w:w="1323"/>
        <w:gridCol w:w="1313"/>
      </w:tblGrid>
      <w:tr w14:paraId="23408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9" w:hRule="atLeast"/>
          <w:tblHeader/>
          <w:jc w:val="center"/>
        </w:trPr>
        <w:tc>
          <w:tcPr>
            <w:tcW w:w="1012" w:type="pct"/>
            <w:gridSpan w:val="2"/>
            <w:vAlign w:val="center"/>
          </w:tcPr>
          <w:p w14:paraId="7C108FF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指标标准</w:t>
            </w:r>
          </w:p>
        </w:tc>
        <w:tc>
          <w:tcPr>
            <w:tcW w:w="802" w:type="pct"/>
            <w:vAlign w:val="center"/>
          </w:tcPr>
          <w:p w14:paraId="0668A51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优</w:t>
            </w:r>
          </w:p>
        </w:tc>
        <w:tc>
          <w:tcPr>
            <w:tcW w:w="819" w:type="pct"/>
            <w:vAlign w:val="center"/>
          </w:tcPr>
          <w:p w14:paraId="31CB630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较优</w:t>
            </w:r>
          </w:p>
        </w:tc>
        <w:tc>
          <w:tcPr>
            <w:tcW w:w="780" w:type="pct"/>
            <w:vAlign w:val="center"/>
          </w:tcPr>
          <w:p w14:paraId="1F155EA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一般</w:t>
            </w:r>
          </w:p>
        </w:tc>
        <w:tc>
          <w:tcPr>
            <w:tcW w:w="795" w:type="pct"/>
            <w:vAlign w:val="center"/>
          </w:tcPr>
          <w:p w14:paraId="0D69023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较劣</w:t>
            </w:r>
          </w:p>
        </w:tc>
        <w:tc>
          <w:tcPr>
            <w:tcW w:w="789" w:type="pct"/>
            <w:vAlign w:val="center"/>
          </w:tcPr>
          <w:p w14:paraId="185F46D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劣</w:t>
            </w:r>
          </w:p>
        </w:tc>
      </w:tr>
      <w:tr w14:paraId="63B6F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6" w:hRule="atLeast"/>
          <w:jc w:val="center"/>
        </w:trPr>
        <w:tc>
          <w:tcPr>
            <w:tcW w:w="1012" w:type="pct"/>
            <w:gridSpan w:val="2"/>
            <w:vAlign w:val="center"/>
          </w:tcPr>
          <w:p w14:paraId="65A5954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说明</w:t>
            </w:r>
          </w:p>
        </w:tc>
        <w:tc>
          <w:tcPr>
            <w:tcW w:w="802" w:type="pct"/>
            <w:vAlign w:val="center"/>
          </w:tcPr>
          <w:p w14:paraId="4128834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面积适中，对土地利用极有利</w:t>
            </w:r>
          </w:p>
        </w:tc>
        <w:tc>
          <w:tcPr>
            <w:tcW w:w="819" w:type="pct"/>
            <w:vAlign w:val="center"/>
          </w:tcPr>
          <w:p w14:paraId="6FE411C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面积对土地利用 较为有利</w:t>
            </w:r>
          </w:p>
        </w:tc>
        <w:tc>
          <w:tcPr>
            <w:tcW w:w="780" w:type="pct"/>
            <w:vAlign w:val="center"/>
          </w:tcPr>
          <w:p w14:paraId="72BD31B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面积对土地利 用无不良影响</w:t>
            </w:r>
          </w:p>
        </w:tc>
        <w:tc>
          <w:tcPr>
            <w:tcW w:w="795" w:type="pct"/>
            <w:vAlign w:val="center"/>
          </w:tcPr>
          <w:p w14:paraId="5642D6F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面积较小，对</w:t>
            </w:r>
          </w:p>
          <w:p w14:paraId="63150C3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土地利用有一定影响</w:t>
            </w:r>
          </w:p>
        </w:tc>
        <w:tc>
          <w:tcPr>
            <w:tcW w:w="789" w:type="pct"/>
            <w:vAlign w:val="center"/>
          </w:tcPr>
          <w:p w14:paraId="4662CFE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面积过小，对土地利用产生严重的影响</w:t>
            </w:r>
          </w:p>
        </w:tc>
      </w:tr>
      <w:tr w14:paraId="10B6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9" w:hRule="atLeast"/>
          <w:jc w:val="center"/>
        </w:trPr>
        <w:tc>
          <w:tcPr>
            <w:tcW w:w="233" w:type="pct"/>
            <w:vMerge w:val="restart"/>
            <w:textDirection w:val="tbRlV"/>
            <w:vAlign w:val="center"/>
          </w:tcPr>
          <w:p w14:paraId="7656696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修 正 系 数</w:t>
            </w:r>
          </w:p>
        </w:tc>
        <w:tc>
          <w:tcPr>
            <w:tcW w:w="779" w:type="pct"/>
            <w:vMerge w:val="restart"/>
            <w:vAlign w:val="center"/>
          </w:tcPr>
          <w:p w14:paraId="647760E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lang w:eastAsia="zh-CN"/>
              </w:rPr>
            </w:pPr>
            <w:r>
              <w:rPr>
                <w:rFonts w:hint="eastAsia" w:ascii="仿宋_GB2312" w:hAnsi="仿宋_GB2312" w:eastAsia="仿宋_GB2312" w:cs="仿宋_GB2312"/>
                <w:color w:val="auto"/>
                <w:sz w:val="20"/>
                <w:szCs w:val="20"/>
                <w:highlight w:val="none"/>
                <w:lang w:eastAsia="zh-CN"/>
              </w:rPr>
              <w:t>商业服务业用地</w:t>
            </w:r>
          </w:p>
        </w:tc>
        <w:tc>
          <w:tcPr>
            <w:tcW w:w="802" w:type="pct"/>
            <w:vAlign w:val="center"/>
          </w:tcPr>
          <w:p w14:paraId="7EE8B0A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lang w:val="zh-CN"/>
              </w:rPr>
              <w:t>≥1200</w:t>
            </w:r>
          </w:p>
        </w:tc>
        <w:tc>
          <w:tcPr>
            <w:tcW w:w="819" w:type="pct"/>
            <w:vAlign w:val="center"/>
          </w:tcPr>
          <w:p w14:paraId="7CE327E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w:t>
            </w:r>
            <w:r>
              <w:rPr>
                <w:rFonts w:hint="eastAsia" w:ascii="仿宋_GB2312" w:hAnsi="仿宋_GB2312" w:eastAsia="仿宋_GB2312" w:cs="仿宋_GB2312"/>
                <w:color w:val="auto"/>
                <w:sz w:val="20"/>
                <w:szCs w:val="20"/>
                <w:highlight w:val="none"/>
                <w:lang w:val="zh-CN"/>
              </w:rPr>
              <w:t>800，1200</w:t>
            </w:r>
            <w:r>
              <w:rPr>
                <w:rFonts w:hint="eastAsia" w:ascii="仿宋_GB2312" w:hAnsi="仿宋_GB2312" w:eastAsia="仿宋_GB2312" w:cs="仿宋_GB2312"/>
                <w:color w:val="auto"/>
                <w:sz w:val="20"/>
                <w:szCs w:val="20"/>
                <w:highlight w:val="none"/>
                <w:lang w:val="en-US" w:eastAsia="zh-CN"/>
              </w:rPr>
              <w:t>)</w:t>
            </w:r>
          </w:p>
        </w:tc>
        <w:tc>
          <w:tcPr>
            <w:tcW w:w="780" w:type="pct"/>
            <w:vAlign w:val="center"/>
          </w:tcPr>
          <w:p w14:paraId="0215365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w:t>
            </w:r>
            <w:r>
              <w:rPr>
                <w:rFonts w:hint="eastAsia" w:ascii="仿宋_GB2312" w:hAnsi="仿宋_GB2312" w:eastAsia="仿宋_GB2312" w:cs="仿宋_GB2312"/>
                <w:color w:val="auto"/>
                <w:sz w:val="20"/>
                <w:szCs w:val="20"/>
                <w:highlight w:val="none"/>
                <w:lang w:val="zh-CN"/>
              </w:rPr>
              <w:t>500，800</w:t>
            </w:r>
            <w:r>
              <w:rPr>
                <w:rFonts w:hint="eastAsia" w:ascii="仿宋_GB2312" w:hAnsi="仿宋_GB2312" w:eastAsia="仿宋_GB2312" w:cs="仿宋_GB2312"/>
                <w:color w:val="auto"/>
                <w:sz w:val="20"/>
                <w:szCs w:val="20"/>
                <w:highlight w:val="none"/>
                <w:lang w:val="en-US" w:eastAsia="zh-CN"/>
              </w:rPr>
              <w:t>)</w:t>
            </w:r>
          </w:p>
        </w:tc>
        <w:tc>
          <w:tcPr>
            <w:tcW w:w="795" w:type="pct"/>
            <w:vAlign w:val="center"/>
          </w:tcPr>
          <w:p w14:paraId="2198985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w:t>
            </w:r>
            <w:r>
              <w:rPr>
                <w:rFonts w:hint="eastAsia" w:ascii="仿宋_GB2312" w:hAnsi="仿宋_GB2312" w:eastAsia="仿宋_GB2312" w:cs="仿宋_GB2312"/>
                <w:color w:val="auto"/>
                <w:sz w:val="20"/>
                <w:szCs w:val="20"/>
                <w:highlight w:val="none"/>
                <w:lang w:val="zh-CN"/>
              </w:rPr>
              <w:t>200，500</w:t>
            </w:r>
            <w:r>
              <w:rPr>
                <w:rFonts w:hint="eastAsia" w:ascii="仿宋_GB2312" w:hAnsi="仿宋_GB2312" w:eastAsia="仿宋_GB2312" w:cs="仿宋_GB2312"/>
                <w:color w:val="auto"/>
                <w:sz w:val="20"/>
                <w:szCs w:val="20"/>
                <w:highlight w:val="none"/>
                <w:lang w:val="en-US" w:eastAsia="zh-CN"/>
              </w:rPr>
              <w:t>)</w:t>
            </w:r>
          </w:p>
        </w:tc>
        <w:tc>
          <w:tcPr>
            <w:tcW w:w="789" w:type="pct"/>
            <w:vAlign w:val="center"/>
          </w:tcPr>
          <w:p w14:paraId="580882D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w:t>
            </w:r>
            <w:r>
              <w:rPr>
                <w:rFonts w:hint="eastAsia" w:ascii="仿宋_GB2312" w:hAnsi="仿宋_GB2312" w:eastAsia="仿宋_GB2312" w:cs="仿宋_GB2312"/>
                <w:color w:val="auto"/>
                <w:sz w:val="20"/>
                <w:szCs w:val="20"/>
                <w:highlight w:val="none"/>
                <w:lang w:val="zh-CN"/>
              </w:rPr>
              <w:t>200</w:t>
            </w:r>
          </w:p>
        </w:tc>
      </w:tr>
      <w:tr w14:paraId="19976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3" w:hRule="atLeast"/>
          <w:jc w:val="center"/>
        </w:trPr>
        <w:tc>
          <w:tcPr>
            <w:tcW w:w="233" w:type="pct"/>
            <w:vMerge w:val="continue"/>
            <w:textDirection w:val="tbRlV"/>
            <w:vAlign w:val="center"/>
          </w:tcPr>
          <w:p w14:paraId="4DFBE16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p>
        </w:tc>
        <w:tc>
          <w:tcPr>
            <w:tcW w:w="779" w:type="pct"/>
            <w:vMerge w:val="continue"/>
            <w:vAlign w:val="center"/>
          </w:tcPr>
          <w:p w14:paraId="3B70F30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p>
        </w:tc>
        <w:tc>
          <w:tcPr>
            <w:tcW w:w="802" w:type="pct"/>
            <w:vAlign w:val="center"/>
          </w:tcPr>
          <w:p w14:paraId="3A0751C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1.02</w:t>
            </w:r>
          </w:p>
        </w:tc>
        <w:tc>
          <w:tcPr>
            <w:tcW w:w="819" w:type="pct"/>
            <w:vAlign w:val="center"/>
          </w:tcPr>
          <w:p w14:paraId="5E03F54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1.01</w:t>
            </w:r>
          </w:p>
        </w:tc>
        <w:tc>
          <w:tcPr>
            <w:tcW w:w="780" w:type="pct"/>
            <w:vAlign w:val="center"/>
          </w:tcPr>
          <w:p w14:paraId="2B4B1AC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1.00</w:t>
            </w:r>
          </w:p>
        </w:tc>
        <w:tc>
          <w:tcPr>
            <w:tcW w:w="795" w:type="pct"/>
            <w:vAlign w:val="center"/>
          </w:tcPr>
          <w:p w14:paraId="527E8AD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0.99</w:t>
            </w:r>
          </w:p>
        </w:tc>
        <w:tc>
          <w:tcPr>
            <w:tcW w:w="789" w:type="pct"/>
            <w:vAlign w:val="center"/>
          </w:tcPr>
          <w:p w14:paraId="197EDC9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0.98</w:t>
            </w:r>
          </w:p>
        </w:tc>
      </w:tr>
      <w:tr w14:paraId="306F2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9" w:hRule="atLeast"/>
          <w:jc w:val="center"/>
        </w:trPr>
        <w:tc>
          <w:tcPr>
            <w:tcW w:w="233" w:type="pct"/>
            <w:vMerge w:val="continue"/>
            <w:textDirection w:val="tbRlV"/>
            <w:vAlign w:val="center"/>
          </w:tcPr>
          <w:p w14:paraId="0157EEF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p>
        </w:tc>
        <w:tc>
          <w:tcPr>
            <w:tcW w:w="779" w:type="pct"/>
            <w:vMerge w:val="restart"/>
            <w:vAlign w:val="center"/>
          </w:tcPr>
          <w:p w14:paraId="2D16D54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lang w:eastAsia="zh-CN"/>
              </w:rPr>
            </w:pPr>
            <w:r>
              <w:rPr>
                <w:rFonts w:hint="eastAsia" w:ascii="仿宋_GB2312" w:hAnsi="仿宋_GB2312" w:eastAsia="仿宋_GB2312" w:cs="仿宋_GB2312"/>
                <w:color w:val="auto"/>
                <w:sz w:val="20"/>
                <w:szCs w:val="20"/>
                <w:highlight w:val="none"/>
                <w:lang w:eastAsia="zh-CN"/>
              </w:rPr>
              <w:t>居住用地</w:t>
            </w:r>
          </w:p>
        </w:tc>
        <w:tc>
          <w:tcPr>
            <w:tcW w:w="802" w:type="pct"/>
            <w:vAlign w:val="center"/>
          </w:tcPr>
          <w:p w14:paraId="76C5A69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lang w:val="zh-CN"/>
              </w:rPr>
              <w:t>≥2000</w:t>
            </w:r>
          </w:p>
        </w:tc>
        <w:tc>
          <w:tcPr>
            <w:tcW w:w="819" w:type="pct"/>
            <w:vAlign w:val="center"/>
          </w:tcPr>
          <w:p w14:paraId="22B7B58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w:t>
            </w:r>
            <w:r>
              <w:rPr>
                <w:rFonts w:hint="eastAsia" w:ascii="仿宋_GB2312" w:hAnsi="仿宋_GB2312" w:eastAsia="仿宋_GB2312" w:cs="仿宋_GB2312"/>
                <w:color w:val="auto"/>
                <w:sz w:val="20"/>
                <w:szCs w:val="20"/>
                <w:highlight w:val="none"/>
                <w:lang w:val="zh-CN"/>
              </w:rPr>
              <w:t>1500-2000</w:t>
            </w:r>
            <w:r>
              <w:rPr>
                <w:rFonts w:hint="eastAsia" w:ascii="仿宋_GB2312" w:hAnsi="仿宋_GB2312" w:eastAsia="仿宋_GB2312" w:cs="仿宋_GB2312"/>
                <w:color w:val="auto"/>
                <w:sz w:val="20"/>
                <w:szCs w:val="20"/>
                <w:highlight w:val="none"/>
                <w:lang w:val="en-US" w:eastAsia="zh-CN"/>
              </w:rPr>
              <w:t>)</w:t>
            </w:r>
          </w:p>
        </w:tc>
        <w:tc>
          <w:tcPr>
            <w:tcW w:w="780" w:type="pct"/>
            <w:vAlign w:val="center"/>
          </w:tcPr>
          <w:p w14:paraId="75CE924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w:t>
            </w:r>
            <w:r>
              <w:rPr>
                <w:rFonts w:hint="eastAsia" w:ascii="仿宋_GB2312" w:hAnsi="仿宋_GB2312" w:eastAsia="仿宋_GB2312" w:cs="仿宋_GB2312"/>
                <w:color w:val="auto"/>
                <w:sz w:val="20"/>
                <w:szCs w:val="20"/>
                <w:highlight w:val="none"/>
                <w:lang w:val="zh-CN"/>
              </w:rPr>
              <w:t>1000-1500</w:t>
            </w:r>
            <w:r>
              <w:rPr>
                <w:rFonts w:hint="eastAsia" w:ascii="仿宋_GB2312" w:hAnsi="仿宋_GB2312" w:eastAsia="仿宋_GB2312" w:cs="仿宋_GB2312"/>
                <w:color w:val="auto"/>
                <w:sz w:val="20"/>
                <w:szCs w:val="20"/>
                <w:highlight w:val="none"/>
                <w:lang w:val="en-US" w:eastAsia="zh-CN"/>
              </w:rPr>
              <w:t>)</w:t>
            </w:r>
          </w:p>
        </w:tc>
        <w:tc>
          <w:tcPr>
            <w:tcW w:w="795" w:type="pct"/>
            <w:vAlign w:val="center"/>
          </w:tcPr>
          <w:p w14:paraId="7C8A707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w:t>
            </w:r>
            <w:r>
              <w:rPr>
                <w:rFonts w:hint="eastAsia" w:ascii="仿宋_GB2312" w:hAnsi="仿宋_GB2312" w:eastAsia="仿宋_GB2312" w:cs="仿宋_GB2312"/>
                <w:color w:val="auto"/>
                <w:sz w:val="20"/>
                <w:szCs w:val="20"/>
                <w:highlight w:val="none"/>
                <w:lang w:val="zh-CN"/>
              </w:rPr>
              <w:t>500-1000</w:t>
            </w:r>
            <w:r>
              <w:rPr>
                <w:rFonts w:hint="eastAsia" w:ascii="仿宋_GB2312" w:hAnsi="仿宋_GB2312" w:eastAsia="仿宋_GB2312" w:cs="仿宋_GB2312"/>
                <w:color w:val="auto"/>
                <w:sz w:val="20"/>
                <w:szCs w:val="20"/>
                <w:highlight w:val="none"/>
                <w:lang w:val="en-US" w:eastAsia="zh-CN"/>
              </w:rPr>
              <w:t>)</w:t>
            </w:r>
          </w:p>
        </w:tc>
        <w:tc>
          <w:tcPr>
            <w:tcW w:w="789" w:type="pct"/>
            <w:vAlign w:val="center"/>
          </w:tcPr>
          <w:p w14:paraId="1AB72F0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w:t>
            </w:r>
            <w:r>
              <w:rPr>
                <w:rFonts w:hint="eastAsia" w:ascii="仿宋_GB2312" w:hAnsi="仿宋_GB2312" w:eastAsia="仿宋_GB2312" w:cs="仿宋_GB2312"/>
                <w:color w:val="auto"/>
                <w:sz w:val="20"/>
                <w:szCs w:val="20"/>
                <w:highlight w:val="none"/>
                <w:lang w:val="zh-CN"/>
              </w:rPr>
              <w:t>500</w:t>
            </w:r>
          </w:p>
        </w:tc>
      </w:tr>
      <w:tr w14:paraId="36952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1" w:hRule="atLeast"/>
          <w:jc w:val="center"/>
        </w:trPr>
        <w:tc>
          <w:tcPr>
            <w:tcW w:w="233" w:type="pct"/>
            <w:vMerge w:val="continue"/>
            <w:textDirection w:val="tbRlV"/>
            <w:vAlign w:val="center"/>
          </w:tcPr>
          <w:p w14:paraId="5788CBE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p>
        </w:tc>
        <w:tc>
          <w:tcPr>
            <w:tcW w:w="779" w:type="pct"/>
            <w:vMerge w:val="continue"/>
            <w:vAlign w:val="center"/>
          </w:tcPr>
          <w:p w14:paraId="4FE0FFA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p>
        </w:tc>
        <w:tc>
          <w:tcPr>
            <w:tcW w:w="802" w:type="pct"/>
            <w:vAlign w:val="center"/>
          </w:tcPr>
          <w:p w14:paraId="1E866AC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1.02</w:t>
            </w:r>
          </w:p>
        </w:tc>
        <w:tc>
          <w:tcPr>
            <w:tcW w:w="819" w:type="pct"/>
            <w:vAlign w:val="center"/>
          </w:tcPr>
          <w:p w14:paraId="19EE257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1.01</w:t>
            </w:r>
          </w:p>
        </w:tc>
        <w:tc>
          <w:tcPr>
            <w:tcW w:w="780" w:type="pct"/>
            <w:vAlign w:val="center"/>
          </w:tcPr>
          <w:p w14:paraId="26BA068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1.00</w:t>
            </w:r>
          </w:p>
        </w:tc>
        <w:tc>
          <w:tcPr>
            <w:tcW w:w="795" w:type="pct"/>
            <w:vAlign w:val="center"/>
          </w:tcPr>
          <w:p w14:paraId="7B55974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0.99</w:t>
            </w:r>
          </w:p>
        </w:tc>
        <w:tc>
          <w:tcPr>
            <w:tcW w:w="789" w:type="pct"/>
            <w:vAlign w:val="center"/>
          </w:tcPr>
          <w:p w14:paraId="4928979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0.98</w:t>
            </w:r>
          </w:p>
        </w:tc>
      </w:tr>
      <w:tr w14:paraId="2075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3" w:hRule="atLeast"/>
          <w:jc w:val="center"/>
        </w:trPr>
        <w:tc>
          <w:tcPr>
            <w:tcW w:w="233" w:type="pct"/>
            <w:vMerge w:val="continue"/>
            <w:textDirection w:val="tbRlV"/>
            <w:vAlign w:val="center"/>
          </w:tcPr>
          <w:p w14:paraId="2121D63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p>
        </w:tc>
        <w:tc>
          <w:tcPr>
            <w:tcW w:w="779" w:type="pct"/>
            <w:vMerge w:val="restart"/>
            <w:vAlign w:val="center"/>
          </w:tcPr>
          <w:p w14:paraId="5B1874A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工矿</w:t>
            </w:r>
            <w:r>
              <w:rPr>
                <w:rFonts w:hint="eastAsia" w:ascii="仿宋_GB2312" w:hAnsi="仿宋_GB2312" w:eastAsia="仿宋_GB2312" w:cs="仿宋_GB2312"/>
                <w:color w:val="auto"/>
                <w:sz w:val="20"/>
                <w:szCs w:val="20"/>
                <w:highlight w:val="none"/>
                <w:lang w:eastAsia="zh-CN"/>
              </w:rPr>
              <w:t>、</w:t>
            </w:r>
            <w:r>
              <w:rPr>
                <w:rFonts w:hint="eastAsia" w:ascii="仿宋_GB2312" w:hAnsi="仿宋_GB2312" w:eastAsia="仿宋_GB2312" w:cs="仿宋_GB2312"/>
                <w:color w:val="auto"/>
                <w:sz w:val="20"/>
                <w:szCs w:val="20"/>
                <w:highlight w:val="none"/>
              </w:rPr>
              <w:t>仓储用地</w:t>
            </w:r>
          </w:p>
        </w:tc>
        <w:tc>
          <w:tcPr>
            <w:tcW w:w="802" w:type="pct"/>
            <w:vAlign w:val="center"/>
          </w:tcPr>
          <w:p w14:paraId="2D6EDD3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lang w:val="zh-CN"/>
              </w:rPr>
            </w:pPr>
            <w:r>
              <w:rPr>
                <w:rFonts w:hint="eastAsia" w:ascii="仿宋_GB2312" w:hAnsi="仿宋_GB2312" w:eastAsia="仿宋_GB2312" w:cs="仿宋_GB2312"/>
                <w:color w:val="auto"/>
                <w:sz w:val="20"/>
                <w:szCs w:val="20"/>
                <w:highlight w:val="none"/>
                <w:lang w:val="zh-CN"/>
              </w:rPr>
              <w:t>≥9000</w:t>
            </w:r>
          </w:p>
        </w:tc>
        <w:tc>
          <w:tcPr>
            <w:tcW w:w="819" w:type="pct"/>
            <w:vAlign w:val="center"/>
          </w:tcPr>
          <w:p w14:paraId="5EA4A3F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lang w:val="zh-CN"/>
              </w:rPr>
            </w:pPr>
            <w:r>
              <w:rPr>
                <w:rFonts w:hint="eastAsia" w:ascii="仿宋_GB2312" w:hAnsi="仿宋_GB2312" w:eastAsia="仿宋_GB2312" w:cs="仿宋_GB2312"/>
                <w:color w:val="auto"/>
                <w:sz w:val="20"/>
                <w:szCs w:val="20"/>
                <w:highlight w:val="none"/>
                <w:lang w:val="zh-CN"/>
              </w:rPr>
              <w:t>[6000,9000)</w:t>
            </w:r>
          </w:p>
        </w:tc>
        <w:tc>
          <w:tcPr>
            <w:tcW w:w="780" w:type="pct"/>
            <w:vAlign w:val="center"/>
          </w:tcPr>
          <w:p w14:paraId="734F062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lang w:val="zh-CN"/>
              </w:rPr>
            </w:pPr>
            <w:r>
              <w:rPr>
                <w:rFonts w:hint="eastAsia" w:ascii="仿宋_GB2312" w:hAnsi="仿宋_GB2312" w:eastAsia="仿宋_GB2312" w:cs="仿宋_GB2312"/>
                <w:color w:val="auto"/>
                <w:sz w:val="20"/>
                <w:szCs w:val="20"/>
                <w:highlight w:val="none"/>
                <w:lang w:val="zh-CN"/>
              </w:rPr>
              <w:t>[4000,6000)</w:t>
            </w:r>
          </w:p>
        </w:tc>
        <w:tc>
          <w:tcPr>
            <w:tcW w:w="795" w:type="pct"/>
            <w:vAlign w:val="center"/>
          </w:tcPr>
          <w:p w14:paraId="2E31806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lang w:val="zh-CN"/>
              </w:rPr>
            </w:pPr>
            <w:r>
              <w:rPr>
                <w:rFonts w:hint="eastAsia" w:ascii="仿宋_GB2312" w:hAnsi="仿宋_GB2312" w:eastAsia="仿宋_GB2312" w:cs="仿宋_GB2312"/>
                <w:color w:val="auto"/>
                <w:sz w:val="20"/>
                <w:szCs w:val="20"/>
                <w:highlight w:val="none"/>
                <w:lang w:val="zh-CN"/>
              </w:rPr>
              <w:t>[2000,4000)</w:t>
            </w:r>
          </w:p>
        </w:tc>
        <w:tc>
          <w:tcPr>
            <w:tcW w:w="789" w:type="pct"/>
            <w:vAlign w:val="center"/>
          </w:tcPr>
          <w:p w14:paraId="14F698D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lang w:val="zh-CN"/>
              </w:rPr>
            </w:pPr>
            <w:r>
              <w:rPr>
                <w:rFonts w:hint="eastAsia" w:ascii="仿宋_GB2312" w:hAnsi="仿宋_GB2312" w:eastAsia="仿宋_GB2312" w:cs="仿宋_GB2312"/>
                <w:color w:val="auto"/>
                <w:sz w:val="20"/>
                <w:szCs w:val="20"/>
                <w:highlight w:val="none"/>
                <w:lang w:val="zh-CN"/>
              </w:rPr>
              <w:t>＜2000</w:t>
            </w:r>
          </w:p>
        </w:tc>
      </w:tr>
      <w:tr w14:paraId="202B1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1" w:hRule="atLeast"/>
          <w:jc w:val="center"/>
        </w:trPr>
        <w:tc>
          <w:tcPr>
            <w:tcW w:w="233" w:type="pct"/>
            <w:vMerge w:val="continue"/>
            <w:textDirection w:val="tbRlV"/>
            <w:vAlign w:val="center"/>
          </w:tcPr>
          <w:p w14:paraId="54B5967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p>
        </w:tc>
        <w:tc>
          <w:tcPr>
            <w:tcW w:w="779" w:type="pct"/>
            <w:vMerge w:val="continue"/>
            <w:vAlign w:val="center"/>
          </w:tcPr>
          <w:p w14:paraId="40FB751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p>
        </w:tc>
        <w:tc>
          <w:tcPr>
            <w:tcW w:w="802" w:type="pct"/>
            <w:vAlign w:val="center"/>
          </w:tcPr>
          <w:p w14:paraId="220F488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1.02</w:t>
            </w:r>
          </w:p>
        </w:tc>
        <w:tc>
          <w:tcPr>
            <w:tcW w:w="819" w:type="pct"/>
            <w:vAlign w:val="center"/>
          </w:tcPr>
          <w:p w14:paraId="1C90B7E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1.01</w:t>
            </w:r>
          </w:p>
        </w:tc>
        <w:tc>
          <w:tcPr>
            <w:tcW w:w="780" w:type="pct"/>
            <w:vAlign w:val="center"/>
          </w:tcPr>
          <w:p w14:paraId="54CE139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1.00</w:t>
            </w:r>
          </w:p>
        </w:tc>
        <w:tc>
          <w:tcPr>
            <w:tcW w:w="795" w:type="pct"/>
            <w:vAlign w:val="center"/>
          </w:tcPr>
          <w:p w14:paraId="53D78A8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0.99</w:t>
            </w:r>
          </w:p>
        </w:tc>
        <w:tc>
          <w:tcPr>
            <w:tcW w:w="789" w:type="pct"/>
            <w:vAlign w:val="center"/>
          </w:tcPr>
          <w:p w14:paraId="43B752B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0.98</w:t>
            </w:r>
          </w:p>
        </w:tc>
      </w:tr>
      <w:tr w14:paraId="00A03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9" w:hRule="atLeast"/>
          <w:jc w:val="center"/>
        </w:trPr>
        <w:tc>
          <w:tcPr>
            <w:tcW w:w="233" w:type="pct"/>
            <w:vMerge w:val="continue"/>
            <w:textDirection w:val="tbRlV"/>
            <w:vAlign w:val="center"/>
          </w:tcPr>
          <w:p w14:paraId="5250122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p>
        </w:tc>
        <w:tc>
          <w:tcPr>
            <w:tcW w:w="779" w:type="pct"/>
            <w:vMerge w:val="restart"/>
            <w:vAlign w:val="center"/>
          </w:tcPr>
          <w:p w14:paraId="2D89DB7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lang w:eastAsia="zh-CN"/>
              </w:rPr>
            </w:pPr>
            <w:r>
              <w:rPr>
                <w:rFonts w:hint="eastAsia" w:ascii="仿宋_GB2312" w:hAnsi="仿宋_GB2312" w:eastAsia="仿宋_GB2312" w:cs="仿宋_GB2312"/>
                <w:color w:val="auto"/>
                <w:sz w:val="20"/>
                <w:szCs w:val="20"/>
                <w:highlight w:val="none"/>
                <w:lang w:eastAsia="zh-CN"/>
              </w:rPr>
              <w:t>公共管理与公共服务用地</w:t>
            </w:r>
          </w:p>
        </w:tc>
        <w:tc>
          <w:tcPr>
            <w:tcW w:w="802" w:type="pct"/>
            <w:vAlign w:val="center"/>
          </w:tcPr>
          <w:p w14:paraId="413DA2F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lang w:val="zh-CN"/>
              </w:rPr>
              <w:t>≥</w:t>
            </w:r>
            <w:r>
              <w:rPr>
                <w:rFonts w:hint="eastAsia" w:ascii="仿宋_GB2312" w:hAnsi="仿宋_GB2312" w:eastAsia="仿宋_GB2312" w:cs="仿宋_GB2312"/>
                <w:color w:val="auto"/>
                <w:sz w:val="20"/>
                <w:szCs w:val="20"/>
                <w:highlight w:val="none"/>
              </w:rPr>
              <w:t>9000</w:t>
            </w:r>
          </w:p>
        </w:tc>
        <w:tc>
          <w:tcPr>
            <w:tcW w:w="819" w:type="pct"/>
            <w:vAlign w:val="center"/>
          </w:tcPr>
          <w:p w14:paraId="55634BF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[6000，9000</w:t>
            </w:r>
            <w:r>
              <w:rPr>
                <w:rFonts w:hint="eastAsia" w:ascii="仿宋_GB2312" w:hAnsi="仿宋_GB2312" w:eastAsia="仿宋_GB2312" w:cs="仿宋_GB2312"/>
                <w:color w:val="auto"/>
                <w:sz w:val="20"/>
                <w:szCs w:val="20"/>
                <w:highlight w:val="none"/>
                <w:lang w:val="en-US" w:eastAsia="zh-CN"/>
              </w:rPr>
              <w:t>)</w:t>
            </w:r>
          </w:p>
        </w:tc>
        <w:tc>
          <w:tcPr>
            <w:tcW w:w="780" w:type="pct"/>
            <w:vAlign w:val="center"/>
          </w:tcPr>
          <w:p w14:paraId="1DD53F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[3000，6000</w:t>
            </w:r>
            <w:r>
              <w:rPr>
                <w:rFonts w:hint="eastAsia" w:ascii="仿宋_GB2312" w:hAnsi="仿宋_GB2312" w:eastAsia="仿宋_GB2312" w:cs="仿宋_GB2312"/>
                <w:color w:val="auto"/>
                <w:sz w:val="20"/>
                <w:szCs w:val="20"/>
                <w:highlight w:val="none"/>
                <w:lang w:val="en-US" w:eastAsia="zh-CN"/>
              </w:rPr>
              <w:t>)</w:t>
            </w:r>
          </w:p>
        </w:tc>
        <w:tc>
          <w:tcPr>
            <w:tcW w:w="795" w:type="pct"/>
            <w:vAlign w:val="center"/>
          </w:tcPr>
          <w:p w14:paraId="1EF627B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[1000，3000</w:t>
            </w:r>
            <w:r>
              <w:rPr>
                <w:rFonts w:hint="eastAsia" w:ascii="仿宋_GB2312" w:hAnsi="仿宋_GB2312" w:eastAsia="仿宋_GB2312" w:cs="仿宋_GB2312"/>
                <w:color w:val="auto"/>
                <w:sz w:val="20"/>
                <w:szCs w:val="20"/>
                <w:highlight w:val="none"/>
                <w:lang w:val="en-US" w:eastAsia="zh-CN"/>
              </w:rPr>
              <w:t>)</w:t>
            </w:r>
          </w:p>
        </w:tc>
        <w:tc>
          <w:tcPr>
            <w:tcW w:w="789" w:type="pct"/>
            <w:vAlign w:val="center"/>
          </w:tcPr>
          <w:p w14:paraId="019FEC2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＜1000</w:t>
            </w:r>
          </w:p>
        </w:tc>
      </w:tr>
      <w:tr w14:paraId="1A529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5" w:hRule="atLeast"/>
          <w:jc w:val="center"/>
        </w:trPr>
        <w:tc>
          <w:tcPr>
            <w:tcW w:w="233" w:type="pct"/>
            <w:vMerge w:val="continue"/>
            <w:textDirection w:val="tbRlV"/>
            <w:vAlign w:val="center"/>
          </w:tcPr>
          <w:p w14:paraId="4FE7913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p>
        </w:tc>
        <w:tc>
          <w:tcPr>
            <w:tcW w:w="779" w:type="pct"/>
            <w:vMerge w:val="continue"/>
            <w:vAlign w:val="center"/>
          </w:tcPr>
          <w:p w14:paraId="6E32E1B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p>
        </w:tc>
        <w:tc>
          <w:tcPr>
            <w:tcW w:w="802" w:type="pct"/>
            <w:vAlign w:val="center"/>
          </w:tcPr>
          <w:p w14:paraId="6C934C3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1.04</w:t>
            </w:r>
          </w:p>
        </w:tc>
        <w:tc>
          <w:tcPr>
            <w:tcW w:w="819" w:type="pct"/>
            <w:vAlign w:val="center"/>
          </w:tcPr>
          <w:p w14:paraId="64DC96C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1.02</w:t>
            </w:r>
          </w:p>
        </w:tc>
        <w:tc>
          <w:tcPr>
            <w:tcW w:w="780" w:type="pct"/>
            <w:vAlign w:val="center"/>
          </w:tcPr>
          <w:p w14:paraId="425ACC8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1.00</w:t>
            </w:r>
          </w:p>
        </w:tc>
        <w:tc>
          <w:tcPr>
            <w:tcW w:w="795" w:type="pct"/>
            <w:vAlign w:val="center"/>
          </w:tcPr>
          <w:p w14:paraId="2774282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0.98</w:t>
            </w:r>
          </w:p>
        </w:tc>
        <w:tc>
          <w:tcPr>
            <w:tcW w:w="789" w:type="pct"/>
            <w:vAlign w:val="center"/>
          </w:tcPr>
          <w:p w14:paraId="2F18500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0.96</w:t>
            </w:r>
          </w:p>
        </w:tc>
      </w:tr>
      <w:tr w14:paraId="36589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9" w:hRule="atLeast"/>
          <w:jc w:val="center"/>
        </w:trPr>
        <w:tc>
          <w:tcPr>
            <w:tcW w:w="233" w:type="pct"/>
            <w:vMerge w:val="continue"/>
            <w:textDirection w:val="tbRlV"/>
            <w:vAlign w:val="center"/>
          </w:tcPr>
          <w:p w14:paraId="0BC343E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p>
        </w:tc>
        <w:tc>
          <w:tcPr>
            <w:tcW w:w="779" w:type="pct"/>
            <w:vMerge w:val="restart"/>
            <w:vAlign w:val="center"/>
          </w:tcPr>
          <w:p w14:paraId="035F5F3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lang w:val="en-US" w:eastAsia="zh-CN"/>
              </w:rPr>
            </w:pPr>
            <w:r>
              <w:rPr>
                <w:rFonts w:hint="eastAsia" w:ascii="仿宋_GB2312" w:hAnsi="仿宋_GB2312" w:eastAsia="仿宋_GB2312" w:cs="仿宋_GB2312"/>
                <w:color w:val="auto"/>
                <w:sz w:val="20"/>
                <w:szCs w:val="20"/>
                <w:highlight w:val="none"/>
                <w:lang w:val="en-US" w:eastAsia="zh-CN"/>
              </w:rPr>
              <w:t>公用设施用地</w:t>
            </w:r>
          </w:p>
        </w:tc>
        <w:tc>
          <w:tcPr>
            <w:tcW w:w="802" w:type="pct"/>
            <w:vAlign w:val="center"/>
          </w:tcPr>
          <w:p w14:paraId="35B0AD9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lang w:val="zh-CN"/>
              </w:rPr>
              <w:t>≥1200</w:t>
            </w:r>
          </w:p>
        </w:tc>
        <w:tc>
          <w:tcPr>
            <w:tcW w:w="819" w:type="pct"/>
            <w:vAlign w:val="center"/>
          </w:tcPr>
          <w:p w14:paraId="51A66A8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w:t>
            </w:r>
            <w:r>
              <w:rPr>
                <w:rFonts w:hint="eastAsia" w:ascii="仿宋_GB2312" w:hAnsi="仿宋_GB2312" w:eastAsia="仿宋_GB2312" w:cs="仿宋_GB2312"/>
                <w:color w:val="auto"/>
                <w:sz w:val="20"/>
                <w:szCs w:val="20"/>
                <w:highlight w:val="none"/>
                <w:lang w:val="zh-CN"/>
              </w:rPr>
              <w:t>800，1200</w:t>
            </w:r>
            <w:r>
              <w:rPr>
                <w:rFonts w:hint="eastAsia" w:ascii="仿宋_GB2312" w:hAnsi="仿宋_GB2312" w:eastAsia="仿宋_GB2312" w:cs="仿宋_GB2312"/>
                <w:color w:val="auto"/>
                <w:sz w:val="20"/>
                <w:szCs w:val="20"/>
                <w:highlight w:val="none"/>
                <w:lang w:val="en-US" w:eastAsia="zh-CN"/>
              </w:rPr>
              <w:t>)</w:t>
            </w:r>
          </w:p>
        </w:tc>
        <w:tc>
          <w:tcPr>
            <w:tcW w:w="780" w:type="pct"/>
            <w:vAlign w:val="center"/>
          </w:tcPr>
          <w:p w14:paraId="5A03C6A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w:t>
            </w:r>
            <w:r>
              <w:rPr>
                <w:rFonts w:hint="eastAsia" w:ascii="仿宋_GB2312" w:hAnsi="仿宋_GB2312" w:eastAsia="仿宋_GB2312" w:cs="仿宋_GB2312"/>
                <w:color w:val="auto"/>
                <w:sz w:val="20"/>
                <w:szCs w:val="20"/>
                <w:highlight w:val="none"/>
                <w:lang w:val="zh-CN"/>
              </w:rPr>
              <w:t>500，800</w:t>
            </w:r>
            <w:r>
              <w:rPr>
                <w:rFonts w:hint="eastAsia" w:ascii="仿宋_GB2312" w:hAnsi="仿宋_GB2312" w:eastAsia="仿宋_GB2312" w:cs="仿宋_GB2312"/>
                <w:color w:val="auto"/>
                <w:sz w:val="20"/>
                <w:szCs w:val="20"/>
                <w:highlight w:val="none"/>
                <w:lang w:val="en-US" w:eastAsia="zh-CN"/>
              </w:rPr>
              <w:t>)</w:t>
            </w:r>
          </w:p>
        </w:tc>
        <w:tc>
          <w:tcPr>
            <w:tcW w:w="795" w:type="pct"/>
            <w:vAlign w:val="center"/>
          </w:tcPr>
          <w:p w14:paraId="56F4FF2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w:t>
            </w:r>
            <w:r>
              <w:rPr>
                <w:rFonts w:hint="eastAsia" w:ascii="仿宋_GB2312" w:hAnsi="仿宋_GB2312" w:eastAsia="仿宋_GB2312" w:cs="仿宋_GB2312"/>
                <w:color w:val="auto"/>
                <w:sz w:val="20"/>
                <w:szCs w:val="20"/>
                <w:highlight w:val="none"/>
                <w:lang w:val="zh-CN"/>
              </w:rPr>
              <w:t>200，500</w:t>
            </w:r>
            <w:r>
              <w:rPr>
                <w:rFonts w:hint="eastAsia" w:ascii="仿宋_GB2312" w:hAnsi="仿宋_GB2312" w:eastAsia="仿宋_GB2312" w:cs="仿宋_GB2312"/>
                <w:color w:val="auto"/>
                <w:sz w:val="20"/>
                <w:szCs w:val="20"/>
                <w:highlight w:val="none"/>
                <w:lang w:val="en-US" w:eastAsia="zh-CN"/>
              </w:rPr>
              <w:t>)</w:t>
            </w:r>
          </w:p>
        </w:tc>
        <w:tc>
          <w:tcPr>
            <w:tcW w:w="789" w:type="pct"/>
            <w:vAlign w:val="center"/>
          </w:tcPr>
          <w:p w14:paraId="4E132E6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w:t>
            </w:r>
            <w:r>
              <w:rPr>
                <w:rFonts w:hint="eastAsia" w:ascii="仿宋_GB2312" w:hAnsi="仿宋_GB2312" w:eastAsia="仿宋_GB2312" w:cs="仿宋_GB2312"/>
                <w:color w:val="auto"/>
                <w:sz w:val="20"/>
                <w:szCs w:val="20"/>
                <w:highlight w:val="none"/>
                <w:lang w:val="zh-CN"/>
              </w:rPr>
              <w:t>200</w:t>
            </w:r>
          </w:p>
        </w:tc>
      </w:tr>
      <w:tr w14:paraId="5CAFE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1" w:hRule="atLeast"/>
          <w:jc w:val="center"/>
        </w:trPr>
        <w:tc>
          <w:tcPr>
            <w:tcW w:w="233" w:type="pct"/>
            <w:vMerge w:val="continue"/>
            <w:textDirection w:val="tbRlV"/>
            <w:vAlign w:val="center"/>
          </w:tcPr>
          <w:p w14:paraId="1C53433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p>
        </w:tc>
        <w:tc>
          <w:tcPr>
            <w:tcW w:w="779" w:type="pct"/>
            <w:vMerge w:val="continue"/>
            <w:vAlign w:val="center"/>
          </w:tcPr>
          <w:p w14:paraId="14B99FC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p>
        </w:tc>
        <w:tc>
          <w:tcPr>
            <w:tcW w:w="802" w:type="pct"/>
            <w:vAlign w:val="center"/>
          </w:tcPr>
          <w:p w14:paraId="00B7424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1.02</w:t>
            </w:r>
          </w:p>
        </w:tc>
        <w:tc>
          <w:tcPr>
            <w:tcW w:w="819" w:type="pct"/>
            <w:vAlign w:val="center"/>
          </w:tcPr>
          <w:p w14:paraId="0352657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1.01</w:t>
            </w:r>
          </w:p>
        </w:tc>
        <w:tc>
          <w:tcPr>
            <w:tcW w:w="780" w:type="pct"/>
            <w:vAlign w:val="center"/>
          </w:tcPr>
          <w:p w14:paraId="42A42D0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1.00</w:t>
            </w:r>
          </w:p>
        </w:tc>
        <w:tc>
          <w:tcPr>
            <w:tcW w:w="795" w:type="pct"/>
            <w:vAlign w:val="center"/>
          </w:tcPr>
          <w:p w14:paraId="568DA29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0.99</w:t>
            </w:r>
          </w:p>
        </w:tc>
        <w:tc>
          <w:tcPr>
            <w:tcW w:w="789" w:type="pct"/>
            <w:vAlign w:val="center"/>
          </w:tcPr>
          <w:p w14:paraId="52487C5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0.98</w:t>
            </w:r>
          </w:p>
        </w:tc>
      </w:tr>
    </w:tbl>
    <w:p w14:paraId="79510A8A">
      <w:pPr>
        <w:keepNext w:val="0"/>
        <w:keepLines w:val="0"/>
        <w:pageBreakBefore w:val="0"/>
        <w:widowControl w:val="0"/>
        <w:tabs>
          <w:tab w:val="right" w:pos="9298"/>
        </w:tabs>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sz w:val="28"/>
          <w:szCs w:val="28"/>
          <w:highlight w:val="none"/>
          <w:lang w:val="de-DE"/>
        </w:rPr>
      </w:pPr>
      <w:r>
        <w:rPr>
          <w:rFonts w:hint="eastAsia" w:ascii="仿宋_GB2312" w:hAnsi="仿宋_GB2312" w:eastAsia="仿宋_GB2312" w:cs="仿宋_GB2312"/>
          <w:sz w:val="28"/>
          <w:szCs w:val="28"/>
          <w:highlight w:val="none"/>
          <w:lang w:val="de-DE"/>
        </w:rPr>
        <w:t>9、宗地形状修正系数（Ka）的确定</w:t>
      </w:r>
    </w:p>
    <w:p w14:paraId="3DE40D2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bottom"/>
        <w:rPr>
          <w:rFonts w:hint="eastAsia" w:ascii="仿宋_GB2312" w:hAnsi="仿宋_GB2312" w:eastAsia="仿宋_GB2312" w:cs="仿宋_GB2312"/>
          <w:bCs/>
          <w:sz w:val="28"/>
          <w:szCs w:val="20"/>
          <w:highlight w:val="none"/>
        </w:rPr>
      </w:pPr>
      <w:r>
        <w:rPr>
          <w:rFonts w:hint="eastAsia" w:ascii="仿宋_GB2312" w:hAnsi="仿宋_GB2312" w:eastAsia="仿宋_GB2312" w:cs="仿宋_GB2312"/>
          <w:sz w:val="28"/>
          <w:szCs w:val="20"/>
          <w:highlight w:val="none"/>
        </w:rPr>
        <w:t>根据《国有土地使用证》（</w:t>
      </w:r>
      <w:r>
        <w:rPr>
          <w:rFonts w:hint="eastAsia" w:ascii="仿宋_GB2312" w:hAnsi="仿宋_GB2312" w:eastAsia="仿宋_GB2312" w:cs="仿宋_GB2312"/>
          <w:sz w:val="28"/>
          <w:szCs w:val="20"/>
          <w:highlight w:val="none"/>
          <w:lang w:eastAsia="zh-CN"/>
        </w:rPr>
        <w:t>通国用（2014）第000327号</w:t>
      </w:r>
      <w:r>
        <w:rPr>
          <w:rFonts w:hint="eastAsia" w:ascii="仿宋_GB2312" w:hAnsi="仿宋_GB2312" w:eastAsia="仿宋_GB2312" w:cs="仿宋_GB2312"/>
          <w:sz w:val="28"/>
          <w:szCs w:val="20"/>
          <w:highlight w:val="none"/>
        </w:rPr>
        <w:t>）</w:t>
      </w:r>
      <w:r>
        <w:rPr>
          <w:rFonts w:hint="eastAsia" w:ascii="仿宋_GB2312" w:hAnsi="仿宋_GB2312" w:eastAsia="仿宋_GB2312" w:cs="仿宋_GB2312"/>
          <w:sz w:val="28"/>
          <w:szCs w:val="20"/>
          <w:highlight w:val="none"/>
          <w:lang w:val="en-US" w:eastAsia="zh-CN"/>
        </w:rPr>
        <w:t>和现场勘查</w:t>
      </w:r>
      <w:r>
        <w:rPr>
          <w:rFonts w:hint="eastAsia" w:ascii="仿宋_GB2312" w:hAnsi="仿宋_GB2312" w:eastAsia="仿宋_GB2312" w:cs="仿宋_GB2312"/>
          <w:sz w:val="28"/>
          <w:szCs w:val="20"/>
          <w:highlight w:val="none"/>
        </w:rPr>
        <w:t>，估价对象形状</w:t>
      </w:r>
      <w:r>
        <w:rPr>
          <w:rFonts w:hint="eastAsia" w:ascii="仿宋_GB2312" w:hAnsi="仿宋_GB2312" w:eastAsia="仿宋_GB2312" w:cs="仿宋_GB2312"/>
          <w:sz w:val="28"/>
          <w:szCs w:val="20"/>
          <w:highlight w:val="none"/>
          <w:lang w:val="en-US" w:eastAsia="zh-CN"/>
        </w:rPr>
        <w:t>基本</w:t>
      </w:r>
      <w:r>
        <w:rPr>
          <w:rFonts w:hint="eastAsia" w:ascii="仿宋_GB2312" w:hAnsi="仿宋_GB2312" w:eastAsia="仿宋_GB2312" w:cs="仿宋_GB2312"/>
          <w:sz w:val="28"/>
          <w:szCs w:val="20"/>
          <w:highlight w:val="none"/>
        </w:rPr>
        <w:t>规则，</w:t>
      </w:r>
      <w:r>
        <w:rPr>
          <w:rFonts w:hint="eastAsia" w:ascii="仿宋_GB2312" w:hAnsi="仿宋_GB2312" w:eastAsia="仿宋_GB2312" w:cs="仿宋_GB2312"/>
          <w:sz w:val="28"/>
          <w:highlight w:val="none"/>
          <w:lang w:val="de-DE"/>
        </w:rPr>
        <w:t>根据</w:t>
      </w:r>
      <w:r>
        <w:rPr>
          <w:rFonts w:hint="eastAsia" w:ascii="仿宋_GB2312" w:hAnsi="仿宋_GB2312" w:eastAsia="仿宋_GB2312" w:cs="仿宋_GB2312"/>
          <w:bCs/>
          <w:sz w:val="28"/>
          <w:szCs w:val="20"/>
          <w:highlight w:val="none"/>
          <w:lang w:eastAsia="zh-CN"/>
        </w:rPr>
        <w:t>《</w:t>
      </w:r>
      <w:r>
        <w:rPr>
          <w:rFonts w:hint="eastAsia" w:ascii="仿宋_GB2312" w:hAnsi="仿宋_GB2312" w:eastAsia="仿宋_GB2312" w:cs="仿宋_GB2312"/>
          <w:bCs/>
          <w:sz w:val="28"/>
          <w:szCs w:val="20"/>
          <w:highlight w:val="none"/>
          <w:lang w:val="en-US" w:eastAsia="zh-CN"/>
        </w:rPr>
        <w:t>通道侗族自治县</w:t>
      </w:r>
      <w:r>
        <w:rPr>
          <w:rFonts w:hint="eastAsia" w:ascii="仿宋_GB2312" w:hAnsi="仿宋_GB2312" w:eastAsia="仿宋_GB2312" w:cs="仿宋_GB2312"/>
          <w:bCs/>
          <w:sz w:val="28"/>
          <w:szCs w:val="20"/>
          <w:highlight w:val="none"/>
          <w:lang w:eastAsia="zh-CN"/>
        </w:rPr>
        <w:t>城镇基准地价更新技术报告》（202</w:t>
      </w:r>
      <w:r>
        <w:rPr>
          <w:rFonts w:hint="eastAsia" w:ascii="仿宋_GB2312" w:hAnsi="仿宋_GB2312" w:eastAsia="仿宋_GB2312" w:cs="仿宋_GB2312"/>
          <w:bCs/>
          <w:sz w:val="28"/>
          <w:szCs w:val="20"/>
          <w:highlight w:val="none"/>
          <w:lang w:val="en-US" w:eastAsia="zh-CN"/>
        </w:rPr>
        <w:t>5</w:t>
      </w:r>
      <w:r>
        <w:rPr>
          <w:rFonts w:hint="eastAsia" w:ascii="仿宋_GB2312" w:hAnsi="仿宋_GB2312" w:eastAsia="仿宋_GB2312" w:cs="仿宋_GB2312"/>
          <w:bCs/>
          <w:sz w:val="28"/>
          <w:szCs w:val="20"/>
          <w:highlight w:val="none"/>
          <w:lang w:eastAsia="zh-CN"/>
        </w:rPr>
        <w:t>年</w:t>
      </w:r>
      <w:r>
        <w:rPr>
          <w:rFonts w:hint="eastAsia" w:ascii="仿宋_GB2312" w:hAnsi="仿宋_GB2312" w:eastAsia="仿宋_GB2312" w:cs="仿宋_GB2312"/>
          <w:bCs/>
          <w:sz w:val="28"/>
          <w:szCs w:val="20"/>
          <w:highlight w:val="none"/>
          <w:lang w:val="en-US" w:eastAsia="zh-CN"/>
        </w:rPr>
        <w:t>11</w:t>
      </w:r>
      <w:r>
        <w:rPr>
          <w:rFonts w:hint="eastAsia" w:ascii="仿宋_GB2312" w:hAnsi="仿宋_GB2312" w:eastAsia="仿宋_GB2312" w:cs="仿宋_GB2312"/>
          <w:bCs/>
          <w:sz w:val="28"/>
          <w:szCs w:val="20"/>
          <w:highlight w:val="none"/>
          <w:lang w:eastAsia="zh-CN"/>
        </w:rPr>
        <w:t>月），</w:t>
      </w:r>
      <w:r>
        <w:rPr>
          <w:rFonts w:hint="eastAsia" w:ascii="仿宋_GB2312" w:hAnsi="仿宋_GB2312" w:eastAsia="仿宋_GB2312" w:cs="仿宋_GB2312"/>
          <w:sz w:val="28"/>
          <w:highlight w:val="none"/>
          <w:lang w:val="de-DE"/>
        </w:rPr>
        <w:t>查《宗地形状修正系数表》，得宗地形状修正系数：Ka</w:t>
      </w:r>
      <w:r>
        <w:rPr>
          <w:rFonts w:hint="eastAsia" w:ascii="仿宋_GB2312" w:hAnsi="仿宋_GB2312" w:eastAsia="仿宋_GB2312" w:cs="仿宋_GB2312"/>
          <w:sz w:val="28"/>
          <w:highlight w:val="none"/>
          <w:lang w:val="en-US" w:eastAsia="zh-CN"/>
        </w:rPr>
        <w:t>商</w:t>
      </w:r>
      <w:r>
        <w:rPr>
          <w:rFonts w:hint="eastAsia" w:ascii="仿宋_GB2312" w:hAnsi="仿宋_GB2312" w:eastAsia="仿宋_GB2312" w:cs="仿宋_GB2312"/>
          <w:sz w:val="28"/>
          <w:highlight w:val="none"/>
          <w:lang w:val="de-DE"/>
        </w:rPr>
        <w:t>=1.0</w:t>
      </w:r>
      <w:r>
        <w:rPr>
          <w:rFonts w:hint="eastAsia" w:ascii="仿宋_GB2312" w:hAnsi="仿宋_GB2312" w:eastAsia="仿宋_GB2312" w:cs="仿宋_GB2312"/>
          <w:sz w:val="28"/>
          <w:highlight w:val="none"/>
          <w:lang w:val="de-DE" w:eastAsia="zh-CN"/>
        </w:rPr>
        <w:t>、</w:t>
      </w:r>
      <w:r>
        <w:rPr>
          <w:rFonts w:hint="eastAsia" w:ascii="仿宋_GB2312" w:hAnsi="仿宋_GB2312" w:eastAsia="仿宋_GB2312" w:cs="仿宋_GB2312"/>
          <w:sz w:val="28"/>
          <w:highlight w:val="none"/>
          <w:lang w:val="de-DE"/>
        </w:rPr>
        <w:t>Ka</w:t>
      </w:r>
      <w:r>
        <w:rPr>
          <w:rFonts w:hint="eastAsia" w:ascii="仿宋_GB2312" w:hAnsi="仿宋_GB2312" w:eastAsia="仿宋_GB2312" w:cs="仿宋_GB2312"/>
          <w:sz w:val="28"/>
          <w:highlight w:val="none"/>
          <w:lang w:val="en-US" w:eastAsia="zh-CN"/>
        </w:rPr>
        <w:t>住</w:t>
      </w:r>
      <w:r>
        <w:rPr>
          <w:rFonts w:hint="eastAsia" w:ascii="仿宋_GB2312" w:hAnsi="仿宋_GB2312" w:eastAsia="仿宋_GB2312" w:cs="仿宋_GB2312"/>
          <w:sz w:val="28"/>
          <w:highlight w:val="none"/>
          <w:lang w:val="de-DE"/>
        </w:rPr>
        <w:t>=1.0。</w:t>
      </w:r>
    </w:p>
    <w:p w14:paraId="4D7B9E0F">
      <w:pPr>
        <w:keepNext w:val="0"/>
        <w:keepLines w:val="0"/>
        <w:pageBreakBefore w:val="0"/>
        <w:widowControl w:val="0"/>
        <w:kinsoku/>
        <w:wordWrap/>
        <w:overflowPunct/>
        <w:topLinePunct w:val="0"/>
        <w:autoSpaceDE/>
        <w:autoSpaceDN/>
        <w:bidi w:val="0"/>
        <w:spacing w:line="480" w:lineRule="exact"/>
        <w:ind w:firstLine="280" w:firstLineChars="100"/>
        <w:jc w:val="center"/>
        <w:textAlignment w:val="auto"/>
        <w:rPr>
          <w:rFonts w:hint="eastAsia" w:ascii="仿宋_GB2312" w:hAnsi="仿宋_GB2312" w:eastAsia="仿宋_GB2312" w:cs="仿宋_GB2312"/>
          <w:sz w:val="28"/>
          <w:szCs w:val="20"/>
          <w:highlight w:val="none"/>
        </w:rPr>
      </w:pPr>
      <w:r>
        <w:rPr>
          <w:rFonts w:hint="eastAsia" w:ascii="仿宋_GB2312" w:hAnsi="仿宋_GB2312" w:eastAsia="仿宋_GB2312" w:cs="仿宋_GB2312"/>
          <w:sz w:val="28"/>
          <w:szCs w:val="20"/>
          <w:highlight w:val="none"/>
        </w:rPr>
        <w:t>表3-</w:t>
      </w:r>
      <w:r>
        <w:rPr>
          <w:rFonts w:hint="eastAsia" w:ascii="仿宋_GB2312" w:hAnsi="仿宋_GB2312" w:eastAsia="仿宋_GB2312" w:cs="仿宋_GB2312"/>
          <w:sz w:val="28"/>
          <w:szCs w:val="20"/>
          <w:highlight w:val="none"/>
          <w:lang w:val="en-US" w:eastAsia="zh-CN"/>
        </w:rPr>
        <w:t>10</w:t>
      </w:r>
      <w:r>
        <w:rPr>
          <w:rFonts w:hint="eastAsia" w:ascii="仿宋_GB2312" w:hAnsi="仿宋_GB2312" w:eastAsia="仿宋_GB2312" w:cs="仿宋_GB2312"/>
          <w:sz w:val="28"/>
          <w:szCs w:val="20"/>
          <w:highlight w:val="none"/>
        </w:rPr>
        <w:t xml:space="preserve"> 宗地形状修正系数表</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6"/>
        <w:gridCol w:w="1376"/>
        <w:gridCol w:w="1377"/>
        <w:gridCol w:w="1268"/>
        <w:gridCol w:w="1483"/>
        <w:gridCol w:w="1339"/>
      </w:tblGrid>
      <w:tr w14:paraId="74F33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blHeader/>
          <w:jc w:val="center"/>
        </w:trPr>
        <w:tc>
          <w:tcPr>
            <w:tcW w:w="983" w:type="pct"/>
            <w:noWrap w:val="0"/>
            <w:vAlign w:val="center"/>
          </w:tcPr>
          <w:p w14:paraId="63C7E1C4">
            <w:pPr>
              <w:pStyle w:val="10"/>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指标标准</w:t>
            </w:r>
          </w:p>
        </w:tc>
        <w:tc>
          <w:tcPr>
            <w:tcW w:w="807" w:type="pct"/>
            <w:noWrap w:val="0"/>
            <w:vAlign w:val="center"/>
          </w:tcPr>
          <w:p w14:paraId="19AE2AFE">
            <w:pPr>
              <w:pStyle w:val="10"/>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优</w:t>
            </w:r>
          </w:p>
        </w:tc>
        <w:tc>
          <w:tcPr>
            <w:tcW w:w="808" w:type="pct"/>
            <w:noWrap w:val="0"/>
            <w:vAlign w:val="center"/>
          </w:tcPr>
          <w:p w14:paraId="33E6F2DC">
            <w:pPr>
              <w:pStyle w:val="10"/>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较优</w:t>
            </w:r>
          </w:p>
        </w:tc>
        <w:tc>
          <w:tcPr>
            <w:tcW w:w="744" w:type="pct"/>
            <w:noWrap w:val="0"/>
            <w:vAlign w:val="center"/>
          </w:tcPr>
          <w:p w14:paraId="42C81107">
            <w:pPr>
              <w:pStyle w:val="10"/>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一般</w:t>
            </w:r>
          </w:p>
        </w:tc>
        <w:tc>
          <w:tcPr>
            <w:tcW w:w="870" w:type="pct"/>
            <w:noWrap w:val="0"/>
            <w:vAlign w:val="center"/>
          </w:tcPr>
          <w:p w14:paraId="09CB0F4B">
            <w:pPr>
              <w:pStyle w:val="10"/>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较劣</w:t>
            </w:r>
          </w:p>
        </w:tc>
        <w:tc>
          <w:tcPr>
            <w:tcW w:w="785" w:type="pct"/>
            <w:noWrap w:val="0"/>
            <w:vAlign w:val="center"/>
          </w:tcPr>
          <w:p w14:paraId="56812BA8">
            <w:pPr>
              <w:pStyle w:val="10"/>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劣</w:t>
            </w:r>
          </w:p>
        </w:tc>
      </w:tr>
      <w:tr w14:paraId="568CD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983" w:type="pct"/>
            <w:noWrap w:val="0"/>
            <w:vAlign w:val="center"/>
          </w:tcPr>
          <w:p w14:paraId="53BDBD3A">
            <w:pPr>
              <w:pStyle w:val="10"/>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指标说明</w:t>
            </w:r>
          </w:p>
        </w:tc>
        <w:tc>
          <w:tcPr>
            <w:tcW w:w="807" w:type="pct"/>
            <w:noWrap w:val="0"/>
            <w:vAlign w:val="center"/>
          </w:tcPr>
          <w:p w14:paraId="5F072657">
            <w:pPr>
              <w:pStyle w:val="10"/>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长方形或正方形</w:t>
            </w:r>
          </w:p>
        </w:tc>
        <w:tc>
          <w:tcPr>
            <w:tcW w:w="808" w:type="pct"/>
            <w:noWrap w:val="0"/>
            <w:vAlign w:val="center"/>
          </w:tcPr>
          <w:p w14:paraId="53C8D6BA">
            <w:pPr>
              <w:pStyle w:val="10"/>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规则，有利于宗地利用</w:t>
            </w:r>
          </w:p>
        </w:tc>
        <w:tc>
          <w:tcPr>
            <w:tcW w:w="744" w:type="pct"/>
            <w:noWrap w:val="0"/>
            <w:vAlign w:val="center"/>
          </w:tcPr>
          <w:p w14:paraId="0E29732C">
            <w:pPr>
              <w:pStyle w:val="10"/>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基本规则，不影响宗地利用</w:t>
            </w:r>
          </w:p>
        </w:tc>
        <w:tc>
          <w:tcPr>
            <w:tcW w:w="870" w:type="pct"/>
            <w:noWrap w:val="0"/>
            <w:vAlign w:val="center"/>
          </w:tcPr>
          <w:p w14:paraId="1FAE54F3">
            <w:pPr>
              <w:pStyle w:val="10"/>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不规则，对利用有一定影响</w:t>
            </w:r>
          </w:p>
        </w:tc>
        <w:tc>
          <w:tcPr>
            <w:tcW w:w="785" w:type="pct"/>
            <w:noWrap w:val="0"/>
            <w:vAlign w:val="center"/>
          </w:tcPr>
          <w:p w14:paraId="2B1ADFD5">
            <w:pPr>
              <w:pStyle w:val="10"/>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不规则，对利用有严重影响</w:t>
            </w:r>
          </w:p>
        </w:tc>
      </w:tr>
      <w:tr w14:paraId="66EC8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jc w:val="center"/>
        </w:trPr>
        <w:tc>
          <w:tcPr>
            <w:tcW w:w="983" w:type="pct"/>
            <w:noWrap w:val="0"/>
            <w:vAlign w:val="center"/>
          </w:tcPr>
          <w:p w14:paraId="7BAC630A">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lang w:eastAsia="zh-CN"/>
              </w:rPr>
            </w:pPr>
            <w:r>
              <w:rPr>
                <w:rFonts w:hint="eastAsia" w:ascii="仿宋_GB2312" w:hAnsi="仿宋_GB2312" w:eastAsia="仿宋_GB2312" w:cs="仿宋_GB2312"/>
                <w:color w:val="auto"/>
                <w:sz w:val="20"/>
                <w:szCs w:val="20"/>
                <w:highlight w:val="none"/>
                <w:lang w:eastAsia="zh-CN"/>
              </w:rPr>
              <w:t>商业服务业用地</w:t>
            </w:r>
          </w:p>
        </w:tc>
        <w:tc>
          <w:tcPr>
            <w:tcW w:w="807" w:type="pct"/>
            <w:noWrap w:val="0"/>
            <w:vAlign w:val="center"/>
          </w:tcPr>
          <w:p w14:paraId="4F74D825">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kern w:val="0"/>
                <w:sz w:val="20"/>
                <w:szCs w:val="20"/>
                <w:highlight w:val="none"/>
              </w:rPr>
            </w:pPr>
            <w:r>
              <w:rPr>
                <w:rFonts w:hint="eastAsia" w:ascii="仿宋_GB2312" w:hAnsi="仿宋_GB2312" w:eastAsia="仿宋_GB2312" w:cs="仿宋_GB2312"/>
                <w:color w:val="auto"/>
                <w:sz w:val="20"/>
                <w:szCs w:val="20"/>
                <w:highlight w:val="none"/>
              </w:rPr>
              <w:t>1.02</w:t>
            </w:r>
          </w:p>
        </w:tc>
        <w:tc>
          <w:tcPr>
            <w:tcW w:w="808" w:type="pct"/>
            <w:noWrap w:val="0"/>
            <w:vAlign w:val="center"/>
          </w:tcPr>
          <w:p w14:paraId="21680A88">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1.01</w:t>
            </w:r>
          </w:p>
        </w:tc>
        <w:tc>
          <w:tcPr>
            <w:tcW w:w="744" w:type="pct"/>
            <w:noWrap w:val="0"/>
            <w:vAlign w:val="center"/>
          </w:tcPr>
          <w:p w14:paraId="211F04B9">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1.00</w:t>
            </w:r>
          </w:p>
        </w:tc>
        <w:tc>
          <w:tcPr>
            <w:tcW w:w="870" w:type="pct"/>
            <w:noWrap w:val="0"/>
            <w:vAlign w:val="center"/>
          </w:tcPr>
          <w:p w14:paraId="5AF0738D">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0.99</w:t>
            </w:r>
          </w:p>
        </w:tc>
        <w:tc>
          <w:tcPr>
            <w:tcW w:w="785" w:type="pct"/>
            <w:noWrap w:val="0"/>
            <w:vAlign w:val="center"/>
          </w:tcPr>
          <w:p w14:paraId="1D7CAB89">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0.98</w:t>
            </w:r>
          </w:p>
        </w:tc>
      </w:tr>
      <w:tr w14:paraId="701BC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jc w:val="center"/>
        </w:trPr>
        <w:tc>
          <w:tcPr>
            <w:tcW w:w="983" w:type="pct"/>
            <w:noWrap w:val="0"/>
            <w:vAlign w:val="center"/>
          </w:tcPr>
          <w:p w14:paraId="7B5A801E">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lang w:eastAsia="zh-CN"/>
              </w:rPr>
            </w:pPr>
            <w:r>
              <w:rPr>
                <w:rFonts w:hint="eastAsia" w:ascii="仿宋_GB2312" w:hAnsi="仿宋_GB2312" w:eastAsia="仿宋_GB2312" w:cs="仿宋_GB2312"/>
                <w:color w:val="auto"/>
                <w:sz w:val="20"/>
                <w:szCs w:val="20"/>
                <w:highlight w:val="none"/>
                <w:lang w:eastAsia="zh-CN"/>
              </w:rPr>
              <w:t>居住用地</w:t>
            </w:r>
          </w:p>
        </w:tc>
        <w:tc>
          <w:tcPr>
            <w:tcW w:w="807" w:type="pct"/>
            <w:noWrap w:val="0"/>
            <w:vAlign w:val="center"/>
          </w:tcPr>
          <w:p w14:paraId="3265A32A">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1.03</w:t>
            </w:r>
          </w:p>
        </w:tc>
        <w:tc>
          <w:tcPr>
            <w:tcW w:w="808" w:type="pct"/>
            <w:noWrap w:val="0"/>
            <w:vAlign w:val="center"/>
          </w:tcPr>
          <w:p w14:paraId="0A703452">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1.02</w:t>
            </w:r>
          </w:p>
        </w:tc>
        <w:tc>
          <w:tcPr>
            <w:tcW w:w="744" w:type="pct"/>
            <w:noWrap w:val="0"/>
            <w:vAlign w:val="center"/>
          </w:tcPr>
          <w:p w14:paraId="7E1D47C1">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1.00</w:t>
            </w:r>
          </w:p>
        </w:tc>
        <w:tc>
          <w:tcPr>
            <w:tcW w:w="870" w:type="pct"/>
            <w:noWrap w:val="0"/>
            <w:vAlign w:val="center"/>
          </w:tcPr>
          <w:p w14:paraId="30E60F56">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0.98</w:t>
            </w:r>
          </w:p>
        </w:tc>
        <w:tc>
          <w:tcPr>
            <w:tcW w:w="785" w:type="pct"/>
            <w:noWrap w:val="0"/>
            <w:vAlign w:val="center"/>
          </w:tcPr>
          <w:p w14:paraId="5B689FCE">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0.97</w:t>
            </w:r>
          </w:p>
        </w:tc>
      </w:tr>
      <w:tr w14:paraId="16A22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jc w:val="center"/>
        </w:trPr>
        <w:tc>
          <w:tcPr>
            <w:tcW w:w="983" w:type="pct"/>
            <w:noWrap w:val="0"/>
            <w:vAlign w:val="center"/>
          </w:tcPr>
          <w:p w14:paraId="7CC721DD">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工矿</w:t>
            </w:r>
            <w:r>
              <w:rPr>
                <w:rFonts w:hint="eastAsia" w:ascii="仿宋_GB2312" w:hAnsi="仿宋_GB2312" w:eastAsia="仿宋_GB2312" w:cs="仿宋_GB2312"/>
                <w:color w:val="auto"/>
                <w:sz w:val="20"/>
                <w:szCs w:val="20"/>
                <w:highlight w:val="none"/>
                <w:lang w:eastAsia="zh-CN"/>
              </w:rPr>
              <w:t>、</w:t>
            </w:r>
            <w:r>
              <w:rPr>
                <w:rFonts w:hint="eastAsia" w:ascii="仿宋_GB2312" w:hAnsi="仿宋_GB2312" w:eastAsia="仿宋_GB2312" w:cs="仿宋_GB2312"/>
                <w:color w:val="auto"/>
                <w:sz w:val="20"/>
                <w:szCs w:val="20"/>
                <w:highlight w:val="none"/>
              </w:rPr>
              <w:t>仓储用地</w:t>
            </w:r>
          </w:p>
        </w:tc>
        <w:tc>
          <w:tcPr>
            <w:tcW w:w="807" w:type="pct"/>
            <w:noWrap w:val="0"/>
            <w:vAlign w:val="center"/>
          </w:tcPr>
          <w:p w14:paraId="0AC3288D">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1.03</w:t>
            </w:r>
          </w:p>
        </w:tc>
        <w:tc>
          <w:tcPr>
            <w:tcW w:w="808" w:type="pct"/>
            <w:noWrap w:val="0"/>
            <w:vAlign w:val="center"/>
          </w:tcPr>
          <w:p w14:paraId="59EADCA1">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1.02</w:t>
            </w:r>
          </w:p>
        </w:tc>
        <w:tc>
          <w:tcPr>
            <w:tcW w:w="744" w:type="pct"/>
            <w:noWrap w:val="0"/>
            <w:vAlign w:val="center"/>
          </w:tcPr>
          <w:p w14:paraId="6A1380E7">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1.00</w:t>
            </w:r>
          </w:p>
        </w:tc>
        <w:tc>
          <w:tcPr>
            <w:tcW w:w="870" w:type="pct"/>
            <w:noWrap w:val="0"/>
            <w:vAlign w:val="center"/>
          </w:tcPr>
          <w:p w14:paraId="0BA4AF74">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0.98</w:t>
            </w:r>
          </w:p>
        </w:tc>
        <w:tc>
          <w:tcPr>
            <w:tcW w:w="785" w:type="pct"/>
            <w:noWrap w:val="0"/>
            <w:vAlign w:val="center"/>
          </w:tcPr>
          <w:p w14:paraId="3E24BF23">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0.97</w:t>
            </w:r>
          </w:p>
        </w:tc>
      </w:tr>
      <w:tr w14:paraId="57E30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983" w:type="pct"/>
            <w:noWrap w:val="0"/>
            <w:vAlign w:val="center"/>
          </w:tcPr>
          <w:p w14:paraId="6551D548">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lang w:eastAsia="zh-CN"/>
              </w:rPr>
            </w:pPr>
            <w:r>
              <w:rPr>
                <w:rFonts w:hint="eastAsia" w:ascii="仿宋_GB2312" w:hAnsi="仿宋_GB2312" w:eastAsia="仿宋_GB2312" w:cs="仿宋_GB2312"/>
                <w:color w:val="auto"/>
                <w:sz w:val="20"/>
                <w:szCs w:val="20"/>
                <w:highlight w:val="none"/>
                <w:lang w:eastAsia="zh-CN"/>
              </w:rPr>
              <w:t>公共管理与公共服务用地</w:t>
            </w:r>
          </w:p>
        </w:tc>
        <w:tc>
          <w:tcPr>
            <w:tcW w:w="807" w:type="pct"/>
            <w:noWrap w:val="0"/>
            <w:vAlign w:val="center"/>
          </w:tcPr>
          <w:p w14:paraId="0596E8D7">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1.03</w:t>
            </w:r>
          </w:p>
        </w:tc>
        <w:tc>
          <w:tcPr>
            <w:tcW w:w="808" w:type="pct"/>
            <w:noWrap w:val="0"/>
            <w:vAlign w:val="center"/>
          </w:tcPr>
          <w:p w14:paraId="5377900F">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1.02</w:t>
            </w:r>
          </w:p>
        </w:tc>
        <w:tc>
          <w:tcPr>
            <w:tcW w:w="744" w:type="pct"/>
            <w:noWrap w:val="0"/>
            <w:vAlign w:val="center"/>
          </w:tcPr>
          <w:p w14:paraId="566809F7">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1.00</w:t>
            </w:r>
          </w:p>
        </w:tc>
        <w:tc>
          <w:tcPr>
            <w:tcW w:w="870" w:type="pct"/>
            <w:noWrap w:val="0"/>
            <w:vAlign w:val="center"/>
          </w:tcPr>
          <w:p w14:paraId="2CCE55C1">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0.98</w:t>
            </w:r>
          </w:p>
        </w:tc>
        <w:tc>
          <w:tcPr>
            <w:tcW w:w="785" w:type="pct"/>
            <w:noWrap w:val="0"/>
            <w:vAlign w:val="center"/>
          </w:tcPr>
          <w:p w14:paraId="4C788907">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0.97</w:t>
            </w:r>
          </w:p>
        </w:tc>
      </w:tr>
      <w:tr w14:paraId="41CDB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983" w:type="pct"/>
            <w:noWrap w:val="0"/>
            <w:vAlign w:val="center"/>
          </w:tcPr>
          <w:p w14:paraId="42A70A38">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lang w:eastAsia="zh-CN"/>
              </w:rPr>
            </w:pPr>
            <w:r>
              <w:rPr>
                <w:rFonts w:hint="eastAsia" w:ascii="仿宋_GB2312" w:hAnsi="仿宋_GB2312" w:eastAsia="仿宋_GB2312" w:cs="仿宋_GB2312"/>
                <w:color w:val="auto"/>
                <w:sz w:val="20"/>
                <w:szCs w:val="20"/>
                <w:highlight w:val="none"/>
                <w:lang w:val="en-US" w:eastAsia="zh-CN"/>
              </w:rPr>
              <w:t>公用设施用地</w:t>
            </w:r>
          </w:p>
        </w:tc>
        <w:tc>
          <w:tcPr>
            <w:tcW w:w="807" w:type="pct"/>
            <w:noWrap w:val="0"/>
            <w:vAlign w:val="center"/>
          </w:tcPr>
          <w:p w14:paraId="45F9EAFA">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1.02</w:t>
            </w:r>
          </w:p>
        </w:tc>
        <w:tc>
          <w:tcPr>
            <w:tcW w:w="808" w:type="pct"/>
            <w:noWrap w:val="0"/>
            <w:vAlign w:val="center"/>
          </w:tcPr>
          <w:p w14:paraId="7F820EBE">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1.01</w:t>
            </w:r>
          </w:p>
        </w:tc>
        <w:tc>
          <w:tcPr>
            <w:tcW w:w="744" w:type="pct"/>
            <w:noWrap w:val="0"/>
            <w:vAlign w:val="center"/>
          </w:tcPr>
          <w:p w14:paraId="0257DD3B">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1.00</w:t>
            </w:r>
          </w:p>
        </w:tc>
        <w:tc>
          <w:tcPr>
            <w:tcW w:w="870" w:type="pct"/>
            <w:noWrap w:val="0"/>
            <w:vAlign w:val="center"/>
          </w:tcPr>
          <w:p w14:paraId="182E17F0">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0.99</w:t>
            </w:r>
          </w:p>
        </w:tc>
        <w:tc>
          <w:tcPr>
            <w:tcW w:w="785" w:type="pct"/>
            <w:noWrap w:val="0"/>
            <w:vAlign w:val="center"/>
          </w:tcPr>
          <w:p w14:paraId="3BACC56F">
            <w:pPr>
              <w:keepNext w:val="0"/>
              <w:keepLines w:val="0"/>
              <w:pageBreakBefore w:val="0"/>
              <w:widowControl/>
              <w:kinsoku w:val="0"/>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0.98</w:t>
            </w:r>
          </w:p>
        </w:tc>
      </w:tr>
    </w:tbl>
    <w:p w14:paraId="4B27D701">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sz w:val="28"/>
          <w:szCs w:val="28"/>
          <w:highlight w:val="none"/>
          <w:lang w:val="de-DE"/>
        </w:rPr>
      </w:pPr>
      <w:r>
        <w:rPr>
          <w:rFonts w:hint="eastAsia" w:ascii="仿宋_GB2312" w:hAnsi="仿宋_GB2312" w:eastAsia="仿宋_GB2312" w:cs="仿宋_GB2312"/>
          <w:sz w:val="28"/>
          <w:szCs w:val="28"/>
          <w:highlight w:val="none"/>
          <w:lang w:val="en-US" w:eastAsia="zh-CN"/>
        </w:rPr>
        <w:t>10、景观</w:t>
      </w:r>
      <w:r>
        <w:rPr>
          <w:rFonts w:hint="eastAsia" w:ascii="仿宋_GB2312" w:hAnsi="仿宋_GB2312" w:eastAsia="仿宋_GB2312" w:cs="仿宋_GB2312"/>
          <w:sz w:val="28"/>
          <w:szCs w:val="28"/>
          <w:highlight w:val="none"/>
          <w:lang w:val="de-DE"/>
        </w:rPr>
        <w:t>环境修正系数（Ke）的确定</w:t>
      </w:r>
    </w:p>
    <w:p w14:paraId="68936E11">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bCs/>
          <w:sz w:val="28"/>
          <w:szCs w:val="20"/>
          <w:highlight w:val="none"/>
        </w:rPr>
        <w:t>随着</w:t>
      </w:r>
      <w:r>
        <w:rPr>
          <w:rFonts w:hint="eastAsia" w:ascii="仿宋_GB2312" w:hAnsi="仿宋_GB2312" w:eastAsia="仿宋_GB2312" w:cs="仿宋_GB2312"/>
          <w:bCs/>
          <w:sz w:val="28"/>
          <w:szCs w:val="20"/>
          <w:highlight w:val="none"/>
          <w:lang w:eastAsia="zh-CN"/>
        </w:rPr>
        <w:t>通道县</w:t>
      </w:r>
      <w:r>
        <w:rPr>
          <w:rFonts w:hint="eastAsia" w:ascii="仿宋_GB2312" w:hAnsi="仿宋_GB2312" w:eastAsia="仿宋_GB2312" w:cs="仿宋_GB2312"/>
          <w:bCs/>
          <w:sz w:val="28"/>
          <w:szCs w:val="20"/>
          <w:highlight w:val="none"/>
        </w:rPr>
        <w:t>城区建设的推进，城区环境的日益优化，住宅用地受景观环境的影响也越来越大，景观环境修正系数见下表。</w:t>
      </w:r>
      <w:r>
        <w:rPr>
          <w:rFonts w:hint="eastAsia" w:ascii="仿宋_GB2312" w:hAnsi="仿宋_GB2312" w:eastAsia="仿宋_GB2312" w:cs="仿宋_GB2312"/>
          <w:bCs/>
          <w:sz w:val="28"/>
          <w:highlight w:val="none"/>
        </w:rPr>
        <w:t>宗地</w:t>
      </w:r>
      <w:r>
        <w:rPr>
          <w:rFonts w:hint="eastAsia" w:ascii="仿宋_GB2312" w:hAnsi="仿宋_GB2312" w:eastAsia="仿宋_GB2312" w:cs="仿宋_GB2312"/>
          <w:bCs/>
          <w:sz w:val="28"/>
          <w:highlight w:val="none"/>
          <w:lang w:val="en-US" w:eastAsia="zh-CN"/>
        </w:rPr>
        <w:t>临近双江河，有地物阻隔，自然景观较好</w:t>
      </w:r>
      <w:r>
        <w:rPr>
          <w:rFonts w:hint="eastAsia" w:ascii="仿宋_GB2312" w:hAnsi="仿宋_GB2312" w:eastAsia="仿宋_GB2312" w:cs="仿宋_GB2312"/>
          <w:bCs/>
          <w:sz w:val="28"/>
          <w:highlight w:val="none"/>
          <w:lang w:eastAsia="zh-CN"/>
        </w:rPr>
        <w:t>，</w:t>
      </w:r>
      <w:r>
        <w:rPr>
          <w:rFonts w:hint="eastAsia" w:ascii="仿宋_GB2312" w:hAnsi="仿宋_GB2312" w:eastAsia="仿宋_GB2312" w:cs="仿宋_GB2312"/>
          <w:bCs/>
          <w:sz w:val="28"/>
          <w:highlight w:val="none"/>
        </w:rPr>
        <w:t>根据</w:t>
      </w:r>
      <w:r>
        <w:rPr>
          <w:rFonts w:hint="eastAsia" w:ascii="仿宋_GB2312" w:hAnsi="仿宋_GB2312" w:eastAsia="仿宋_GB2312" w:cs="仿宋_GB2312"/>
          <w:bCs/>
          <w:sz w:val="28"/>
          <w:szCs w:val="20"/>
          <w:highlight w:val="none"/>
          <w:lang w:eastAsia="zh-CN"/>
        </w:rPr>
        <w:t>《</w:t>
      </w:r>
      <w:r>
        <w:rPr>
          <w:rFonts w:hint="eastAsia" w:ascii="仿宋_GB2312" w:hAnsi="仿宋_GB2312" w:eastAsia="仿宋_GB2312" w:cs="仿宋_GB2312"/>
          <w:bCs/>
          <w:sz w:val="28"/>
          <w:szCs w:val="20"/>
          <w:highlight w:val="none"/>
          <w:lang w:val="en-US" w:eastAsia="zh-CN"/>
        </w:rPr>
        <w:t>通道侗族自治县</w:t>
      </w:r>
      <w:r>
        <w:rPr>
          <w:rFonts w:hint="eastAsia" w:ascii="仿宋_GB2312" w:hAnsi="仿宋_GB2312" w:eastAsia="仿宋_GB2312" w:cs="仿宋_GB2312"/>
          <w:bCs/>
          <w:sz w:val="28"/>
          <w:szCs w:val="20"/>
          <w:highlight w:val="none"/>
          <w:lang w:eastAsia="zh-CN"/>
        </w:rPr>
        <w:t>城镇基准地价更新技术报告》（202</w:t>
      </w:r>
      <w:r>
        <w:rPr>
          <w:rFonts w:hint="eastAsia" w:ascii="仿宋_GB2312" w:hAnsi="仿宋_GB2312" w:eastAsia="仿宋_GB2312" w:cs="仿宋_GB2312"/>
          <w:bCs/>
          <w:sz w:val="28"/>
          <w:szCs w:val="20"/>
          <w:highlight w:val="none"/>
          <w:lang w:val="en-US" w:eastAsia="zh-CN"/>
        </w:rPr>
        <w:t>5</w:t>
      </w:r>
      <w:r>
        <w:rPr>
          <w:rFonts w:hint="eastAsia" w:ascii="仿宋_GB2312" w:hAnsi="仿宋_GB2312" w:eastAsia="仿宋_GB2312" w:cs="仿宋_GB2312"/>
          <w:bCs/>
          <w:sz w:val="28"/>
          <w:szCs w:val="20"/>
          <w:highlight w:val="none"/>
          <w:lang w:eastAsia="zh-CN"/>
        </w:rPr>
        <w:t>年</w:t>
      </w:r>
      <w:r>
        <w:rPr>
          <w:rFonts w:hint="eastAsia" w:ascii="仿宋_GB2312" w:hAnsi="仿宋_GB2312" w:eastAsia="仿宋_GB2312" w:cs="仿宋_GB2312"/>
          <w:bCs/>
          <w:sz w:val="28"/>
          <w:szCs w:val="20"/>
          <w:highlight w:val="none"/>
          <w:lang w:val="en-US" w:eastAsia="zh-CN"/>
        </w:rPr>
        <w:t>11</w:t>
      </w:r>
      <w:r>
        <w:rPr>
          <w:rFonts w:hint="eastAsia" w:ascii="仿宋_GB2312" w:hAnsi="仿宋_GB2312" w:eastAsia="仿宋_GB2312" w:cs="仿宋_GB2312"/>
          <w:bCs/>
          <w:sz w:val="28"/>
          <w:szCs w:val="20"/>
          <w:highlight w:val="none"/>
          <w:lang w:eastAsia="zh-CN"/>
        </w:rPr>
        <w:t>月）</w:t>
      </w:r>
      <w:r>
        <w:rPr>
          <w:rFonts w:hint="eastAsia" w:ascii="仿宋_GB2312" w:hAnsi="仿宋_GB2312" w:eastAsia="仿宋_GB2312" w:cs="仿宋_GB2312"/>
          <w:sz w:val="28"/>
          <w:highlight w:val="none"/>
        </w:rPr>
        <w:t>中《</w:t>
      </w:r>
      <w:r>
        <w:rPr>
          <w:rFonts w:hint="eastAsia" w:ascii="仿宋_GB2312" w:hAnsi="仿宋_GB2312" w:eastAsia="仿宋_GB2312" w:cs="仿宋_GB2312"/>
          <w:sz w:val="28"/>
          <w:highlight w:val="none"/>
          <w:lang w:eastAsia="zh-CN"/>
        </w:rPr>
        <w:t>居住用地宗地景观状况修正系数表</w:t>
      </w:r>
      <w:r>
        <w:rPr>
          <w:rFonts w:hint="eastAsia" w:ascii="仿宋_GB2312" w:hAnsi="仿宋_GB2312" w:eastAsia="仿宋_GB2312" w:cs="仿宋_GB2312"/>
          <w:sz w:val="28"/>
          <w:highlight w:val="none"/>
        </w:rPr>
        <w:t>》，可得待估宗地景观环境修正系数Ke=1.0</w:t>
      </w:r>
      <w:r>
        <w:rPr>
          <w:rFonts w:hint="eastAsia" w:ascii="仿宋_GB2312" w:hAnsi="仿宋_GB2312" w:eastAsia="仿宋_GB2312" w:cs="仿宋_GB2312"/>
          <w:sz w:val="28"/>
          <w:highlight w:val="none"/>
          <w:lang w:val="en-US" w:eastAsia="zh-CN"/>
        </w:rPr>
        <w:t>2</w:t>
      </w:r>
      <w:r>
        <w:rPr>
          <w:rFonts w:hint="eastAsia" w:ascii="仿宋_GB2312" w:hAnsi="仿宋_GB2312" w:eastAsia="仿宋_GB2312" w:cs="仿宋_GB2312"/>
          <w:sz w:val="28"/>
          <w:highlight w:val="none"/>
        </w:rPr>
        <w:t>。</w:t>
      </w:r>
    </w:p>
    <w:p w14:paraId="779168EA">
      <w:pPr>
        <w:keepNext w:val="0"/>
        <w:keepLines w:val="0"/>
        <w:pageBreakBefore w:val="0"/>
        <w:widowControl w:val="0"/>
        <w:kinsoku/>
        <w:wordWrap/>
        <w:overflowPunct/>
        <w:topLinePunct w:val="0"/>
        <w:autoSpaceDE/>
        <w:autoSpaceDN/>
        <w:bidi w:val="0"/>
        <w:spacing w:line="480" w:lineRule="exact"/>
        <w:ind w:firstLine="280" w:firstLineChars="100"/>
        <w:jc w:val="center"/>
        <w:textAlignment w:val="auto"/>
        <w:rPr>
          <w:rFonts w:hint="eastAsia" w:ascii="仿宋_GB2312" w:hAnsi="仿宋_GB2312" w:eastAsia="仿宋_GB2312" w:cs="仿宋_GB2312"/>
          <w:sz w:val="28"/>
          <w:szCs w:val="20"/>
          <w:highlight w:val="none"/>
          <w:lang w:eastAsia="zh-CN"/>
        </w:rPr>
      </w:pPr>
      <w:r>
        <w:rPr>
          <w:rFonts w:hint="eastAsia" w:ascii="仿宋_GB2312" w:hAnsi="仿宋_GB2312" w:eastAsia="仿宋_GB2312" w:cs="仿宋_GB2312"/>
          <w:sz w:val="28"/>
          <w:szCs w:val="20"/>
          <w:highlight w:val="none"/>
        </w:rPr>
        <w:t>表3-</w:t>
      </w:r>
      <w:r>
        <w:rPr>
          <w:rFonts w:hint="eastAsia" w:ascii="仿宋_GB2312" w:hAnsi="仿宋_GB2312" w:eastAsia="仿宋_GB2312" w:cs="仿宋_GB2312"/>
          <w:sz w:val="28"/>
          <w:szCs w:val="20"/>
          <w:highlight w:val="none"/>
          <w:lang w:val="en-US" w:eastAsia="zh-CN"/>
        </w:rPr>
        <w:t>10</w:t>
      </w:r>
      <w:r>
        <w:rPr>
          <w:rFonts w:hint="eastAsia" w:ascii="仿宋_GB2312" w:hAnsi="仿宋_GB2312" w:eastAsia="仿宋_GB2312" w:cs="仿宋_GB2312"/>
          <w:sz w:val="28"/>
          <w:szCs w:val="20"/>
          <w:highlight w:val="none"/>
        </w:rPr>
        <w:t xml:space="preserve"> </w:t>
      </w:r>
      <w:r>
        <w:rPr>
          <w:rFonts w:hint="eastAsia" w:ascii="仿宋_GB2312" w:hAnsi="仿宋_GB2312" w:eastAsia="仿宋_GB2312" w:cs="仿宋_GB2312"/>
          <w:sz w:val="28"/>
          <w:szCs w:val="20"/>
          <w:highlight w:val="none"/>
          <w:lang w:eastAsia="zh-CN"/>
        </w:rPr>
        <w:t>居住用地宗地景观状况修正系数表</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01"/>
        <w:gridCol w:w="1481"/>
        <w:gridCol w:w="1422"/>
        <w:gridCol w:w="1178"/>
        <w:gridCol w:w="1625"/>
        <w:gridCol w:w="1606"/>
      </w:tblGrid>
      <w:tr w14:paraId="559F9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2" w:hRule="atLeast"/>
        </w:trPr>
        <w:tc>
          <w:tcPr>
            <w:tcW w:w="602" w:type="pct"/>
            <w:vAlign w:val="center"/>
          </w:tcPr>
          <w:p w14:paraId="0877056E">
            <w:pPr>
              <w:keepNext w:val="0"/>
              <w:keepLines w:val="0"/>
              <w:pageBreakBefore w:val="0"/>
              <w:widowControl/>
              <w:kinsoku/>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b/>
                <w:bCs/>
                <w:color w:val="auto"/>
                <w:sz w:val="20"/>
                <w:szCs w:val="20"/>
                <w:highlight w:val="none"/>
                <w:lang w:val="en-US" w:eastAsia="zh-CN"/>
              </w:rPr>
            </w:pPr>
            <w:r>
              <w:rPr>
                <w:rFonts w:hint="eastAsia" w:ascii="仿宋_GB2312" w:hAnsi="仿宋_GB2312" w:eastAsia="仿宋_GB2312" w:cs="仿宋_GB2312"/>
                <w:b/>
                <w:bCs/>
                <w:color w:val="auto"/>
                <w:sz w:val="20"/>
                <w:szCs w:val="20"/>
                <w:highlight w:val="none"/>
                <w:lang w:val="en-US" w:eastAsia="zh-CN"/>
              </w:rPr>
              <w:t>指标标准</w:t>
            </w:r>
          </w:p>
        </w:tc>
        <w:tc>
          <w:tcPr>
            <w:tcW w:w="890" w:type="pct"/>
            <w:vAlign w:val="center"/>
          </w:tcPr>
          <w:p w14:paraId="43BF717E">
            <w:pPr>
              <w:keepNext w:val="0"/>
              <w:keepLines w:val="0"/>
              <w:pageBreakBefore w:val="0"/>
              <w:widowControl/>
              <w:kinsoku/>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b/>
                <w:bCs/>
                <w:color w:val="auto"/>
                <w:sz w:val="20"/>
                <w:szCs w:val="20"/>
                <w:highlight w:val="none"/>
                <w:lang w:val="en-US" w:eastAsia="zh-CN"/>
              </w:rPr>
            </w:pPr>
            <w:r>
              <w:rPr>
                <w:rFonts w:hint="eastAsia" w:ascii="仿宋_GB2312" w:hAnsi="仿宋_GB2312" w:eastAsia="仿宋_GB2312" w:cs="仿宋_GB2312"/>
                <w:b/>
                <w:bCs/>
                <w:color w:val="auto"/>
                <w:sz w:val="20"/>
                <w:szCs w:val="20"/>
                <w:highlight w:val="none"/>
                <w:lang w:val="en-US" w:eastAsia="zh-CN"/>
              </w:rPr>
              <w:t>优</w:t>
            </w:r>
          </w:p>
        </w:tc>
        <w:tc>
          <w:tcPr>
            <w:tcW w:w="855" w:type="pct"/>
            <w:vAlign w:val="center"/>
          </w:tcPr>
          <w:p w14:paraId="02E6412D">
            <w:pPr>
              <w:keepNext w:val="0"/>
              <w:keepLines w:val="0"/>
              <w:pageBreakBefore w:val="0"/>
              <w:widowControl/>
              <w:kinsoku/>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b/>
                <w:bCs/>
                <w:color w:val="auto"/>
                <w:sz w:val="20"/>
                <w:szCs w:val="20"/>
                <w:highlight w:val="none"/>
                <w:lang w:val="en-US" w:eastAsia="zh-CN"/>
              </w:rPr>
            </w:pPr>
            <w:r>
              <w:rPr>
                <w:rFonts w:hint="eastAsia" w:ascii="仿宋_GB2312" w:hAnsi="仿宋_GB2312" w:eastAsia="仿宋_GB2312" w:cs="仿宋_GB2312"/>
                <w:b/>
                <w:bCs/>
                <w:color w:val="auto"/>
                <w:sz w:val="20"/>
                <w:szCs w:val="20"/>
                <w:highlight w:val="none"/>
                <w:lang w:val="en-US" w:eastAsia="zh-CN"/>
              </w:rPr>
              <w:t>较优</w:t>
            </w:r>
          </w:p>
        </w:tc>
        <w:tc>
          <w:tcPr>
            <w:tcW w:w="708" w:type="pct"/>
            <w:vAlign w:val="center"/>
          </w:tcPr>
          <w:p w14:paraId="10829A78">
            <w:pPr>
              <w:keepNext w:val="0"/>
              <w:keepLines w:val="0"/>
              <w:pageBreakBefore w:val="0"/>
              <w:widowControl/>
              <w:kinsoku/>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b/>
                <w:bCs/>
                <w:color w:val="auto"/>
                <w:sz w:val="20"/>
                <w:szCs w:val="20"/>
                <w:highlight w:val="none"/>
                <w:lang w:val="en-US" w:eastAsia="zh-CN"/>
              </w:rPr>
            </w:pPr>
            <w:r>
              <w:rPr>
                <w:rFonts w:hint="eastAsia" w:ascii="仿宋_GB2312" w:hAnsi="仿宋_GB2312" w:eastAsia="仿宋_GB2312" w:cs="仿宋_GB2312"/>
                <w:b/>
                <w:bCs/>
                <w:color w:val="auto"/>
                <w:sz w:val="20"/>
                <w:szCs w:val="20"/>
                <w:highlight w:val="none"/>
                <w:lang w:val="en-US" w:eastAsia="zh-CN"/>
              </w:rPr>
              <w:t>一般</w:t>
            </w:r>
          </w:p>
        </w:tc>
        <w:tc>
          <w:tcPr>
            <w:tcW w:w="977" w:type="pct"/>
            <w:vAlign w:val="center"/>
          </w:tcPr>
          <w:p w14:paraId="45228BF0">
            <w:pPr>
              <w:keepNext w:val="0"/>
              <w:keepLines w:val="0"/>
              <w:pageBreakBefore w:val="0"/>
              <w:widowControl/>
              <w:kinsoku/>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b/>
                <w:bCs/>
                <w:color w:val="auto"/>
                <w:sz w:val="20"/>
                <w:szCs w:val="20"/>
                <w:highlight w:val="none"/>
                <w:lang w:val="en-US" w:eastAsia="zh-CN"/>
              </w:rPr>
            </w:pPr>
            <w:r>
              <w:rPr>
                <w:rFonts w:hint="eastAsia" w:ascii="仿宋_GB2312" w:hAnsi="仿宋_GB2312" w:eastAsia="仿宋_GB2312" w:cs="仿宋_GB2312"/>
                <w:b/>
                <w:bCs/>
                <w:color w:val="auto"/>
                <w:sz w:val="20"/>
                <w:szCs w:val="20"/>
                <w:highlight w:val="none"/>
                <w:lang w:val="en-US" w:eastAsia="zh-CN"/>
              </w:rPr>
              <w:t>较劣</w:t>
            </w:r>
          </w:p>
        </w:tc>
        <w:tc>
          <w:tcPr>
            <w:tcW w:w="965" w:type="pct"/>
            <w:vAlign w:val="center"/>
          </w:tcPr>
          <w:p w14:paraId="705DE155">
            <w:pPr>
              <w:keepNext w:val="0"/>
              <w:keepLines w:val="0"/>
              <w:pageBreakBefore w:val="0"/>
              <w:widowControl/>
              <w:kinsoku/>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b/>
                <w:bCs/>
                <w:color w:val="auto"/>
                <w:sz w:val="20"/>
                <w:szCs w:val="20"/>
                <w:highlight w:val="none"/>
                <w:lang w:val="en-US" w:eastAsia="zh-CN"/>
              </w:rPr>
            </w:pPr>
            <w:r>
              <w:rPr>
                <w:rFonts w:hint="eastAsia" w:ascii="仿宋_GB2312" w:hAnsi="仿宋_GB2312" w:eastAsia="仿宋_GB2312" w:cs="仿宋_GB2312"/>
                <w:b/>
                <w:bCs/>
                <w:color w:val="auto"/>
                <w:sz w:val="20"/>
                <w:szCs w:val="20"/>
                <w:highlight w:val="none"/>
                <w:lang w:val="en-US" w:eastAsia="zh-CN"/>
              </w:rPr>
              <w:t>劣</w:t>
            </w:r>
          </w:p>
        </w:tc>
      </w:tr>
      <w:tr w14:paraId="1F1B5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8" w:hRule="atLeast"/>
        </w:trPr>
        <w:tc>
          <w:tcPr>
            <w:tcW w:w="602" w:type="pct"/>
            <w:vAlign w:val="center"/>
          </w:tcPr>
          <w:p w14:paraId="55809C48">
            <w:pPr>
              <w:keepNext w:val="0"/>
              <w:keepLines w:val="0"/>
              <w:pageBreakBefore w:val="0"/>
              <w:widowControl/>
              <w:kinsoku/>
              <w:wordWrap/>
              <w:overflowPunct/>
              <w:topLinePunct w:val="0"/>
              <w:autoSpaceDE w:val="0"/>
              <w:autoSpaceDN w:val="0"/>
              <w:bidi w:val="0"/>
              <w:adjustRightInd w:val="0"/>
              <w:snapToGrid w:val="0"/>
              <w:spacing w:line="240" w:lineRule="exact"/>
              <w:ind w:right="0"/>
              <w:jc w:val="center"/>
              <w:textAlignment w:val="baseline"/>
              <w:rPr>
                <w:rFonts w:hint="eastAsia" w:ascii="仿宋_GB2312" w:hAnsi="仿宋_GB2312" w:eastAsia="仿宋_GB2312" w:cs="仿宋_GB2312"/>
                <w:b w:val="0"/>
                <w:bCs w:val="0"/>
                <w:color w:val="auto"/>
                <w:spacing w:val="0"/>
                <w:sz w:val="20"/>
                <w:szCs w:val="20"/>
                <w:highlight w:val="none"/>
              </w:rPr>
            </w:pPr>
            <w:r>
              <w:rPr>
                <w:rFonts w:hint="eastAsia" w:ascii="仿宋_GB2312" w:hAnsi="仿宋_GB2312" w:eastAsia="仿宋_GB2312" w:cs="仿宋_GB2312"/>
                <w:b w:val="0"/>
                <w:bCs w:val="0"/>
                <w:color w:val="auto"/>
                <w:spacing w:val="0"/>
                <w:sz w:val="20"/>
                <w:szCs w:val="20"/>
                <w:highlight w:val="none"/>
              </w:rPr>
              <w:t>指标说明</w:t>
            </w:r>
          </w:p>
        </w:tc>
        <w:tc>
          <w:tcPr>
            <w:tcW w:w="890" w:type="pct"/>
            <w:vAlign w:val="center"/>
          </w:tcPr>
          <w:p w14:paraId="2A35C63D">
            <w:pPr>
              <w:keepNext w:val="0"/>
              <w:keepLines w:val="0"/>
              <w:pageBreakBefore w:val="0"/>
              <w:widowControl/>
              <w:kinsoku/>
              <w:wordWrap/>
              <w:overflowPunct/>
              <w:topLinePunct w:val="0"/>
              <w:autoSpaceDE w:val="0"/>
              <w:autoSpaceDN w:val="0"/>
              <w:bidi w:val="0"/>
              <w:adjustRightInd w:val="0"/>
              <w:snapToGrid w:val="0"/>
              <w:spacing w:line="240" w:lineRule="exact"/>
              <w:ind w:right="0"/>
              <w:jc w:val="center"/>
              <w:textAlignment w:val="baseline"/>
              <w:rPr>
                <w:rFonts w:hint="eastAsia" w:ascii="仿宋_GB2312" w:hAnsi="仿宋_GB2312" w:eastAsia="仿宋_GB2312" w:cs="仿宋_GB2312"/>
                <w:b w:val="0"/>
                <w:bCs w:val="0"/>
                <w:color w:val="auto"/>
                <w:spacing w:val="0"/>
                <w:sz w:val="20"/>
                <w:szCs w:val="20"/>
                <w:highlight w:val="none"/>
              </w:rPr>
            </w:pPr>
            <w:r>
              <w:rPr>
                <w:rFonts w:hint="eastAsia" w:ascii="仿宋_GB2312" w:hAnsi="仿宋_GB2312" w:eastAsia="仿宋_GB2312" w:cs="仿宋_GB2312"/>
                <w:b w:val="0"/>
                <w:bCs w:val="0"/>
                <w:color w:val="auto"/>
                <w:spacing w:val="0"/>
                <w:sz w:val="20"/>
                <w:szCs w:val="20"/>
                <w:highlight w:val="none"/>
              </w:rPr>
              <w:t>倚山或近水， 视野开阔，自然景观优美</w:t>
            </w:r>
          </w:p>
        </w:tc>
        <w:tc>
          <w:tcPr>
            <w:tcW w:w="855" w:type="pct"/>
            <w:vAlign w:val="center"/>
          </w:tcPr>
          <w:p w14:paraId="146CAC4E">
            <w:pPr>
              <w:keepNext w:val="0"/>
              <w:keepLines w:val="0"/>
              <w:pageBreakBefore w:val="0"/>
              <w:widowControl/>
              <w:kinsoku/>
              <w:wordWrap/>
              <w:overflowPunct/>
              <w:topLinePunct w:val="0"/>
              <w:autoSpaceDE w:val="0"/>
              <w:autoSpaceDN w:val="0"/>
              <w:bidi w:val="0"/>
              <w:adjustRightInd w:val="0"/>
              <w:snapToGrid w:val="0"/>
              <w:spacing w:line="240" w:lineRule="exact"/>
              <w:ind w:right="0"/>
              <w:jc w:val="center"/>
              <w:textAlignment w:val="baseline"/>
              <w:rPr>
                <w:rFonts w:hint="eastAsia" w:ascii="仿宋_GB2312" w:hAnsi="仿宋_GB2312" w:eastAsia="仿宋_GB2312" w:cs="仿宋_GB2312"/>
                <w:b w:val="0"/>
                <w:bCs w:val="0"/>
                <w:color w:val="auto"/>
                <w:spacing w:val="0"/>
                <w:sz w:val="20"/>
                <w:szCs w:val="20"/>
                <w:highlight w:val="none"/>
              </w:rPr>
            </w:pPr>
            <w:r>
              <w:rPr>
                <w:rFonts w:hint="eastAsia" w:ascii="仿宋_GB2312" w:hAnsi="仿宋_GB2312" w:eastAsia="仿宋_GB2312" w:cs="仿宋_GB2312"/>
                <w:b w:val="0"/>
                <w:bCs w:val="0"/>
                <w:color w:val="auto"/>
                <w:spacing w:val="0"/>
                <w:sz w:val="20"/>
                <w:szCs w:val="20"/>
                <w:highlight w:val="none"/>
              </w:rPr>
              <w:t>倚山或近水， 有地物阻隔， 自然景观较好</w:t>
            </w:r>
          </w:p>
        </w:tc>
        <w:tc>
          <w:tcPr>
            <w:tcW w:w="708" w:type="pct"/>
            <w:vAlign w:val="center"/>
          </w:tcPr>
          <w:p w14:paraId="61173A39">
            <w:pPr>
              <w:keepNext w:val="0"/>
              <w:keepLines w:val="0"/>
              <w:pageBreakBefore w:val="0"/>
              <w:widowControl/>
              <w:kinsoku/>
              <w:wordWrap/>
              <w:overflowPunct/>
              <w:topLinePunct w:val="0"/>
              <w:autoSpaceDE w:val="0"/>
              <w:autoSpaceDN w:val="0"/>
              <w:bidi w:val="0"/>
              <w:adjustRightInd w:val="0"/>
              <w:snapToGrid w:val="0"/>
              <w:spacing w:line="240" w:lineRule="exact"/>
              <w:ind w:right="0"/>
              <w:jc w:val="center"/>
              <w:textAlignment w:val="baseline"/>
              <w:rPr>
                <w:rFonts w:hint="eastAsia" w:ascii="仿宋_GB2312" w:hAnsi="仿宋_GB2312" w:eastAsia="仿宋_GB2312" w:cs="仿宋_GB2312"/>
                <w:b w:val="0"/>
                <w:bCs w:val="0"/>
                <w:color w:val="auto"/>
                <w:spacing w:val="0"/>
                <w:sz w:val="20"/>
                <w:szCs w:val="20"/>
                <w:highlight w:val="none"/>
              </w:rPr>
            </w:pPr>
            <w:r>
              <w:rPr>
                <w:rFonts w:hint="eastAsia" w:ascii="仿宋_GB2312" w:hAnsi="仿宋_GB2312" w:eastAsia="仿宋_GB2312" w:cs="仿宋_GB2312"/>
                <w:b w:val="0"/>
                <w:bCs w:val="0"/>
                <w:color w:val="auto"/>
                <w:spacing w:val="0"/>
                <w:sz w:val="20"/>
                <w:szCs w:val="20"/>
                <w:highlight w:val="none"/>
              </w:rPr>
              <w:t>无特殊自然景观或自然环境一般</w:t>
            </w:r>
          </w:p>
        </w:tc>
        <w:tc>
          <w:tcPr>
            <w:tcW w:w="977" w:type="pct"/>
            <w:vAlign w:val="center"/>
          </w:tcPr>
          <w:p w14:paraId="338AC1B8">
            <w:pPr>
              <w:keepNext w:val="0"/>
              <w:keepLines w:val="0"/>
              <w:pageBreakBefore w:val="0"/>
              <w:widowControl/>
              <w:kinsoku/>
              <w:wordWrap/>
              <w:overflowPunct/>
              <w:topLinePunct w:val="0"/>
              <w:autoSpaceDE w:val="0"/>
              <w:autoSpaceDN w:val="0"/>
              <w:bidi w:val="0"/>
              <w:adjustRightInd w:val="0"/>
              <w:snapToGrid w:val="0"/>
              <w:spacing w:line="240" w:lineRule="exact"/>
              <w:ind w:right="0"/>
              <w:jc w:val="center"/>
              <w:textAlignment w:val="baseline"/>
              <w:rPr>
                <w:rFonts w:hint="eastAsia" w:ascii="仿宋_GB2312" w:hAnsi="仿宋_GB2312" w:eastAsia="仿宋_GB2312" w:cs="仿宋_GB2312"/>
                <w:b w:val="0"/>
                <w:bCs w:val="0"/>
                <w:color w:val="auto"/>
                <w:spacing w:val="0"/>
                <w:sz w:val="20"/>
                <w:szCs w:val="20"/>
                <w:highlight w:val="none"/>
              </w:rPr>
            </w:pPr>
            <w:r>
              <w:rPr>
                <w:rFonts w:hint="eastAsia" w:ascii="仿宋_GB2312" w:hAnsi="仿宋_GB2312" w:eastAsia="仿宋_GB2312" w:cs="仿宋_GB2312"/>
                <w:b w:val="0"/>
                <w:bCs w:val="0"/>
                <w:color w:val="auto"/>
                <w:spacing w:val="0"/>
                <w:sz w:val="20"/>
                <w:szCs w:val="20"/>
                <w:highlight w:val="none"/>
              </w:rPr>
              <w:t>无特殊自然景观，有轻度污染，环境较差</w:t>
            </w:r>
          </w:p>
        </w:tc>
        <w:tc>
          <w:tcPr>
            <w:tcW w:w="965" w:type="pct"/>
            <w:vAlign w:val="center"/>
          </w:tcPr>
          <w:p w14:paraId="538B5C14">
            <w:pPr>
              <w:keepNext w:val="0"/>
              <w:keepLines w:val="0"/>
              <w:pageBreakBefore w:val="0"/>
              <w:widowControl/>
              <w:kinsoku/>
              <w:wordWrap/>
              <w:overflowPunct/>
              <w:topLinePunct w:val="0"/>
              <w:autoSpaceDE w:val="0"/>
              <w:autoSpaceDN w:val="0"/>
              <w:bidi w:val="0"/>
              <w:adjustRightInd w:val="0"/>
              <w:snapToGrid w:val="0"/>
              <w:spacing w:line="240" w:lineRule="exact"/>
              <w:ind w:right="0"/>
              <w:jc w:val="center"/>
              <w:textAlignment w:val="baseline"/>
              <w:rPr>
                <w:rFonts w:hint="eastAsia" w:ascii="仿宋_GB2312" w:hAnsi="仿宋_GB2312" w:eastAsia="仿宋_GB2312" w:cs="仿宋_GB2312"/>
                <w:b w:val="0"/>
                <w:bCs w:val="0"/>
                <w:color w:val="auto"/>
                <w:spacing w:val="0"/>
                <w:sz w:val="20"/>
                <w:szCs w:val="20"/>
                <w:highlight w:val="none"/>
              </w:rPr>
            </w:pPr>
            <w:r>
              <w:rPr>
                <w:rFonts w:hint="eastAsia" w:ascii="仿宋_GB2312" w:hAnsi="仿宋_GB2312" w:eastAsia="仿宋_GB2312" w:cs="仿宋_GB2312"/>
                <w:b w:val="0"/>
                <w:bCs w:val="0"/>
                <w:color w:val="auto"/>
                <w:spacing w:val="0"/>
                <w:sz w:val="20"/>
                <w:szCs w:val="20"/>
                <w:highlight w:val="none"/>
              </w:rPr>
              <w:t>无特殊自然景观，有重度污染，环境很差</w:t>
            </w:r>
          </w:p>
        </w:tc>
      </w:tr>
      <w:tr w14:paraId="6F35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6" w:hRule="atLeast"/>
        </w:trPr>
        <w:tc>
          <w:tcPr>
            <w:tcW w:w="602" w:type="pct"/>
            <w:vAlign w:val="center"/>
          </w:tcPr>
          <w:p w14:paraId="7857464D">
            <w:pPr>
              <w:keepNext w:val="0"/>
              <w:keepLines w:val="0"/>
              <w:pageBreakBefore w:val="0"/>
              <w:widowControl/>
              <w:kinsoku/>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b w:val="0"/>
                <w:bCs w:val="0"/>
                <w:color w:val="auto"/>
                <w:sz w:val="20"/>
                <w:szCs w:val="20"/>
                <w:highlight w:val="none"/>
              </w:rPr>
            </w:pPr>
            <w:r>
              <w:rPr>
                <w:rFonts w:hint="eastAsia" w:ascii="仿宋_GB2312" w:hAnsi="仿宋_GB2312" w:eastAsia="仿宋_GB2312" w:cs="仿宋_GB2312"/>
                <w:b w:val="0"/>
                <w:bCs w:val="0"/>
                <w:color w:val="auto"/>
                <w:spacing w:val="8"/>
                <w:sz w:val="20"/>
                <w:szCs w:val="20"/>
                <w:highlight w:val="none"/>
              </w:rPr>
              <w:t>修</w:t>
            </w:r>
            <w:r>
              <w:rPr>
                <w:rFonts w:hint="eastAsia" w:ascii="仿宋_GB2312" w:hAnsi="仿宋_GB2312" w:eastAsia="仿宋_GB2312" w:cs="仿宋_GB2312"/>
                <w:b w:val="0"/>
                <w:bCs w:val="0"/>
                <w:color w:val="auto"/>
                <w:spacing w:val="7"/>
                <w:sz w:val="20"/>
                <w:szCs w:val="20"/>
                <w:highlight w:val="none"/>
              </w:rPr>
              <w:t>正系数</w:t>
            </w:r>
          </w:p>
        </w:tc>
        <w:tc>
          <w:tcPr>
            <w:tcW w:w="890" w:type="pct"/>
            <w:vAlign w:val="center"/>
          </w:tcPr>
          <w:p w14:paraId="6EADDDC2">
            <w:pPr>
              <w:keepNext w:val="0"/>
              <w:keepLines w:val="0"/>
              <w:pageBreakBefore w:val="0"/>
              <w:widowControl/>
              <w:kinsoku/>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b w:val="0"/>
                <w:bCs w:val="0"/>
                <w:color w:val="auto"/>
                <w:sz w:val="20"/>
                <w:szCs w:val="20"/>
                <w:highlight w:val="none"/>
              </w:rPr>
            </w:pPr>
            <w:r>
              <w:rPr>
                <w:rFonts w:hint="eastAsia" w:ascii="仿宋_GB2312" w:hAnsi="仿宋_GB2312" w:eastAsia="仿宋_GB2312" w:cs="仿宋_GB2312"/>
                <w:b w:val="0"/>
                <w:bCs w:val="0"/>
                <w:color w:val="auto"/>
                <w:spacing w:val="-6"/>
                <w:sz w:val="20"/>
                <w:szCs w:val="20"/>
                <w:highlight w:val="none"/>
              </w:rPr>
              <w:t>1.</w:t>
            </w:r>
            <w:r>
              <w:rPr>
                <w:rFonts w:hint="eastAsia" w:ascii="仿宋_GB2312" w:hAnsi="仿宋_GB2312" w:eastAsia="仿宋_GB2312" w:cs="仿宋_GB2312"/>
                <w:b w:val="0"/>
                <w:bCs w:val="0"/>
                <w:color w:val="auto"/>
                <w:spacing w:val="-3"/>
                <w:sz w:val="20"/>
                <w:szCs w:val="20"/>
                <w:highlight w:val="none"/>
              </w:rPr>
              <w:t>03- 1.05</w:t>
            </w:r>
          </w:p>
        </w:tc>
        <w:tc>
          <w:tcPr>
            <w:tcW w:w="855" w:type="pct"/>
            <w:vAlign w:val="center"/>
          </w:tcPr>
          <w:p w14:paraId="37293659">
            <w:pPr>
              <w:keepNext w:val="0"/>
              <w:keepLines w:val="0"/>
              <w:pageBreakBefore w:val="0"/>
              <w:widowControl/>
              <w:kinsoku/>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b w:val="0"/>
                <w:bCs w:val="0"/>
                <w:color w:val="auto"/>
                <w:sz w:val="20"/>
                <w:szCs w:val="20"/>
                <w:highlight w:val="none"/>
              </w:rPr>
            </w:pPr>
            <w:r>
              <w:rPr>
                <w:rFonts w:hint="eastAsia" w:ascii="仿宋_GB2312" w:hAnsi="仿宋_GB2312" w:eastAsia="仿宋_GB2312" w:cs="仿宋_GB2312"/>
                <w:b w:val="0"/>
                <w:bCs w:val="0"/>
                <w:color w:val="auto"/>
                <w:spacing w:val="-6"/>
                <w:sz w:val="20"/>
                <w:szCs w:val="20"/>
                <w:highlight w:val="none"/>
              </w:rPr>
              <w:t>1.</w:t>
            </w:r>
            <w:r>
              <w:rPr>
                <w:rFonts w:hint="eastAsia" w:ascii="仿宋_GB2312" w:hAnsi="仿宋_GB2312" w:eastAsia="仿宋_GB2312" w:cs="仿宋_GB2312"/>
                <w:b w:val="0"/>
                <w:bCs w:val="0"/>
                <w:color w:val="auto"/>
                <w:spacing w:val="-3"/>
                <w:sz w:val="20"/>
                <w:szCs w:val="20"/>
                <w:highlight w:val="none"/>
              </w:rPr>
              <w:t>01- 1.02</w:t>
            </w:r>
          </w:p>
        </w:tc>
        <w:tc>
          <w:tcPr>
            <w:tcW w:w="708" w:type="pct"/>
            <w:vAlign w:val="center"/>
          </w:tcPr>
          <w:p w14:paraId="623AA492">
            <w:pPr>
              <w:keepNext w:val="0"/>
              <w:keepLines w:val="0"/>
              <w:pageBreakBefore w:val="0"/>
              <w:widowControl/>
              <w:kinsoku/>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b w:val="0"/>
                <w:bCs w:val="0"/>
                <w:color w:val="auto"/>
                <w:sz w:val="20"/>
                <w:szCs w:val="20"/>
                <w:highlight w:val="none"/>
              </w:rPr>
            </w:pPr>
            <w:r>
              <w:rPr>
                <w:rFonts w:hint="eastAsia" w:ascii="仿宋_GB2312" w:hAnsi="仿宋_GB2312" w:eastAsia="仿宋_GB2312" w:cs="仿宋_GB2312"/>
                <w:b w:val="0"/>
                <w:bCs w:val="0"/>
                <w:color w:val="auto"/>
                <w:sz w:val="20"/>
                <w:szCs w:val="20"/>
                <w:highlight w:val="none"/>
              </w:rPr>
              <w:t>1</w:t>
            </w:r>
          </w:p>
        </w:tc>
        <w:tc>
          <w:tcPr>
            <w:tcW w:w="977" w:type="pct"/>
            <w:vAlign w:val="center"/>
          </w:tcPr>
          <w:p w14:paraId="658002CA">
            <w:pPr>
              <w:keepNext w:val="0"/>
              <w:keepLines w:val="0"/>
              <w:pageBreakBefore w:val="0"/>
              <w:widowControl/>
              <w:kinsoku/>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b w:val="0"/>
                <w:bCs w:val="0"/>
                <w:color w:val="auto"/>
                <w:sz w:val="20"/>
                <w:szCs w:val="20"/>
                <w:highlight w:val="none"/>
              </w:rPr>
            </w:pPr>
            <w:r>
              <w:rPr>
                <w:rFonts w:hint="eastAsia" w:ascii="仿宋_GB2312" w:hAnsi="仿宋_GB2312" w:eastAsia="仿宋_GB2312" w:cs="仿宋_GB2312"/>
                <w:b w:val="0"/>
                <w:bCs w:val="0"/>
                <w:color w:val="auto"/>
                <w:spacing w:val="6"/>
                <w:sz w:val="20"/>
                <w:szCs w:val="20"/>
                <w:highlight w:val="none"/>
              </w:rPr>
              <w:t>0</w:t>
            </w:r>
            <w:r>
              <w:rPr>
                <w:rFonts w:hint="eastAsia" w:ascii="仿宋_GB2312" w:hAnsi="仿宋_GB2312" w:eastAsia="仿宋_GB2312" w:cs="仿宋_GB2312"/>
                <w:b w:val="0"/>
                <w:bCs w:val="0"/>
                <w:color w:val="auto"/>
                <w:spacing w:val="4"/>
                <w:sz w:val="20"/>
                <w:szCs w:val="20"/>
                <w:highlight w:val="none"/>
              </w:rPr>
              <w:t>.</w:t>
            </w:r>
            <w:r>
              <w:rPr>
                <w:rFonts w:hint="eastAsia" w:ascii="仿宋_GB2312" w:hAnsi="仿宋_GB2312" w:eastAsia="仿宋_GB2312" w:cs="仿宋_GB2312"/>
                <w:b w:val="0"/>
                <w:bCs w:val="0"/>
                <w:color w:val="auto"/>
                <w:spacing w:val="3"/>
                <w:sz w:val="20"/>
                <w:szCs w:val="20"/>
                <w:highlight w:val="none"/>
              </w:rPr>
              <w:t>99-0.98</w:t>
            </w:r>
          </w:p>
        </w:tc>
        <w:tc>
          <w:tcPr>
            <w:tcW w:w="965" w:type="pct"/>
            <w:vAlign w:val="center"/>
          </w:tcPr>
          <w:p w14:paraId="3F12C0FF">
            <w:pPr>
              <w:keepNext w:val="0"/>
              <w:keepLines w:val="0"/>
              <w:pageBreakBefore w:val="0"/>
              <w:widowControl/>
              <w:kinsoku/>
              <w:wordWrap/>
              <w:overflowPunct/>
              <w:topLinePunct w:val="0"/>
              <w:autoSpaceDE w:val="0"/>
              <w:autoSpaceDN w:val="0"/>
              <w:bidi w:val="0"/>
              <w:adjustRightInd w:val="0"/>
              <w:snapToGrid w:val="0"/>
              <w:spacing w:line="240" w:lineRule="exact"/>
              <w:jc w:val="center"/>
              <w:textAlignment w:val="baseline"/>
              <w:rPr>
                <w:rFonts w:hint="eastAsia" w:ascii="仿宋_GB2312" w:hAnsi="仿宋_GB2312" w:eastAsia="仿宋_GB2312" w:cs="仿宋_GB2312"/>
                <w:b w:val="0"/>
                <w:bCs w:val="0"/>
                <w:color w:val="auto"/>
                <w:sz w:val="20"/>
                <w:szCs w:val="20"/>
                <w:highlight w:val="none"/>
              </w:rPr>
            </w:pPr>
            <w:r>
              <w:rPr>
                <w:rFonts w:hint="eastAsia" w:ascii="仿宋_GB2312" w:hAnsi="仿宋_GB2312" w:eastAsia="仿宋_GB2312" w:cs="仿宋_GB2312"/>
                <w:b w:val="0"/>
                <w:bCs w:val="0"/>
                <w:color w:val="auto"/>
                <w:spacing w:val="6"/>
                <w:sz w:val="20"/>
                <w:szCs w:val="20"/>
                <w:highlight w:val="none"/>
              </w:rPr>
              <w:t>0</w:t>
            </w:r>
            <w:r>
              <w:rPr>
                <w:rFonts w:hint="eastAsia" w:ascii="仿宋_GB2312" w:hAnsi="仿宋_GB2312" w:eastAsia="仿宋_GB2312" w:cs="仿宋_GB2312"/>
                <w:b w:val="0"/>
                <w:bCs w:val="0"/>
                <w:color w:val="auto"/>
                <w:spacing w:val="4"/>
                <w:sz w:val="20"/>
                <w:szCs w:val="20"/>
                <w:highlight w:val="none"/>
              </w:rPr>
              <w:t>.</w:t>
            </w:r>
            <w:r>
              <w:rPr>
                <w:rFonts w:hint="eastAsia" w:ascii="仿宋_GB2312" w:hAnsi="仿宋_GB2312" w:eastAsia="仿宋_GB2312" w:cs="仿宋_GB2312"/>
                <w:b w:val="0"/>
                <w:bCs w:val="0"/>
                <w:color w:val="auto"/>
                <w:spacing w:val="3"/>
                <w:sz w:val="20"/>
                <w:szCs w:val="20"/>
                <w:highlight w:val="none"/>
              </w:rPr>
              <w:t>97-0.93</w:t>
            </w:r>
          </w:p>
        </w:tc>
      </w:tr>
    </w:tbl>
    <w:p w14:paraId="0F3A9A63">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601"/>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11、</w:t>
      </w:r>
      <w:r>
        <w:rPr>
          <w:rFonts w:hint="eastAsia" w:ascii="仿宋_GB2312" w:hAnsi="仿宋_GB2312" w:eastAsia="仿宋_GB2312" w:cs="仿宋_GB2312"/>
          <w:color w:val="auto"/>
          <w:sz w:val="28"/>
          <w:szCs w:val="28"/>
          <w:highlight w:val="none"/>
        </w:rPr>
        <w:t>周边土地利用类型修正</w:t>
      </w:r>
      <w:r>
        <w:rPr>
          <w:rFonts w:hint="eastAsia" w:ascii="仿宋_GB2312" w:hAnsi="仿宋_GB2312" w:eastAsia="仿宋_GB2312" w:cs="仿宋_GB2312"/>
          <w:color w:val="auto"/>
          <w:sz w:val="28"/>
          <w:szCs w:val="28"/>
          <w:highlight w:val="none"/>
          <w:lang w:val="en-US" w:eastAsia="zh-CN"/>
        </w:rPr>
        <w:t>系数</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Ku</w:t>
      </w:r>
      <w:r>
        <w:rPr>
          <w:rFonts w:hint="eastAsia" w:ascii="仿宋_GB2312" w:hAnsi="仿宋_GB2312" w:eastAsia="仿宋_GB2312" w:cs="仿宋_GB2312"/>
          <w:color w:val="auto"/>
          <w:sz w:val="28"/>
          <w:szCs w:val="28"/>
          <w:highlight w:val="none"/>
          <w:lang w:eastAsia="zh-CN"/>
        </w:rPr>
        <w:t>）</w:t>
      </w:r>
      <w:r>
        <w:rPr>
          <w:rFonts w:hint="eastAsia" w:ascii="仿宋_GB2312" w:hAnsi="仿宋_GB2312" w:eastAsia="仿宋_GB2312" w:cs="仿宋_GB2312"/>
          <w:color w:val="auto"/>
          <w:sz w:val="28"/>
          <w:szCs w:val="28"/>
          <w:highlight w:val="none"/>
          <w:lang w:val="en-US" w:eastAsia="zh-CN"/>
        </w:rPr>
        <w:t>的确定</w:t>
      </w:r>
    </w:p>
    <w:p w14:paraId="5CF2D746">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default"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商业服务业用地地价在商服繁华度影响分析中，仅考虑距商服中心距离已经远远不够，随着商服集聚度的提高，应考虑周边土地利用类型对宗地的影响。比如商业步行街、商业综合体、大型商业零售批发市场、大型学校、医院周边等商服集聚区域，其商业氛围浓厚，其地租、地价水平相对越高，因此商业服务业用地应考虑其周边土地利用类型对其的影响。根据调查，估价对象周边土地利用类型为居住用地，</w:t>
      </w:r>
      <w:r>
        <w:rPr>
          <w:rFonts w:hint="eastAsia" w:ascii="仿宋_GB2312" w:hAnsi="仿宋_GB2312" w:eastAsia="仿宋_GB2312" w:cs="仿宋_GB2312"/>
          <w:color w:val="auto"/>
          <w:sz w:val="28"/>
          <w:szCs w:val="28"/>
          <w:highlight w:val="none"/>
        </w:rPr>
        <w:t>周边土地利用类型修正</w:t>
      </w:r>
      <w:r>
        <w:rPr>
          <w:rFonts w:hint="eastAsia" w:ascii="仿宋_GB2312" w:hAnsi="仿宋_GB2312" w:eastAsia="仿宋_GB2312" w:cs="仿宋_GB2312"/>
          <w:color w:val="auto"/>
          <w:sz w:val="28"/>
          <w:szCs w:val="28"/>
          <w:highlight w:val="none"/>
          <w:lang w:val="en-US" w:eastAsia="zh-CN"/>
        </w:rPr>
        <w:t>系数Ku=0.99。</w:t>
      </w:r>
    </w:p>
    <w:p w14:paraId="751F888F">
      <w:pPr>
        <w:spacing w:line="227" w:lineRule="auto"/>
        <w:jc w:val="center"/>
        <w:rPr>
          <w:rFonts w:hint="eastAsia" w:ascii="仿宋_GB2312" w:hAnsi="仿宋_GB2312" w:eastAsia="仿宋_GB2312" w:cs="仿宋_GB2312"/>
          <w:b/>
          <w:bCs/>
          <w:color w:val="auto"/>
          <w:sz w:val="21"/>
          <w:szCs w:val="21"/>
          <w:highlight w:val="none"/>
          <w:lang w:val="en-US" w:eastAsia="zh-CN"/>
        </w:rPr>
      </w:pPr>
      <w:r>
        <w:rPr>
          <w:rFonts w:hint="eastAsia" w:ascii="仿宋_GB2312" w:hAnsi="仿宋_GB2312" w:eastAsia="仿宋_GB2312" w:cs="仿宋_GB2312"/>
          <w:sz w:val="28"/>
          <w:szCs w:val="20"/>
          <w:highlight w:val="none"/>
        </w:rPr>
        <w:t>表3-</w:t>
      </w:r>
      <w:r>
        <w:rPr>
          <w:rFonts w:hint="eastAsia" w:ascii="仿宋_GB2312" w:hAnsi="仿宋_GB2312" w:eastAsia="仿宋_GB2312" w:cs="仿宋_GB2312"/>
          <w:sz w:val="28"/>
          <w:szCs w:val="20"/>
          <w:highlight w:val="none"/>
          <w:lang w:val="en-US" w:eastAsia="zh-CN"/>
        </w:rPr>
        <w:t>11</w:t>
      </w:r>
      <w:r>
        <w:rPr>
          <w:rFonts w:hint="eastAsia" w:ascii="仿宋_GB2312" w:hAnsi="仿宋_GB2312" w:eastAsia="仿宋_GB2312" w:cs="仿宋_GB2312"/>
          <w:b/>
          <w:bCs/>
          <w:color w:val="auto"/>
          <w:sz w:val="21"/>
          <w:szCs w:val="21"/>
          <w:highlight w:val="none"/>
          <w:lang w:val="en-US" w:eastAsia="zh-CN"/>
        </w:rPr>
        <w:t xml:space="preserve">  </w:t>
      </w:r>
      <w:r>
        <w:rPr>
          <w:rFonts w:hint="eastAsia" w:ascii="仿宋_GB2312" w:hAnsi="仿宋_GB2312" w:eastAsia="仿宋_GB2312" w:cs="仿宋_GB2312"/>
          <w:sz w:val="28"/>
          <w:szCs w:val="20"/>
          <w:highlight w:val="none"/>
          <w:lang w:val="en-US" w:eastAsia="zh-CN"/>
        </w:rPr>
        <w:t>商业服务业用地宗地周边土地利用类型修正系数表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5"/>
        <w:gridCol w:w="1751"/>
        <w:gridCol w:w="1710"/>
        <w:gridCol w:w="1665"/>
        <w:gridCol w:w="1110"/>
        <w:gridCol w:w="1051"/>
      </w:tblGrid>
      <w:tr w14:paraId="50E80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35" w:type="dxa"/>
            <w:noWrap w:val="0"/>
            <w:vAlign w:val="center"/>
          </w:tcPr>
          <w:p w14:paraId="236ADCA2">
            <w:pPr>
              <w:pStyle w:val="10"/>
              <w:jc w:val="center"/>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指标标准</w:t>
            </w:r>
          </w:p>
        </w:tc>
        <w:tc>
          <w:tcPr>
            <w:tcW w:w="1751" w:type="dxa"/>
            <w:noWrap w:val="0"/>
            <w:vAlign w:val="center"/>
          </w:tcPr>
          <w:p w14:paraId="3288F697">
            <w:pPr>
              <w:pStyle w:val="10"/>
              <w:jc w:val="center"/>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优</w:t>
            </w:r>
          </w:p>
        </w:tc>
        <w:tc>
          <w:tcPr>
            <w:tcW w:w="1710" w:type="dxa"/>
            <w:noWrap w:val="0"/>
            <w:vAlign w:val="center"/>
          </w:tcPr>
          <w:p w14:paraId="18E9DB7C">
            <w:pPr>
              <w:pStyle w:val="10"/>
              <w:jc w:val="center"/>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较优</w:t>
            </w:r>
          </w:p>
        </w:tc>
        <w:tc>
          <w:tcPr>
            <w:tcW w:w="1665" w:type="dxa"/>
            <w:noWrap w:val="0"/>
            <w:vAlign w:val="center"/>
          </w:tcPr>
          <w:p w14:paraId="15A13AA1">
            <w:pPr>
              <w:pStyle w:val="10"/>
              <w:jc w:val="center"/>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一般</w:t>
            </w:r>
          </w:p>
        </w:tc>
        <w:tc>
          <w:tcPr>
            <w:tcW w:w="1110" w:type="dxa"/>
            <w:noWrap w:val="0"/>
            <w:vAlign w:val="center"/>
          </w:tcPr>
          <w:p w14:paraId="7A8F4E6B">
            <w:pPr>
              <w:pStyle w:val="10"/>
              <w:jc w:val="center"/>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较劣</w:t>
            </w:r>
          </w:p>
        </w:tc>
        <w:tc>
          <w:tcPr>
            <w:tcW w:w="1051" w:type="dxa"/>
            <w:noWrap w:val="0"/>
            <w:vAlign w:val="center"/>
          </w:tcPr>
          <w:p w14:paraId="653F3EB5">
            <w:pPr>
              <w:pStyle w:val="10"/>
              <w:jc w:val="center"/>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劣</w:t>
            </w:r>
          </w:p>
        </w:tc>
      </w:tr>
      <w:tr w14:paraId="3DBB9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35" w:type="dxa"/>
            <w:noWrap w:val="0"/>
            <w:vAlign w:val="center"/>
          </w:tcPr>
          <w:p w14:paraId="1A443613">
            <w:pPr>
              <w:pStyle w:val="10"/>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指标说明</w:t>
            </w:r>
          </w:p>
        </w:tc>
        <w:tc>
          <w:tcPr>
            <w:tcW w:w="1751" w:type="dxa"/>
            <w:noWrap w:val="0"/>
            <w:vAlign w:val="center"/>
          </w:tcPr>
          <w:p w14:paraId="09CDF721">
            <w:pPr>
              <w:pStyle w:val="10"/>
              <w:jc w:val="center"/>
              <w:rPr>
                <w:rFonts w:hint="eastAsia" w:ascii="仿宋_GB2312" w:hAnsi="仿宋_GB2312" w:eastAsia="仿宋_GB2312" w:cs="仿宋_GB2312"/>
                <w:color w:val="auto"/>
                <w:sz w:val="20"/>
                <w:szCs w:val="20"/>
                <w:highlight w:val="none"/>
                <w:lang w:eastAsia="zh-CN"/>
              </w:rPr>
            </w:pPr>
            <w:r>
              <w:rPr>
                <w:rFonts w:hint="eastAsia" w:ascii="仿宋_GB2312" w:hAnsi="仿宋_GB2312" w:eastAsia="仿宋_GB2312" w:cs="仿宋_GB2312"/>
                <w:color w:val="auto"/>
                <w:sz w:val="20"/>
                <w:szCs w:val="20"/>
                <w:highlight w:val="none"/>
                <w:lang w:eastAsia="zh-CN"/>
              </w:rPr>
              <w:t>商业服务业用地</w:t>
            </w:r>
          </w:p>
        </w:tc>
        <w:tc>
          <w:tcPr>
            <w:tcW w:w="1710" w:type="dxa"/>
            <w:noWrap w:val="0"/>
            <w:vAlign w:val="center"/>
          </w:tcPr>
          <w:p w14:paraId="5CC7CFD5">
            <w:pPr>
              <w:pStyle w:val="10"/>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商服与公建混合</w:t>
            </w:r>
          </w:p>
        </w:tc>
        <w:tc>
          <w:tcPr>
            <w:tcW w:w="1665" w:type="dxa"/>
            <w:noWrap w:val="0"/>
            <w:vAlign w:val="center"/>
          </w:tcPr>
          <w:p w14:paraId="77502718">
            <w:pPr>
              <w:pStyle w:val="10"/>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商服与居住混合</w:t>
            </w:r>
          </w:p>
        </w:tc>
        <w:tc>
          <w:tcPr>
            <w:tcW w:w="1110" w:type="dxa"/>
            <w:noWrap w:val="0"/>
            <w:vAlign w:val="center"/>
          </w:tcPr>
          <w:p w14:paraId="1C41D736">
            <w:pPr>
              <w:pStyle w:val="10"/>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居住用地</w:t>
            </w:r>
          </w:p>
        </w:tc>
        <w:tc>
          <w:tcPr>
            <w:tcW w:w="1051" w:type="dxa"/>
            <w:noWrap w:val="0"/>
            <w:vAlign w:val="center"/>
          </w:tcPr>
          <w:p w14:paraId="5F947988">
            <w:pPr>
              <w:pStyle w:val="10"/>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其他用地</w:t>
            </w:r>
          </w:p>
        </w:tc>
      </w:tr>
      <w:tr w14:paraId="6AB2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35" w:type="dxa"/>
            <w:noWrap w:val="0"/>
            <w:vAlign w:val="center"/>
          </w:tcPr>
          <w:p w14:paraId="0CDA9326">
            <w:pPr>
              <w:pStyle w:val="10"/>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修正系数</w:t>
            </w:r>
          </w:p>
        </w:tc>
        <w:tc>
          <w:tcPr>
            <w:tcW w:w="1751" w:type="dxa"/>
            <w:noWrap w:val="0"/>
            <w:vAlign w:val="center"/>
          </w:tcPr>
          <w:p w14:paraId="5E4D82D2">
            <w:pPr>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1.02</w:t>
            </w:r>
          </w:p>
        </w:tc>
        <w:tc>
          <w:tcPr>
            <w:tcW w:w="1710" w:type="dxa"/>
            <w:noWrap w:val="0"/>
            <w:vAlign w:val="center"/>
          </w:tcPr>
          <w:p w14:paraId="1236B9F6">
            <w:pPr>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1.01</w:t>
            </w:r>
          </w:p>
        </w:tc>
        <w:tc>
          <w:tcPr>
            <w:tcW w:w="1665" w:type="dxa"/>
            <w:noWrap w:val="0"/>
            <w:vAlign w:val="center"/>
          </w:tcPr>
          <w:p w14:paraId="7EC00982">
            <w:pPr>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1.00</w:t>
            </w:r>
          </w:p>
        </w:tc>
        <w:tc>
          <w:tcPr>
            <w:tcW w:w="1110" w:type="dxa"/>
            <w:noWrap w:val="0"/>
            <w:vAlign w:val="center"/>
          </w:tcPr>
          <w:p w14:paraId="66DD89A8">
            <w:pPr>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0.99</w:t>
            </w:r>
          </w:p>
        </w:tc>
        <w:tc>
          <w:tcPr>
            <w:tcW w:w="1051" w:type="dxa"/>
            <w:noWrap w:val="0"/>
            <w:vAlign w:val="center"/>
          </w:tcPr>
          <w:p w14:paraId="3A617DC3">
            <w:pPr>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0.98</w:t>
            </w:r>
          </w:p>
        </w:tc>
      </w:tr>
    </w:tbl>
    <w:p w14:paraId="526C13DC">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601"/>
        <w:textAlignment w:val="auto"/>
        <w:rPr>
          <w:rFonts w:hint="eastAsia" w:ascii="仿宋_GB2312" w:hAnsi="仿宋_GB2312" w:eastAsia="仿宋_GB2312" w:cs="仿宋_GB2312"/>
          <w:bCs w:val="0"/>
          <w:sz w:val="28"/>
          <w:szCs w:val="28"/>
          <w:highlight w:val="none"/>
        </w:rPr>
      </w:pPr>
      <w:r>
        <w:rPr>
          <w:rFonts w:hint="eastAsia" w:ascii="仿宋_GB2312" w:hAnsi="仿宋_GB2312" w:eastAsia="仿宋_GB2312" w:cs="仿宋_GB2312"/>
          <w:sz w:val="28"/>
          <w:szCs w:val="28"/>
          <w:highlight w:val="none"/>
          <w:lang w:val="en-US" w:eastAsia="zh-CN"/>
        </w:rPr>
        <w:t>12、</w:t>
      </w:r>
      <w:r>
        <w:rPr>
          <w:rFonts w:hint="eastAsia" w:ascii="仿宋_GB2312" w:hAnsi="仿宋_GB2312" w:eastAsia="仿宋_GB2312" w:cs="仿宋_GB2312"/>
          <w:sz w:val="28"/>
          <w:szCs w:val="28"/>
          <w:highlight w:val="none"/>
        </w:rPr>
        <w:t>建筑物朝向修正系数（Kto）的确定</w:t>
      </w:r>
    </w:p>
    <w:p w14:paraId="149CC662">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rPr>
        <w:t>委托方未提供建筑物朝向有关资料，通过现场勘查得所评估宗地</w:t>
      </w:r>
      <w:r>
        <w:rPr>
          <w:rFonts w:hint="eastAsia" w:ascii="仿宋_GB2312" w:hAnsi="仿宋_GB2312" w:eastAsia="仿宋_GB2312" w:cs="仿宋_GB2312"/>
          <w:bCs/>
          <w:sz w:val="28"/>
          <w:highlight w:val="none"/>
        </w:rPr>
        <w:t>地上住宅建筑物朝向为</w:t>
      </w:r>
      <w:r>
        <w:rPr>
          <w:rFonts w:hint="eastAsia" w:ascii="仿宋_GB2312" w:hAnsi="仿宋_GB2312" w:eastAsia="仿宋_GB2312" w:cs="仿宋_GB2312"/>
          <w:bCs/>
          <w:sz w:val="28"/>
          <w:highlight w:val="none"/>
          <w:lang w:val="en-US" w:eastAsia="zh-CN"/>
        </w:rPr>
        <w:t>东</w:t>
      </w:r>
      <w:r>
        <w:rPr>
          <w:rFonts w:hint="eastAsia" w:ascii="仿宋_GB2312" w:hAnsi="仿宋_GB2312" w:eastAsia="仿宋_GB2312" w:cs="仿宋_GB2312"/>
          <w:sz w:val="28"/>
          <w:highlight w:val="none"/>
        </w:rPr>
        <w:t>，</w:t>
      </w:r>
      <w:r>
        <w:rPr>
          <w:rFonts w:hint="eastAsia" w:ascii="仿宋_GB2312" w:hAnsi="仿宋_GB2312" w:eastAsia="仿宋_GB2312" w:cs="仿宋_GB2312"/>
          <w:bCs/>
          <w:sz w:val="28"/>
          <w:highlight w:val="none"/>
        </w:rPr>
        <w:t>根据</w:t>
      </w:r>
      <w:r>
        <w:rPr>
          <w:rFonts w:hint="eastAsia" w:ascii="仿宋_GB2312" w:hAnsi="仿宋_GB2312" w:eastAsia="仿宋_GB2312" w:cs="仿宋_GB2312"/>
          <w:bCs/>
          <w:sz w:val="28"/>
          <w:szCs w:val="20"/>
          <w:highlight w:val="none"/>
          <w:lang w:eastAsia="zh-CN"/>
        </w:rPr>
        <w:t>《</w:t>
      </w:r>
      <w:r>
        <w:rPr>
          <w:rFonts w:hint="eastAsia" w:ascii="仿宋_GB2312" w:hAnsi="仿宋_GB2312" w:eastAsia="仿宋_GB2312" w:cs="仿宋_GB2312"/>
          <w:bCs/>
          <w:sz w:val="28"/>
          <w:szCs w:val="20"/>
          <w:highlight w:val="none"/>
          <w:lang w:val="en-US" w:eastAsia="zh-CN"/>
        </w:rPr>
        <w:t>通道侗族自治县</w:t>
      </w:r>
      <w:r>
        <w:rPr>
          <w:rFonts w:hint="eastAsia" w:ascii="仿宋_GB2312" w:hAnsi="仿宋_GB2312" w:eastAsia="仿宋_GB2312" w:cs="仿宋_GB2312"/>
          <w:bCs/>
          <w:sz w:val="28"/>
          <w:szCs w:val="20"/>
          <w:highlight w:val="none"/>
          <w:lang w:eastAsia="zh-CN"/>
        </w:rPr>
        <w:t>城镇基准地价更新技术报告》（202</w:t>
      </w:r>
      <w:r>
        <w:rPr>
          <w:rFonts w:hint="eastAsia" w:ascii="仿宋_GB2312" w:hAnsi="仿宋_GB2312" w:eastAsia="仿宋_GB2312" w:cs="仿宋_GB2312"/>
          <w:bCs/>
          <w:sz w:val="28"/>
          <w:szCs w:val="20"/>
          <w:highlight w:val="none"/>
          <w:lang w:val="en-US" w:eastAsia="zh-CN"/>
        </w:rPr>
        <w:t>5</w:t>
      </w:r>
      <w:r>
        <w:rPr>
          <w:rFonts w:hint="eastAsia" w:ascii="仿宋_GB2312" w:hAnsi="仿宋_GB2312" w:eastAsia="仿宋_GB2312" w:cs="仿宋_GB2312"/>
          <w:bCs/>
          <w:sz w:val="28"/>
          <w:szCs w:val="20"/>
          <w:highlight w:val="none"/>
          <w:lang w:eastAsia="zh-CN"/>
        </w:rPr>
        <w:t>年</w:t>
      </w:r>
      <w:r>
        <w:rPr>
          <w:rFonts w:hint="eastAsia" w:ascii="仿宋_GB2312" w:hAnsi="仿宋_GB2312" w:eastAsia="仿宋_GB2312" w:cs="仿宋_GB2312"/>
          <w:bCs/>
          <w:sz w:val="28"/>
          <w:szCs w:val="20"/>
          <w:highlight w:val="none"/>
          <w:lang w:val="en-US" w:eastAsia="zh-CN"/>
        </w:rPr>
        <w:t>11</w:t>
      </w:r>
      <w:r>
        <w:rPr>
          <w:rFonts w:hint="eastAsia" w:ascii="仿宋_GB2312" w:hAnsi="仿宋_GB2312" w:eastAsia="仿宋_GB2312" w:cs="仿宋_GB2312"/>
          <w:bCs/>
          <w:sz w:val="28"/>
          <w:szCs w:val="20"/>
          <w:highlight w:val="none"/>
          <w:lang w:eastAsia="zh-CN"/>
        </w:rPr>
        <w:t>月）</w:t>
      </w:r>
      <w:r>
        <w:rPr>
          <w:rFonts w:hint="eastAsia" w:ascii="仿宋_GB2312" w:hAnsi="仿宋_GB2312" w:eastAsia="仿宋_GB2312" w:cs="仿宋_GB2312"/>
          <w:sz w:val="28"/>
          <w:highlight w:val="none"/>
        </w:rPr>
        <w:t>中《</w:t>
      </w:r>
      <w:r>
        <w:rPr>
          <w:rFonts w:hint="eastAsia" w:ascii="仿宋_GB2312" w:hAnsi="仿宋_GB2312" w:eastAsia="仿宋_GB2312" w:cs="仿宋_GB2312"/>
          <w:sz w:val="28"/>
          <w:highlight w:val="none"/>
          <w:lang w:eastAsia="zh-CN"/>
        </w:rPr>
        <w:t>建筑物朝向修正系数表</w:t>
      </w:r>
      <w:r>
        <w:rPr>
          <w:rFonts w:hint="eastAsia" w:ascii="仿宋_GB2312" w:hAnsi="仿宋_GB2312" w:eastAsia="仿宋_GB2312" w:cs="仿宋_GB2312"/>
          <w:sz w:val="28"/>
          <w:highlight w:val="none"/>
        </w:rPr>
        <w:t>》，可得待估宗地建筑物朝向修正系数Kto=1.0。</w:t>
      </w:r>
    </w:p>
    <w:p w14:paraId="0488ED2C">
      <w:pPr>
        <w:keepNext w:val="0"/>
        <w:keepLines w:val="0"/>
        <w:pageBreakBefore w:val="0"/>
        <w:widowControl w:val="0"/>
        <w:kinsoku/>
        <w:wordWrap/>
        <w:overflowPunct/>
        <w:topLinePunct w:val="0"/>
        <w:autoSpaceDE/>
        <w:autoSpaceDN/>
        <w:bidi w:val="0"/>
        <w:spacing w:line="480" w:lineRule="exact"/>
        <w:ind w:firstLine="280" w:firstLineChars="100"/>
        <w:jc w:val="center"/>
        <w:textAlignment w:val="auto"/>
        <w:rPr>
          <w:rFonts w:hint="eastAsia" w:ascii="仿宋_GB2312" w:hAnsi="仿宋_GB2312" w:eastAsia="仿宋_GB2312" w:cs="仿宋_GB2312"/>
          <w:sz w:val="28"/>
          <w:szCs w:val="20"/>
          <w:highlight w:val="none"/>
          <w:lang w:eastAsia="zh-CN"/>
        </w:rPr>
      </w:pPr>
      <w:r>
        <w:rPr>
          <w:rFonts w:hint="eastAsia" w:ascii="仿宋_GB2312" w:hAnsi="仿宋_GB2312" w:eastAsia="仿宋_GB2312" w:cs="仿宋_GB2312"/>
          <w:sz w:val="28"/>
          <w:szCs w:val="20"/>
          <w:highlight w:val="none"/>
        </w:rPr>
        <w:t>表3-1</w:t>
      </w:r>
      <w:r>
        <w:rPr>
          <w:rFonts w:hint="eastAsia" w:ascii="仿宋_GB2312" w:hAnsi="仿宋_GB2312" w:eastAsia="仿宋_GB2312" w:cs="仿宋_GB2312"/>
          <w:sz w:val="28"/>
          <w:szCs w:val="20"/>
          <w:highlight w:val="none"/>
          <w:lang w:val="en-US" w:eastAsia="zh-CN"/>
        </w:rPr>
        <w:t>1</w:t>
      </w:r>
      <w:r>
        <w:rPr>
          <w:rFonts w:hint="eastAsia" w:ascii="仿宋_GB2312" w:hAnsi="仿宋_GB2312" w:eastAsia="仿宋_GB2312" w:cs="仿宋_GB2312"/>
          <w:sz w:val="28"/>
          <w:szCs w:val="20"/>
          <w:highlight w:val="none"/>
        </w:rPr>
        <w:t xml:space="preserve"> </w:t>
      </w:r>
      <w:r>
        <w:rPr>
          <w:rFonts w:hint="eastAsia" w:ascii="仿宋_GB2312" w:hAnsi="仿宋_GB2312" w:eastAsia="仿宋_GB2312" w:cs="仿宋_GB2312"/>
          <w:sz w:val="28"/>
          <w:szCs w:val="20"/>
          <w:highlight w:val="none"/>
          <w:lang w:eastAsia="zh-CN"/>
        </w:rPr>
        <w:t>建筑物朝向修正系数表</w:t>
      </w:r>
    </w:p>
    <w:tbl>
      <w:tblPr>
        <w:tblStyle w:val="11"/>
        <w:tblW w:w="8598"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811"/>
        <w:gridCol w:w="1017"/>
        <w:gridCol w:w="1415"/>
        <w:gridCol w:w="1418"/>
        <w:gridCol w:w="1288"/>
        <w:gridCol w:w="1649"/>
      </w:tblGrid>
      <w:tr w14:paraId="187E53D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90" w:hRule="atLeast"/>
          <w:jc w:val="center"/>
        </w:trPr>
        <w:tc>
          <w:tcPr>
            <w:tcW w:w="1811" w:type="dxa"/>
            <w:noWrap w:val="0"/>
            <w:vAlign w:val="center"/>
          </w:tcPr>
          <w:p w14:paraId="3B69A01F">
            <w:pPr>
              <w:pStyle w:val="22"/>
              <w:ind w:firstLine="0" w:firstLineChars="0"/>
              <w:jc w:val="center"/>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b/>
                <w:bCs/>
                <w:color w:val="auto"/>
                <w:sz w:val="20"/>
                <w:szCs w:val="20"/>
                <w:highlight w:val="none"/>
              </w:rPr>
              <w:t>指标标准说明</w:t>
            </w:r>
          </w:p>
        </w:tc>
        <w:tc>
          <w:tcPr>
            <w:tcW w:w="1017" w:type="dxa"/>
            <w:noWrap w:val="0"/>
            <w:vAlign w:val="center"/>
          </w:tcPr>
          <w:p w14:paraId="62C60C62">
            <w:pPr>
              <w:pStyle w:val="22"/>
              <w:ind w:firstLine="0" w:firstLineChars="0"/>
              <w:jc w:val="center"/>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b/>
                <w:bCs/>
                <w:color w:val="auto"/>
                <w:sz w:val="20"/>
                <w:szCs w:val="20"/>
                <w:highlight w:val="none"/>
              </w:rPr>
              <w:t>南</w:t>
            </w:r>
          </w:p>
        </w:tc>
        <w:tc>
          <w:tcPr>
            <w:tcW w:w="1415" w:type="dxa"/>
            <w:noWrap w:val="0"/>
            <w:vAlign w:val="center"/>
          </w:tcPr>
          <w:p w14:paraId="491DBD29">
            <w:pPr>
              <w:pStyle w:val="22"/>
              <w:ind w:firstLine="0" w:firstLineChars="0"/>
              <w:jc w:val="center"/>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b/>
                <w:bCs/>
                <w:color w:val="auto"/>
                <w:sz w:val="20"/>
                <w:szCs w:val="20"/>
                <w:highlight w:val="none"/>
              </w:rPr>
              <w:t>东南</w:t>
            </w:r>
          </w:p>
        </w:tc>
        <w:tc>
          <w:tcPr>
            <w:tcW w:w="1418" w:type="dxa"/>
            <w:noWrap w:val="0"/>
            <w:vAlign w:val="center"/>
          </w:tcPr>
          <w:p w14:paraId="1A36DFA2">
            <w:pPr>
              <w:pStyle w:val="22"/>
              <w:ind w:firstLine="0" w:firstLineChars="0"/>
              <w:jc w:val="center"/>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b/>
                <w:bCs/>
                <w:color w:val="auto"/>
                <w:sz w:val="20"/>
                <w:szCs w:val="20"/>
                <w:highlight w:val="none"/>
              </w:rPr>
              <w:t>东、西南</w:t>
            </w:r>
          </w:p>
        </w:tc>
        <w:tc>
          <w:tcPr>
            <w:tcW w:w="1288" w:type="dxa"/>
            <w:noWrap w:val="0"/>
            <w:vAlign w:val="center"/>
          </w:tcPr>
          <w:p w14:paraId="23C93EC1">
            <w:pPr>
              <w:pStyle w:val="22"/>
              <w:ind w:firstLine="0" w:firstLineChars="0"/>
              <w:jc w:val="center"/>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b/>
                <w:bCs/>
                <w:color w:val="auto"/>
                <w:sz w:val="20"/>
                <w:szCs w:val="20"/>
                <w:highlight w:val="none"/>
              </w:rPr>
              <w:t>东北</w:t>
            </w:r>
          </w:p>
        </w:tc>
        <w:tc>
          <w:tcPr>
            <w:tcW w:w="1649" w:type="dxa"/>
            <w:noWrap w:val="0"/>
            <w:vAlign w:val="center"/>
          </w:tcPr>
          <w:p w14:paraId="78322C9C">
            <w:pPr>
              <w:pStyle w:val="22"/>
              <w:ind w:firstLine="0" w:firstLineChars="0"/>
              <w:jc w:val="center"/>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b/>
                <w:bCs/>
                <w:color w:val="auto"/>
                <w:sz w:val="20"/>
                <w:szCs w:val="20"/>
                <w:highlight w:val="none"/>
              </w:rPr>
              <w:t>北、西、西北</w:t>
            </w:r>
          </w:p>
        </w:tc>
      </w:tr>
      <w:tr w14:paraId="22242E6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90" w:hRule="atLeast"/>
          <w:jc w:val="center"/>
        </w:trPr>
        <w:tc>
          <w:tcPr>
            <w:tcW w:w="1811" w:type="dxa"/>
            <w:noWrap w:val="0"/>
            <w:vAlign w:val="center"/>
          </w:tcPr>
          <w:p w14:paraId="3CC89FD1">
            <w:pPr>
              <w:pStyle w:val="22"/>
              <w:ind w:firstLine="0" w:firstLineChars="0"/>
              <w:jc w:val="center"/>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color w:val="auto"/>
                <w:sz w:val="20"/>
                <w:szCs w:val="20"/>
                <w:highlight w:val="none"/>
              </w:rPr>
              <w:t>修正系数</w:t>
            </w:r>
          </w:p>
        </w:tc>
        <w:tc>
          <w:tcPr>
            <w:tcW w:w="1017" w:type="dxa"/>
            <w:noWrap w:val="0"/>
            <w:vAlign w:val="center"/>
          </w:tcPr>
          <w:p w14:paraId="06691B8A">
            <w:pPr>
              <w:widowControl/>
              <w:jc w:val="center"/>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color w:val="auto"/>
                <w:kern w:val="0"/>
                <w:sz w:val="20"/>
                <w:szCs w:val="20"/>
                <w:highlight w:val="none"/>
              </w:rPr>
              <w:t>1.02</w:t>
            </w:r>
          </w:p>
        </w:tc>
        <w:tc>
          <w:tcPr>
            <w:tcW w:w="1415" w:type="dxa"/>
            <w:noWrap w:val="0"/>
            <w:vAlign w:val="center"/>
          </w:tcPr>
          <w:p w14:paraId="27D31FAB">
            <w:pPr>
              <w:widowControl/>
              <w:jc w:val="center"/>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color w:val="auto"/>
                <w:kern w:val="0"/>
                <w:sz w:val="20"/>
                <w:szCs w:val="20"/>
                <w:highlight w:val="none"/>
              </w:rPr>
              <w:t>1.01</w:t>
            </w:r>
          </w:p>
        </w:tc>
        <w:tc>
          <w:tcPr>
            <w:tcW w:w="1418" w:type="dxa"/>
            <w:noWrap w:val="0"/>
            <w:vAlign w:val="center"/>
          </w:tcPr>
          <w:p w14:paraId="4BEB111C">
            <w:pPr>
              <w:widowControl/>
              <w:jc w:val="center"/>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color w:val="auto"/>
                <w:kern w:val="0"/>
                <w:sz w:val="20"/>
                <w:szCs w:val="20"/>
                <w:highlight w:val="none"/>
              </w:rPr>
              <w:t>1.00</w:t>
            </w:r>
          </w:p>
        </w:tc>
        <w:tc>
          <w:tcPr>
            <w:tcW w:w="1288" w:type="dxa"/>
            <w:noWrap w:val="0"/>
            <w:vAlign w:val="center"/>
          </w:tcPr>
          <w:p w14:paraId="3132A481">
            <w:pPr>
              <w:widowControl/>
              <w:jc w:val="center"/>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color w:val="auto"/>
                <w:kern w:val="0"/>
                <w:sz w:val="20"/>
                <w:szCs w:val="20"/>
                <w:highlight w:val="none"/>
              </w:rPr>
              <w:t>0.99</w:t>
            </w:r>
          </w:p>
        </w:tc>
        <w:tc>
          <w:tcPr>
            <w:tcW w:w="1649" w:type="dxa"/>
            <w:noWrap w:val="0"/>
            <w:vAlign w:val="center"/>
          </w:tcPr>
          <w:p w14:paraId="50C610AC">
            <w:pPr>
              <w:widowControl/>
              <w:jc w:val="center"/>
              <w:rPr>
                <w:rFonts w:hint="eastAsia" w:ascii="仿宋_GB2312" w:hAnsi="仿宋_GB2312" w:eastAsia="仿宋_GB2312" w:cs="仿宋_GB2312"/>
                <w:kern w:val="0"/>
                <w:sz w:val="20"/>
                <w:szCs w:val="20"/>
                <w:highlight w:val="none"/>
              </w:rPr>
            </w:pPr>
            <w:r>
              <w:rPr>
                <w:rFonts w:hint="eastAsia" w:ascii="仿宋_GB2312" w:hAnsi="仿宋_GB2312" w:eastAsia="仿宋_GB2312" w:cs="仿宋_GB2312"/>
                <w:color w:val="auto"/>
                <w:kern w:val="0"/>
                <w:sz w:val="20"/>
                <w:szCs w:val="20"/>
                <w:highlight w:val="none"/>
              </w:rPr>
              <w:t>0.98</w:t>
            </w:r>
          </w:p>
        </w:tc>
      </w:tr>
    </w:tbl>
    <w:p w14:paraId="7B39D53A">
      <w:pPr>
        <w:numPr>
          <w:ilvl w:val="0"/>
          <w:numId w:val="0"/>
        </w:numPr>
        <w:adjustRightInd w:val="0"/>
        <w:snapToGrid w:val="0"/>
        <w:spacing w:line="480" w:lineRule="exact"/>
        <w:ind w:firstLine="601"/>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13、街角地修正系数（Kc）的确定</w:t>
      </w:r>
    </w:p>
    <w:p w14:paraId="2CE2A7B4">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街角地是指同时临两条相互交叉路段的宗地，街角条件是影响</w:t>
      </w:r>
      <w:r>
        <w:rPr>
          <w:rFonts w:hint="eastAsia" w:ascii="仿宋_GB2312" w:hAnsi="仿宋_GB2312" w:eastAsia="仿宋_GB2312" w:cs="仿宋_GB2312"/>
          <w:color w:val="auto"/>
          <w:sz w:val="28"/>
          <w:szCs w:val="28"/>
          <w:highlight w:val="none"/>
          <w:lang w:eastAsia="zh-CN"/>
        </w:rPr>
        <w:t>商业服务业用地</w:t>
      </w:r>
      <w:r>
        <w:rPr>
          <w:rFonts w:hint="eastAsia" w:ascii="仿宋_GB2312" w:hAnsi="仿宋_GB2312" w:eastAsia="仿宋_GB2312" w:cs="仿宋_GB2312"/>
          <w:color w:val="auto"/>
          <w:sz w:val="28"/>
          <w:szCs w:val="28"/>
          <w:highlight w:val="none"/>
        </w:rPr>
        <w:t xml:space="preserve">地价最重要的微观区域因素之一。街角地交通便利，车流量、人流量大，单位面积的 </w:t>
      </w:r>
      <w:r>
        <w:rPr>
          <w:rFonts w:hint="eastAsia" w:ascii="仿宋_GB2312" w:hAnsi="仿宋_GB2312" w:eastAsia="仿宋_GB2312" w:cs="仿宋_GB2312"/>
          <w:color w:val="auto"/>
          <w:sz w:val="28"/>
          <w:szCs w:val="28"/>
          <w:highlight w:val="none"/>
          <w:lang w:eastAsia="zh-CN"/>
        </w:rPr>
        <w:t>商业服务业用地</w:t>
      </w:r>
      <w:r>
        <w:rPr>
          <w:rFonts w:hint="eastAsia" w:ascii="仿宋_GB2312" w:hAnsi="仿宋_GB2312" w:eastAsia="仿宋_GB2312" w:cs="仿宋_GB2312"/>
          <w:color w:val="auto"/>
          <w:sz w:val="28"/>
          <w:szCs w:val="28"/>
          <w:highlight w:val="none"/>
        </w:rPr>
        <w:t>效益远高于其它地段，地价水平也相应较高。在调查</w:t>
      </w:r>
      <w:r>
        <w:rPr>
          <w:rFonts w:hint="eastAsia" w:ascii="仿宋_GB2312" w:hAnsi="仿宋_GB2312" w:eastAsia="仿宋_GB2312" w:cs="仿宋_GB2312"/>
          <w:color w:val="auto"/>
          <w:sz w:val="28"/>
          <w:szCs w:val="28"/>
          <w:highlight w:val="none"/>
          <w:lang w:eastAsia="zh-CN"/>
        </w:rPr>
        <w:t>通道县</w:t>
      </w:r>
      <w:r>
        <w:rPr>
          <w:rFonts w:hint="eastAsia" w:ascii="仿宋_GB2312" w:hAnsi="仿宋_GB2312" w:eastAsia="仿宋_GB2312" w:cs="仿宋_GB2312"/>
          <w:color w:val="auto"/>
          <w:sz w:val="28"/>
          <w:szCs w:val="28"/>
          <w:highlight w:val="none"/>
        </w:rPr>
        <w:t>城区主要街 道街角地地价与同一街道普通宗地地价比例关系的基础上，并借鉴省内其它城市的经验，编制了</w:t>
      </w:r>
      <w:r>
        <w:rPr>
          <w:rFonts w:hint="eastAsia" w:ascii="仿宋_GB2312" w:hAnsi="仿宋_GB2312" w:eastAsia="仿宋_GB2312" w:cs="仿宋_GB2312"/>
          <w:color w:val="auto"/>
          <w:sz w:val="28"/>
          <w:szCs w:val="28"/>
          <w:highlight w:val="none"/>
          <w:lang w:eastAsia="zh-CN"/>
        </w:rPr>
        <w:t>通道县</w:t>
      </w:r>
      <w:r>
        <w:rPr>
          <w:rFonts w:hint="eastAsia" w:ascii="仿宋_GB2312" w:hAnsi="仿宋_GB2312" w:eastAsia="仿宋_GB2312" w:cs="仿宋_GB2312"/>
          <w:color w:val="auto"/>
          <w:sz w:val="28"/>
          <w:szCs w:val="28"/>
          <w:highlight w:val="none"/>
        </w:rPr>
        <w:t>城区</w:t>
      </w:r>
      <w:r>
        <w:rPr>
          <w:rFonts w:hint="eastAsia" w:ascii="仿宋_GB2312" w:hAnsi="仿宋_GB2312" w:eastAsia="仿宋_GB2312" w:cs="仿宋_GB2312"/>
          <w:color w:val="auto"/>
          <w:sz w:val="28"/>
          <w:szCs w:val="28"/>
          <w:highlight w:val="none"/>
          <w:lang w:eastAsia="zh-CN"/>
        </w:rPr>
        <w:t>商业服务业用地</w:t>
      </w:r>
      <w:r>
        <w:rPr>
          <w:rFonts w:hint="eastAsia" w:ascii="仿宋_GB2312" w:hAnsi="仿宋_GB2312" w:eastAsia="仿宋_GB2312" w:cs="仿宋_GB2312"/>
          <w:color w:val="auto"/>
          <w:sz w:val="28"/>
          <w:szCs w:val="28"/>
          <w:highlight w:val="none"/>
        </w:rPr>
        <w:t>街角地修正系数表 。在具体的操作过程中，必须注意以下几点：</w:t>
      </w:r>
    </w:p>
    <w:p w14:paraId="74ECF52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lang w:val="en-US" w:eastAsia="zh-CN"/>
        </w:rPr>
        <w:t>1、</w:t>
      </w:r>
      <w:r>
        <w:rPr>
          <w:rFonts w:hint="eastAsia" w:ascii="仿宋_GB2312" w:hAnsi="仿宋_GB2312" w:eastAsia="仿宋_GB2312" w:cs="仿宋_GB2312"/>
          <w:color w:val="auto"/>
          <w:sz w:val="28"/>
          <w:szCs w:val="28"/>
          <w:highlight w:val="none"/>
        </w:rPr>
        <w:t>修正范围为纵横里地线与临街线之间的区域；</w:t>
      </w:r>
    </w:p>
    <w:p w14:paraId="4366B97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lang w:val="en-US" w:eastAsia="zh-CN"/>
        </w:rPr>
        <w:t>2、</w:t>
      </w:r>
      <w:r>
        <w:rPr>
          <w:rFonts w:hint="eastAsia" w:ascii="仿宋_GB2312" w:hAnsi="仿宋_GB2312" w:eastAsia="仿宋_GB2312" w:cs="仿宋_GB2312"/>
          <w:color w:val="auto"/>
          <w:sz w:val="28"/>
          <w:szCs w:val="28"/>
          <w:highlight w:val="none"/>
        </w:rPr>
        <w:t>街角地的第一宗地以路线价高的街道为正街，路线价低的街道为旁街， 其余宗地以直接紧邻的街道为正街，另一街为邻街；</w:t>
      </w:r>
    </w:p>
    <w:p w14:paraId="4714375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lang w:val="en-US" w:eastAsia="zh-CN"/>
        </w:rPr>
        <w:t>3、</w:t>
      </w:r>
      <w:r>
        <w:rPr>
          <w:rFonts w:hint="eastAsia" w:ascii="仿宋_GB2312" w:hAnsi="仿宋_GB2312" w:eastAsia="仿宋_GB2312" w:cs="仿宋_GB2312"/>
          <w:color w:val="auto"/>
          <w:sz w:val="28"/>
          <w:szCs w:val="28"/>
          <w:highlight w:val="none"/>
        </w:rPr>
        <w:t>修正系数表中的修正幅度为正街地价比例。</w:t>
      </w:r>
    </w:p>
    <w:p w14:paraId="4991575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街角地地价的计算公式为：</w:t>
      </w:r>
    </w:p>
    <w:p w14:paraId="77F4EA2B">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rPr>
        <w:t>P</w:t>
      </w:r>
      <w:r>
        <w:rPr>
          <w:rFonts w:hint="eastAsia" w:ascii="仿宋_GB2312" w:hAnsi="仿宋_GB2312" w:eastAsia="仿宋_GB2312" w:cs="仿宋_GB2312"/>
          <w:color w:val="auto"/>
          <w:sz w:val="28"/>
          <w:szCs w:val="28"/>
          <w:highlight w:val="none"/>
          <w:vertAlign w:val="subscript"/>
        </w:rPr>
        <w:t>ml</w:t>
      </w:r>
      <w:r>
        <w:rPr>
          <w:rFonts w:hint="eastAsia" w:ascii="仿宋_GB2312" w:hAnsi="仿宋_GB2312" w:eastAsia="仿宋_GB2312" w:cs="仿宋_GB2312"/>
          <w:color w:val="auto"/>
          <w:sz w:val="28"/>
          <w:szCs w:val="28"/>
          <w:highlight w:val="none"/>
        </w:rPr>
        <w:t>=P</w:t>
      </w:r>
      <w:r>
        <w:rPr>
          <w:rFonts w:hint="eastAsia" w:ascii="仿宋_GB2312" w:hAnsi="仿宋_GB2312" w:eastAsia="仿宋_GB2312" w:cs="仿宋_GB2312"/>
          <w:color w:val="auto"/>
          <w:sz w:val="28"/>
          <w:szCs w:val="28"/>
          <w:highlight w:val="none"/>
          <w:vertAlign w:val="subscript"/>
        </w:rPr>
        <w:t>z</w:t>
      </w:r>
      <w:r>
        <w:rPr>
          <w:rFonts w:hint="eastAsia" w:ascii="仿宋_GB2312" w:hAnsi="仿宋_GB2312" w:eastAsia="仿宋_GB2312" w:cs="仿宋_GB2312"/>
          <w:color w:val="auto"/>
          <w:sz w:val="28"/>
          <w:szCs w:val="28"/>
          <w:highlight w:val="none"/>
        </w:rPr>
        <w:t xml:space="preserve"> ×K</w:t>
      </w:r>
      <w:r>
        <w:rPr>
          <w:rFonts w:hint="eastAsia" w:ascii="仿宋_GB2312" w:hAnsi="仿宋_GB2312" w:eastAsia="仿宋_GB2312" w:cs="仿宋_GB2312"/>
          <w:color w:val="auto"/>
          <w:sz w:val="28"/>
          <w:szCs w:val="28"/>
          <w:highlight w:val="none"/>
          <w:vertAlign w:val="subscript"/>
        </w:rPr>
        <w:t>c</w:t>
      </w:r>
    </w:p>
    <w:p w14:paraId="43A1143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式中，P</w:t>
      </w:r>
      <w:r>
        <w:rPr>
          <w:rFonts w:hint="eastAsia" w:ascii="仿宋_GB2312" w:hAnsi="仿宋_GB2312" w:eastAsia="仿宋_GB2312" w:cs="仿宋_GB2312"/>
          <w:color w:val="auto"/>
          <w:sz w:val="28"/>
          <w:szCs w:val="28"/>
          <w:highlight w:val="none"/>
          <w:vertAlign w:val="subscript"/>
        </w:rPr>
        <w:t>ml</w:t>
      </w:r>
      <w:r>
        <w:rPr>
          <w:rFonts w:hint="eastAsia" w:ascii="仿宋_GB2312" w:hAnsi="仿宋_GB2312" w:eastAsia="仿宋_GB2312" w:cs="仿宋_GB2312"/>
          <w:color w:val="auto"/>
          <w:sz w:val="28"/>
          <w:szCs w:val="28"/>
          <w:highlight w:val="none"/>
        </w:rPr>
        <w:t xml:space="preserve"> 为街角地修正后的</w:t>
      </w:r>
      <w:r>
        <w:rPr>
          <w:rFonts w:hint="eastAsia" w:ascii="仿宋_GB2312" w:hAnsi="仿宋_GB2312" w:eastAsia="仿宋_GB2312" w:cs="仿宋_GB2312"/>
          <w:color w:val="auto"/>
          <w:sz w:val="28"/>
          <w:szCs w:val="28"/>
          <w:highlight w:val="none"/>
          <w:lang w:eastAsia="zh-CN"/>
        </w:rPr>
        <w:t>商业服务业用地</w:t>
      </w:r>
      <w:r>
        <w:rPr>
          <w:rFonts w:hint="eastAsia" w:ascii="仿宋_GB2312" w:hAnsi="仿宋_GB2312" w:eastAsia="仿宋_GB2312" w:cs="仿宋_GB2312"/>
          <w:color w:val="auto"/>
          <w:sz w:val="28"/>
          <w:szCs w:val="28"/>
          <w:highlight w:val="none"/>
        </w:rPr>
        <w:t>地价，P</w:t>
      </w:r>
      <w:r>
        <w:rPr>
          <w:rFonts w:hint="eastAsia" w:ascii="仿宋_GB2312" w:hAnsi="仿宋_GB2312" w:eastAsia="仿宋_GB2312" w:cs="仿宋_GB2312"/>
          <w:color w:val="auto"/>
          <w:sz w:val="28"/>
          <w:szCs w:val="28"/>
          <w:highlight w:val="none"/>
          <w:vertAlign w:val="subscript"/>
        </w:rPr>
        <w:t>z</w:t>
      </w:r>
      <w:r>
        <w:rPr>
          <w:rFonts w:hint="eastAsia" w:ascii="仿宋_GB2312" w:hAnsi="仿宋_GB2312" w:eastAsia="仿宋_GB2312" w:cs="仿宋_GB2312"/>
          <w:color w:val="auto"/>
          <w:sz w:val="28"/>
          <w:szCs w:val="28"/>
          <w:highlight w:val="none"/>
        </w:rPr>
        <w:t xml:space="preserve"> 为主街地价，  K</w:t>
      </w:r>
      <w:r>
        <w:rPr>
          <w:rFonts w:hint="eastAsia" w:ascii="仿宋_GB2312" w:hAnsi="仿宋_GB2312" w:eastAsia="仿宋_GB2312" w:cs="仿宋_GB2312"/>
          <w:color w:val="auto"/>
          <w:sz w:val="28"/>
          <w:szCs w:val="28"/>
          <w:highlight w:val="none"/>
          <w:vertAlign w:val="subscript"/>
        </w:rPr>
        <w:t>c</w:t>
      </w:r>
      <w:r>
        <w:rPr>
          <w:rFonts w:hint="eastAsia" w:ascii="仿宋_GB2312" w:hAnsi="仿宋_GB2312" w:eastAsia="仿宋_GB2312" w:cs="仿宋_GB2312"/>
          <w:color w:val="auto"/>
          <w:sz w:val="28"/>
          <w:szCs w:val="28"/>
          <w:highlight w:val="none"/>
        </w:rPr>
        <w:t xml:space="preserve"> 为街角地价修正系数。</w:t>
      </w:r>
    </w:p>
    <w:p w14:paraId="5349695E">
      <w:pPr>
        <w:keepNext w:val="0"/>
        <w:keepLines w:val="0"/>
        <w:pageBreakBefore w:val="0"/>
        <w:widowControl/>
        <w:kinsoku/>
        <w:wordWrap/>
        <w:overflowPunct/>
        <w:topLinePunct w:val="0"/>
        <w:autoSpaceDE w:val="0"/>
        <w:autoSpaceDN w:val="0"/>
        <w:bidi w:val="0"/>
        <w:adjustRightInd w:val="0"/>
        <w:snapToGrid w:val="0"/>
        <w:spacing w:line="240" w:lineRule="atLeast"/>
        <w:ind w:firstLine="560" w:firstLineChars="200"/>
        <w:jc w:val="center"/>
        <w:textAlignment w:val="baseline"/>
        <w:rPr>
          <w:rFonts w:hint="default" w:ascii="Times New Roman" w:hAnsi="Times New Roman" w:eastAsia="宋体" w:cs="Times New Roman"/>
          <w:color w:val="auto"/>
          <w:sz w:val="24"/>
          <w:szCs w:val="24"/>
          <w:highlight w:val="none"/>
        </w:rPr>
      </w:pPr>
      <w:r>
        <w:rPr>
          <w:rFonts w:hint="eastAsia" w:ascii="仿宋_GB2312" w:hAnsi="仿宋_GB2312" w:eastAsia="仿宋_GB2312" w:cs="仿宋_GB2312"/>
          <w:sz w:val="28"/>
          <w:szCs w:val="20"/>
          <w:highlight w:val="none"/>
        </w:rPr>
        <w:t>表3-</w:t>
      </w:r>
      <w:r>
        <w:rPr>
          <w:rFonts w:hint="eastAsia" w:ascii="仿宋_GB2312" w:hAnsi="仿宋_GB2312" w:eastAsia="仿宋_GB2312" w:cs="仿宋_GB2312"/>
          <w:sz w:val="28"/>
          <w:szCs w:val="20"/>
          <w:highlight w:val="none"/>
          <w:lang w:val="en-US" w:eastAsia="zh-CN"/>
        </w:rPr>
        <w:t xml:space="preserve">12 </w:t>
      </w:r>
      <w:r>
        <w:rPr>
          <w:rFonts w:hint="default" w:ascii="Times New Roman" w:hAnsi="Times New Roman" w:eastAsia="宋体" w:cs="Times New Roman"/>
          <w:b/>
          <w:bCs/>
          <w:color w:val="auto"/>
          <w:sz w:val="21"/>
          <w:szCs w:val="21"/>
          <w:highlight w:val="none"/>
          <w:lang w:val="en-US" w:eastAsia="zh-CN"/>
        </w:rPr>
        <w:t xml:space="preserve"> </w:t>
      </w:r>
      <w:r>
        <w:rPr>
          <w:rFonts w:hint="eastAsia" w:ascii="仿宋_GB2312" w:hAnsi="仿宋_GB2312" w:eastAsia="仿宋_GB2312" w:cs="仿宋_GB2312"/>
          <w:sz w:val="28"/>
          <w:szCs w:val="20"/>
          <w:highlight w:val="none"/>
          <w:lang w:val="en-US" w:eastAsia="zh-CN"/>
        </w:rPr>
        <w:t>通道县商业服务业用地</w:t>
      </w:r>
      <w:r>
        <w:rPr>
          <w:rFonts w:hint="default" w:ascii="仿宋_GB2312" w:hAnsi="仿宋_GB2312" w:eastAsia="仿宋_GB2312" w:cs="仿宋_GB2312"/>
          <w:sz w:val="28"/>
          <w:szCs w:val="20"/>
          <w:highlight w:val="none"/>
          <w:lang w:val="en-US" w:eastAsia="zh-CN"/>
        </w:rPr>
        <w:t>街角地修正系数</w:t>
      </w:r>
    </w:p>
    <w:tbl>
      <w:tblPr>
        <w:tblStyle w:val="20"/>
        <w:tblW w:w="85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863"/>
        <w:gridCol w:w="1545"/>
        <w:gridCol w:w="1497"/>
        <w:gridCol w:w="1244"/>
        <w:gridCol w:w="1467"/>
        <w:gridCol w:w="939"/>
      </w:tblGrid>
      <w:tr w14:paraId="39A3B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5" w:hRule="atLeast"/>
          <w:jc w:val="center"/>
        </w:trPr>
        <w:tc>
          <w:tcPr>
            <w:tcW w:w="1863" w:type="dxa"/>
            <w:vAlign w:val="center"/>
          </w:tcPr>
          <w:p w14:paraId="2C3DCE14">
            <w:pPr>
              <w:jc w:val="center"/>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正街地价/旁街地价</w:t>
            </w:r>
          </w:p>
        </w:tc>
        <w:tc>
          <w:tcPr>
            <w:tcW w:w="1545" w:type="dxa"/>
            <w:vAlign w:val="center"/>
          </w:tcPr>
          <w:p w14:paraId="3E21715F">
            <w:pPr>
              <w:jc w:val="center"/>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( 1/ 1</w:t>
            </w:r>
            <w:r>
              <w:rPr>
                <w:rFonts w:hint="eastAsia" w:ascii="仿宋_GB2312" w:hAnsi="仿宋_GB2312" w:eastAsia="仿宋_GB2312" w:cs="仿宋_GB2312"/>
                <w:b/>
                <w:bCs/>
                <w:color w:val="auto"/>
                <w:sz w:val="20"/>
                <w:szCs w:val="20"/>
                <w:highlight w:val="none"/>
                <w:lang w:val="en-US" w:eastAsia="zh-CN"/>
              </w:rPr>
              <w:t>,</w:t>
            </w:r>
            <w:r>
              <w:rPr>
                <w:rFonts w:hint="eastAsia" w:ascii="仿宋_GB2312" w:hAnsi="仿宋_GB2312" w:eastAsia="仿宋_GB2312" w:cs="仿宋_GB2312"/>
                <w:b/>
                <w:bCs/>
                <w:color w:val="auto"/>
                <w:sz w:val="20"/>
                <w:szCs w:val="20"/>
                <w:highlight w:val="none"/>
              </w:rPr>
              <w:t>2/ 1]</w:t>
            </w:r>
          </w:p>
        </w:tc>
        <w:tc>
          <w:tcPr>
            <w:tcW w:w="1497" w:type="dxa"/>
            <w:vAlign w:val="center"/>
          </w:tcPr>
          <w:p w14:paraId="68A34887">
            <w:pPr>
              <w:jc w:val="center"/>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(2/ 1</w:t>
            </w:r>
            <w:r>
              <w:rPr>
                <w:rFonts w:hint="eastAsia" w:ascii="仿宋_GB2312" w:hAnsi="仿宋_GB2312" w:eastAsia="仿宋_GB2312" w:cs="仿宋_GB2312"/>
                <w:b/>
                <w:bCs/>
                <w:color w:val="auto"/>
                <w:sz w:val="20"/>
                <w:szCs w:val="20"/>
                <w:highlight w:val="none"/>
                <w:lang w:val="en-US" w:eastAsia="zh-CN"/>
              </w:rPr>
              <w:t>,</w:t>
            </w:r>
            <w:r>
              <w:rPr>
                <w:rFonts w:hint="eastAsia" w:ascii="仿宋_GB2312" w:hAnsi="仿宋_GB2312" w:eastAsia="仿宋_GB2312" w:cs="仿宋_GB2312"/>
                <w:b/>
                <w:bCs/>
                <w:color w:val="auto"/>
                <w:sz w:val="20"/>
                <w:szCs w:val="20"/>
                <w:highlight w:val="none"/>
              </w:rPr>
              <w:t>3/ 1]</w:t>
            </w:r>
          </w:p>
        </w:tc>
        <w:tc>
          <w:tcPr>
            <w:tcW w:w="1244" w:type="dxa"/>
            <w:vAlign w:val="center"/>
          </w:tcPr>
          <w:p w14:paraId="6E6E860B">
            <w:pPr>
              <w:jc w:val="center"/>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(3/ 1</w:t>
            </w:r>
            <w:r>
              <w:rPr>
                <w:rFonts w:hint="eastAsia" w:ascii="仿宋_GB2312" w:hAnsi="仿宋_GB2312" w:eastAsia="仿宋_GB2312" w:cs="仿宋_GB2312"/>
                <w:b/>
                <w:bCs/>
                <w:color w:val="auto"/>
                <w:sz w:val="20"/>
                <w:szCs w:val="20"/>
                <w:highlight w:val="none"/>
                <w:lang w:val="en-US" w:eastAsia="zh-CN"/>
              </w:rPr>
              <w:t>,</w:t>
            </w:r>
            <w:r>
              <w:rPr>
                <w:rFonts w:hint="eastAsia" w:ascii="仿宋_GB2312" w:hAnsi="仿宋_GB2312" w:eastAsia="仿宋_GB2312" w:cs="仿宋_GB2312"/>
                <w:b/>
                <w:bCs/>
                <w:color w:val="auto"/>
                <w:sz w:val="20"/>
                <w:szCs w:val="20"/>
                <w:highlight w:val="none"/>
              </w:rPr>
              <w:t>4/ 1]</w:t>
            </w:r>
          </w:p>
        </w:tc>
        <w:tc>
          <w:tcPr>
            <w:tcW w:w="1467" w:type="dxa"/>
            <w:vAlign w:val="center"/>
          </w:tcPr>
          <w:p w14:paraId="25AF7934">
            <w:pPr>
              <w:jc w:val="center"/>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(4/ 1</w:t>
            </w:r>
            <w:r>
              <w:rPr>
                <w:rFonts w:hint="eastAsia" w:ascii="仿宋_GB2312" w:hAnsi="仿宋_GB2312" w:eastAsia="仿宋_GB2312" w:cs="仿宋_GB2312"/>
                <w:b/>
                <w:bCs/>
                <w:color w:val="auto"/>
                <w:sz w:val="20"/>
                <w:szCs w:val="20"/>
                <w:highlight w:val="none"/>
                <w:lang w:val="en-US" w:eastAsia="zh-CN"/>
              </w:rPr>
              <w:t>,</w:t>
            </w:r>
            <w:r>
              <w:rPr>
                <w:rFonts w:hint="eastAsia" w:ascii="仿宋_GB2312" w:hAnsi="仿宋_GB2312" w:eastAsia="仿宋_GB2312" w:cs="仿宋_GB2312"/>
                <w:b/>
                <w:bCs/>
                <w:color w:val="auto"/>
                <w:sz w:val="20"/>
                <w:szCs w:val="20"/>
                <w:highlight w:val="none"/>
              </w:rPr>
              <w:t>5/ 1]</w:t>
            </w:r>
          </w:p>
        </w:tc>
        <w:tc>
          <w:tcPr>
            <w:tcW w:w="939" w:type="dxa"/>
            <w:vAlign w:val="center"/>
          </w:tcPr>
          <w:p w14:paraId="07B3D4B5">
            <w:pPr>
              <w:jc w:val="center"/>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&gt;5/ 1</w:t>
            </w:r>
          </w:p>
        </w:tc>
      </w:tr>
      <w:tr w14:paraId="4C0FE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0" w:hRule="atLeast"/>
          <w:jc w:val="center"/>
        </w:trPr>
        <w:tc>
          <w:tcPr>
            <w:tcW w:w="1863" w:type="dxa"/>
            <w:vAlign w:val="center"/>
          </w:tcPr>
          <w:p w14:paraId="4053D1DD">
            <w:pPr>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修正系数</w:t>
            </w:r>
          </w:p>
        </w:tc>
        <w:tc>
          <w:tcPr>
            <w:tcW w:w="1545" w:type="dxa"/>
            <w:vAlign w:val="center"/>
          </w:tcPr>
          <w:p w14:paraId="6D7280B7">
            <w:pPr>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1.311</w:t>
            </w:r>
          </w:p>
        </w:tc>
        <w:tc>
          <w:tcPr>
            <w:tcW w:w="1497" w:type="dxa"/>
            <w:vAlign w:val="center"/>
          </w:tcPr>
          <w:p w14:paraId="21D7F0D3">
            <w:pPr>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1. 169</w:t>
            </w:r>
          </w:p>
        </w:tc>
        <w:tc>
          <w:tcPr>
            <w:tcW w:w="1244" w:type="dxa"/>
            <w:vAlign w:val="center"/>
          </w:tcPr>
          <w:p w14:paraId="4830380C">
            <w:pPr>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1.087</w:t>
            </w:r>
          </w:p>
        </w:tc>
        <w:tc>
          <w:tcPr>
            <w:tcW w:w="1467" w:type="dxa"/>
            <w:vAlign w:val="center"/>
          </w:tcPr>
          <w:p w14:paraId="2FF3DB8D">
            <w:pPr>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1.058</w:t>
            </w:r>
          </w:p>
        </w:tc>
        <w:tc>
          <w:tcPr>
            <w:tcW w:w="939" w:type="dxa"/>
            <w:vAlign w:val="center"/>
          </w:tcPr>
          <w:p w14:paraId="293F3A02">
            <w:pPr>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1.028</w:t>
            </w:r>
          </w:p>
        </w:tc>
      </w:tr>
    </w:tbl>
    <w:p w14:paraId="38B32B37">
      <w:pPr>
        <w:numPr>
          <w:ilvl w:val="0"/>
          <w:numId w:val="0"/>
        </w:numPr>
        <w:adjustRightInd w:val="0"/>
        <w:snapToGrid w:val="0"/>
        <w:spacing w:line="480" w:lineRule="exact"/>
        <w:ind w:firstLine="601"/>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估价对象西临行政街，现状无街角地，故不需要进行街角地修正，</w:t>
      </w:r>
      <w:r>
        <w:rPr>
          <w:rFonts w:hint="eastAsia" w:ascii="仿宋_GB2312" w:hAnsi="仿宋_GB2312" w:eastAsia="仿宋_GB2312" w:cs="仿宋_GB2312"/>
          <w:sz w:val="28"/>
          <w:szCs w:val="28"/>
          <w:highlight w:val="none"/>
        </w:rPr>
        <w:t>则街角地修正系数Kc=</w:t>
      </w:r>
      <w:r>
        <w:rPr>
          <w:rFonts w:hint="eastAsia" w:ascii="仿宋_GB2312" w:hAnsi="仿宋_GB2312" w:eastAsia="仿宋_GB2312" w:cs="仿宋_GB2312"/>
          <w:sz w:val="28"/>
          <w:szCs w:val="28"/>
          <w:highlight w:val="none"/>
          <w:lang w:val="en-US" w:eastAsia="zh-CN"/>
        </w:rPr>
        <w:t>1.0。</w:t>
      </w:r>
    </w:p>
    <w:p w14:paraId="0BD7D187">
      <w:pPr>
        <w:numPr>
          <w:ilvl w:val="0"/>
          <w:numId w:val="0"/>
        </w:numPr>
        <w:adjustRightInd w:val="0"/>
        <w:snapToGrid w:val="0"/>
        <w:spacing w:line="480" w:lineRule="exact"/>
        <w:ind w:firstLine="601"/>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14、临街宽度修正系数（Kk）的确定</w:t>
      </w:r>
    </w:p>
    <w:p w14:paraId="6FC314C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baseline"/>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对临街土地特别是临街商业服务业用地来说，地块临街宽度不同，其地价是不相等的。由于临街商店铺面的宽窄不一，商店对顾客的吸引力会有所差异，进而影响到商店营业额，所以在路线价估价中，必须考虑宽度修正。根据调查通道县商业门面一般宽度以4米居多，一般临街宽度20米商业利用价值最大化。</w:t>
      </w:r>
    </w:p>
    <w:p w14:paraId="3A6AA010">
      <w:pPr>
        <w:pStyle w:val="2"/>
        <w:keepNext w:val="0"/>
        <w:keepLines w:val="0"/>
        <w:pageBreakBefore w:val="0"/>
        <w:widowControl w:val="0"/>
        <w:kinsoku/>
        <w:wordWrap/>
        <w:overflowPunct/>
        <w:topLinePunct w:val="0"/>
        <w:bidi w:val="0"/>
        <w:adjustRightInd w:val="0"/>
        <w:snapToGrid w:val="0"/>
        <w:spacing w:line="480" w:lineRule="exact"/>
        <w:rPr>
          <w:rFonts w:hint="default"/>
          <w:highlight w:val="none"/>
          <w:lang w:val="en-US" w:eastAsia="zh-CN"/>
        </w:rPr>
      </w:pPr>
      <w:r>
        <w:rPr>
          <w:rFonts w:hint="eastAsia" w:ascii="仿宋_GB2312" w:hAnsi="仿宋_GB2312" w:cs="仿宋_GB2312"/>
          <w:color w:val="auto"/>
          <w:sz w:val="28"/>
          <w:szCs w:val="28"/>
          <w:highlight w:val="none"/>
          <w:lang w:val="en-US" w:eastAsia="zh-CN"/>
        </w:rPr>
        <w:t>估价对象西临次干道行政街，</w:t>
      </w:r>
      <w:r>
        <w:rPr>
          <w:rFonts w:hint="eastAsia" w:ascii="仿宋_GB2312" w:hAnsi="仿宋_GB2312" w:eastAsia="仿宋_GB2312" w:cs="仿宋_GB2312"/>
          <w:snapToGrid w:val="0"/>
          <w:kern w:val="0"/>
          <w:sz w:val="28"/>
          <w:szCs w:val="28"/>
          <w:highlight w:val="none"/>
        </w:rPr>
        <w:t>待估宗地</w:t>
      </w:r>
      <w:r>
        <w:rPr>
          <w:rFonts w:hint="eastAsia" w:ascii="仿宋_GB2312" w:hAnsi="仿宋_GB2312" w:eastAsia="仿宋_GB2312" w:cs="仿宋_GB2312"/>
          <w:snapToGrid w:val="0"/>
          <w:kern w:val="0"/>
          <w:sz w:val="28"/>
          <w:szCs w:val="28"/>
          <w:highlight w:val="none"/>
          <w:lang w:val="en-US" w:eastAsia="zh-CN"/>
        </w:rPr>
        <w:t>总</w:t>
      </w:r>
      <w:r>
        <w:rPr>
          <w:rFonts w:hint="eastAsia" w:ascii="仿宋_GB2312" w:hAnsi="仿宋_GB2312" w:eastAsia="仿宋_GB2312" w:cs="仿宋_GB2312"/>
          <w:snapToGrid w:val="0"/>
          <w:kern w:val="0"/>
          <w:sz w:val="28"/>
          <w:szCs w:val="28"/>
          <w:highlight w:val="none"/>
        </w:rPr>
        <w:t>用</w:t>
      </w:r>
      <w:r>
        <w:rPr>
          <w:rFonts w:hint="eastAsia" w:ascii="仿宋_GB2312" w:hAnsi="仿宋_GB2312" w:eastAsia="仿宋_GB2312" w:cs="仿宋_GB2312"/>
          <w:snapToGrid w:val="0"/>
          <w:color w:val="000000"/>
          <w:kern w:val="0"/>
          <w:sz w:val="28"/>
          <w:szCs w:val="28"/>
          <w:highlight w:val="none"/>
        </w:rPr>
        <w:t>地面积为</w:t>
      </w:r>
      <w:r>
        <w:rPr>
          <w:rFonts w:hint="eastAsia" w:ascii="仿宋_GB2312" w:hAnsi="仿宋_GB2312" w:cs="仿宋_GB2312"/>
          <w:snapToGrid w:val="0"/>
          <w:color w:val="000000"/>
          <w:kern w:val="0"/>
          <w:sz w:val="28"/>
          <w:szCs w:val="28"/>
          <w:highlight w:val="none"/>
          <w:lang w:val="en-US" w:eastAsia="zh-CN"/>
        </w:rPr>
        <w:t>183.27</w:t>
      </w:r>
      <w:r>
        <w:rPr>
          <w:rFonts w:hint="eastAsia" w:ascii="仿宋_GB2312" w:hAnsi="仿宋_GB2312" w:eastAsia="仿宋_GB2312" w:cs="仿宋_GB2312"/>
          <w:snapToGrid w:val="0"/>
          <w:color w:val="000000"/>
          <w:kern w:val="0"/>
          <w:sz w:val="28"/>
          <w:szCs w:val="28"/>
          <w:highlight w:val="none"/>
        </w:rPr>
        <w:t>平方米</w:t>
      </w:r>
      <w:r>
        <w:rPr>
          <w:rFonts w:hint="eastAsia" w:ascii="仿宋_GB2312" w:hAnsi="仿宋_GB2312" w:eastAsia="仿宋_GB2312" w:cs="仿宋_GB2312"/>
          <w:snapToGrid w:val="0"/>
          <w:color w:val="000000"/>
          <w:kern w:val="0"/>
          <w:sz w:val="28"/>
          <w:szCs w:val="28"/>
          <w:highlight w:val="none"/>
          <w:lang w:eastAsia="zh-CN"/>
        </w:rPr>
        <w:t>，</w:t>
      </w:r>
      <w:r>
        <w:rPr>
          <w:rFonts w:hint="eastAsia" w:ascii="仿宋_GB2312" w:hAnsi="仿宋_GB2312" w:eastAsia="仿宋_GB2312" w:cs="仿宋_GB2312"/>
          <w:snapToGrid w:val="0"/>
          <w:color w:val="000000"/>
          <w:kern w:val="0"/>
          <w:sz w:val="28"/>
          <w:szCs w:val="28"/>
          <w:highlight w:val="none"/>
          <w:lang w:val="en-US" w:eastAsia="zh-CN"/>
        </w:rPr>
        <w:t>其中商服用地面积为</w:t>
      </w:r>
      <w:r>
        <w:rPr>
          <w:rFonts w:hint="eastAsia" w:ascii="仿宋_GB2312" w:hAnsi="仿宋_GB2312" w:cs="仿宋_GB2312"/>
          <w:snapToGrid w:val="0"/>
          <w:color w:val="000000"/>
          <w:kern w:val="0"/>
          <w:sz w:val="28"/>
          <w:szCs w:val="28"/>
          <w:highlight w:val="none"/>
          <w:lang w:val="en-US" w:eastAsia="zh-CN"/>
        </w:rPr>
        <w:t>40.38</w:t>
      </w:r>
      <w:r>
        <w:rPr>
          <w:rFonts w:hint="eastAsia" w:ascii="仿宋_GB2312" w:hAnsi="仿宋_GB2312" w:eastAsia="仿宋_GB2312" w:cs="仿宋_GB2312"/>
          <w:snapToGrid w:val="0"/>
          <w:color w:val="000000"/>
          <w:kern w:val="0"/>
          <w:sz w:val="28"/>
          <w:szCs w:val="28"/>
          <w:highlight w:val="none"/>
          <w:lang w:val="en-US" w:eastAsia="zh-CN"/>
        </w:rPr>
        <w:t>平方米，</w:t>
      </w:r>
      <w:r>
        <w:rPr>
          <w:rFonts w:hint="eastAsia" w:ascii="仿宋_GB2312" w:hAnsi="仿宋_GB2312" w:cs="仿宋_GB2312"/>
          <w:color w:val="auto"/>
          <w:sz w:val="28"/>
          <w:szCs w:val="28"/>
          <w:highlight w:val="none"/>
          <w:lang w:val="en-US" w:eastAsia="zh-CN"/>
        </w:rPr>
        <w:t>根据《房屋所有权证》（通房权证双江字第201517109号）中的“房屋分层平面图”，估价对象临街深度为7.0米，平均临街宽度=40.38÷7≈5.8米，根据《</w:t>
      </w:r>
      <w:r>
        <w:rPr>
          <w:rFonts w:hint="eastAsia" w:ascii="仿宋_GB2312" w:hAnsi="仿宋_GB2312" w:eastAsia="仿宋_GB2312" w:cs="仿宋_GB2312"/>
          <w:sz w:val="28"/>
          <w:szCs w:val="20"/>
          <w:highlight w:val="none"/>
          <w:lang w:val="en-US" w:eastAsia="zh-CN"/>
        </w:rPr>
        <w:t>通道县</w:t>
      </w:r>
      <w:r>
        <w:rPr>
          <w:rFonts w:hint="default" w:ascii="仿宋_GB2312" w:hAnsi="仿宋_GB2312" w:eastAsia="仿宋_GB2312" w:cs="仿宋_GB2312"/>
          <w:sz w:val="28"/>
          <w:szCs w:val="20"/>
          <w:highlight w:val="none"/>
          <w:lang w:val="en-US" w:eastAsia="zh-CN"/>
        </w:rPr>
        <w:t>城区临街宽度修正系数表</w:t>
      </w:r>
      <w:r>
        <w:rPr>
          <w:rFonts w:hint="eastAsia" w:ascii="仿宋_GB2312" w:hAnsi="仿宋_GB2312" w:cs="仿宋_GB2312"/>
          <w:color w:val="auto"/>
          <w:sz w:val="28"/>
          <w:szCs w:val="28"/>
          <w:highlight w:val="none"/>
          <w:lang w:val="en-US" w:eastAsia="zh-CN"/>
        </w:rPr>
        <w:t>》，</w:t>
      </w:r>
      <w:r>
        <w:rPr>
          <w:rFonts w:hint="eastAsia" w:ascii="仿宋_GB2312" w:hAnsi="仿宋_GB2312" w:eastAsia="仿宋_GB2312" w:cs="仿宋_GB2312"/>
          <w:sz w:val="28"/>
          <w:szCs w:val="28"/>
          <w:highlight w:val="none"/>
          <w:lang w:val="en-US" w:eastAsia="zh-CN"/>
        </w:rPr>
        <w:t>临街宽度修正系数Kk</w:t>
      </w:r>
      <w:r>
        <w:rPr>
          <w:rFonts w:hint="eastAsia" w:ascii="仿宋_GB2312" w:hAnsi="仿宋_GB2312" w:cs="仿宋_GB2312"/>
          <w:sz w:val="28"/>
          <w:szCs w:val="28"/>
          <w:highlight w:val="none"/>
          <w:lang w:val="en-US" w:eastAsia="zh-CN"/>
        </w:rPr>
        <w:t>=1.03。</w:t>
      </w:r>
    </w:p>
    <w:p w14:paraId="1A08B1D7">
      <w:pPr>
        <w:keepNext w:val="0"/>
        <w:keepLines w:val="0"/>
        <w:pageBreakBefore w:val="0"/>
        <w:widowControl/>
        <w:kinsoku/>
        <w:wordWrap/>
        <w:overflowPunct/>
        <w:topLinePunct w:val="0"/>
        <w:autoSpaceDE w:val="0"/>
        <w:autoSpaceDN w:val="0"/>
        <w:bidi w:val="0"/>
        <w:adjustRightInd w:val="0"/>
        <w:snapToGrid w:val="0"/>
        <w:spacing w:line="480" w:lineRule="exact"/>
        <w:ind w:firstLine="560" w:firstLineChars="200"/>
        <w:jc w:val="center"/>
        <w:textAlignment w:val="baseline"/>
        <w:rPr>
          <w:rFonts w:hint="default" w:ascii="仿宋_GB2312" w:hAnsi="仿宋_GB2312" w:eastAsia="仿宋_GB2312" w:cs="仿宋_GB2312"/>
          <w:sz w:val="28"/>
          <w:szCs w:val="20"/>
          <w:highlight w:val="none"/>
          <w:lang w:val="en-US" w:eastAsia="zh-CN"/>
        </w:rPr>
      </w:pPr>
      <w:r>
        <w:rPr>
          <w:rFonts w:hint="eastAsia" w:ascii="仿宋_GB2312" w:hAnsi="仿宋_GB2312" w:eastAsia="仿宋_GB2312" w:cs="仿宋_GB2312"/>
          <w:sz w:val="28"/>
          <w:szCs w:val="20"/>
          <w:highlight w:val="none"/>
        </w:rPr>
        <w:t>表3-</w:t>
      </w:r>
      <w:r>
        <w:rPr>
          <w:rFonts w:hint="eastAsia" w:ascii="仿宋_GB2312" w:hAnsi="仿宋_GB2312" w:eastAsia="仿宋_GB2312" w:cs="仿宋_GB2312"/>
          <w:sz w:val="28"/>
          <w:szCs w:val="20"/>
          <w:highlight w:val="none"/>
          <w:lang w:val="en-US" w:eastAsia="zh-CN"/>
        </w:rPr>
        <w:t>13</w:t>
      </w:r>
      <w:r>
        <w:rPr>
          <w:rFonts w:hint="default" w:ascii="Times New Roman" w:hAnsi="Times New Roman" w:eastAsia="宋体" w:cs="Times New Roman"/>
          <w:b/>
          <w:bCs/>
          <w:color w:val="auto"/>
          <w:sz w:val="21"/>
          <w:szCs w:val="21"/>
          <w:highlight w:val="none"/>
          <w:lang w:val="en-US" w:eastAsia="zh-CN"/>
        </w:rPr>
        <w:t xml:space="preserve">  </w:t>
      </w:r>
      <w:r>
        <w:rPr>
          <w:rFonts w:hint="default" w:ascii="仿宋_GB2312" w:hAnsi="仿宋_GB2312" w:eastAsia="仿宋_GB2312" w:cs="仿宋_GB2312"/>
          <w:sz w:val="28"/>
          <w:szCs w:val="20"/>
          <w:highlight w:val="none"/>
          <w:lang w:val="en-US" w:eastAsia="zh-CN"/>
        </w:rPr>
        <w:t xml:space="preserve"> </w:t>
      </w:r>
      <w:r>
        <w:rPr>
          <w:rFonts w:hint="eastAsia" w:ascii="仿宋_GB2312" w:hAnsi="仿宋_GB2312" w:eastAsia="仿宋_GB2312" w:cs="仿宋_GB2312"/>
          <w:sz w:val="28"/>
          <w:szCs w:val="20"/>
          <w:highlight w:val="none"/>
          <w:lang w:val="en-US" w:eastAsia="zh-CN"/>
        </w:rPr>
        <w:t>通道县</w:t>
      </w:r>
      <w:r>
        <w:rPr>
          <w:rFonts w:hint="default" w:ascii="仿宋_GB2312" w:hAnsi="仿宋_GB2312" w:eastAsia="仿宋_GB2312" w:cs="仿宋_GB2312"/>
          <w:sz w:val="28"/>
          <w:szCs w:val="20"/>
          <w:highlight w:val="none"/>
          <w:lang w:val="en-US" w:eastAsia="zh-CN"/>
        </w:rPr>
        <w:t>城区临街宽度修正系数表</w:t>
      </w:r>
    </w:p>
    <w:p w14:paraId="469A2E1F">
      <w:pPr>
        <w:keepNext w:val="0"/>
        <w:keepLines w:val="0"/>
        <w:pageBreakBefore w:val="0"/>
        <w:widowControl/>
        <w:kinsoku/>
        <w:wordWrap/>
        <w:overflowPunct/>
        <w:topLinePunct w:val="0"/>
        <w:autoSpaceDE w:val="0"/>
        <w:autoSpaceDN w:val="0"/>
        <w:bidi w:val="0"/>
        <w:adjustRightInd w:val="0"/>
        <w:snapToGrid w:val="0"/>
        <w:spacing w:line="240" w:lineRule="auto"/>
        <w:ind w:firstLine="560" w:firstLineChars="200"/>
        <w:jc w:val="right"/>
        <w:textAlignment w:val="baseline"/>
        <w:rPr>
          <w:rFonts w:hint="default" w:ascii="仿宋_GB2312" w:hAnsi="仿宋_GB2312" w:eastAsia="仿宋_GB2312" w:cs="仿宋_GB2312"/>
          <w:sz w:val="28"/>
          <w:szCs w:val="20"/>
          <w:highlight w:val="none"/>
          <w:lang w:val="en-US" w:eastAsia="zh-CN"/>
        </w:rPr>
      </w:pPr>
      <w:r>
        <w:rPr>
          <w:rFonts w:hint="default" w:ascii="仿宋_GB2312" w:hAnsi="仿宋_GB2312" w:eastAsia="仿宋_GB2312" w:cs="仿宋_GB2312"/>
          <w:sz w:val="28"/>
          <w:szCs w:val="20"/>
          <w:highlight w:val="none"/>
          <w:lang w:val="en-US" w:eastAsia="zh-CN"/>
        </w:rPr>
        <w:t>单位：米</w:t>
      </w:r>
    </w:p>
    <w:tbl>
      <w:tblPr>
        <w:tblStyle w:val="20"/>
        <w:tblW w:w="490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065"/>
        <w:gridCol w:w="871"/>
        <w:gridCol w:w="979"/>
        <w:gridCol w:w="1062"/>
        <w:gridCol w:w="1060"/>
        <w:gridCol w:w="1060"/>
        <w:gridCol w:w="1068"/>
      </w:tblGrid>
      <w:tr w14:paraId="4760B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9" w:hRule="atLeast"/>
          <w:jc w:val="center"/>
        </w:trPr>
        <w:tc>
          <w:tcPr>
            <w:tcW w:w="1264" w:type="pct"/>
            <w:vAlign w:val="center"/>
          </w:tcPr>
          <w:p w14:paraId="6782FE79">
            <w:pPr>
              <w:keepNext w:val="0"/>
              <w:keepLines w:val="0"/>
              <w:pageBreakBefore w:val="0"/>
              <w:kinsoku/>
              <w:wordWrap/>
              <w:overflowPunct/>
              <w:topLinePunct w:val="0"/>
              <w:autoSpaceDE/>
              <w:autoSpaceDN/>
              <w:bidi w:val="0"/>
              <w:adjustRightInd w:val="0"/>
              <w:snapToGrid w:val="0"/>
              <w:spacing w:line="240" w:lineRule="exact"/>
              <w:jc w:val="center"/>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pacing w:val="8"/>
                <w:sz w:val="20"/>
                <w:szCs w:val="20"/>
                <w:highlight w:val="none"/>
              </w:rPr>
              <w:t>宗地临街宽</w:t>
            </w:r>
            <w:r>
              <w:rPr>
                <w:rFonts w:hint="eastAsia" w:ascii="仿宋_GB2312" w:hAnsi="仿宋_GB2312" w:eastAsia="仿宋_GB2312" w:cs="仿宋_GB2312"/>
                <w:b/>
                <w:bCs/>
                <w:color w:val="auto"/>
                <w:spacing w:val="7"/>
                <w:sz w:val="20"/>
                <w:szCs w:val="20"/>
                <w:highlight w:val="none"/>
              </w:rPr>
              <w:t>度</w:t>
            </w:r>
          </w:p>
        </w:tc>
        <w:tc>
          <w:tcPr>
            <w:tcW w:w="533" w:type="pct"/>
            <w:vAlign w:val="center"/>
          </w:tcPr>
          <w:p w14:paraId="1FB4DD23">
            <w:pPr>
              <w:keepNext w:val="0"/>
              <w:keepLines w:val="0"/>
              <w:pageBreakBefore w:val="0"/>
              <w:kinsoku/>
              <w:wordWrap/>
              <w:overflowPunct/>
              <w:topLinePunct w:val="0"/>
              <w:autoSpaceDE/>
              <w:autoSpaceDN/>
              <w:bidi w:val="0"/>
              <w:adjustRightInd w:val="0"/>
              <w:snapToGrid w:val="0"/>
              <w:spacing w:line="240" w:lineRule="exact"/>
              <w:jc w:val="center"/>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pacing w:val="4"/>
                <w:position w:val="2"/>
                <w:sz w:val="20"/>
                <w:szCs w:val="20"/>
                <w:highlight w:val="none"/>
              </w:rPr>
              <w:t>≤</w:t>
            </w:r>
            <w:r>
              <w:rPr>
                <w:rFonts w:hint="eastAsia" w:ascii="仿宋_GB2312" w:hAnsi="仿宋_GB2312" w:eastAsia="仿宋_GB2312" w:cs="仿宋_GB2312"/>
                <w:b/>
                <w:bCs/>
                <w:color w:val="auto"/>
                <w:spacing w:val="3"/>
                <w:position w:val="2"/>
                <w:sz w:val="20"/>
                <w:szCs w:val="20"/>
                <w:highlight w:val="none"/>
              </w:rPr>
              <w:t>4</w:t>
            </w:r>
          </w:p>
        </w:tc>
        <w:tc>
          <w:tcPr>
            <w:tcW w:w="599" w:type="pct"/>
            <w:vAlign w:val="center"/>
          </w:tcPr>
          <w:p w14:paraId="0387F867">
            <w:pPr>
              <w:keepNext w:val="0"/>
              <w:keepLines w:val="0"/>
              <w:pageBreakBefore w:val="0"/>
              <w:kinsoku/>
              <w:wordWrap/>
              <w:overflowPunct/>
              <w:topLinePunct w:val="0"/>
              <w:autoSpaceDE/>
              <w:autoSpaceDN/>
              <w:bidi w:val="0"/>
              <w:adjustRightInd w:val="0"/>
              <w:snapToGrid w:val="0"/>
              <w:spacing w:line="240" w:lineRule="exact"/>
              <w:jc w:val="center"/>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pacing w:val="5"/>
                <w:sz w:val="20"/>
                <w:szCs w:val="20"/>
                <w:highlight w:val="none"/>
              </w:rPr>
              <w:t>4-8</w:t>
            </w:r>
          </w:p>
        </w:tc>
        <w:tc>
          <w:tcPr>
            <w:tcW w:w="650" w:type="pct"/>
            <w:vAlign w:val="center"/>
          </w:tcPr>
          <w:p w14:paraId="3AE28D47">
            <w:pPr>
              <w:keepNext w:val="0"/>
              <w:keepLines w:val="0"/>
              <w:pageBreakBefore w:val="0"/>
              <w:kinsoku/>
              <w:wordWrap/>
              <w:overflowPunct/>
              <w:topLinePunct w:val="0"/>
              <w:autoSpaceDE/>
              <w:autoSpaceDN/>
              <w:bidi w:val="0"/>
              <w:adjustRightInd w:val="0"/>
              <w:snapToGrid w:val="0"/>
              <w:spacing w:line="240" w:lineRule="exact"/>
              <w:jc w:val="center"/>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pacing w:val="-11"/>
                <w:sz w:val="20"/>
                <w:szCs w:val="20"/>
                <w:highlight w:val="none"/>
              </w:rPr>
              <w:t>8</w:t>
            </w:r>
            <w:r>
              <w:rPr>
                <w:rFonts w:hint="eastAsia" w:ascii="仿宋_GB2312" w:hAnsi="仿宋_GB2312" w:eastAsia="仿宋_GB2312" w:cs="仿宋_GB2312"/>
                <w:b/>
                <w:bCs/>
                <w:color w:val="auto"/>
                <w:spacing w:val="-9"/>
                <w:sz w:val="20"/>
                <w:szCs w:val="20"/>
                <w:highlight w:val="none"/>
              </w:rPr>
              <w:t>- 12</w:t>
            </w:r>
          </w:p>
        </w:tc>
        <w:tc>
          <w:tcPr>
            <w:tcW w:w="649" w:type="pct"/>
            <w:vAlign w:val="center"/>
          </w:tcPr>
          <w:p w14:paraId="63109393">
            <w:pPr>
              <w:keepNext w:val="0"/>
              <w:keepLines w:val="0"/>
              <w:pageBreakBefore w:val="0"/>
              <w:kinsoku/>
              <w:wordWrap/>
              <w:overflowPunct/>
              <w:topLinePunct w:val="0"/>
              <w:autoSpaceDE/>
              <w:autoSpaceDN/>
              <w:bidi w:val="0"/>
              <w:adjustRightInd w:val="0"/>
              <w:snapToGrid w:val="0"/>
              <w:spacing w:line="240" w:lineRule="exact"/>
              <w:jc w:val="center"/>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pacing w:val="-11"/>
                <w:sz w:val="20"/>
                <w:szCs w:val="20"/>
                <w:highlight w:val="none"/>
              </w:rPr>
              <w:t>1</w:t>
            </w:r>
            <w:r>
              <w:rPr>
                <w:rFonts w:hint="eastAsia" w:ascii="仿宋_GB2312" w:hAnsi="仿宋_GB2312" w:eastAsia="仿宋_GB2312" w:cs="仿宋_GB2312"/>
                <w:b/>
                <w:bCs/>
                <w:color w:val="auto"/>
                <w:spacing w:val="-8"/>
                <w:sz w:val="20"/>
                <w:szCs w:val="20"/>
                <w:highlight w:val="none"/>
              </w:rPr>
              <w:t>2- 16</w:t>
            </w:r>
          </w:p>
        </w:tc>
        <w:tc>
          <w:tcPr>
            <w:tcW w:w="649" w:type="pct"/>
            <w:vAlign w:val="center"/>
          </w:tcPr>
          <w:p w14:paraId="06F1C3DF">
            <w:pPr>
              <w:keepNext w:val="0"/>
              <w:keepLines w:val="0"/>
              <w:pageBreakBefore w:val="0"/>
              <w:kinsoku/>
              <w:wordWrap/>
              <w:overflowPunct/>
              <w:topLinePunct w:val="0"/>
              <w:autoSpaceDE/>
              <w:autoSpaceDN/>
              <w:bidi w:val="0"/>
              <w:adjustRightInd w:val="0"/>
              <w:snapToGrid w:val="0"/>
              <w:spacing w:line="240" w:lineRule="exact"/>
              <w:jc w:val="center"/>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pacing w:val="-1"/>
                <w:sz w:val="20"/>
                <w:szCs w:val="20"/>
                <w:highlight w:val="none"/>
              </w:rPr>
              <w:t>1</w:t>
            </w:r>
            <w:r>
              <w:rPr>
                <w:rFonts w:hint="eastAsia" w:ascii="仿宋_GB2312" w:hAnsi="仿宋_GB2312" w:eastAsia="仿宋_GB2312" w:cs="仿宋_GB2312"/>
                <w:b/>
                <w:bCs/>
                <w:color w:val="auto"/>
                <w:sz w:val="20"/>
                <w:szCs w:val="20"/>
                <w:highlight w:val="none"/>
              </w:rPr>
              <w:t>6-20</w:t>
            </w:r>
          </w:p>
        </w:tc>
        <w:tc>
          <w:tcPr>
            <w:tcW w:w="653" w:type="pct"/>
            <w:vAlign w:val="center"/>
          </w:tcPr>
          <w:p w14:paraId="618D3931">
            <w:pPr>
              <w:keepNext w:val="0"/>
              <w:keepLines w:val="0"/>
              <w:pageBreakBefore w:val="0"/>
              <w:kinsoku/>
              <w:wordWrap/>
              <w:overflowPunct/>
              <w:topLinePunct w:val="0"/>
              <w:autoSpaceDE/>
              <w:autoSpaceDN/>
              <w:bidi w:val="0"/>
              <w:adjustRightInd w:val="0"/>
              <w:snapToGrid w:val="0"/>
              <w:spacing w:line="240" w:lineRule="exact"/>
              <w:jc w:val="center"/>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pacing w:val="5"/>
                <w:position w:val="2"/>
                <w:sz w:val="20"/>
                <w:szCs w:val="20"/>
                <w:highlight w:val="none"/>
              </w:rPr>
              <w:t>&gt;</w:t>
            </w:r>
            <w:r>
              <w:rPr>
                <w:rFonts w:hint="eastAsia" w:ascii="仿宋_GB2312" w:hAnsi="仿宋_GB2312" w:eastAsia="仿宋_GB2312" w:cs="仿宋_GB2312"/>
                <w:b/>
                <w:bCs/>
                <w:color w:val="auto"/>
                <w:spacing w:val="3"/>
                <w:position w:val="2"/>
                <w:sz w:val="20"/>
                <w:szCs w:val="20"/>
                <w:highlight w:val="none"/>
              </w:rPr>
              <w:t>20</w:t>
            </w:r>
          </w:p>
        </w:tc>
      </w:tr>
      <w:tr w14:paraId="2FA27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7" w:hRule="atLeast"/>
          <w:jc w:val="center"/>
        </w:trPr>
        <w:tc>
          <w:tcPr>
            <w:tcW w:w="1264" w:type="pct"/>
            <w:vAlign w:val="center"/>
          </w:tcPr>
          <w:p w14:paraId="39A94C00">
            <w:pPr>
              <w:keepNext w:val="0"/>
              <w:keepLines w:val="0"/>
              <w:pageBreakBefore w:val="0"/>
              <w:kinsoku/>
              <w:wordWrap/>
              <w:overflowPunct/>
              <w:topLinePunct w:val="0"/>
              <w:autoSpaceDE/>
              <w:autoSpaceDN/>
              <w:bidi w:val="0"/>
              <w:adjustRightInd w:val="0"/>
              <w:snapToGrid w:val="0"/>
              <w:spacing w:line="240" w:lineRule="exact"/>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pacing w:val="9"/>
                <w:sz w:val="20"/>
                <w:szCs w:val="20"/>
                <w:highlight w:val="none"/>
              </w:rPr>
              <w:t>临</w:t>
            </w:r>
            <w:r>
              <w:rPr>
                <w:rFonts w:hint="eastAsia" w:ascii="仿宋_GB2312" w:hAnsi="仿宋_GB2312" w:eastAsia="仿宋_GB2312" w:cs="仿宋_GB2312"/>
                <w:color w:val="auto"/>
                <w:spacing w:val="7"/>
                <w:sz w:val="20"/>
                <w:szCs w:val="20"/>
                <w:highlight w:val="none"/>
              </w:rPr>
              <w:t>主干道修正系数</w:t>
            </w:r>
          </w:p>
        </w:tc>
        <w:tc>
          <w:tcPr>
            <w:tcW w:w="533" w:type="pct"/>
            <w:vAlign w:val="center"/>
          </w:tcPr>
          <w:p w14:paraId="424DF08F">
            <w:pPr>
              <w:keepNext w:val="0"/>
              <w:keepLines w:val="0"/>
              <w:pageBreakBefore w:val="0"/>
              <w:kinsoku/>
              <w:wordWrap/>
              <w:overflowPunct/>
              <w:topLinePunct w:val="0"/>
              <w:autoSpaceDE/>
              <w:autoSpaceDN/>
              <w:bidi w:val="0"/>
              <w:adjustRightInd w:val="0"/>
              <w:snapToGrid w:val="0"/>
              <w:spacing w:line="240" w:lineRule="exact"/>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pacing w:val="-2"/>
                <w:sz w:val="20"/>
                <w:szCs w:val="20"/>
                <w:highlight w:val="none"/>
              </w:rPr>
              <w:t>1.</w:t>
            </w:r>
            <w:r>
              <w:rPr>
                <w:rFonts w:hint="eastAsia" w:ascii="仿宋_GB2312" w:hAnsi="仿宋_GB2312" w:eastAsia="仿宋_GB2312" w:cs="仿宋_GB2312"/>
                <w:color w:val="auto"/>
                <w:spacing w:val="-1"/>
                <w:sz w:val="20"/>
                <w:szCs w:val="20"/>
                <w:highlight w:val="none"/>
              </w:rPr>
              <w:t>00</w:t>
            </w:r>
          </w:p>
        </w:tc>
        <w:tc>
          <w:tcPr>
            <w:tcW w:w="599" w:type="pct"/>
            <w:vAlign w:val="center"/>
          </w:tcPr>
          <w:p w14:paraId="41EADB1D">
            <w:pPr>
              <w:keepNext w:val="0"/>
              <w:keepLines w:val="0"/>
              <w:pageBreakBefore w:val="0"/>
              <w:widowControl/>
              <w:suppressLineNumbers w:val="0"/>
              <w:kinsoku/>
              <w:wordWrap/>
              <w:overflowPunct/>
              <w:topLinePunct w:val="0"/>
              <w:autoSpaceDE/>
              <w:autoSpaceDN/>
              <w:bidi w:val="0"/>
              <w:adjustRightInd w:val="0"/>
              <w:snapToGrid w:val="0"/>
              <w:spacing w:line="240" w:lineRule="exact"/>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1.04 </w:t>
            </w:r>
          </w:p>
        </w:tc>
        <w:tc>
          <w:tcPr>
            <w:tcW w:w="650" w:type="pct"/>
            <w:vAlign w:val="center"/>
          </w:tcPr>
          <w:p w14:paraId="539007B4">
            <w:pPr>
              <w:keepNext w:val="0"/>
              <w:keepLines w:val="0"/>
              <w:pageBreakBefore w:val="0"/>
              <w:widowControl/>
              <w:suppressLineNumbers w:val="0"/>
              <w:kinsoku/>
              <w:wordWrap/>
              <w:overflowPunct/>
              <w:topLinePunct w:val="0"/>
              <w:autoSpaceDE/>
              <w:autoSpaceDN/>
              <w:bidi w:val="0"/>
              <w:adjustRightInd w:val="0"/>
              <w:snapToGrid w:val="0"/>
              <w:spacing w:line="240" w:lineRule="exact"/>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1.11 </w:t>
            </w:r>
          </w:p>
        </w:tc>
        <w:tc>
          <w:tcPr>
            <w:tcW w:w="649" w:type="pct"/>
            <w:vAlign w:val="center"/>
          </w:tcPr>
          <w:p w14:paraId="0E56D13E">
            <w:pPr>
              <w:keepNext w:val="0"/>
              <w:keepLines w:val="0"/>
              <w:pageBreakBefore w:val="0"/>
              <w:widowControl/>
              <w:suppressLineNumbers w:val="0"/>
              <w:kinsoku/>
              <w:wordWrap/>
              <w:overflowPunct/>
              <w:topLinePunct w:val="0"/>
              <w:autoSpaceDE/>
              <w:autoSpaceDN/>
              <w:bidi w:val="0"/>
              <w:adjustRightInd w:val="0"/>
              <w:snapToGrid w:val="0"/>
              <w:spacing w:line="240" w:lineRule="exact"/>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1.15 </w:t>
            </w:r>
          </w:p>
        </w:tc>
        <w:tc>
          <w:tcPr>
            <w:tcW w:w="649" w:type="pct"/>
            <w:vAlign w:val="center"/>
          </w:tcPr>
          <w:p w14:paraId="258DA275">
            <w:pPr>
              <w:keepNext w:val="0"/>
              <w:keepLines w:val="0"/>
              <w:pageBreakBefore w:val="0"/>
              <w:widowControl/>
              <w:suppressLineNumbers w:val="0"/>
              <w:kinsoku/>
              <w:wordWrap/>
              <w:overflowPunct/>
              <w:topLinePunct w:val="0"/>
              <w:autoSpaceDE/>
              <w:autoSpaceDN/>
              <w:bidi w:val="0"/>
              <w:adjustRightInd w:val="0"/>
              <w:snapToGrid w:val="0"/>
              <w:spacing w:line="240" w:lineRule="exact"/>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1.19 </w:t>
            </w:r>
          </w:p>
        </w:tc>
        <w:tc>
          <w:tcPr>
            <w:tcW w:w="653" w:type="pct"/>
            <w:vAlign w:val="center"/>
          </w:tcPr>
          <w:p w14:paraId="7DB9DAAF">
            <w:pPr>
              <w:keepNext w:val="0"/>
              <w:keepLines w:val="0"/>
              <w:pageBreakBefore w:val="0"/>
              <w:widowControl/>
              <w:suppressLineNumbers w:val="0"/>
              <w:kinsoku/>
              <w:wordWrap/>
              <w:overflowPunct/>
              <w:topLinePunct w:val="0"/>
              <w:autoSpaceDE/>
              <w:autoSpaceDN/>
              <w:bidi w:val="0"/>
              <w:adjustRightInd w:val="0"/>
              <w:snapToGrid w:val="0"/>
              <w:spacing w:line="240" w:lineRule="exact"/>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1.20 </w:t>
            </w:r>
          </w:p>
        </w:tc>
      </w:tr>
      <w:tr w14:paraId="70129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8" w:hRule="atLeast"/>
          <w:jc w:val="center"/>
        </w:trPr>
        <w:tc>
          <w:tcPr>
            <w:tcW w:w="1264" w:type="pct"/>
            <w:vAlign w:val="center"/>
          </w:tcPr>
          <w:p w14:paraId="28854828">
            <w:pPr>
              <w:keepNext w:val="0"/>
              <w:keepLines w:val="0"/>
              <w:pageBreakBefore w:val="0"/>
              <w:kinsoku/>
              <w:wordWrap/>
              <w:overflowPunct/>
              <w:topLinePunct w:val="0"/>
              <w:autoSpaceDE/>
              <w:autoSpaceDN/>
              <w:bidi w:val="0"/>
              <w:adjustRightInd w:val="0"/>
              <w:snapToGrid w:val="0"/>
              <w:spacing w:line="240" w:lineRule="exact"/>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pacing w:val="9"/>
                <w:sz w:val="20"/>
                <w:szCs w:val="20"/>
                <w:highlight w:val="none"/>
              </w:rPr>
              <w:t>临</w:t>
            </w:r>
            <w:r>
              <w:rPr>
                <w:rFonts w:hint="eastAsia" w:ascii="仿宋_GB2312" w:hAnsi="仿宋_GB2312" w:eastAsia="仿宋_GB2312" w:cs="仿宋_GB2312"/>
                <w:color w:val="auto"/>
                <w:spacing w:val="7"/>
                <w:sz w:val="20"/>
                <w:szCs w:val="20"/>
                <w:highlight w:val="none"/>
              </w:rPr>
              <w:t>次干道修正系数</w:t>
            </w:r>
          </w:p>
        </w:tc>
        <w:tc>
          <w:tcPr>
            <w:tcW w:w="533" w:type="pct"/>
            <w:vAlign w:val="center"/>
          </w:tcPr>
          <w:p w14:paraId="2E608E40">
            <w:pPr>
              <w:keepNext w:val="0"/>
              <w:keepLines w:val="0"/>
              <w:pageBreakBefore w:val="0"/>
              <w:kinsoku/>
              <w:wordWrap/>
              <w:overflowPunct/>
              <w:topLinePunct w:val="0"/>
              <w:autoSpaceDE/>
              <w:autoSpaceDN/>
              <w:bidi w:val="0"/>
              <w:adjustRightInd w:val="0"/>
              <w:snapToGrid w:val="0"/>
              <w:spacing w:line="240" w:lineRule="exact"/>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pacing w:val="-2"/>
                <w:sz w:val="20"/>
                <w:szCs w:val="20"/>
                <w:highlight w:val="none"/>
              </w:rPr>
              <w:t>1.</w:t>
            </w:r>
            <w:r>
              <w:rPr>
                <w:rFonts w:hint="eastAsia" w:ascii="仿宋_GB2312" w:hAnsi="仿宋_GB2312" w:eastAsia="仿宋_GB2312" w:cs="仿宋_GB2312"/>
                <w:color w:val="auto"/>
                <w:spacing w:val="-1"/>
                <w:sz w:val="20"/>
                <w:szCs w:val="20"/>
                <w:highlight w:val="none"/>
              </w:rPr>
              <w:t>00</w:t>
            </w:r>
          </w:p>
        </w:tc>
        <w:tc>
          <w:tcPr>
            <w:tcW w:w="599" w:type="pct"/>
            <w:vAlign w:val="center"/>
          </w:tcPr>
          <w:p w14:paraId="1EFDCCF6">
            <w:pPr>
              <w:keepNext w:val="0"/>
              <w:keepLines w:val="0"/>
              <w:pageBreakBefore w:val="0"/>
              <w:widowControl/>
              <w:suppressLineNumbers w:val="0"/>
              <w:kinsoku/>
              <w:wordWrap/>
              <w:overflowPunct/>
              <w:topLinePunct w:val="0"/>
              <w:autoSpaceDE/>
              <w:autoSpaceDN/>
              <w:bidi w:val="0"/>
              <w:adjustRightInd w:val="0"/>
              <w:snapToGrid w:val="0"/>
              <w:spacing w:line="240" w:lineRule="exact"/>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1.03 </w:t>
            </w:r>
          </w:p>
        </w:tc>
        <w:tc>
          <w:tcPr>
            <w:tcW w:w="650" w:type="pct"/>
            <w:vAlign w:val="center"/>
          </w:tcPr>
          <w:p w14:paraId="61A2D4B2">
            <w:pPr>
              <w:keepNext w:val="0"/>
              <w:keepLines w:val="0"/>
              <w:pageBreakBefore w:val="0"/>
              <w:widowControl/>
              <w:suppressLineNumbers w:val="0"/>
              <w:kinsoku/>
              <w:wordWrap/>
              <w:overflowPunct/>
              <w:topLinePunct w:val="0"/>
              <w:autoSpaceDE/>
              <w:autoSpaceDN/>
              <w:bidi w:val="0"/>
              <w:adjustRightInd w:val="0"/>
              <w:snapToGrid w:val="0"/>
              <w:spacing w:line="240" w:lineRule="exact"/>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1.06 </w:t>
            </w:r>
          </w:p>
        </w:tc>
        <w:tc>
          <w:tcPr>
            <w:tcW w:w="649" w:type="pct"/>
            <w:vAlign w:val="center"/>
          </w:tcPr>
          <w:p w14:paraId="0F5CA94B">
            <w:pPr>
              <w:keepNext w:val="0"/>
              <w:keepLines w:val="0"/>
              <w:pageBreakBefore w:val="0"/>
              <w:widowControl/>
              <w:suppressLineNumbers w:val="0"/>
              <w:kinsoku/>
              <w:wordWrap/>
              <w:overflowPunct/>
              <w:topLinePunct w:val="0"/>
              <w:autoSpaceDE/>
              <w:autoSpaceDN/>
              <w:bidi w:val="0"/>
              <w:adjustRightInd w:val="0"/>
              <w:snapToGrid w:val="0"/>
              <w:spacing w:line="240" w:lineRule="exact"/>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1.10 </w:t>
            </w:r>
          </w:p>
        </w:tc>
        <w:tc>
          <w:tcPr>
            <w:tcW w:w="649" w:type="pct"/>
            <w:vAlign w:val="center"/>
          </w:tcPr>
          <w:p w14:paraId="160D2AC3">
            <w:pPr>
              <w:keepNext w:val="0"/>
              <w:keepLines w:val="0"/>
              <w:pageBreakBefore w:val="0"/>
              <w:widowControl/>
              <w:suppressLineNumbers w:val="0"/>
              <w:kinsoku/>
              <w:wordWrap/>
              <w:overflowPunct/>
              <w:topLinePunct w:val="0"/>
              <w:autoSpaceDE/>
              <w:autoSpaceDN/>
              <w:bidi w:val="0"/>
              <w:adjustRightInd w:val="0"/>
              <w:snapToGrid w:val="0"/>
              <w:spacing w:line="240" w:lineRule="exact"/>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1.12 </w:t>
            </w:r>
          </w:p>
        </w:tc>
        <w:tc>
          <w:tcPr>
            <w:tcW w:w="653" w:type="pct"/>
            <w:vAlign w:val="center"/>
          </w:tcPr>
          <w:p w14:paraId="0EB3762B">
            <w:pPr>
              <w:keepNext w:val="0"/>
              <w:keepLines w:val="0"/>
              <w:pageBreakBefore w:val="0"/>
              <w:widowControl/>
              <w:suppressLineNumbers w:val="0"/>
              <w:kinsoku/>
              <w:wordWrap/>
              <w:overflowPunct/>
              <w:topLinePunct w:val="0"/>
              <w:autoSpaceDE/>
              <w:autoSpaceDN/>
              <w:bidi w:val="0"/>
              <w:adjustRightInd w:val="0"/>
              <w:snapToGrid w:val="0"/>
              <w:spacing w:line="240" w:lineRule="exact"/>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1.15 </w:t>
            </w:r>
          </w:p>
        </w:tc>
      </w:tr>
      <w:tr w14:paraId="5FFC9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6" w:hRule="atLeast"/>
          <w:jc w:val="center"/>
        </w:trPr>
        <w:tc>
          <w:tcPr>
            <w:tcW w:w="1264" w:type="pct"/>
            <w:vAlign w:val="center"/>
          </w:tcPr>
          <w:p w14:paraId="070EB5A1">
            <w:pPr>
              <w:keepNext w:val="0"/>
              <w:keepLines w:val="0"/>
              <w:pageBreakBefore w:val="0"/>
              <w:kinsoku/>
              <w:wordWrap/>
              <w:overflowPunct/>
              <w:topLinePunct w:val="0"/>
              <w:autoSpaceDE/>
              <w:autoSpaceDN/>
              <w:bidi w:val="0"/>
              <w:adjustRightInd w:val="0"/>
              <w:snapToGrid w:val="0"/>
              <w:spacing w:line="240" w:lineRule="exact"/>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pacing w:val="7"/>
                <w:sz w:val="20"/>
                <w:szCs w:val="20"/>
                <w:highlight w:val="none"/>
              </w:rPr>
              <w:t>临支路修正系数</w:t>
            </w:r>
          </w:p>
        </w:tc>
        <w:tc>
          <w:tcPr>
            <w:tcW w:w="533" w:type="pct"/>
            <w:vAlign w:val="center"/>
          </w:tcPr>
          <w:p w14:paraId="13F1310E">
            <w:pPr>
              <w:keepNext w:val="0"/>
              <w:keepLines w:val="0"/>
              <w:pageBreakBefore w:val="0"/>
              <w:kinsoku/>
              <w:wordWrap/>
              <w:overflowPunct/>
              <w:topLinePunct w:val="0"/>
              <w:autoSpaceDE/>
              <w:autoSpaceDN/>
              <w:bidi w:val="0"/>
              <w:adjustRightInd w:val="0"/>
              <w:snapToGrid w:val="0"/>
              <w:spacing w:line="240" w:lineRule="exact"/>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pacing w:val="-2"/>
                <w:sz w:val="20"/>
                <w:szCs w:val="20"/>
                <w:highlight w:val="none"/>
              </w:rPr>
              <w:t>1.</w:t>
            </w:r>
            <w:r>
              <w:rPr>
                <w:rFonts w:hint="eastAsia" w:ascii="仿宋_GB2312" w:hAnsi="仿宋_GB2312" w:eastAsia="仿宋_GB2312" w:cs="仿宋_GB2312"/>
                <w:color w:val="auto"/>
                <w:spacing w:val="-1"/>
                <w:sz w:val="20"/>
                <w:szCs w:val="20"/>
                <w:highlight w:val="none"/>
              </w:rPr>
              <w:t>00</w:t>
            </w:r>
          </w:p>
        </w:tc>
        <w:tc>
          <w:tcPr>
            <w:tcW w:w="599" w:type="pct"/>
            <w:vAlign w:val="center"/>
          </w:tcPr>
          <w:p w14:paraId="1C68579C">
            <w:pPr>
              <w:keepNext w:val="0"/>
              <w:keepLines w:val="0"/>
              <w:pageBreakBefore w:val="0"/>
              <w:widowControl/>
              <w:suppressLineNumbers w:val="0"/>
              <w:kinsoku/>
              <w:wordWrap/>
              <w:overflowPunct/>
              <w:topLinePunct w:val="0"/>
              <w:autoSpaceDE/>
              <w:autoSpaceDN/>
              <w:bidi w:val="0"/>
              <w:adjustRightInd w:val="0"/>
              <w:snapToGrid w:val="0"/>
              <w:spacing w:line="240" w:lineRule="exact"/>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1.02 </w:t>
            </w:r>
          </w:p>
        </w:tc>
        <w:tc>
          <w:tcPr>
            <w:tcW w:w="650" w:type="pct"/>
            <w:vAlign w:val="center"/>
          </w:tcPr>
          <w:p w14:paraId="2F932942">
            <w:pPr>
              <w:keepNext w:val="0"/>
              <w:keepLines w:val="0"/>
              <w:pageBreakBefore w:val="0"/>
              <w:widowControl/>
              <w:suppressLineNumbers w:val="0"/>
              <w:kinsoku/>
              <w:wordWrap/>
              <w:overflowPunct/>
              <w:topLinePunct w:val="0"/>
              <w:autoSpaceDE/>
              <w:autoSpaceDN/>
              <w:bidi w:val="0"/>
              <w:adjustRightInd w:val="0"/>
              <w:snapToGrid w:val="0"/>
              <w:spacing w:line="240" w:lineRule="exact"/>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1.05 </w:t>
            </w:r>
          </w:p>
        </w:tc>
        <w:tc>
          <w:tcPr>
            <w:tcW w:w="649" w:type="pct"/>
            <w:vAlign w:val="center"/>
          </w:tcPr>
          <w:p w14:paraId="4F73C990">
            <w:pPr>
              <w:keepNext w:val="0"/>
              <w:keepLines w:val="0"/>
              <w:pageBreakBefore w:val="0"/>
              <w:widowControl/>
              <w:suppressLineNumbers w:val="0"/>
              <w:kinsoku/>
              <w:wordWrap/>
              <w:overflowPunct/>
              <w:topLinePunct w:val="0"/>
              <w:autoSpaceDE/>
              <w:autoSpaceDN/>
              <w:bidi w:val="0"/>
              <w:adjustRightInd w:val="0"/>
              <w:snapToGrid w:val="0"/>
              <w:spacing w:line="240" w:lineRule="exact"/>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1.09 </w:t>
            </w:r>
          </w:p>
        </w:tc>
        <w:tc>
          <w:tcPr>
            <w:tcW w:w="649" w:type="pct"/>
            <w:vAlign w:val="center"/>
          </w:tcPr>
          <w:p w14:paraId="4545E80A">
            <w:pPr>
              <w:keepNext w:val="0"/>
              <w:keepLines w:val="0"/>
              <w:pageBreakBefore w:val="0"/>
              <w:widowControl/>
              <w:suppressLineNumbers w:val="0"/>
              <w:kinsoku/>
              <w:wordWrap/>
              <w:overflowPunct/>
              <w:topLinePunct w:val="0"/>
              <w:autoSpaceDE/>
              <w:autoSpaceDN/>
              <w:bidi w:val="0"/>
              <w:adjustRightInd w:val="0"/>
              <w:snapToGrid w:val="0"/>
              <w:spacing w:line="240" w:lineRule="exact"/>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1.11 </w:t>
            </w:r>
          </w:p>
        </w:tc>
        <w:tc>
          <w:tcPr>
            <w:tcW w:w="653" w:type="pct"/>
            <w:vAlign w:val="center"/>
          </w:tcPr>
          <w:p w14:paraId="3960BCE3">
            <w:pPr>
              <w:keepNext w:val="0"/>
              <w:keepLines w:val="0"/>
              <w:pageBreakBefore w:val="0"/>
              <w:widowControl/>
              <w:suppressLineNumbers w:val="0"/>
              <w:kinsoku/>
              <w:wordWrap/>
              <w:overflowPunct/>
              <w:topLinePunct w:val="0"/>
              <w:autoSpaceDE/>
              <w:autoSpaceDN/>
              <w:bidi w:val="0"/>
              <w:adjustRightInd w:val="0"/>
              <w:snapToGrid w:val="0"/>
              <w:spacing w:line="240" w:lineRule="exact"/>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 xml:space="preserve">1.12 </w:t>
            </w:r>
          </w:p>
        </w:tc>
      </w:tr>
    </w:tbl>
    <w:p w14:paraId="3FE74175">
      <w:pPr>
        <w:keepNext w:val="0"/>
        <w:keepLines w:val="0"/>
        <w:pageBreakBefore w:val="0"/>
        <w:widowControl w:val="0"/>
        <w:kinsoku/>
        <w:wordWrap/>
        <w:overflowPunct/>
        <w:topLinePunct w:val="0"/>
        <w:autoSpaceDE w:val="0"/>
        <w:autoSpaceDN w:val="0"/>
        <w:bidi w:val="0"/>
        <w:adjustRightInd w:val="0"/>
        <w:snapToGrid w:val="0"/>
        <w:spacing w:line="360" w:lineRule="auto"/>
        <w:ind w:firstLine="420" w:firstLineChars="200"/>
        <w:textAlignment w:val="baseline"/>
        <w:rPr>
          <w:rFonts w:hint="eastAsia"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注：所有区间范围左开右闭</w:t>
      </w:r>
    </w:p>
    <w:p w14:paraId="7C0729C1">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601"/>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15、临街深度修正系数（Kd）的确定</w:t>
      </w:r>
    </w:p>
    <w:p w14:paraId="32BEA48A">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601"/>
        <w:textAlignment w:val="auto"/>
        <w:rPr>
          <w:rFonts w:hint="default" w:ascii="仿宋_GB2312" w:hAnsi="仿宋_GB2312" w:eastAsia="仿宋_GB2312" w:cs="仿宋_GB2312"/>
          <w:sz w:val="28"/>
          <w:szCs w:val="28"/>
          <w:highlight w:val="none"/>
          <w:lang w:val="en-US" w:eastAsia="zh-CN"/>
        </w:rPr>
      </w:pPr>
      <w:r>
        <w:rPr>
          <w:rFonts w:hint="default" w:ascii="仿宋_GB2312" w:hAnsi="仿宋_GB2312" w:eastAsia="仿宋_GB2312" w:cs="仿宋_GB2312"/>
          <w:sz w:val="28"/>
          <w:szCs w:val="28"/>
          <w:highlight w:val="none"/>
          <w:lang w:val="en-US" w:eastAsia="zh-CN"/>
        </w:rPr>
        <w:t>在同一路线价区段，各宗土地虽然临接同一街道，但因其临街深度、宽度、 形状、面积、位置等不同，则各宗土地单位面积的价格会有一定的差别，其中对 土地价格影响最大的是土地深度。在基准地价评估过程中，为使不同的样点地价 具有可比性，必须把不同深度的样点地价修正到同一标准深度。利用基准地价评估宗地地价时，当宗地深度与标准深度不一致时，同样必须进行深度修正。</w:t>
      </w:r>
    </w:p>
    <w:p w14:paraId="284195D4">
      <w:pPr>
        <w:pStyle w:val="2"/>
        <w:keepNext w:val="0"/>
        <w:keepLines w:val="0"/>
        <w:pageBreakBefore w:val="0"/>
        <w:widowControl w:val="0"/>
        <w:kinsoku/>
        <w:wordWrap/>
        <w:overflowPunct/>
        <w:topLinePunct w:val="0"/>
        <w:autoSpaceDE/>
        <w:autoSpaceDN/>
        <w:bidi w:val="0"/>
        <w:spacing w:line="480" w:lineRule="exact"/>
        <w:textAlignment w:val="auto"/>
        <w:rPr>
          <w:rFonts w:hint="default"/>
          <w:highlight w:val="none"/>
          <w:lang w:val="en-US" w:eastAsia="zh-CN"/>
        </w:rPr>
      </w:pPr>
      <w:r>
        <w:rPr>
          <w:rFonts w:hint="eastAsia" w:ascii="仿宋_GB2312" w:hAnsi="仿宋_GB2312" w:cs="仿宋_GB2312"/>
          <w:color w:val="auto"/>
          <w:sz w:val="28"/>
          <w:szCs w:val="28"/>
          <w:highlight w:val="none"/>
          <w:lang w:val="en-US" w:eastAsia="zh-CN"/>
        </w:rPr>
        <w:t>估价对象西临次干道行政街，根据《房屋所有权证》（通房权证双江字第201517109号）中的“房屋分层平面图”，估价对象临街深度为7.0米，根据《</w:t>
      </w:r>
      <w:r>
        <w:rPr>
          <w:rFonts w:hint="eastAsia" w:ascii="仿宋_GB2312" w:hAnsi="仿宋_GB2312" w:eastAsia="仿宋_GB2312" w:cs="仿宋_GB2312"/>
          <w:sz w:val="28"/>
          <w:szCs w:val="20"/>
          <w:highlight w:val="none"/>
          <w:lang w:val="en-US" w:eastAsia="zh-CN"/>
        </w:rPr>
        <w:t>通道县</w:t>
      </w:r>
      <w:r>
        <w:rPr>
          <w:rFonts w:hint="default" w:ascii="仿宋_GB2312" w:hAnsi="仿宋_GB2312" w:eastAsia="仿宋_GB2312" w:cs="仿宋_GB2312"/>
          <w:sz w:val="28"/>
          <w:szCs w:val="20"/>
          <w:highlight w:val="none"/>
          <w:lang w:val="en-US" w:eastAsia="zh-CN"/>
        </w:rPr>
        <w:t>城区临街宽度修正系数表</w:t>
      </w:r>
      <w:r>
        <w:rPr>
          <w:rFonts w:hint="eastAsia" w:ascii="仿宋_GB2312" w:hAnsi="仿宋_GB2312" w:cs="仿宋_GB2312"/>
          <w:color w:val="auto"/>
          <w:sz w:val="28"/>
          <w:szCs w:val="28"/>
          <w:highlight w:val="none"/>
          <w:lang w:val="en-US" w:eastAsia="zh-CN"/>
        </w:rPr>
        <w:t>》，</w:t>
      </w:r>
      <w:r>
        <w:rPr>
          <w:rFonts w:hint="eastAsia" w:ascii="仿宋_GB2312" w:hAnsi="仿宋_GB2312" w:eastAsia="仿宋_GB2312" w:cs="仿宋_GB2312"/>
          <w:sz w:val="28"/>
          <w:szCs w:val="28"/>
          <w:highlight w:val="none"/>
          <w:lang w:val="en-US" w:eastAsia="zh-CN"/>
        </w:rPr>
        <w:t>临街深度修正系数Kd</w:t>
      </w:r>
      <w:r>
        <w:rPr>
          <w:rFonts w:hint="eastAsia" w:ascii="仿宋_GB2312" w:hAnsi="仿宋_GB2312" w:cs="仿宋_GB2312"/>
          <w:sz w:val="28"/>
          <w:szCs w:val="28"/>
          <w:highlight w:val="none"/>
          <w:lang w:val="en-US" w:eastAsia="zh-CN"/>
        </w:rPr>
        <w:t>=1.388。</w:t>
      </w:r>
    </w:p>
    <w:p w14:paraId="5B9D78D8">
      <w:pPr>
        <w:keepNext w:val="0"/>
        <w:keepLines w:val="0"/>
        <w:pageBreakBefore w:val="0"/>
        <w:widowControl/>
        <w:kinsoku/>
        <w:wordWrap/>
        <w:overflowPunct/>
        <w:topLinePunct w:val="0"/>
        <w:autoSpaceDE w:val="0"/>
        <w:autoSpaceDN w:val="0"/>
        <w:bidi w:val="0"/>
        <w:adjustRightInd w:val="0"/>
        <w:snapToGrid w:val="0"/>
        <w:spacing w:line="480" w:lineRule="exact"/>
        <w:ind w:firstLine="560" w:firstLineChars="200"/>
        <w:jc w:val="center"/>
        <w:textAlignment w:val="baseline"/>
        <w:rPr>
          <w:rFonts w:hint="default" w:ascii="仿宋_GB2312" w:hAnsi="仿宋_GB2312" w:eastAsia="仿宋_GB2312" w:cs="仿宋_GB2312"/>
          <w:sz w:val="28"/>
          <w:szCs w:val="20"/>
          <w:highlight w:val="none"/>
          <w:lang w:val="en-US" w:eastAsia="zh-CN"/>
        </w:rPr>
      </w:pPr>
      <w:r>
        <w:rPr>
          <w:rFonts w:hint="eastAsia" w:ascii="仿宋_GB2312" w:hAnsi="仿宋_GB2312" w:eastAsia="仿宋_GB2312" w:cs="仿宋_GB2312"/>
          <w:sz w:val="28"/>
          <w:szCs w:val="20"/>
          <w:highlight w:val="none"/>
        </w:rPr>
        <w:t>表3-</w:t>
      </w:r>
      <w:r>
        <w:rPr>
          <w:rFonts w:hint="eastAsia" w:ascii="仿宋_GB2312" w:hAnsi="仿宋_GB2312" w:eastAsia="仿宋_GB2312" w:cs="仿宋_GB2312"/>
          <w:sz w:val="28"/>
          <w:szCs w:val="20"/>
          <w:highlight w:val="none"/>
          <w:lang w:val="en-US" w:eastAsia="zh-CN"/>
        </w:rPr>
        <w:t>14 通道县</w:t>
      </w:r>
      <w:r>
        <w:rPr>
          <w:rFonts w:hint="default" w:ascii="仿宋_GB2312" w:hAnsi="仿宋_GB2312" w:eastAsia="仿宋_GB2312" w:cs="仿宋_GB2312"/>
          <w:sz w:val="28"/>
          <w:szCs w:val="20"/>
          <w:highlight w:val="none"/>
          <w:lang w:val="en-US" w:eastAsia="zh-CN"/>
        </w:rPr>
        <w:t>城区宗地地价临街深度修正系数表</w:t>
      </w:r>
    </w:p>
    <w:p w14:paraId="461F3920">
      <w:pPr>
        <w:keepNext w:val="0"/>
        <w:keepLines w:val="0"/>
        <w:pageBreakBefore w:val="0"/>
        <w:widowControl/>
        <w:kinsoku/>
        <w:wordWrap/>
        <w:overflowPunct/>
        <w:topLinePunct w:val="0"/>
        <w:autoSpaceDE w:val="0"/>
        <w:autoSpaceDN w:val="0"/>
        <w:bidi w:val="0"/>
        <w:adjustRightInd w:val="0"/>
        <w:snapToGrid w:val="0"/>
        <w:spacing w:line="240" w:lineRule="auto"/>
        <w:ind w:firstLine="560" w:firstLineChars="200"/>
        <w:jc w:val="right"/>
        <w:textAlignment w:val="baseline"/>
        <w:rPr>
          <w:rFonts w:hint="default" w:ascii="仿宋_GB2312" w:hAnsi="仿宋_GB2312" w:eastAsia="仿宋_GB2312" w:cs="仿宋_GB2312"/>
          <w:sz w:val="28"/>
          <w:szCs w:val="20"/>
          <w:highlight w:val="none"/>
          <w:lang w:val="en-US" w:eastAsia="zh-CN"/>
        </w:rPr>
      </w:pPr>
      <w:r>
        <w:rPr>
          <w:rFonts w:hint="default" w:ascii="仿宋_GB2312" w:hAnsi="仿宋_GB2312" w:eastAsia="仿宋_GB2312" w:cs="仿宋_GB2312"/>
          <w:sz w:val="28"/>
          <w:szCs w:val="20"/>
          <w:highlight w:val="none"/>
          <w:lang w:val="en-US" w:eastAsia="zh-CN"/>
        </w:rPr>
        <w:t>单位：米</w:t>
      </w:r>
    </w:p>
    <w:tbl>
      <w:tblPr>
        <w:tblStyle w:val="11"/>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782"/>
        <w:gridCol w:w="782"/>
        <w:gridCol w:w="782"/>
        <w:gridCol w:w="782"/>
        <w:gridCol w:w="782"/>
        <w:gridCol w:w="782"/>
        <w:gridCol w:w="782"/>
        <w:gridCol w:w="783"/>
        <w:gridCol w:w="783"/>
      </w:tblGrid>
      <w:tr w14:paraId="441BD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4" w:type="pct"/>
            <w:tcBorders>
              <w:tl2br w:val="single" w:color="auto" w:sz="4" w:space="0"/>
            </w:tcBorders>
            <w:noWrap w:val="0"/>
            <w:vAlign w:val="center"/>
          </w:tcPr>
          <w:p w14:paraId="0842F2E8">
            <w:pPr>
              <w:keepNext w:val="0"/>
              <w:keepLines w:val="0"/>
              <w:pageBreakBefore w:val="0"/>
              <w:widowControl w:val="0"/>
              <w:kinsoku/>
              <w:wordWrap/>
              <w:overflowPunct/>
              <w:topLinePunct w:val="0"/>
              <w:autoSpaceDE/>
              <w:autoSpaceDN/>
              <w:bidi w:val="0"/>
              <w:adjustRightInd/>
              <w:snapToGrid/>
              <w:spacing w:line="320" w:lineRule="exact"/>
              <w:jc w:val="right"/>
              <w:textAlignment w:val="auto"/>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深度系数</w:t>
            </w:r>
          </w:p>
          <w:p w14:paraId="395F38A4">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类型</w:t>
            </w:r>
          </w:p>
        </w:tc>
        <w:tc>
          <w:tcPr>
            <w:tcW w:w="459" w:type="pct"/>
            <w:noWrap w:val="0"/>
            <w:vAlign w:val="center"/>
          </w:tcPr>
          <w:p w14:paraId="686E1427">
            <w:pPr>
              <w:keepNext w:val="0"/>
              <w:keepLines w:val="0"/>
              <w:pageBreakBefore w:val="0"/>
              <w:widowControl w:val="0"/>
              <w:kinsoku/>
              <w:wordWrap/>
              <w:overflowPunct/>
              <w:topLinePunct w:val="0"/>
              <w:autoSpaceDE/>
              <w:autoSpaceDN/>
              <w:bidi w:val="0"/>
              <w:adjustRightInd/>
              <w:snapToGrid/>
              <w:spacing w:line="320" w:lineRule="exact"/>
              <w:ind w:left="10" w:leftChars="5"/>
              <w:jc w:val="center"/>
              <w:textAlignment w:val="auto"/>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≤4</w:t>
            </w:r>
          </w:p>
        </w:tc>
        <w:tc>
          <w:tcPr>
            <w:tcW w:w="459" w:type="pct"/>
            <w:noWrap w:val="0"/>
            <w:vAlign w:val="center"/>
          </w:tcPr>
          <w:p w14:paraId="190C6D40">
            <w:pPr>
              <w:keepNext w:val="0"/>
              <w:keepLines w:val="0"/>
              <w:pageBreakBefore w:val="0"/>
              <w:widowControl w:val="0"/>
              <w:kinsoku/>
              <w:wordWrap/>
              <w:overflowPunct/>
              <w:topLinePunct w:val="0"/>
              <w:autoSpaceDE/>
              <w:autoSpaceDN/>
              <w:bidi w:val="0"/>
              <w:adjustRightInd/>
              <w:snapToGrid/>
              <w:spacing w:line="320" w:lineRule="exact"/>
              <w:ind w:left="10" w:leftChars="5"/>
              <w:jc w:val="center"/>
              <w:textAlignment w:val="auto"/>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4-6</w:t>
            </w:r>
          </w:p>
        </w:tc>
        <w:tc>
          <w:tcPr>
            <w:tcW w:w="459" w:type="pct"/>
            <w:noWrap w:val="0"/>
            <w:vAlign w:val="center"/>
          </w:tcPr>
          <w:p w14:paraId="6CF0C0A9">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6-8</w:t>
            </w:r>
          </w:p>
        </w:tc>
        <w:tc>
          <w:tcPr>
            <w:tcW w:w="459" w:type="pct"/>
            <w:noWrap w:val="0"/>
            <w:vAlign w:val="center"/>
          </w:tcPr>
          <w:p w14:paraId="5C908EEC">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8-10</w:t>
            </w:r>
          </w:p>
        </w:tc>
        <w:tc>
          <w:tcPr>
            <w:tcW w:w="459" w:type="pct"/>
            <w:noWrap w:val="0"/>
            <w:vAlign w:val="center"/>
          </w:tcPr>
          <w:p w14:paraId="7EF62E5C">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10-12</w:t>
            </w:r>
          </w:p>
        </w:tc>
        <w:tc>
          <w:tcPr>
            <w:tcW w:w="459" w:type="pct"/>
            <w:noWrap w:val="0"/>
            <w:vAlign w:val="center"/>
          </w:tcPr>
          <w:p w14:paraId="2C629459">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12-14</w:t>
            </w:r>
          </w:p>
        </w:tc>
        <w:tc>
          <w:tcPr>
            <w:tcW w:w="459" w:type="pct"/>
            <w:noWrap w:val="0"/>
            <w:vAlign w:val="center"/>
          </w:tcPr>
          <w:p w14:paraId="23C965B0">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14-16</w:t>
            </w:r>
          </w:p>
        </w:tc>
        <w:tc>
          <w:tcPr>
            <w:tcW w:w="459" w:type="pct"/>
            <w:noWrap w:val="0"/>
            <w:vAlign w:val="center"/>
          </w:tcPr>
          <w:p w14:paraId="242FEF38">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16-18</w:t>
            </w:r>
          </w:p>
        </w:tc>
        <w:tc>
          <w:tcPr>
            <w:tcW w:w="459" w:type="pct"/>
            <w:noWrap w:val="0"/>
            <w:vAlign w:val="center"/>
          </w:tcPr>
          <w:p w14:paraId="0D178EC9">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仿宋_GB2312" w:hAnsi="仿宋_GB2312" w:eastAsia="仿宋_GB2312" w:cs="仿宋_GB2312"/>
                <w:b/>
                <w:bCs/>
                <w:color w:val="auto"/>
                <w:sz w:val="20"/>
                <w:szCs w:val="20"/>
                <w:highlight w:val="none"/>
              </w:rPr>
            </w:pPr>
            <w:r>
              <w:rPr>
                <w:rFonts w:hint="eastAsia" w:ascii="仿宋_GB2312" w:hAnsi="仿宋_GB2312" w:eastAsia="仿宋_GB2312" w:cs="仿宋_GB2312"/>
                <w:b/>
                <w:bCs/>
                <w:color w:val="auto"/>
                <w:sz w:val="20"/>
                <w:szCs w:val="20"/>
                <w:highlight w:val="none"/>
              </w:rPr>
              <w:t>18-20</w:t>
            </w:r>
          </w:p>
        </w:tc>
      </w:tr>
      <w:tr w14:paraId="1C72B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4" w:type="pct"/>
            <w:noWrap w:val="0"/>
            <w:vAlign w:val="center"/>
          </w:tcPr>
          <w:p w14:paraId="0118D013">
            <w:pPr>
              <w:spacing w:line="360" w:lineRule="exact"/>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主干道</w:t>
            </w:r>
          </w:p>
        </w:tc>
        <w:tc>
          <w:tcPr>
            <w:tcW w:w="782" w:type="dxa"/>
            <w:noWrap w:val="0"/>
            <w:vAlign w:val="center"/>
          </w:tcPr>
          <w:p w14:paraId="32138A4A">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1.596</w:t>
            </w:r>
          </w:p>
        </w:tc>
        <w:tc>
          <w:tcPr>
            <w:tcW w:w="782" w:type="dxa"/>
            <w:noWrap w:val="0"/>
            <w:vAlign w:val="center"/>
          </w:tcPr>
          <w:p w14:paraId="0C31FC11">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1.533</w:t>
            </w:r>
          </w:p>
        </w:tc>
        <w:tc>
          <w:tcPr>
            <w:tcW w:w="782" w:type="dxa"/>
            <w:noWrap w:val="0"/>
            <w:vAlign w:val="center"/>
          </w:tcPr>
          <w:p w14:paraId="1D5BBC6D">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1.452</w:t>
            </w:r>
          </w:p>
        </w:tc>
        <w:tc>
          <w:tcPr>
            <w:tcW w:w="782" w:type="dxa"/>
            <w:noWrap w:val="0"/>
            <w:vAlign w:val="center"/>
          </w:tcPr>
          <w:p w14:paraId="099A3509">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1.376</w:t>
            </w:r>
          </w:p>
        </w:tc>
        <w:tc>
          <w:tcPr>
            <w:tcW w:w="782" w:type="dxa"/>
            <w:noWrap w:val="0"/>
            <w:vAlign w:val="center"/>
          </w:tcPr>
          <w:p w14:paraId="4EEBE7F5">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1.304</w:t>
            </w:r>
          </w:p>
        </w:tc>
        <w:tc>
          <w:tcPr>
            <w:tcW w:w="782" w:type="dxa"/>
            <w:noWrap w:val="0"/>
            <w:vAlign w:val="center"/>
          </w:tcPr>
          <w:p w14:paraId="26C3824C">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1.235</w:t>
            </w:r>
          </w:p>
        </w:tc>
        <w:tc>
          <w:tcPr>
            <w:tcW w:w="782" w:type="dxa"/>
            <w:noWrap w:val="0"/>
            <w:vAlign w:val="center"/>
          </w:tcPr>
          <w:p w14:paraId="21625534">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1.17</w:t>
            </w:r>
          </w:p>
        </w:tc>
        <w:tc>
          <w:tcPr>
            <w:tcW w:w="783" w:type="dxa"/>
            <w:noWrap w:val="0"/>
            <w:vAlign w:val="center"/>
          </w:tcPr>
          <w:p w14:paraId="5FE2D4FB">
            <w:pPr>
              <w:keepNext w:val="0"/>
              <w:keepLines w:val="0"/>
              <w:widowControl/>
              <w:suppressLineNumbers w:val="0"/>
              <w:jc w:val="center"/>
              <w:textAlignment w:val="center"/>
              <w:rPr>
                <w:rFonts w:hint="eastAsia" w:ascii="仿宋_GB2312" w:hAnsi="仿宋_GB2312" w:eastAsia="仿宋_GB2312" w:cs="仿宋_GB2312"/>
                <w:color w:val="auto"/>
                <w:kern w:val="0"/>
                <w:sz w:val="20"/>
                <w:szCs w:val="20"/>
                <w:highlight w:val="none"/>
                <w:lang w:bidi="ar"/>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1.108</w:t>
            </w:r>
          </w:p>
        </w:tc>
        <w:tc>
          <w:tcPr>
            <w:tcW w:w="783" w:type="dxa"/>
            <w:noWrap w:val="0"/>
            <w:vAlign w:val="center"/>
          </w:tcPr>
          <w:p w14:paraId="62273FDE">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w:t>
            </w:r>
          </w:p>
        </w:tc>
      </w:tr>
      <w:tr w14:paraId="095A4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trPr>
        <w:tc>
          <w:tcPr>
            <w:tcW w:w="864" w:type="pct"/>
            <w:noWrap w:val="0"/>
            <w:vAlign w:val="center"/>
          </w:tcPr>
          <w:p w14:paraId="7748D97F">
            <w:pPr>
              <w:spacing w:line="360" w:lineRule="exact"/>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次干道</w:t>
            </w:r>
          </w:p>
        </w:tc>
        <w:tc>
          <w:tcPr>
            <w:tcW w:w="782" w:type="dxa"/>
            <w:noWrap w:val="0"/>
            <w:vAlign w:val="center"/>
          </w:tcPr>
          <w:p w14:paraId="050E94D1">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1.558</w:t>
            </w:r>
          </w:p>
        </w:tc>
        <w:tc>
          <w:tcPr>
            <w:tcW w:w="782" w:type="dxa"/>
            <w:noWrap w:val="0"/>
            <w:vAlign w:val="center"/>
          </w:tcPr>
          <w:p w14:paraId="275C60D6">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1.483</w:t>
            </w:r>
          </w:p>
        </w:tc>
        <w:tc>
          <w:tcPr>
            <w:tcW w:w="782" w:type="dxa"/>
            <w:noWrap w:val="0"/>
            <w:vAlign w:val="center"/>
          </w:tcPr>
          <w:p w14:paraId="6767FD64">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1.388</w:t>
            </w:r>
          </w:p>
        </w:tc>
        <w:tc>
          <w:tcPr>
            <w:tcW w:w="782" w:type="dxa"/>
            <w:noWrap w:val="0"/>
            <w:vAlign w:val="center"/>
          </w:tcPr>
          <w:p w14:paraId="1C14D5B7">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1.3</w:t>
            </w:r>
          </w:p>
        </w:tc>
        <w:tc>
          <w:tcPr>
            <w:tcW w:w="782" w:type="dxa"/>
            <w:noWrap w:val="0"/>
            <w:vAlign w:val="center"/>
          </w:tcPr>
          <w:p w14:paraId="1BB4E6C8">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1.217</w:t>
            </w:r>
          </w:p>
        </w:tc>
        <w:tc>
          <w:tcPr>
            <w:tcW w:w="782" w:type="dxa"/>
            <w:noWrap w:val="0"/>
            <w:vAlign w:val="center"/>
          </w:tcPr>
          <w:p w14:paraId="00E9CED6">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1.139</w:t>
            </w:r>
          </w:p>
        </w:tc>
        <w:tc>
          <w:tcPr>
            <w:tcW w:w="782" w:type="dxa"/>
            <w:noWrap w:val="0"/>
            <w:vAlign w:val="center"/>
          </w:tcPr>
          <w:p w14:paraId="2DD0DCA5">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1.067</w:t>
            </w:r>
          </w:p>
        </w:tc>
        <w:tc>
          <w:tcPr>
            <w:tcW w:w="783" w:type="dxa"/>
            <w:noWrap w:val="0"/>
            <w:vAlign w:val="center"/>
          </w:tcPr>
          <w:p w14:paraId="38E55F59">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w:t>
            </w:r>
          </w:p>
        </w:tc>
        <w:tc>
          <w:tcPr>
            <w:tcW w:w="783" w:type="dxa"/>
            <w:noWrap w:val="0"/>
            <w:vAlign w:val="center"/>
          </w:tcPr>
          <w:p w14:paraId="68E50C74">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w:t>
            </w:r>
          </w:p>
        </w:tc>
      </w:tr>
      <w:tr w14:paraId="354C4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64" w:type="pct"/>
            <w:noWrap w:val="0"/>
            <w:vAlign w:val="center"/>
          </w:tcPr>
          <w:p w14:paraId="31D6E8E4">
            <w:pPr>
              <w:spacing w:line="360" w:lineRule="exact"/>
              <w:jc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color w:val="auto"/>
                <w:sz w:val="20"/>
                <w:szCs w:val="20"/>
                <w:highlight w:val="none"/>
              </w:rPr>
              <w:t>支路</w:t>
            </w:r>
          </w:p>
        </w:tc>
        <w:tc>
          <w:tcPr>
            <w:tcW w:w="782" w:type="dxa"/>
            <w:noWrap w:val="0"/>
            <w:vAlign w:val="center"/>
          </w:tcPr>
          <w:p w14:paraId="4381A944">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1.491</w:t>
            </w:r>
          </w:p>
        </w:tc>
        <w:tc>
          <w:tcPr>
            <w:tcW w:w="782" w:type="dxa"/>
            <w:noWrap w:val="0"/>
            <w:vAlign w:val="center"/>
          </w:tcPr>
          <w:p w14:paraId="346F86B7">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1.396</w:t>
            </w:r>
          </w:p>
        </w:tc>
        <w:tc>
          <w:tcPr>
            <w:tcW w:w="782" w:type="dxa"/>
            <w:noWrap w:val="0"/>
            <w:vAlign w:val="center"/>
          </w:tcPr>
          <w:p w14:paraId="7E5E361D">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1.279</w:t>
            </w:r>
          </w:p>
        </w:tc>
        <w:tc>
          <w:tcPr>
            <w:tcW w:w="782" w:type="dxa"/>
            <w:noWrap w:val="0"/>
            <w:vAlign w:val="center"/>
          </w:tcPr>
          <w:p w14:paraId="4D0D824C">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1.171</w:t>
            </w:r>
          </w:p>
        </w:tc>
        <w:tc>
          <w:tcPr>
            <w:tcW w:w="782" w:type="dxa"/>
            <w:noWrap w:val="0"/>
            <w:vAlign w:val="center"/>
          </w:tcPr>
          <w:p w14:paraId="1286A635">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1.073</w:t>
            </w:r>
          </w:p>
        </w:tc>
        <w:tc>
          <w:tcPr>
            <w:tcW w:w="782" w:type="dxa"/>
            <w:noWrap w:val="0"/>
            <w:vAlign w:val="center"/>
          </w:tcPr>
          <w:p w14:paraId="42A9BF5D">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1</w:t>
            </w:r>
          </w:p>
        </w:tc>
        <w:tc>
          <w:tcPr>
            <w:tcW w:w="782" w:type="dxa"/>
            <w:noWrap w:val="0"/>
            <w:vAlign w:val="center"/>
          </w:tcPr>
          <w:p w14:paraId="1C378398">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w:t>
            </w:r>
          </w:p>
        </w:tc>
        <w:tc>
          <w:tcPr>
            <w:tcW w:w="783" w:type="dxa"/>
            <w:noWrap w:val="0"/>
            <w:vAlign w:val="center"/>
          </w:tcPr>
          <w:p w14:paraId="61C698C5">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w:t>
            </w:r>
          </w:p>
        </w:tc>
        <w:tc>
          <w:tcPr>
            <w:tcW w:w="783" w:type="dxa"/>
            <w:noWrap w:val="0"/>
            <w:vAlign w:val="center"/>
          </w:tcPr>
          <w:p w14:paraId="5FDF2F41">
            <w:pPr>
              <w:keepNext w:val="0"/>
              <w:keepLines w:val="0"/>
              <w:widowControl/>
              <w:suppressLineNumbers w:val="0"/>
              <w:jc w:val="center"/>
              <w:textAlignment w:val="center"/>
              <w:rPr>
                <w:rFonts w:hint="eastAsia" w:ascii="仿宋_GB2312" w:hAnsi="仿宋_GB2312" w:eastAsia="仿宋_GB2312" w:cs="仿宋_GB2312"/>
                <w:color w:val="auto"/>
                <w:sz w:val="20"/>
                <w:szCs w:val="20"/>
                <w:highlight w:val="none"/>
              </w:rPr>
            </w:pPr>
            <w:r>
              <w:rPr>
                <w:rFonts w:hint="eastAsia" w:ascii="仿宋_GB2312" w:hAnsi="仿宋_GB2312" w:eastAsia="仿宋_GB2312" w:cs="仿宋_GB2312"/>
                <w:i w:val="0"/>
                <w:iCs w:val="0"/>
                <w:snapToGrid w:val="0"/>
                <w:color w:val="auto"/>
                <w:kern w:val="0"/>
                <w:sz w:val="20"/>
                <w:szCs w:val="20"/>
                <w:highlight w:val="none"/>
                <w:u w:val="none"/>
                <w:lang w:val="en-US" w:eastAsia="zh-CN" w:bidi="ar"/>
              </w:rPr>
              <w:t>/</w:t>
            </w:r>
          </w:p>
        </w:tc>
      </w:tr>
    </w:tbl>
    <w:p w14:paraId="3EEE6C80">
      <w:pPr>
        <w:keepNext w:val="0"/>
        <w:keepLines w:val="0"/>
        <w:pageBreakBefore w:val="0"/>
        <w:widowControl w:val="0"/>
        <w:kinsoku/>
        <w:wordWrap/>
        <w:overflowPunct/>
        <w:topLinePunct w:val="0"/>
        <w:autoSpaceDE w:val="0"/>
        <w:autoSpaceDN w:val="0"/>
        <w:bidi w:val="0"/>
        <w:adjustRightInd w:val="0"/>
        <w:snapToGrid w:val="0"/>
        <w:spacing w:line="360" w:lineRule="auto"/>
        <w:ind w:firstLine="420" w:firstLineChars="200"/>
        <w:textAlignment w:val="baseline"/>
        <w:rPr>
          <w:rFonts w:hint="eastAsia" w:ascii="仿宋_GB2312" w:hAnsi="仿宋_GB2312" w:eastAsia="仿宋_GB2312" w:cs="仿宋_GB2312"/>
          <w:color w:val="auto"/>
          <w:sz w:val="21"/>
          <w:szCs w:val="21"/>
          <w:highlight w:val="none"/>
          <w:lang w:val="en-US" w:eastAsia="zh-CN"/>
        </w:rPr>
      </w:pPr>
      <w:r>
        <w:rPr>
          <w:rFonts w:hint="eastAsia" w:ascii="仿宋_GB2312" w:hAnsi="仿宋_GB2312" w:eastAsia="仿宋_GB2312" w:cs="仿宋_GB2312"/>
          <w:color w:val="auto"/>
          <w:sz w:val="21"/>
          <w:szCs w:val="21"/>
          <w:highlight w:val="none"/>
          <w:lang w:val="en-US" w:eastAsia="zh-CN"/>
        </w:rPr>
        <w:t>注：所有区间范围左开右闭</w:t>
      </w:r>
    </w:p>
    <w:p w14:paraId="663E2474">
      <w:pPr>
        <w:numPr>
          <w:ilvl w:val="0"/>
          <w:numId w:val="0"/>
        </w:numPr>
        <w:adjustRightInd w:val="0"/>
        <w:snapToGrid w:val="0"/>
        <w:spacing w:line="480" w:lineRule="exact"/>
        <w:ind w:firstLine="601"/>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1</w:t>
      </w:r>
      <w:r>
        <w:rPr>
          <w:rFonts w:hint="eastAsia" w:ascii="仿宋_GB2312" w:hAnsi="仿宋_GB2312" w:eastAsia="仿宋_GB2312" w:cs="仿宋_GB2312"/>
          <w:sz w:val="28"/>
          <w:szCs w:val="28"/>
          <w:highlight w:val="none"/>
          <w:lang w:val="en-US" w:eastAsia="zh-CN"/>
        </w:rPr>
        <w:t>6</w:t>
      </w:r>
      <w:r>
        <w:rPr>
          <w:rFonts w:hint="eastAsia" w:ascii="仿宋_GB2312" w:hAnsi="仿宋_GB2312" w:eastAsia="仿宋_GB2312" w:cs="仿宋_GB2312"/>
          <w:sz w:val="28"/>
          <w:szCs w:val="28"/>
          <w:highlight w:val="none"/>
        </w:rPr>
        <w:t>、开发程度修正（K</w:t>
      </w:r>
      <w:r>
        <w:rPr>
          <w:rFonts w:hint="eastAsia" w:ascii="仿宋_GB2312" w:hAnsi="仿宋_GB2312" w:eastAsia="仿宋_GB2312" w:cs="仿宋_GB2312"/>
          <w:sz w:val="28"/>
          <w:szCs w:val="28"/>
          <w:highlight w:val="none"/>
          <w:vertAlign w:val="baseline"/>
        </w:rPr>
        <w:t>f</w:t>
      </w:r>
      <w:r>
        <w:rPr>
          <w:rFonts w:hint="eastAsia" w:ascii="仿宋_GB2312" w:hAnsi="仿宋_GB2312" w:eastAsia="仿宋_GB2312" w:cs="仿宋_GB2312"/>
          <w:sz w:val="28"/>
          <w:szCs w:val="28"/>
          <w:highlight w:val="none"/>
        </w:rPr>
        <w:t>）</w:t>
      </w:r>
    </w:p>
    <w:p w14:paraId="176786DE">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de-DE" w:eastAsia="zh-CN"/>
        </w:rPr>
      </w:pPr>
      <w:r>
        <w:rPr>
          <w:rFonts w:hint="eastAsia" w:ascii="仿宋_GB2312" w:hAnsi="仿宋_GB2312" w:eastAsia="仿宋_GB2312" w:cs="仿宋_GB2312"/>
          <w:bCs/>
          <w:sz w:val="28"/>
          <w:highlight w:val="none"/>
          <w:lang w:val="de-DE" w:eastAsia="zh-CN"/>
        </w:rPr>
        <w:t>根据</w:t>
      </w:r>
      <w:r>
        <w:rPr>
          <w:rFonts w:hint="eastAsia" w:ascii="仿宋_GB2312" w:hAnsi="仿宋_GB2312" w:eastAsia="仿宋_GB2312" w:cs="仿宋_GB2312"/>
          <w:bCs/>
          <w:sz w:val="28"/>
          <w:highlight w:val="none"/>
          <w:lang w:val="en-US" w:eastAsia="zh-CN"/>
        </w:rPr>
        <w:t>《通道侗族自治县城镇基准地价更新技术报告》（2025年11月），通道县城区居住用地</w:t>
      </w:r>
      <w:r>
        <w:rPr>
          <w:rFonts w:hint="eastAsia" w:ascii="仿宋_GB2312" w:hAnsi="仿宋_GB2312" w:eastAsia="仿宋_GB2312" w:cs="仿宋_GB2312"/>
          <w:bCs/>
          <w:sz w:val="28"/>
          <w:highlight w:val="none"/>
          <w:lang w:val="de-DE" w:eastAsia="zh-CN"/>
        </w:rPr>
        <w:t>的</w:t>
      </w:r>
      <w:r>
        <w:rPr>
          <w:rFonts w:hint="eastAsia" w:ascii="仿宋_GB2312" w:hAnsi="仿宋_GB2312" w:eastAsia="仿宋_GB2312" w:cs="仿宋_GB2312"/>
          <w:bCs/>
          <w:sz w:val="28"/>
          <w:highlight w:val="none"/>
          <w:lang w:val="en-US" w:eastAsia="zh-CN"/>
        </w:rPr>
        <w:t>基准地价</w:t>
      </w:r>
      <w:r>
        <w:rPr>
          <w:rFonts w:hint="eastAsia" w:ascii="仿宋_GB2312" w:hAnsi="仿宋_GB2312" w:eastAsia="仿宋_GB2312" w:cs="仿宋_GB2312"/>
          <w:bCs/>
          <w:sz w:val="28"/>
          <w:highlight w:val="none"/>
          <w:lang w:val="de-DE" w:eastAsia="zh-CN"/>
        </w:rPr>
        <w:t>所设定</w:t>
      </w:r>
      <w:r>
        <w:rPr>
          <w:rFonts w:hint="eastAsia" w:ascii="仿宋_GB2312" w:hAnsi="仿宋_GB2312" w:eastAsia="仿宋_GB2312" w:cs="仿宋_GB2312"/>
          <w:bCs/>
          <w:sz w:val="28"/>
          <w:highlight w:val="none"/>
          <w:lang w:val="en-US" w:eastAsia="zh-CN"/>
        </w:rPr>
        <w:t>的</w:t>
      </w:r>
      <w:r>
        <w:rPr>
          <w:rFonts w:hint="eastAsia" w:ascii="仿宋_GB2312" w:hAnsi="仿宋_GB2312" w:eastAsia="仿宋_GB2312" w:cs="仿宋_GB2312"/>
          <w:bCs/>
          <w:sz w:val="28"/>
          <w:highlight w:val="none"/>
          <w:lang w:val="de-DE" w:eastAsia="zh-CN"/>
        </w:rPr>
        <w:t>开发程度</w:t>
      </w:r>
      <w:r>
        <w:rPr>
          <w:rFonts w:hint="eastAsia" w:ascii="仿宋_GB2312" w:hAnsi="仿宋_GB2312" w:eastAsia="仿宋_GB2312" w:cs="仿宋_GB2312"/>
          <w:bCs/>
          <w:sz w:val="28"/>
          <w:highlight w:val="none"/>
          <w:lang w:val="en-US" w:eastAsia="zh-CN"/>
        </w:rPr>
        <w:t>一至五级为“五通一平”（宗地红线场地外通上水、下水、通电、通路、通讯，红线内土地平整），</w:t>
      </w:r>
      <w:r>
        <w:rPr>
          <w:rFonts w:hint="eastAsia" w:ascii="仿宋_GB2312" w:hAnsi="仿宋_GB2312" w:eastAsia="仿宋_GB2312" w:cs="仿宋_GB2312"/>
          <w:bCs/>
          <w:sz w:val="28"/>
          <w:highlight w:val="none"/>
          <w:lang w:val="de-DE" w:eastAsia="zh-CN"/>
        </w:rPr>
        <w:t>本次评估待估宗地设定的</w:t>
      </w:r>
      <w:r>
        <w:rPr>
          <w:rFonts w:hint="eastAsia" w:ascii="仿宋_GB2312" w:hAnsi="仿宋_GB2312" w:eastAsia="仿宋_GB2312" w:cs="仿宋_GB2312"/>
          <w:bCs/>
          <w:sz w:val="28"/>
          <w:highlight w:val="none"/>
          <w:lang w:val="en-US" w:eastAsia="zh-CN"/>
        </w:rPr>
        <w:t>开发程度均为宗地</w:t>
      </w:r>
      <w:r>
        <w:rPr>
          <w:rFonts w:hint="eastAsia" w:ascii="仿宋_GB2312" w:hAnsi="仿宋_GB2312" w:eastAsia="仿宋_GB2312" w:cs="仿宋_GB2312"/>
          <w:bCs/>
          <w:sz w:val="28"/>
          <w:highlight w:val="none"/>
          <w:lang w:val="de-DE" w:eastAsia="zh-CN"/>
        </w:rPr>
        <w:t>红线外“</w:t>
      </w:r>
      <w:r>
        <w:rPr>
          <w:rFonts w:hint="eastAsia" w:ascii="仿宋_GB2312" w:hAnsi="仿宋_GB2312" w:eastAsia="仿宋_GB2312" w:cs="仿宋_GB2312"/>
          <w:bCs/>
          <w:sz w:val="28"/>
          <w:highlight w:val="none"/>
          <w:lang w:val="en-US" w:eastAsia="zh-CN"/>
        </w:rPr>
        <w:t>五</w:t>
      </w:r>
      <w:r>
        <w:rPr>
          <w:rFonts w:hint="eastAsia" w:ascii="仿宋_GB2312" w:hAnsi="仿宋_GB2312" w:eastAsia="仿宋_GB2312" w:cs="仿宋_GB2312"/>
          <w:bCs/>
          <w:sz w:val="28"/>
          <w:highlight w:val="none"/>
          <w:lang w:val="de-DE" w:eastAsia="zh-CN"/>
        </w:rPr>
        <w:t>通”（通路、通电、供水、排水、通讯），红线内场地平整，两者一致，故不需进行宗地开发程度修正。即：Kf=0。</w:t>
      </w:r>
    </w:p>
    <w:p w14:paraId="785A8F54">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13</w:t>
      </w:r>
      <w:r>
        <w:rPr>
          <w:rFonts w:hint="eastAsia" w:ascii="仿宋_GB2312" w:hAnsi="仿宋_GB2312" w:eastAsia="仿宋_GB2312" w:cs="仿宋_GB2312"/>
          <w:sz w:val="28"/>
          <w:szCs w:val="28"/>
          <w:highlight w:val="none"/>
        </w:rPr>
        <w:t>、计算基准地价设定开发程度条件下的宗地地价</w:t>
      </w:r>
    </w:p>
    <w:p w14:paraId="65F7E37A">
      <w:pPr>
        <w:adjustRightInd w:val="0"/>
        <w:snapToGrid w:val="0"/>
        <w:spacing w:line="480" w:lineRule="exact"/>
        <w:ind w:firstLine="560" w:firstLineChars="200"/>
        <w:rPr>
          <w:rFonts w:hint="eastAsia" w:ascii="仿宋_GB2312" w:hAnsi="仿宋_GB2312" w:eastAsia="仿宋_GB2312" w:cs="仿宋_GB2312"/>
          <w:sz w:val="28"/>
          <w:szCs w:val="28"/>
          <w:highlight w:val="none"/>
          <w:lang w:val="de-DE"/>
        </w:rPr>
      </w:pPr>
      <w:r>
        <w:rPr>
          <w:rFonts w:hint="eastAsia" w:ascii="仿宋_GB2312" w:hAnsi="仿宋_GB2312" w:eastAsia="仿宋_GB2312" w:cs="仿宋_GB2312"/>
          <w:color w:val="auto"/>
          <w:sz w:val="28"/>
          <w:szCs w:val="28"/>
          <w:highlight w:val="none"/>
        </w:rPr>
        <w:t>P商=路线价×Ky×Kv×Kt×Ks×Ka×Kc×Kk×Kd×Ku＋Kf</w:t>
      </w:r>
    </w:p>
    <w:p w14:paraId="77FFED62">
      <w:pPr>
        <w:adjustRightInd w:val="0"/>
        <w:snapToGrid w:val="0"/>
        <w:spacing w:line="480" w:lineRule="exact"/>
        <w:ind w:firstLine="560" w:firstLineChars="200"/>
        <w:rPr>
          <w:rFonts w:hint="eastAsia" w:ascii="仿宋_GB2312" w:hAnsi="仿宋_GB2312" w:eastAsia="仿宋_GB2312" w:cs="仿宋_GB2312"/>
          <w:spacing w:val="-17"/>
          <w:sz w:val="28"/>
          <w:szCs w:val="28"/>
          <w:highlight w:val="none"/>
          <w:lang w:val="en-US" w:eastAsia="zh-CN"/>
        </w:rPr>
      </w:pPr>
      <w:r>
        <w:rPr>
          <w:rFonts w:hint="eastAsia" w:ascii="仿宋_GB2312" w:hAnsi="仿宋_GB2312" w:eastAsia="仿宋_GB2312" w:cs="仿宋_GB2312"/>
          <w:sz w:val="28"/>
          <w:szCs w:val="28"/>
          <w:highlight w:val="none"/>
          <w:lang w:val="en-US" w:eastAsia="zh-CN"/>
        </w:rPr>
        <w:t>=3645</w:t>
      </w:r>
      <w:r>
        <w:rPr>
          <w:rFonts w:hint="eastAsia" w:ascii="仿宋_GB2312" w:hAnsi="仿宋_GB2312" w:eastAsia="仿宋_GB2312" w:cs="仿宋_GB2312"/>
          <w:spacing w:val="-17"/>
          <w:sz w:val="28"/>
          <w:szCs w:val="28"/>
          <w:highlight w:val="none"/>
          <w:lang w:val="de-DE"/>
        </w:rPr>
        <w:t>×</w:t>
      </w:r>
      <w:r>
        <w:rPr>
          <w:rFonts w:hint="eastAsia" w:ascii="仿宋_GB2312" w:hAnsi="仿宋_GB2312" w:eastAsia="仿宋_GB2312" w:cs="仿宋_GB2312"/>
          <w:spacing w:val="-17"/>
          <w:sz w:val="28"/>
          <w:szCs w:val="28"/>
          <w:highlight w:val="none"/>
          <w:lang w:val="en-US" w:eastAsia="zh-CN"/>
        </w:rPr>
        <w:t>1.0306</w:t>
      </w:r>
      <w:r>
        <w:rPr>
          <w:rFonts w:hint="eastAsia" w:ascii="仿宋_GB2312" w:hAnsi="仿宋_GB2312" w:eastAsia="仿宋_GB2312" w:cs="仿宋_GB2312"/>
          <w:spacing w:val="-17"/>
          <w:sz w:val="28"/>
          <w:szCs w:val="28"/>
          <w:highlight w:val="none"/>
          <w:lang w:val="de-DE"/>
        </w:rPr>
        <w:t>×</w:t>
      </w:r>
      <w:r>
        <w:rPr>
          <w:rFonts w:hint="eastAsia" w:ascii="仿宋_GB2312" w:hAnsi="仿宋_GB2312" w:eastAsia="仿宋_GB2312" w:cs="仿宋_GB2312"/>
          <w:spacing w:val="-17"/>
          <w:sz w:val="28"/>
          <w:szCs w:val="28"/>
          <w:highlight w:val="none"/>
          <w:lang w:val="en-US" w:eastAsia="zh-CN"/>
        </w:rPr>
        <w:t>1.3757</w:t>
      </w:r>
      <w:r>
        <w:rPr>
          <w:rFonts w:hint="eastAsia" w:ascii="仿宋_GB2312" w:hAnsi="仿宋_GB2312" w:eastAsia="仿宋_GB2312" w:cs="仿宋_GB2312"/>
          <w:spacing w:val="-17"/>
          <w:sz w:val="28"/>
          <w:szCs w:val="28"/>
          <w:highlight w:val="none"/>
          <w:lang w:val="de-DE"/>
        </w:rPr>
        <w:t>×</w:t>
      </w:r>
      <w:r>
        <w:rPr>
          <w:rFonts w:hint="eastAsia" w:ascii="仿宋_GB2312" w:hAnsi="仿宋_GB2312" w:eastAsia="仿宋_GB2312" w:cs="仿宋_GB2312"/>
          <w:spacing w:val="-17"/>
          <w:sz w:val="28"/>
          <w:szCs w:val="28"/>
          <w:highlight w:val="none"/>
          <w:lang w:val="en-US" w:eastAsia="zh-CN"/>
        </w:rPr>
        <w:t>0.98</w:t>
      </w:r>
      <w:r>
        <w:rPr>
          <w:rFonts w:hint="eastAsia" w:ascii="仿宋_GB2312" w:hAnsi="仿宋_GB2312" w:eastAsia="仿宋_GB2312" w:cs="仿宋_GB2312"/>
          <w:spacing w:val="-17"/>
          <w:sz w:val="28"/>
          <w:szCs w:val="28"/>
          <w:highlight w:val="none"/>
          <w:lang w:val="de-DE"/>
        </w:rPr>
        <w:t>×</w:t>
      </w:r>
      <w:r>
        <w:rPr>
          <w:rFonts w:hint="eastAsia" w:ascii="仿宋_GB2312" w:hAnsi="仿宋_GB2312" w:eastAsia="仿宋_GB2312" w:cs="仿宋_GB2312"/>
          <w:spacing w:val="-17"/>
          <w:sz w:val="28"/>
          <w:szCs w:val="28"/>
          <w:highlight w:val="none"/>
          <w:lang w:val="en-US" w:eastAsia="zh-CN"/>
        </w:rPr>
        <w:t>1.0</w:t>
      </w:r>
      <w:r>
        <w:rPr>
          <w:rFonts w:hint="eastAsia" w:ascii="仿宋_GB2312" w:hAnsi="仿宋_GB2312" w:eastAsia="仿宋_GB2312" w:cs="仿宋_GB2312"/>
          <w:spacing w:val="-17"/>
          <w:sz w:val="28"/>
          <w:szCs w:val="28"/>
          <w:highlight w:val="none"/>
          <w:lang w:val="de-DE"/>
        </w:rPr>
        <w:t>×</w:t>
      </w:r>
      <w:r>
        <w:rPr>
          <w:rFonts w:hint="eastAsia" w:ascii="仿宋_GB2312" w:hAnsi="仿宋_GB2312" w:eastAsia="仿宋_GB2312" w:cs="仿宋_GB2312"/>
          <w:spacing w:val="-17"/>
          <w:sz w:val="28"/>
          <w:szCs w:val="28"/>
          <w:highlight w:val="none"/>
          <w:lang w:val="en-US" w:eastAsia="zh-CN"/>
        </w:rPr>
        <w:t>0.99</w:t>
      </w:r>
      <w:r>
        <w:rPr>
          <w:rFonts w:hint="eastAsia" w:ascii="仿宋_GB2312" w:hAnsi="仿宋_GB2312" w:eastAsia="仿宋_GB2312" w:cs="仿宋_GB2312"/>
          <w:spacing w:val="-17"/>
          <w:sz w:val="28"/>
          <w:szCs w:val="28"/>
          <w:highlight w:val="none"/>
          <w:lang w:val="de-DE"/>
        </w:rPr>
        <w:t>×</w:t>
      </w:r>
      <w:r>
        <w:rPr>
          <w:rFonts w:hint="eastAsia" w:ascii="仿宋_GB2312" w:hAnsi="仿宋_GB2312" w:eastAsia="仿宋_GB2312" w:cs="仿宋_GB2312"/>
          <w:spacing w:val="-17"/>
          <w:sz w:val="28"/>
          <w:szCs w:val="28"/>
          <w:highlight w:val="none"/>
          <w:lang w:val="en-US" w:eastAsia="zh-CN"/>
        </w:rPr>
        <w:t>1.0</w:t>
      </w:r>
      <w:r>
        <w:rPr>
          <w:rFonts w:hint="eastAsia" w:ascii="仿宋_GB2312" w:hAnsi="仿宋_GB2312" w:eastAsia="仿宋_GB2312" w:cs="仿宋_GB2312"/>
          <w:spacing w:val="-17"/>
          <w:sz w:val="28"/>
          <w:szCs w:val="28"/>
          <w:highlight w:val="none"/>
          <w:lang w:val="de-DE"/>
        </w:rPr>
        <w:t>×</w:t>
      </w:r>
      <w:r>
        <w:rPr>
          <w:rFonts w:hint="eastAsia" w:ascii="仿宋_GB2312" w:hAnsi="仿宋_GB2312" w:eastAsia="仿宋_GB2312" w:cs="仿宋_GB2312"/>
          <w:spacing w:val="-17"/>
          <w:sz w:val="28"/>
          <w:szCs w:val="28"/>
          <w:highlight w:val="none"/>
          <w:lang w:val="en-US" w:eastAsia="zh-CN"/>
        </w:rPr>
        <w:t>1.03</w:t>
      </w:r>
      <w:r>
        <w:rPr>
          <w:rFonts w:hint="eastAsia" w:ascii="仿宋_GB2312" w:hAnsi="仿宋_GB2312" w:eastAsia="仿宋_GB2312" w:cs="仿宋_GB2312"/>
          <w:spacing w:val="-17"/>
          <w:sz w:val="28"/>
          <w:szCs w:val="28"/>
          <w:highlight w:val="none"/>
          <w:lang w:val="de-DE"/>
        </w:rPr>
        <w:t>×</w:t>
      </w:r>
      <w:r>
        <w:rPr>
          <w:rFonts w:hint="eastAsia" w:ascii="仿宋_GB2312" w:hAnsi="仿宋_GB2312" w:eastAsia="仿宋_GB2312" w:cs="仿宋_GB2312"/>
          <w:spacing w:val="-17"/>
          <w:sz w:val="28"/>
          <w:szCs w:val="28"/>
          <w:highlight w:val="none"/>
          <w:lang w:val="en-US" w:eastAsia="zh-CN"/>
        </w:rPr>
        <w:t>1.388</w:t>
      </w:r>
    </w:p>
    <w:p w14:paraId="61670E4B">
      <w:pPr>
        <w:adjustRightInd w:val="0"/>
        <w:snapToGrid w:val="0"/>
        <w:spacing w:line="480" w:lineRule="exact"/>
        <w:ind w:firstLine="492" w:firstLineChars="200"/>
        <w:rPr>
          <w:rFonts w:hint="default"/>
          <w:highlight w:val="none"/>
          <w:lang w:val="en-US" w:eastAsia="zh-CN"/>
        </w:rPr>
      </w:pPr>
      <w:r>
        <w:rPr>
          <w:rFonts w:hint="eastAsia" w:ascii="仿宋_GB2312" w:hAnsi="仿宋_GB2312" w:eastAsia="仿宋_GB2312" w:cs="仿宋_GB2312"/>
          <w:spacing w:val="-17"/>
          <w:sz w:val="28"/>
          <w:szCs w:val="28"/>
          <w:highlight w:val="none"/>
          <w:lang w:val="en-US" w:eastAsia="zh-CN"/>
        </w:rPr>
        <w:t>=7168.0元/平方米。</w:t>
      </w:r>
    </w:p>
    <w:p w14:paraId="22B9EE98">
      <w:pPr>
        <w:adjustRightInd w:val="0"/>
        <w:snapToGrid w:val="0"/>
        <w:spacing w:line="480" w:lineRule="exact"/>
        <w:ind w:firstLine="560" w:firstLineChars="200"/>
        <w:rPr>
          <w:rFonts w:hint="eastAsia" w:ascii="仿宋_GB2312" w:hAnsi="仿宋_GB2312" w:eastAsia="仿宋_GB2312" w:cs="仿宋_GB2312"/>
          <w:sz w:val="28"/>
          <w:szCs w:val="28"/>
          <w:highlight w:val="none"/>
          <w:lang w:val="de-DE"/>
        </w:rPr>
      </w:pPr>
      <w:r>
        <w:rPr>
          <w:rFonts w:hint="eastAsia" w:ascii="仿宋_GB2312" w:hAnsi="仿宋_GB2312" w:eastAsia="仿宋_GB2312" w:cs="仿宋_GB2312"/>
          <w:sz w:val="28"/>
          <w:szCs w:val="28"/>
          <w:highlight w:val="none"/>
          <w:lang w:val="de-DE"/>
        </w:rPr>
        <w:t>P住=</w:t>
      </w:r>
      <w:r>
        <w:rPr>
          <w:rFonts w:hint="eastAsia" w:ascii="仿宋_GB2312" w:hAnsi="仿宋_GB2312" w:eastAsia="仿宋_GB2312" w:cs="仿宋_GB2312"/>
          <w:sz w:val="28"/>
          <w:szCs w:val="28"/>
          <w:highlight w:val="none"/>
        </w:rPr>
        <w:t>级别基准地价×</w:t>
      </w:r>
      <w:r>
        <w:rPr>
          <w:rFonts w:hint="eastAsia" w:ascii="仿宋_GB2312" w:hAnsi="仿宋_GB2312" w:eastAsia="仿宋_GB2312" w:cs="仿宋_GB2312"/>
          <w:sz w:val="28"/>
          <w:szCs w:val="28"/>
          <w:highlight w:val="none"/>
          <w:lang w:val="en-US" w:eastAsia="zh-CN"/>
        </w:rPr>
        <w:t>(</w:t>
      </w:r>
      <w:r>
        <w:rPr>
          <w:rFonts w:hint="eastAsia" w:ascii="仿宋_GB2312" w:hAnsi="仿宋_GB2312" w:eastAsia="仿宋_GB2312" w:cs="仿宋_GB2312"/>
          <w:sz w:val="28"/>
          <w:szCs w:val="28"/>
          <w:highlight w:val="none"/>
        </w:rPr>
        <w:t>1</w:t>
      </w:r>
      <w:r>
        <w:rPr>
          <w:rFonts w:hint="eastAsia" w:ascii="仿宋_GB2312" w:hAnsi="仿宋_GB2312" w:eastAsia="仿宋_GB2312" w:cs="仿宋_GB2312"/>
          <w:sz w:val="28"/>
          <w:szCs w:val="28"/>
          <w:highlight w:val="none"/>
          <w:lang w:val="en-US" w:eastAsia="zh-CN"/>
        </w:rPr>
        <w:t>+</w:t>
      </w:r>
      <w:r>
        <w:rPr>
          <w:rFonts w:hint="eastAsia" w:ascii="仿宋_GB2312" w:hAnsi="仿宋_GB2312" w:eastAsia="仿宋_GB2312" w:cs="仿宋_GB2312"/>
          <w:sz w:val="28"/>
          <w:szCs w:val="28"/>
          <w:highlight w:val="none"/>
        </w:rPr>
        <w:t>∑Ki</w:t>
      </w:r>
      <w:r>
        <w:rPr>
          <w:rFonts w:hint="eastAsia" w:ascii="仿宋_GB2312" w:hAnsi="仿宋_GB2312" w:eastAsia="仿宋_GB2312" w:cs="仿宋_GB2312"/>
          <w:sz w:val="28"/>
          <w:szCs w:val="28"/>
          <w:highlight w:val="none"/>
          <w:lang w:val="en-US" w:eastAsia="zh-CN"/>
        </w:rPr>
        <w:t>)</w:t>
      </w:r>
      <w:r>
        <w:rPr>
          <w:rFonts w:hint="eastAsia" w:ascii="仿宋_GB2312" w:hAnsi="仿宋_GB2312" w:eastAsia="仿宋_GB2312" w:cs="仿宋_GB2312"/>
          <w:sz w:val="28"/>
          <w:szCs w:val="28"/>
          <w:highlight w:val="none"/>
        </w:rPr>
        <w:t>×Ky×Kv×Kt×Ks×Ka×Ke×Kto＋Kf</w:t>
      </w:r>
    </w:p>
    <w:p w14:paraId="11465B07">
      <w:pPr>
        <w:adjustRightInd w:val="0"/>
        <w:snapToGrid w:val="0"/>
        <w:spacing w:line="480" w:lineRule="exact"/>
        <w:ind w:firstLine="516" w:firstLineChars="200"/>
        <w:rPr>
          <w:rFonts w:hint="eastAsia" w:ascii="仿宋_GB2312" w:hAnsi="仿宋_GB2312" w:eastAsia="仿宋_GB2312" w:cs="仿宋_GB2312"/>
          <w:sz w:val="28"/>
          <w:szCs w:val="28"/>
          <w:highlight w:val="none"/>
          <w:lang w:val="de-DE"/>
        </w:rPr>
      </w:pPr>
      <w:r>
        <w:rPr>
          <w:rFonts w:hint="eastAsia" w:ascii="仿宋_GB2312" w:hAnsi="仿宋_GB2312" w:eastAsia="仿宋_GB2312" w:cs="仿宋_GB2312"/>
          <w:spacing w:val="-11"/>
          <w:sz w:val="28"/>
          <w:szCs w:val="28"/>
          <w:highlight w:val="none"/>
          <w:lang w:val="de-DE"/>
        </w:rPr>
        <w:t>=</w:t>
      </w:r>
      <w:r>
        <w:rPr>
          <w:rFonts w:hint="eastAsia" w:ascii="仿宋_GB2312" w:hAnsi="仿宋_GB2312" w:eastAsia="仿宋_GB2312" w:cs="仿宋_GB2312"/>
          <w:spacing w:val="-11"/>
          <w:sz w:val="28"/>
          <w:szCs w:val="28"/>
          <w:highlight w:val="none"/>
          <w:lang w:val="en-US" w:eastAsia="zh-CN"/>
        </w:rPr>
        <w:t>710</w:t>
      </w:r>
      <w:r>
        <w:rPr>
          <w:rFonts w:hint="eastAsia" w:ascii="仿宋_GB2312" w:hAnsi="仿宋_GB2312" w:eastAsia="仿宋_GB2312" w:cs="仿宋_GB2312"/>
          <w:spacing w:val="-17"/>
          <w:sz w:val="28"/>
          <w:szCs w:val="28"/>
          <w:highlight w:val="none"/>
          <w:lang w:val="de-DE"/>
        </w:rPr>
        <w:t>×（1+</w:t>
      </w:r>
      <w:r>
        <w:rPr>
          <w:rFonts w:hint="eastAsia" w:ascii="仿宋_GB2312" w:hAnsi="仿宋_GB2312" w:eastAsia="仿宋_GB2312" w:cs="仿宋_GB2312"/>
          <w:spacing w:val="-17"/>
          <w:sz w:val="28"/>
          <w:szCs w:val="28"/>
          <w:highlight w:val="none"/>
          <w:lang w:val="en-US" w:eastAsia="zh-CN"/>
        </w:rPr>
        <w:t>3.5664</w:t>
      </w:r>
      <w:r>
        <w:rPr>
          <w:rFonts w:hint="eastAsia" w:ascii="仿宋_GB2312" w:hAnsi="仿宋_GB2312" w:eastAsia="仿宋_GB2312" w:cs="仿宋_GB2312"/>
          <w:spacing w:val="-17"/>
          <w:sz w:val="28"/>
          <w:szCs w:val="28"/>
          <w:highlight w:val="none"/>
          <w:lang w:val="de-DE"/>
        </w:rPr>
        <w:t>%）×1.00×1.</w:t>
      </w:r>
      <w:r>
        <w:rPr>
          <w:rFonts w:hint="eastAsia" w:ascii="仿宋_GB2312" w:hAnsi="仿宋_GB2312" w:eastAsia="仿宋_GB2312" w:cs="仿宋_GB2312"/>
          <w:spacing w:val="-17"/>
          <w:sz w:val="28"/>
          <w:szCs w:val="28"/>
          <w:highlight w:val="none"/>
          <w:lang w:val="en-US" w:eastAsia="zh-CN"/>
        </w:rPr>
        <w:t>3647</w:t>
      </w:r>
      <w:r>
        <w:rPr>
          <w:rFonts w:hint="eastAsia" w:ascii="仿宋_GB2312" w:hAnsi="仿宋_GB2312" w:eastAsia="仿宋_GB2312" w:cs="仿宋_GB2312"/>
          <w:spacing w:val="-17"/>
          <w:sz w:val="28"/>
          <w:szCs w:val="28"/>
          <w:highlight w:val="none"/>
          <w:lang w:val="de-DE"/>
        </w:rPr>
        <w:t>×</w:t>
      </w:r>
      <w:r>
        <w:rPr>
          <w:rFonts w:hint="eastAsia" w:ascii="仿宋_GB2312" w:hAnsi="仿宋_GB2312" w:eastAsia="仿宋_GB2312" w:cs="仿宋_GB2312"/>
          <w:spacing w:val="-17"/>
          <w:sz w:val="28"/>
          <w:szCs w:val="28"/>
          <w:highlight w:val="none"/>
          <w:lang w:val="en-US" w:eastAsia="zh-CN"/>
        </w:rPr>
        <w:t>1.0203</w:t>
      </w:r>
      <w:r>
        <w:rPr>
          <w:rFonts w:hint="eastAsia" w:ascii="仿宋_GB2312" w:hAnsi="仿宋_GB2312" w:eastAsia="仿宋_GB2312" w:cs="仿宋_GB2312"/>
          <w:spacing w:val="-17"/>
          <w:sz w:val="28"/>
          <w:szCs w:val="28"/>
          <w:highlight w:val="none"/>
          <w:lang w:val="de-DE"/>
        </w:rPr>
        <w:t>×</w:t>
      </w:r>
      <w:r>
        <w:rPr>
          <w:rFonts w:hint="eastAsia" w:ascii="仿宋_GB2312" w:hAnsi="仿宋_GB2312" w:eastAsia="仿宋_GB2312" w:cs="仿宋_GB2312"/>
          <w:spacing w:val="-17"/>
          <w:sz w:val="28"/>
          <w:szCs w:val="28"/>
          <w:highlight w:val="none"/>
          <w:lang w:val="en-US" w:eastAsia="zh-CN"/>
        </w:rPr>
        <w:t>0.98</w:t>
      </w:r>
      <w:r>
        <w:rPr>
          <w:rFonts w:hint="eastAsia" w:ascii="仿宋_GB2312" w:hAnsi="仿宋_GB2312" w:eastAsia="仿宋_GB2312" w:cs="仿宋_GB2312"/>
          <w:spacing w:val="-17"/>
          <w:sz w:val="28"/>
          <w:szCs w:val="28"/>
          <w:highlight w:val="none"/>
          <w:lang w:val="de-DE"/>
        </w:rPr>
        <w:t>×1.0×1.0×1.0</w:t>
      </w:r>
      <w:r>
        <w:rPr>
          <w:rFonts w:hint="eastAsia" w:ascii="仿宋_GB2312" w:hAnsi="仿宋_GB2312" w:eastAsia="仿宋_GB2312" w:cs="仿宋_GB2312"/>
          <w:spacing w:val="-17"/>
          <w:sz w:val="28"/>
          <w:szCs w:val="28"/>
          <w:highlight w:val="none"/>
          <w:lang w:val="en-US" w:eastAsia="zh-CN"/>
        </w:rPr>
        <w:t>2</w:t>
      </w:r>
      <w:r>
        <w:rPr>
          <w:rFonts w:hint="eastAsia" w:ascii="仿宋_GB2312" w:hAnsi="仿宋_GB2312" w:eastAsia="仿宋_GB2312" w:cs="仿宋_GB2312"/>
          <w:spacing w:val="-17"/>
          <w:sz w:val="28"/>
          <w:szCs w:val="28"/>
          <w:highlight w:val="none"/>
          <w:lang w:val="de-DE"/>
        </w:rPr>
        <w:t>×1.0+0</w:t>
      </w:r>
    </w:p>
    <w:p w14:paraId="3E4F42E9">
      <w:pPr>
        <w:adjustRightInd w:val="0"/>
        <w:snapToGrid w:val="0"/>
        <w:spacing w:line="480" w:lineRule="exact"/>
        <w:ind w:firstLine="560" w:firstLineChars="200"/>
        <w:rPr>
          <w:rFonts w:hint="eastAsia" w:ascii="仿宋_GB2312" w:hAnsi="仿宋_GB2312" w:eastAsia="仿宋_GB2312" w:cs="仿宋_GB2312"/>
          <w:sz w:val="28"/>
          <w:szCs w:val="28"/>
          <w:highlight w:val="none"/>
          <w:lang w:val="de-DE"/>
        </w:rPr>
      </w:pPr>
      <w:r>
        <w:rPr>
          <w:rFonts w:hint="eastAsia" w:ascii="仿宋_GB2312" w:hAnsi="仿宋_GB2312" w:eastAsia="仿宋_GB2312" w:cs="仿宋_GB2312"/>
          <w:sz w:val="28"/>
          <w:szCs w:val="28"/>
          <w:highlight w:val="none"/>
          <w:lang w:val="de-DE"/>
        </w:rPr>
        <w:t>=</w:t>
      </w:r>
      <w:r>
        <w:rPr>
          <w:rFonts w:hint="eastAsia" w:ascii="仿宋_GB2312" w:hAnsi="仿宋_GB2312" w:eastAsia="仿宋_GB2312" w:cs="仿宋_GB2312"/>
          <w:sz w:val="28"/>
          <w:szCs w:val="28"/>
          <w:highlight w:val="none"/>
          <w:lang w:val="en-US" w:eastAsia="zh-CN"/>
        </w:rPr>
        <w:t>1023.5</w:t>
      </w:r>
      <w:r>
        <w:rPr>
          <w:rFonts w:hint="eastAsia" w:ascii="仿宋_GB2312" w:hAnsi="仿宋_GB2312" w:eastAsia="仿宋_GB2312" w:cs="仿宋_GB2312"/>
          <w:sz w:val="28"/>
          <w:szCs w:val="28"/>
          <w:highlight w:val="none"/>
          <w:lang w:val="de-DE"/>
        </w:rPr>
        <w:t>元/平方米。</w:t>
      </w:r>
    </w:p>
    <w:p w14:paraId="5DFCADF5">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de-DE" w:eastAsia="zh-CN"/>
        </w:rPr>
      </w:pPr>
      <w:r>
        <w:rPr>
          <w:rFonts w:hint="eastAsia" w:ascii="仿宋_GB2312" w:hAnsi="仿宋_GB2312" w:eastAsia="仿宋_GB2312" w:cs="仿宋_GB2312"/>
          <w:bCs/>
          <w:sz w:val="28"/>
          <w:highlight w:val="none"/>
          <w:lang w:val="en-US" w:eastAsia="zh-CN"/>
        </w:rPr>
        <w:t>基准地价系数修正法测算地价的结果为：估价对象于估价期日2026年2月3日，在设定土地用途，设定土地使用年限，设定土地开发程度，现状利用条件下的国有土地出让使用权价格为商服用地7168.0元/平方米、住宅用地1023.5元/平方米。</w:t>
      </w:r>
    </w:p>
    <w:p w14:paraId="13D1C3A9">
      <w:pPr>
        <w:pStyle w:val="3"/>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2"/>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（二）收益还原法</w:t>
      </w:r>
    </w:p>
    <w:p w14:paraId="6E7B1EFF">
      <w:pPr>
        <w:keepNext w:val="0"/>
        <w:keepLines w:val="0"/>
        <w:pageBreakBefore w:val="0"/>
        <w:widowControl w:val="0"/>
        <w:kinsoku/>
        <w:wordWrap/>
        <w:overflowPunct/>
        <w:topLinePunct w:val="0"/>
        <w:autoSpaceDE/>
        <w:autoSpaceDN/>
        <w:bidi w:val="0"/>
        <w:adjustRightInd w:val="0"/>
        <w:snapToGrid/>
        <w:spacing w:line="480" w:lineRule="exact"/>
        <w:ind w:firstLine="420" w:firstLineChars="15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收益还原法是在估算估价对象在未来每年预期纯收益（正常年纯收益）的基础上，以一定的土地还原率，将评估对象在未来每年的纯收益折算为估价期日收益总和的一种方法。</w:t>
      </w:r>
    </w:p>
    <w:p w14:paraId="3B5DDFBC">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法定有限年期的土地使用权价格计算公式为：</w:t>
      </w:r>
    </w:p>
    <w:p w14:paraId="550F5353">
      <w:pPr>
        <w:keepNext w:val="0"/>
        <w:keepLines w:val="0"/>
        <w:pageBreakBefore w:val="0"/>
        <w:widowControl w:val="0"/>
        <w:kinsoku/>
        <w:wordWrap/>
        <w:overflowPunct/>
        <w:topLinePunct w:val="0"/>
        <w:autoSpaceDE/>
        <w:autoSpaceDN/>
        <w:bidi w:val="0"/>
        <w:adjustRightInd w:val="0"/>
        <w:snapToGrid w:val="0"/>
        <w:spacing w:line="240" w:lineRule="auto"/>
        <w:ind w:firstLine="840" w:firstLineChars="3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5" o:spt="75" type="#_x0000_t75" style="height:38pt;width:103.95pt;" o:ole="t" filled="f" o:preferrelative="t" stroked="f" coordsize="21600,21600">
            <v:path/>
            <v:fill on="f" focussize="0,0"/>
            <v:stroke on="f"/>
            <v:imagedata r:id="rId35" o:title=""/>
            <o:lock v:ext="edit" aspectratio="t"/>
            <w10:wrap type="none"/>
            <w10:anchorlock/>
          </v:shape>
          <o:OLEObject Type="Embed" ProgID="Equation.3" ShapeID="_x0000_i1025" DrawAspect="Content" ObjectID="_1468075725" r:id="rId34">
            <o:LockedField>false</o:LockedField>
          </o:OLEObject>
        </w:object>
      </w:r>
    </w:p>
    <w:p w14:paraId="6AC76995">
      <w:pPr>
        <w:pStyle w:val="3"/>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式中：</w:t>
      </w:r>
      <w:r>
        <w:rPr>
          <w:rFonts w:hint="eastAsia" w:ascii="仿宋_GB2312" w:hAnsi="仿宋_GB2312" w:eastAsia="仿宋_GB2312" w:cs="仿宋_GB2312"/>
          <w:b w:val="0"/>
          <w:bCs w:val="0"/>
          <w:color w:val="000000"/>
          <w:kern w:val="2"/>
          <w:sz w:val="28"/>
          <w:szCs w:val="28"/>
          <w:highlight w:val="none"/>
          <w:lang w:val="en-US" w:eastAsia="zh-CN" w:bidi="ar-SA"/>
        </w:rPr>
        <w:object>
          <v:shape id="_x0000_i1026" o:spt="75" type="#_x0000_t75" style="height:13pt;width:12pt;" o:ole="t" filled="f" o:preferrelative="t" stroked="f" coordsize="21600,21600">
            <v:path/>
            <v:fill on="f" focussize="0,0"/>
            <v:stroke on="f"/>
            <v:imagedata r:id="rId37" o:title=""/>
            <o:lock v:ext="edit" aspectratio="t"/>
            <w10:wrap type="none"/>
            <w10:anchorlock/>
          </v:shape>
          <o:OLEObject Type="Embed" ProgID="Equation.3" ShapeID="_x0000_i1026" DrawAspect="Content" ObjectID="_1468075726" r:id="rId36">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－土地价格</w:t>
      </w:r>
    </w:p>
    <w:p w14:paraId="4471A620">
      <w:pPr>
        <w:pStyle w:val="3"/>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7" o:spt="75" type="#_x0000_t75" style="height:11pt;width:10pt;" o:ole="t" filled="f" o:preferrelative="t" stroked="f" coordsize="21600,21600">
            <v:path/>
            <v:fill on="f" focussize="0,0"/>
            <v:stroke on="f"/>
            <v:imagedata r:id="rId39" o:title=""/>
            <o:lock v:ext="edit" aspectratio="t"/>
            <w10:wrap type="none"/>
            <w10:anchorlock/>
          </v:shape>
          <o:OLEObject Type="Embed" ProgID="Equation.3" ShapeID="_x0000_i1027" DrawAspect="Content" ObjectID="_1468075727" r:id="rId38">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－土地年纯收益</w:t>
      </w:r>
    </w:p>
    <w:p w14:paraId="5962B9E9">
      <w:pPr>
        <w:pStyle w:val="3"/>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8" o:spt="75" type="#_x0000_t75" style="height:10pt;width:9pt;" o:ole="t" filled="f" o:preferrelative="t" stroked="f" coordsize="21600,21600">
            <v:path/>
            <v:fill on="f" focussize="0,0"/>
            <v:stroke on="f"/>
            <v:imagedata r:id="rId41" o:title=""/>
            <o:lock v:ext="edit" aspectratio="t"/>
            <w10:wrap type="none"/>
            <w10:anchorlock/>
          </v:shape>
          <o:OLEObject Type="Embed" ProgID="Equation.3" ShapeID="_x0000_i1028" DrawAspect="Content" ObjectID="_1468075728" r:id="rId40">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－土地还原利率</w:t>
      </w:r>
    </w:p>
    <w:p w14:paraId="7CF796DC">
      <w:pPr>
        <w:pStyle w:val="3"/>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9" o:spt="75" type="#_x0000_t75" style="height:11pt;width:10pt;" o:ole="t" filled="f" o:preferrelative="t" stroked="f" coordsize="21600,21600">
            <v:path/>
            <v:fill on="f" focussize="0,0"/>
            <v:stroke on="f"/>
            <v:imagedata r:id="rId43" o:title=""/>
            <o:lock v:ext="edit" aspectratio="t"/>
            <w10:wrap type="none"/>
            <w10:anchorlock/>
          </v:shape>
          <o:OLEObject Type="Embed" ProgID="Equation.3" ShapeID="_x0000_i1029" DrawAspect="Content" ObjectID="_1468075729" r:id="rId42">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－使用土地的年期或有土地收益的年期</w:t>
      </w:r>
    </w:p>
    <w:p w14:paraId="6523A0A9">
      <w:pPr>
        <w:adjustRightInd w:val="0"/>
        <w:snapToGrid w:val="0"/>
        <w:spacing w:line="480" w:lineRule="exact"/>
        <w:ind w:firstLine="555"/>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具体测算思路是：</w:t>
      </w:r>
    </w:p>
    <w:p w14:paraId="5D074D73">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A.房地年总收益＝房地年租金＝月租金×12×收益总面积×出租率×有效使用面积比率</w:t>
      </w:r>
    </w:p>
    <w:p w14:paraId="71974E23">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B．房地出租年总费用＝维修费+管理费+保险费+税金</w:t>
      </w:r>
    </w:p>
    <w:p w14:paraId="082CED8B">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C．房地年纯收益＝房地年总收益-房地出租年总费用</w:t>
      </w:r>
    </w:p>
    <w:p w14:paraId="46AB2466">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D．房屋年纯收益＝房屋现值×房屋还原率</w:t>
      </w:r>
    </w:p>
    <w:p w14:paraId="1964B3C4">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房屋现值＝重置价－折旧总额＝重置成本－年折旧费×已使用年限</w:t>
      </w:r>
    </w:p>
    <w:p w14:paraId="0C30B48A">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E．土地年纯收益＝房地年纯收益-房屋年纯收益</w:t>
      </w:r>
    </w:p>
    <w:p w14:paraId="2AE802BF">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F．总地价＝土地年纯收益÷r×[1-1/（1+r）n]</w:t>
      </w:r>
    </w:p>
    <w:p w14:paraId="6F2CCE87">
      <w:pPr>
        <w:adjustRightInd w:val="0"/>
        <w:snapToGrid w:val="0"/>
        <w:spacing w:line="480" w:lineRule="exact"/>
        <w:ind w:firstLine="57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G．单位面积地价＝总地价÷总用地面积</w:t>
      </w:r>
    </w:p>
    <w:p w14:paraId="553F947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收益还原法评估过程：</w:t>
      </w:r>
    </w:p>
    <w:p w14:paraId="5C643C9B">
      <w:pPr>
        <w:pStyle w:val="3"/>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1、确定房地年总收益</w:t>
      </w:r>
    </w:p>
    <w:p w14:paraId="3296D705">
      <w:pPr>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highlight w:val="none"/>
          <w:lang w:val="en-US" w:eastAsia="zh-CN"/>
        </w:rPr>
      </w:pPr>
      <w:r>
        <w:rPr>
          <w:rFonts w:hint="eastAsia" w:ascii="仿宋_GB2312" w:hAnsi="仿宋_GB2312" w:eastAsia="仿宋_GB2312" w:cs="仿宋_GB2312"/>
          <w:b w:val="0"/>
          <w:bCs w:val="0"/>
          <w:color w:val="000000"/>
          <w:kern w:val="2"/>
          <w:sz w:val="28"/>
          <w:szCs w:val="28"/>
          <w:highlight w:val="none"/>
          <w:lang w:val="en-US" w:eastAsia="zh-CN" w:bidi="ar-SA"/>
        </w:rPr>
        <w:t>根据受托估价人员现场勘察，估价对象位于通道县双江镇行政街331/1-2幢整栋，所在宗地上有独栋建筑物，建成年份为2015年，总层数为4层，建筑物为混合结构，外墙瓷砖，不锈钢及木质入户门，塑钢窗户，铁艺防盗网，屋内地贴瓷砖，顶棚木质装饰吊顶，简单装修，维护保养状况一般，约八成新，房屋整体经济耐用年限为50年，已使用10年，剩余使用年限为40年。根据《土地资产评估委托书》，委托方拟按估价对象现状使用条件进行出让。根据委托方提供的估价对象《房屋所有权证》（通房权证双江字第201517109号）及《土地分户分摊面积明细表》，估价对象建筑面积为745.47平方米，估价对象分摊土地面积为183.27平方米，其中商服用地40.38平方米、住宅用地142.89平方米，商住比例为22.03%：77.97%，则商业用房建筑面积为164.25平方米、住宅用房建筑面积为581.22平方米。</w:t>
      </w:r>
    </w:p>
    <w:p w14:paraId="0A69025E">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月租金的确定</w:t>
      </w:r>
    </w:p>
    <w:p w14:paraId="556F25D5">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调查估价对象所处区域与估价对象条件相当的用于出租的物业租金水平，确定估价对象房地产出租的总收益。经估价人员调查与估价对象在同一供需圈内的类似物业情况，选取了三个具有普遍性的物业的租金水平作为比较实例：</w:t>
      </w:r>
    </w:p>
    <w:p w14:paraId="355B3742">
      <w:pPr>
        <w:spacing w:line="44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实例A：欧韩时尚门店及楼上住宅，位于长征中路通道宾馆南侧约40米，商服繁华度较优，水电等基础设施综合保证率95%，区域内公交便捷度优，道路通达度较好，环境质量好，公共设施齐全，临主干道，砖混结构，建筑物内部结构合理，通风采光条件较好，简单装修，基本满足停车需求，无物业管理，于2026年2月商服门店租金为25.5元/平方米·月，楼上住宅平均租金为13.57元/平方米·月。</w:t>
      </w:r>
    </w:p>
    <w:p w14:paraId="059B0C62">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实例B：千鸿鞋业门店及楼上住宅，位于双江镇长征中路34号，商服繁华度较优，水电等基础设施综合保证率95%，区域内公交便捷度优，道路通达度较好，环境质量好，公共设施齐全，临主干道，砖混结构，建筑物内部结构合理，通风采光条件较好，简单装修，基本满足停车需求，无物业管理，于2026年2月商服门店租金为25.1元/平方米·月，楼上住宅平均租金为13.8元/平方米·月。</w:t>
      </w:r>
    </w:p>
    <w:p w14:paraId="1D00575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实例C：大东旗舰店门店及楼上住宅，位于双江镇长征中路34号，商服繁华度较优，水电等基础设施综合保证率95%，区域内公交便捷度优，道路通达度较好，环境质量好，公共设施齐全，临主干道，砖混结构，建筑物内部结构合理，通风采光条件较好，简单装修，基本满足停车需求，无物业管理，于2026年2月商服门店租金为25.2元/平方米·月，楼上住宅平均租金为13.6元/平方米·月。</w:t>
      </w:r>
    </w:p>
    <w:p w14:paraId="282B9236">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编制租金案例比较因素表</w:t>
      </w:r>
    </w:p>
    <w:p w14:paraId="630BCB6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结合影响房屋租金的主要因素，以估价对象因素为100进行租金修正，估价对象与实例比较因素情况详见下表。</w:t>
      </w:r>
    </w:p>
    <w:p w14:paraId="7F9490BD">
      <w:pPr>
        <w:pStyle w:val="2"/>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表3-1</w:t>
      </w:r>
      <w:r>
        <w:rPr>
          <w:rFonts w:hint="eastAsia" w:ascii="仿宋_GB2312" w:hAnsi="仿宋_GB2312" w:cs="仿宋_GB2312"/>
          <w:b w:val="0"/>
          <w:bCs/>
          <w:color w:val="auto"/>
          <w:kern w:val="2"/>
          <w:sz w:val="28"/>
          <w:szCs w:val="28"/>
          <w:highlight w:val="none"/>
          <w:lang w:val="en-US" w:eastAsia="zh-CN" w:bidi="ar-SA"/>
        </w:rPr>
        <w:t>5</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比较因素条件说明表</w:t>
      </w:r>
    </w:p>
    <w:tbl>
      <w:tblPr>
        <w:tblStyle w:val="11"/>
        <w:tblW w:w="501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10"/>
        <w:gridCol w:w="1613"/>
        <w:gridCol w:w="1298"/>
        <w:gridCol w:w="1356"/>
        <w:gridCol w:w="1390"/>
        <w:gridCol w:w="1371"/>
      </w:tblGrid>
      <w:tr w14:paraId="1295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4" w:hRule="atLeast"/>
        </w:trPr>
        <w:tc>
          <w:tcPr>
            <w:tcW w:w="1752" w:type="pct"/>
            <w:gridSpan w:val="2"/>
            <w:tcBorders>
              <w:tl2br w:val="single" w:color="000000" w:sz="4" w:space="0"/>
            </w:tcBorders>
            <w:noWrap w:val="0"/>
            <w:tcMar>
              <w:top w:w="0" w:type="dxa"/>
              <w:left w:w="0" w:type="dxa"/>
              <w:bottom w:w="0" w:type="dxa"/>
              <w:right w:w="0" w:type="dxa"/>
            </w:tcMar>
            <w:vAlign w:val="center"/>
          </w:tcPr>
          <w:p w14:paraId="3E47AF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 xml:space="preserve">       </w:t>
            </w:r>
            <w:r>
              <w:rPr>
                <w:rFonts w:hint="default" w:ascii="仿宋_GB2312" w:hAnsi="仿宋_GB2312" w:eastAsia="仿宋_GB2312" w:cs="仿宋_GB2312"/>
                <w:b w:val="0"/>
                <w:bCs w:val="0"/>
                <w:color w:val="000000"/>
                <w:kern w:val="2"/>
                <w:sz w:val="21"/>
                <w:szCs w:val="21"/>
                <w:highlight w:val="none"/>
                <w:lang w:val="en-US" w:eastAsia="zh-CN" w:bidi="ar-SA"/>
              </w:rPr>
              <w:t>估价对象及比较实例</w:t>
            </w:r>
          </w:p>
          <w:p w14:paraId="22AF3C8F">
            <w:pPr>
              <w:keepNext w:val="0"/>
              <w:keepLines w:val="0"/>
              <w:pageBreakBefore w:val="0"/>
              <w:widowControl/>
              <w:kinsoku/>
              <w:wordWrap/>
              <w:overflowPunct/>
              <w:topLinePunct w:val="0"/>
              <w:autoSpaceDE/>
              <w:autoSpaceDN/>
              <w:bidi w:val="0"/>
              <w:adjustRightInd/>
              <w:snapToGrid/>
              <w:spacing w:line="260" w:lineRule="exact"/>
              <w:ind w:firstLine="210" w:firstLineChars="100"/>
              <w:jc w:val="both"/>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比较因素</w:t>
            </w:r>
          </w:p>
        </w:tc>
        <w:tc>
          <w:tcPr>
            <w:tcW w:w="778" w:type="pct"/>
            <w:noWrap w:val="0"/>
            <w:tcMar>
              <w:top w:w="0" w:type="dxa"/>
              <w:left w:w="0" w:type="dxa"/>
              <w:bottom w:w="0" w:type="dxa"/>
              <w:right w:w="0" w:type="dxa"/>
            </w:tcMar>
            <w:vAlign w:val="center"/>
          </w:tcPr>
          <w:p w14:paraId="7BA5A9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估价对象</w:t>
            </w:r>
          </w:p>
        </w:tc>
        <w:tc>
          <w:tcPr>
            <w:tcW w:w="813" w:type="pct"/>
            <w:noWrap w:val="0"/>
            <w:tcMar>
              <w:top w:w="0" w:type="dxa"/>
              <w:left w:w="0" w:type="dxa"/>
              <w:bottom w:w="0" w:type="dxa"/>
              <w:right w:w="0" w:type="dxa"/>
            </w:tcMar>
            <w:vAlign w:val="center"/>
          </w:tcPr>
          <w:p w14:paraId="412D6F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案例A</w:t>
            </w:r>
          </w:p>
        </w:tc>
        <w:tc>
          <w:tcPr>
            <w:tcW w:w="833" w:type="pct"/>
            <w:noWrap w:val="0"/>
            <w:tcMar>
              <w:top w:w="0" w:type="dxa"/>
              <w:left w:w="0" w:type="dxa"/>
              <w:bottom w:w="0" w:type="dxa"/>
              <w:right w:w="0" w:type="dxa"/>
            </w:tcMar>
            <w:vAlign w:val="center"/>
          </w:tcPr>
          <w:p w14:paraId="1FFF195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案例B</w:t>
            </w:r>
          </w:p>
        </w:tc>
        <w:tc>
          <w:tcPr>
            <w:tcW w:w="822" w:type="pct"/>
            <w:noWrap w:val="0"/>
            <w:tcMar>
              <w:top w:w="0" w:type="dxa"/>
              <w:left w:w="0" w:type="dxa"/>
              <w:bottom w:w="0" w:type="dxa"/>
              <w:right w:w="0" w:type="dxa"/>
            </w:tcMar>
            <w:vAlign w:val="center"/>
          </w:tcPr>
          <w:p w14:paraId="12B615E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案例C</w:t>
            </w:r>
          </w:p>
        </w:tc>
      </w:tr>
      <w:tr w14:paraId="6036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1752" w:type="pct"/>
            <w:gridSpan w:val="2"/>
            <w:noWrap w:val="0"/>
            <w:tcMar>
              <w:top w:w="0" w:type="dxa"/>
              <w:left w:w="0" w:type="dxa"/>
              <w:bottom w:w="0" w:type="dxa"/>
              <w:right w:w="0" w:type="dxa"/>
            </w:tcMar>
            <w:vAlign w:val="center"/>
          </w:tcPr>
          <w:p w14:paraId="31F691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位置</w:t>
            </w:r>
          </w:p>
        </w:tc>
        <w:tc>
          <w:tcPr>
            <w:tcW w:w="778" w:type="pct"/>
            <w:noWrap w:val="0"/>
            <w:tcMar>
              <w:top w:w="0" w:type="dxa"/>
              <w:left w:w="0" w:type="dxa"/>
              <w:bottom w:w="0" w:type="dxa"/>
              <w:right w:w="0" w:type="dxa"/>
            </w:tcMar>
            <w:vAlign w:val="center"/>
          </w:tcPr>
          <w:p w14:paraId="7D5FC5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行政街</w:t>
            </w:r>
          </w:p>
        </w:tc>
        <w:tc>
          <w:tcPr>
            <w:tcW w:w="813" w:type="pct"/>
            <w:noWrap w:val="0"/>
            <w:tcMar>
              <w:top w:w="0" w:type="dxa"/>
              <w:left w:w="0" w:type="dxa"/>
              <w:bottom w:w="0" w:type="dxa"/>
              <w:right w:w="0" w:type="dxa"/>
            </w:tcMar>
            <w:vAlign w:val="center"/>
          </w:tcPr>
          <w:p w14:paraId="2BF9BA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欧韩时尚</w:t>
            </w:r>
          </w:p>
        </w:tc>
        <w:tc>
          <w:tcPr>
            <w:tcW w:w="833" w:type="pct"/>
            <w:noWrap w:val="0"/>
            <w:tcMar>
              <w:top w:w="0" w:type="dxa"/>
              <w:left w:w="0" w:type="dxa"/>
              <w:bottom w:w="0" w:type="dxa"/>
              <w:right w:w="0" w:type="dxa"/>
            </w:tcMar>
            <w:vAlign w:val="center"/>
          </w:tcPr>
          <w:p w14:paraId="6BDFDA6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千鸿鞋业</w:t>
            </w:r>
          </w:p>
        </w:tc>
        <w:tc>
          <w:tcPr>
            <w:tcW w:w="822" w:type="pct"/>
            <w:noWrap w:val="0"/>
            <w:tcMar>
              <w:top w:w="0" w:type="dxa"/>
              <w:left w:w="0" w:type="dxa"/>
              <w:bottom w:w="0" w:type="dxa"/>
              <w:right w:w="0" w:type="dxa"/>
            </w:tcMar>
            <w:vAlign w:val="center"/>
          </w:tcPr>
          <w:p w14:paraId="1C28E2C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大东旗舰店</w:t>
            </w:r>
          </w:p>
        </w:tc>
      </w:tr>
      <w:tr w14:paraId="04C2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05524C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住宅租金(元/m</w:t>
            </w:r>
            <w:r>
              <w:rPr>
                <w:rFonts w:hint="default" w:ascii="仿宋_GB2312" w:hAnsi="仿宋_GB2312" w:eastAsia="仿宋_GB2312" w:cs="仿宋_GB2312"/>
                <w:b w:val="0"/>
                <w:bCs w:val="0"/>
                <w:color w:val="000000"/>
                <w:kern w:val="2"/>
                <w:sz w:val="21"/>
                <w:szCs w:val="21"/>
                <w:highlight w:val="none"/>
                <w:vertAlign w:val="superscript"/>
                <w:lang w:val="en-US" w:eastAsia="zh-CN" w:bidi="ar-SA"/>
              </w:rPr>
              <w:t>2</w:t>
            </w:r>
            <w:r>
              <w:rPr>
                <w:rFonts w:hint="default" w:ascii="仿宋_GB2312" w:hAnsi="仿宋_GB2312" w:eastAsia="仿宋_GB2312" w:cs="仿宋_GB2312"/>
                <w:b w:val="0"/>
                <w:bCs w:val="0"/>
                <w:color w:val="000000"/>
                <w:kern w:val="2"/>
                <w:sz w:val="21"/>
                <w:szCs w:val="21"/>
                <w:highlight w:val="none"/>
                <w:lang w:val="en-US" w:eastAsia="zh-CN" w:bidi="ar-SA"/>
              </w:rPr>
              <w:t>·月)</w:t>
            </w:r>
          </w:p>
        </w:tc>
        <w:tc>
          <w:tcPr>
            <w:tcW w:w="778" w:type="pct"/>
            <w:noWrap w:val="0"/>
            <w:tcMar>
              <w:top w:w="0" w:type="dxa"/>
              <w:left w:w="0" w:type="dxa"/>
              <w:bottom w:w="0" w:type="dxa"/>
              <w:right w:w="0" w:type="dxa"/>
            </w:tcMar>
            <w:vAlign w:val="center"/>
          </w:tcPr>
          <w:p w14:paraId="0A082FF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待估</w:t>
            </w:r>
          </w:p>
        </w:tc>
        <w:tc>
          <w:tcPr>
            <w:tcW w:w="813" w:type="pct"/>
            <w:noWrap w:val="0"/>
            <w:tcMar>
              <w:top w:w="0" w:type="dxa"/>
              <w:left w:w="0" w:type="dxa"/>
              <w:bottom w:w="0" w:type="dxa"/>
              <w:right w:w="0" w:type="dxa"/>
            </w:tcMar>
            <w:vAlign w:val="center"/>
          </w:tcPr>
          <w:p w14:paraId="598C363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13.</w:t>
            </w:r>
            <w:r>
              <w:rPr>
                <w:rFonts w:hint="eastAsia" w:ascii="仿宋_GB2312" w:hAnsi="仿宋_GB2312" w:eastAsia="仿宋_GB2312" w:cs="仿宋_GB2312"/>
                <w:b w:val="0"/>
                <w:bCs w:val="0"/>
                <w:color w:val="000000"/>
                <w:kern w:val="2"/>
                <w:sz w:val="21"/>
                <w:szCs w:val="21"/>
                <w:highlight w:val="none"/>
                <w:lang w:val="en-US" w:eastAsia="zh-CN" w:bidi="ar-SA"/>
              </w:rPr>
              <w:t>57</w:t>
            </w:r>
          </w:p>
        </w:tc>
        <w:tc>
          <w:tcPr>
            <w:tcW w:w="833" w:type="pct"/>
            <w:noWrap w:val="0"/>
            <w:tcMar>
              <w:top w:w="0" w:type="dxa"/>
              <w:left w:w="0" w:type="dxa"/>
              <w:bottom w:w="0" w:type="dxa"/>
              <w:right w:w="0" w:type="dxa"/>
            </w:tcMar>
            <w:vAlign w:val="center"/>
          </w:tcPr>
          <w:p w14:paraId="3F5A495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13.</w:t>
            </w:r>
            <w:r>
              <w:rPr>
                <w:rFonts w:hint="eastAsia" w:ascii="仿宋_GB2312" w:hAnsi="仿宋_GB2312" w:eastAsia="仿宋_GB2312" w:cs="仿宋_GB2312"/>
                <w:b w:val="0"/>
                <w:bCs w:val="0"/>
                <w:color w:val="000000"/>
                <w:kern w:val="2"/>
                <w:sz w:val="21"/>
                <w:szCs w:val="21"/>
                <w:highlight w:val="none"/>
                <w:lang w:val="en-US" w:eastAsia="zh-CN" w:bidi="ar-SA"/>
              </w:rPr>
              <w:t>8</w:t>
            </w:r>
          </w:p>
        </w:tc>
        <w:tc>
          <w:tcPr>
            <w:tcW w:w="822" w:type="pct"/>
            <w:noWrap w:val="0"/>
            <w:tcMar>
              <w:top w:w="0" w:type="dxa"/>
              <w:left w:w="0" w:type="dxa"/>
              <w:bottom w:w="0" w:type="dxa"/>
              <w:right w:w="0" w:type="dxa"/>
            </w:tcMar>
            <w:vAlign w:val="center"/>
          </w:tcPr>
          <w:p w14:paraId="038A06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13.6</w:t>
            </w:r>
          </w:p>
        </w:tc>
      </w:tr>
      <w:tr w14:paraId="3449D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367CEE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商服租金（</w:t>
            </w:r>
            <w:r>
              <w:rPr>
                <w:rFonts w:hint="default" w:ascii="仿宋_GB2312" w:hAnsi="仿宋_GB2312" w:eastAsia="仿宋_GB2312" w:cs="仿宋_GB2312"/>
                <w:b w:val="0"/>
                <w:bCs w:val="0"/>
                <w:color w:val="000000"/>
                <w:kern w:val="2"/>
                <w:sz w:val="21"/>
                <w:szCs w:val="21"/>
                <w:highlight w:val="none"/>
                <w:lang w:val="en-US" w:eastAsia="zh-CN" w:bidi="ar-SA"/>
              </w:rPr>
              <w:t>元/m</w:t>
            </w:r>
            <w:r>
              <w:rPr>
                <w:rFonts w:hint="default" w:ascii="仿宋_GB2312" w:hAnsi="仿宋_GB2312" w:eastAsia="仿宋_GB2312" w:cs="仿宋_GB2312"/>
                <w:b w:val="0"/>
                <w:bCs w:val="0"/>
                <w:color w:val="000000"/>
                <w:kern w:val="2"/>
                <w:sz w:val="21"/>
                <w:szCs w:val="21"/>
                <w:highlight w:val="none"/>
                <w:vertAlign w:val="superscript"/>
                <w:lang w:val="en-US" w:eastAsia="zh-CN" w:bidi="ar-SA"/>
              </w:rPr>
              <w:t>2</w:t>
            </w:r>
            <w:r>
              <w:rPr>
                <w:rFonts w:hint="default" w:ascii="仿宋_GB2312" w:hAnsi="仿宋_GB2312" w:eastAsia="仿宋_GB2312" w:cs="仿宋_GB2312"/>
                <w:b w:val="0"/>
                <w:bCs w:val="0"/>
                <w:color w:val="000000"/>
                <w:kern w:val="2"/>
                <w:sz w:val="21"/>
                <w:szCs w:val="21"/>
                <w:highlight w:val="none"/>
                <w:lang w:val="en-US" w:eastAsia="zh-CN" w:bidi="ar-SA"/>
              </w:rPr>
              <w:t>·月</w:t>
            </w:r>
            <w:r>
              <w:rPr>
                <w:rFonts w:hint="eastAsia" w:ascii="仿宋_GB2312" w:hAnsi="仿宋_GB2312" w:eastAsia="仿宋_GB2312" w:cs="仿宋_GB2312"/>
                <w:b w:val="0"/>
                <w:bCs w:val="0"/>
                <w:color w:val="000000"/>
                <w:kern w:val="2"/>
                <w:sz w:val="21"/>
                <w:szCs w:val="21"/>
                <w:highlight w:val="none"/>
                <w:lang w:val="en-US" w:eastAsia="zh-CN" w:bidi="ar-SA"/>
              </w:rPr>
              <w:t>）</w:t>
            </w:r>
          </w:p>
        </w:tc>
        <w:tc>
          <w:tcPr>
            <w:tcW w:w="778" w:type="pct"/>
            <w:noWrap w:val="0"/>
            <w:tcMar>
              <w:top w:w="0" w:type="dxa"/>
              <w:left w:w="0" w:type="dxa"/>
              <w:bottom w:w="0" w:type="dxa"/>
              <w:right w:w="0" w:type="dxa"/>
            </w:tcMar>
            <w:vAlign w:val="center"/>
          </w:tcPr>
          <w:p w14:paraId="1FCAA7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待估</w:t>
            </w:r>
          </w:p>
        </w:tc>
        <w:tc>
          <w:tcPr>
            <w:tcW w:w="813" w:type="pct"/>
            <w:noWrap w:val="0"/>
            <w:tcMar>
              <w:top w:w="0" w:type="dxa"/>
              <w:left w:w="0" w:type="dxa"/>
              <w:bottom w:w="0" w:type="dxa"/>
              <w:right w:w="0" w:type="dxa"/>
            </w:tcMar>
            <w:vAlign w:val="center"/>
          </w:tcPr>
          <w:p w14:paraId="7BAC73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25.5</w:t>
            </w:r>
          </w:p>
        </w:tc>
        <w:tc>
          <w:tcPr>
            <w:tcW w:w="833" w:type="pct"/>
            <w:noWrap w:val="0"/>
            <w:tcMar>
              <w:top w:w="0" w:type="dxa"/>
              <w:left w:w="0" w:type="dxa"/>
              <w:bottom w:w="0" w:type="dxa"/>
              <w:right w:w="0" w:type="dxa"/>
            </w:tcMar>
            <w:vAlign w:val="center"/>
          </w:tcPr>
          <w:p w14:paraId="2E01492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25.1</w:t>
            </w:r>
          </w:p>
        </w:tc>
        <w:tc>
          <w:tcPr>
            <w:tcW w:w="822" w:type="pct"/>
            <w:noWrap w:val="0"/>
            <w:tcMar>
              <w:top w:w="0" w:type="dxa"/>
              <w:left w:w="0" w:type="dxa"/>
              <w:bottom w:w="0" w:type="dxa"/>
              <w:right w:w="0" w:type="dxa"/>
            </w:tcMar>
            <w:vAlign w:val="center"/>
          </w:tcPr>
          <w:p w14:paraId="0AAF415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25.2</w:t>
            </w:r>
          </w:p>
        </w:tc>
      </w:tr>
      <w:tr w14:paraId="0711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2837A2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778" w:type="pct"/>
            <w:noWrap w:val="0"/>
            <w:tcMar>
              <w:top w:w="0" w:type="dxa"/>
              <w:left w:w="0" w:type="dxa"/>
              <w:bottom w:w="0" w:type="dxa"/>
              <w:right w:w="0" w:type="dxa"/>
            </w:tcMar>
            <w:vAlign w:val="center"/>
          </w:tcPr>
          <w:p w14:paraId="6B0EF0E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商住</w:t>
            </w:r>
          </w:p>
        </w:tc>
        <w:tc>
          <w:tcPr>
            <w:tcW w:w="813" w:type="pct"/>
            <w:noWrap w:val="0"/>
            <w:tcMar>
              <w:top w:w="0" w:type="dxa"/>
              <w:left w:w="0" w:type="dxa"/>
              <w:bottom w:w="0" w:type="dxa"/>
              <w:right w:w="0" w:type="dxa"/>
            </w:tcMar>
            <w:vAlign w:val="center"/>
          </w:tcPr>
          <w:p w14:paraId="4312331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商住</w:t>
            </w:r>
          </w:p>
        </w:tc>
        <w:tc>
          <w:tcPr>
            <w:tcW w:w="833" w:type="pct"/>
            <w:noWrap w:val="0"/>
            <w:tcMar>
              <w:top w:w="0" w:type="dxa"/>
              <w:left w:w="0" w:type="dxa"/>
              <w:bottom w:w="0" w:type="dxa"/>
              <w:right w:w="0" w:type="dxa"/>
            </w:tcMar>
            <w:vAlign w:val="center"/>
          </w:tcPr>
          <w:p w14:paraId="5C6A7C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商住</w:t>
            </w:r>
          </w:p>
        </w:tc>
        <w:tc>
          <w:tcPr>
            <w:tcW w:w="822" w:type="pct"/>
            <w:noWrap w:val="0"/>
            <w:tcMar>
              <w:top w:w="0" w:type="dxa"/>
              <w:left w:w="0" w:type="dxa"/>
              <w:bottom w:w="0" w:type="dxa"/>
              <w:right w:w="0" w:type="dxa"/>
            </w:tcMar>
            <w:vAlign w:val="center"/>
          </w:tcPr>
          <w:p w14:paraId="604BCCB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商住</w:t>
            </w:r>
          </w:p>
        </w:tc>
      </w:tr>
      <w:tr w14:paraId="145C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22ECEB9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交易时间</w:t>
            </w:r>
          </w:p>
        </w:tc>
        <w:tc>
          <w:tcPr>
            <w:tcW w:w="778" w:type="pct"/>
            <w:noWrap w:val="0"/>
            <w:tcMar>
              <w:top w:w="0" w:type="dxa"/>
              <w:left w:w="0" w:type="dxa"/>
              <w:bottom w:w="0" w:type="dxa"/>
              <w:right w:w="0" w:type="dxa"/>
            </w:tcMar>
            <w:vAlign w:val="center"/>
          </w:tcPr>
          <w:p w14:paraId="086308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202</w:t>
            </w:r>
            <w:r>
              <w:rPr>
                <w:rFonts w:hint="eastAsia" w:ascii="仿宋_GB2312" w:hAnsi="仿宋_GB2312" w:eastAsia="仿宋_GB2312" w:cs="仿宋_GB2312"/>
                <w:b w:val="0"/>
                <w:bCs w:val="0"/>
                <w:color w:val="000000"/>
                <w:kern w:val="2"/>
                <w:sz w:val="21"/>
                <w:szCs w:val="21"/>
                <w:highlight w:val="none"/>
                <w:lang w:val="en-US" w:eastAsia="zh-CN" w:bidi="ar-SA"/>
              </w:rPr>
              <w:t>6.02</w:t>
            </w:r>
          </w:p>
        </w:tc>
        <w:tc>
          <w:tcPr>
            <w:tcW w:w="813" w:type="pct"/>
            <w:noWrap w:val="0"/>
            <w:tcMar>
              <w:top w:w="0" w:type="dxa"/>
              <w:left w:w="0" w:type="dxa"/>
              <w:bottom w:w="0" w:type="dxa"/>
              <w:right w:w="0" w:type="dxa"/>
            </w:tcMar>
            <w:vAlign w:val="center"/>
          </w:tcPr>
          <w:p w14:paraId="76C8AA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202</w:t>
            </w:r>
            <w:r>
              <w:rPr>
                <w:rFonts w:hint="eastAsia" w:ascii="仿宋_GB2312" w:hAnsi="仿宋_GB2312" w:eastAsia="仿宋_GB2312" w:cs="仿宋_GB2312"/>
                <w:b w:val="0"/>
                <w:bCs w:val="0"/>
                <w:color w:val="000000"/>
                <w:kern w:val="2"/>
                <w:sz w:val="21"/>
                <w:szCs w:val="21"/>
                <w:highlight w:val="none"/>
                <w:lang w:val="en-US" w:eastAsia="zh-CN" w:bidi="ar-SA"/>
              </w:rPr>
              <w:t>6.02</w:t>
            </w:r>
          </w:p>
        </w:tc>
        <w:tc>
          <w:tcPr>
            <w:tcW w:w="833" w:type="pct"/>
            <w:noWrap w:val="0"/>
            <w:tcMar>
              <w:top w:w="0" w:type="dxa"/>
              <w:left w:w="0" w:type="dxa"/>
              <w:bottom w:w="0" w:type="dxa"/>
              <w:right w:w="0" w:type="dxa"/>
            </w:tcMar>
            <w:vAlign w:val="center"/>
          </w:tcPr>
          <w:p w14:paraId="52BFDB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202</w:t>
            </w:r>
            <w:r>
              <w:rPr>
                <w:rFonts w:hint="eastAsia" w:ascii="仿宋_GB2312" w:hAnsi="仿宋_GB2312" w:eastAsia="仿宋_GB2312" w:cs="仿宋_GB2312"/>
                <w:b w:val="0"/>
                <w:bCs w:val="0"/>
                <w:color w:val="000000"/>
                <w:kern w:val="2"/>
                <w:sz w:val="21"/>
                <w:szCs w:val="21"/>
                <w:highlight w:val="none"/>
                <w:lang w:val="en-US" w:eastAsia="zh-CN" w:bidi="ar-SA"/>
              </w:rPr>
              <w:t>6.02</w:t>
            </w:r>
          </w:p>
        </w:tc>
        <w:tc>
          <w:tcPr>
            <w:tcW w:w="822" w:type="pct"/>
            <w:noWrap w:val="0"/>
            <w:tcMar>
              <w:top w:w="0" w:type="dxa"/>
              <w:left w:w="0" w:type="dxa"/>
              <w:bottom w:w="0" w:type="dxa"/>
              <w:right w:w="0" w:type="dxa"/>
            </w:tcMar>
            <w:vAlign w:val="center"/>
          </w:tcPr>
          <w:p w14:paraId="7AC1007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202</w:t>
            </w:r>
            <w:r>
              <w:rPr>
                <w:rFonts w:hint="eastAsia" w:ascii="仿宋_GB2312" w:hAnsi="仿宋_GB2312" w:eastAsia="仿宋_GB2312" w:cs="仿宋_GB2312"/>
                <w:b w:val="0"/>
                <w:bCs w:val="0"/>
                <w:color w:val="000000"/>
                <w:kern w:val="2"/>
                <w:sz w:val="21"/>
                <w:szCs w:val="21"/>
                <w:highlight w:val="none"/>
                <w:lang w:val="en-US" w:eastAsia="zh-CN" w:bidi="ar-SA"/>
              </w:rPr>
              <w:t>6.02</w:t>
            </w:r>
          </w:p>
        </w:tc>
      </w:tr>
      <w:tr w14:paraId="29F1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24" w:hRule="atLeast"/>
        </w:trPr>
        <w:tc>
          <w:tcPr>
            <w:tcW w:w="1752" w:type="pct"/>
            <w:gridSpan w:val="2"/>
            <w:noWrap w:val="0"/>
            <w:tcMar>
              <w:top w:w="0" w:type="dxa"/>
              <w:left w:w="0" w:type="dxa"/>
              <w:bottom w:w="0" w:type="dxa"/>
              <w:right w:w="0" w:type="dxa"/>
            </w:tcMar>
            <w:vAlign w:val="center"/>
          </w:tcPr>
          <w:p w14:paraId="414D40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交易情况</w:t>
            </w:r>
          </w:p>
        </w:tc>
        <w:tc>
          <w:tcPr>
            <w:tcW w:w="778" w:type="pct"/>
            <w:noWrap w:val="0"/>
            <w:tcMar>
              <w:top w:w="0" w:type="dxa"/>
              <w:left w:w="0" w:type="dxa"/>
              <w:bottom w:w="0" w:type="dxa"/>
              <w:right w:w="0" w:type="dxa"/>
            </w:tcMar>
            <w:vAlign w:val="center"/>
          </w:tcPr>
          <w:p w14:paraId="563CC6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正常</w:t>
            </w:r>
          </w:p>
        </w:tc>
        <w:tc>
          <w:tcPr>
            <w:tcW w:w="813" w:type="pct"/>
            <w:noWrap w:val="0"/>
            <w:tcMar>
              <w:top w:w="0" w:type="dxa"/>
              <w:left w:w="0" w:type="dxa"/>
              <w:bottom w:w="0" w:type="dxa"/>
              <w:right w:w="0" w:type="dxa"/>
            </w:tcMar>
            <w:vAlign w:val="center"/>
          </w:tcPr>
          <w:p w14:paraId="68DFB8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正常</w:t>
            </w:r>
          </w:p>
        </w:tc>
        <w:tc>
          <w:tcPr>
            <w:tcW w:w="833" w:type="pct"/>
            <w:noWrap w:val="0"/>
            <w:tcMar>
              <w:top w:w="0" w:type="dxa"/>
              <w:left w:w="0" w:type="dxa"/>
              <w:bottom w:w="0" w:type="dxa"/>
              <w:right w:w="0" w:type="dxa"/>
            </w:tcMar>
            <w:vAlign w:val="center"/>
          </w:tcPr>
          <w:p w14:paraId="670915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正常</w:t>
            </w:r>
          </w:p>
        </w:tc>
        <w:tc>
          <w:tcPr>
            <w:tcW w:w="822" w:type="pct"/>
            <w:noWrap w:val="0"/>
            <w:tcMar>
              <w:top w:w="0" w:type="dxa"/>
              <w:left w:w="0" w:type="dxa"/>
              <w:bottom w:w="0" w:type="dxa"/>
              <w:right w:w="0" w:type="dxa"/>
            </w:tcMar>
            <w:vAlign w:val="center"/>
          </w:tcPr>
          <w:p w14:paraId="70D2F25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正常</w:t>
            </w:r>
          </w:p>
        </w:tc>
      </w:tr>
      <w:tr w14:paraId="3818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restart"/>
            <w:noWrap w:val="0"/>
            <w:tcMar>
              <w:top w:w="0" w:type="dxa"/>
              <w:left w:w="0" w:type="dxa"/>
              <w:bottom w:w="0" w:type="dxa"/>
              <w:right w:w="0" w:type="dxa"/>
            </w:tcMar>
            <w:vAlign w:val="center"/>
          </w:tcPr>
          <w:p w14:paraId="49B3803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区域因素</w:t>
            </w:r>
          </w:p>
        </w:tc>
        <w:tc>
          <w:tcPr>
            <w:tcW w:w="967" w:type="pct"/>
            <w:noWrap w:val="0"/>
            <w:tcMar>
              <w:top w:w="0" w:type="dxa"/>
              <w:left w:w="0" w:type="dxa"/>
              <w:bottom w:w="0" w:type="dxa"/>
              <w:right w:w="0" w:type="dxa"/>
            </w:tcMar>
            <w:vAlign w:val="center"/>
          </w:tcPr>
          <w:p w14:paraId="7E3003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商服繁华度</w:t>
            </w:r>
          </w:p>
        </w:tc>
        <w:tc>
          <w:tcPr>
            <w:tcW w:w="778" w:type="pct"/>
            <w:noWrap w:val="0"/>
            <w:tcMar>
              <w:top w:w="0" w:type="dxa"/>
              <w:left w:w="0" w:type="dxa"/>
              <w:bottom w:w="0" w:type="dxa"/>
              <w:right w:w="0" w:type="dxa"/>
            </w:tcMar>
            <w:vAlign w:val="center"/>
          </w:tcPr>
          <w:p w14:paraId="52FDF1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较</w:t>
            </w:r>
            <w:r>
              <w:rPr>
                <w:rFonts w:hint="default" w:ascii="仿宋_GB2312" w:hAnsi="仿宋_GB2312" w:eastAsia="仿宋_GB2312" w:cs="仿宋_GB2312"/>
                <w:b w:val="0"/>
                <w:bCs w:val="0"/>
                <w:color w:val="000000"/>
                <w:kern w:val="2"/>
                <w:sz w:val="21"/>
                <w:szCs w:val="21"/>
                <w:highlight w:val="none"/>
                <w:lang w:val="en-US" w:eastAsia="zh-CN" w:bidi="ar-SA"/>
              </w:rPr>
              <w:t>优</w:t>
            </w:r>
          </w:p>
        </w:tc>
        <w:tc>
          <w:tcPr>
            <w:tcW w:w="813" w:type="pct"/>
            <w:noWrap w:val="0"/>
            <w:tcMar>
              <w:top w:w="0" w:type="dxa"/>
              <w:left w:w="0" w:type="dxa"/>
              <w:bottom w:w="0" w:type="dxa"/>
              <w:right w:w="0" w:type="dxa"/>
            </w:tcMar>
            <w:vAlign w:val="center"/>
          </w:tcPr>
          <w:p w14:paraId="73EB25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较</w:t>
            </w:r>
            <w:r>
              <w:rPr>
                <w:rFonts w:hint="default" w:ascii="仿宋_GB2312" w:hAnsi="仿宋_GB2312" w:eastAsia="仿宋_GB2312" w:cs="仿宋_GB2312"/>
                <w:b w:val="0"/>
                <w:bCs w:val="0"/>
                <w:color w:val="000000"/>
                <w:kern w:val="2"/>
                <w:sz w:val="21"/>
                <w:szCs w:val="21"/>
                <w:highlight w:val="none"/>
                <w:lang w:val="en-US" w:eastAsia="zh-CN" w:bidi="ar-SA"/>
              </w:rPr>
              <w:t>优</w:t>
            </w:r>
          </w:p>
        </w:tc>
        <w:tc>
          <w:tcPr>
            <w:tcW w:w="833" w:type="pct"/>
            <w:noWrap w:val="0"/>
            <w:tcMar>
              <w:top w:w="0" w:type="dxa"/>
              <w:left w:w="0" w:type="dxa"/>
              <w:bottom w:w="0" w:type="dxa"/>
              <w:right w:w="0" w:type="dxa"/>
            </w:tcMar>
            <w:vAlign w:val="center"/>
          </w:tcPr>
          <w:p w14:paraId="1922FF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较</w:t>
            </w:r>
            <w:r>
              <w:rPr>
                <w:rFonts w:hint="default" w:ascii="仿宋_GB2312" w:hAnsi="仿宋_GB2312" w:eastAsia="仿宋_GB2312" w:cs="仿宋_GB2312"/>
                <w:b w:val="0"/>
                <w:bCs w:val="0"/>
                <w:color w:val="000000"/>
                <w:kern w:val="2"/>
                <w:sz w:val="21"/>
                <w:szCs w:val="21"/>
                <w:highlight w:val="none"/>
                <w:lang w:val="en-US" w:eastAsia="zh-CN" w:bidi="ar-SA"/>
              </w:rPr>
              <w:t>优</w:t>
            </w:r>
          </w:p>
        </w:tc>
        <w:tc>
          <w:tcPr>
            <w:tcW w:w="822" w:type="pct"/>
            <w:noWrap w:val="0"/>
            <w:tcMar>
              <w:top w:w="0" w:type="dxa"/>
              <w:left w:w="0" w:type="dxa"/>
              <w:bottom w:w="0" w:type="dxa"/>
              <w:right w:w="0" w:type="dxa"/>
            </w:tcMar>
            <w:vAlign w:val="center"/>
          </w:tcPr>
          <w:p w14:paraId="79587D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较</w:t>
            </w:r>
            <w:r>
              <w:rPr>
                <w:rFonts w:hint="default" w:ascii="仿宋_GB2312" w:hAnsi="仿宋_GB2312" w:eastAsia="仿宋_GB2312" w:cs="仿宋_GB2312"/>
                <w:b w:val="0"/>
                <w:bCs w:val="0"/>
                <w:color w:val="000000"/>
                <w:kern w:val="2"/>
                <w:sz w:val="21"/>
                <w:szCs w:val="21"/>
                <w:highlight w:val="none"/>
                <w:lang w:val="en-US" w:eastAsia="zh-CN" w:bidi="ar-SA"/>
              </w:rPr>
              <w:t>优</w:t>
            </w:r>
          </w:p>
        </w:tc>
      </w:tr>
      <w:tr w14:paraId="6FA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578C24C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967" w:type="pct"/>
            <w:noWrap w:val="0"/>
            <w:tcMar>
              <w:top w:w="0" w:type="dxa"/>
              <w:left w:w="0" w:type="dxa"/>
              <w:bottom w:w="0" w:type="dxa"/>
              <w:right w:w="0" w:type="dxa"/>
            </w:tcMar>
            <w:vAlign w:val="center"/>
          </w:tcPr>
          <w:p w14:paraId="151000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公交便捷度</w:t>
            </w:r>
          </w:p>
        </w:tc>
        <w:tc>
          <w:tcPr>
            <w:tcW w:w="778" w:type="pct"/>
            <w:noWrap w:val="0"/>
            <w:tcMar>
              <w:top w:w="0" w:type="dxa"/>
              <w:left w:w="0" w:type="dxa"/>
              <w:bottom w:w="0" w:type="dxa"/>
              <w:right w:w="0" w:type="dxa"/>
            </w:tcMar>
            <w:vAlign w:val="center"/>
          </w:tcPr>
          <w:p w14:paraId="2CDB0F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优</w:t>
            </w:r>
          </w:p>
        </w:tc>
        <w:tc>
          <w:tcPr>
            <w:tcW w:w="813" w:type="pct"/>
            <w:noWrap w:val="0"/>
            <w:tcMar>
              <w:top w:w="0" w:type="dxa"/>
              <w:left w:w="0" w:type="dxa"/>
              <w:bottom w:w="0" w:type="dxa"/>
              <w:right w:w="0" w:type="dxa"/>
            </w:tcMar>
            <w:vAlign w:val="center"/>
          </w:tcPr>
          <w:p w14:paraId="346FA2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优</w:t>
            </w:r>
          </w:p>
        </w:tc>
        <w:tc>
          <w:tcPr>
            <w:tcW w:w="833" w:type="pct"/>
            <w:noWrap w:val="0"/>
            <w:tcMar>
              <w:top w:w="0" w:type="dxa"/>
              <w:left w:w="0" w:type="dxa"/>
              <w:bottom w:w="0" w:type="dxa"/>
              <w:right w:w="0" w:type="dxa"/>
            </w:tcMar>
            <w:vAlign w:val="center"/>
          </w:tcPr>
          <w:p w14:paraId="111DFF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优</w:t>
            </w:r>
          </w:p>
        </w:tc>
        <w:tc>
          <w:tcPr>
            <w:tcW w:w="822" w:type="pct"/>
            <w:noWrap w:val="0"/>
            <w:tcMar>
              <w:top w:w="0" w:type="dxa"/>
              <w:left w:w="0" w:type="dxa"/>
              <w:bottom w:w="0" w:type="dxa"/>
              <w:right w:w="0" w:type="dxa"/>
            </w:tcMar>
            <w:vAlign w:val="center"/>
          </w:tcPr>
          <w:p w14:paraId="3BACB5A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优</w:t>
            </w:r>
          </w:p>
        </w:tc>
      </w:tr>
      <w:tr w14:paraId="72F8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16C5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967" w:type="pct"/>
            <w:noWrap w:val="0"/>
            <w:tcMar>
              <w:top w:w="0" w:type="dxa"/>
              <w:left w:w="0" w:type="dxa"/>
              <w:bottom w:w="0" w:type="dxa"/>
              <w:right w:w="0" w:type="dxa"/>
            </w:tcMar>
            <w:vAlign w:val="center"/>
          </w:tcPr>
          <w:p w14:paraId="22ECBC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道路通达度</w:t>
            </w:r>
          </w:p>
        </w:tc>
        <w:tc>
          <w:tcPr>
            <w:tcW w:w="778" w:type="pct"/>
            <w:noWrap w:val="0"/>
            <w:tcMar>
              <w:top w:w="0" w:type="dxa"/>
              <w:left w:w="0" w:type="dxa"/>
              <w:bottom w:w="0" w:type="dxa"/>
              <w:right w:w="0" w:type="dxa"/>
            </w:tcMar>
            <w:vAlign w:val="center"/>
          </w:tcPr>
          <w:p w14:paraId="7749A9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较好</w:t>
            </w:r>
          </w:p>
        </w:tc>
        <w:tc>
          <w:tcPr>
            <w:tcW w:w="813" w:type="pct"/>
            <w:noWrap w:val="0"/>
            <w:tcMar>
              <w:top w:w="0" w:type="dxa"/>
              <w:left w:w="0" w:type="dxa"/>
              <w:bottom w:w="0" w:type="dxa"/>
              <w:right w:w="0" w:type="dxa"/>
            </w:tcMar>
            <w:vAlign w:val="center"/>
          </w:tcPr>
          <w:p w14:paraId="29964E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较好</w:t>
            </w:r>
          </w:p>
        </w:tc>
        <w:tc>
          <w:tcPr>
            <w:tcW w:w="833" w:type="pct"/>
            <w:noWrap w:val="0"/>
            <w:tcMar>
              <w:top w:w="0" w:type="dxa"/>
              <w:left w:w="0" w:type="dxa"/>
              <w:bottom w:w="0" w:type="dxa"/>
              <w:right w:w="0" w:type="dxa"/>
            </w:tcMar>
            <w:vAlign w:val="center"/>
          </w:tcPr>
          <w:p w14:paraId="51E24B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较好</w:t>
            </w:r>
          </w:p>
        </w:tc>
        <w:tc>
          <w:tcPr>
            <w:tcW w:w="822" w:type="pct"/>
            <w:noWrap w:val="0"/>
            <w:tcMar>
              <w:top w:w="0" w:type="dxa"/>
              <w:left w:w="0" w:type="dxa"/>
              <w:bottom w:w="0" w:type="dxa"/>
              <w:right w:w="0" w:type="dxa"/>
            </w:tcMar>
            <w:vAlign w:val="center"/>
          </w:tcPr>
          <w:p w14:paraId="4D6D0C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较好</w:t>
            </w:r>
          </w:p>
        </w:tc>
      </w:tr>
      <w:tr w14:paraId="201C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5F59CD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967" w:type="pct"/>
            <w:noWrap w:val="0"/>
            <w:tcMar>
              <w:top w:w="0" w:type="dxa"/>
              <w:left w:w="0" w:type="dxa"/>
              <w:bottom w:w="0" w:type="dxa"/>
              <w:right w:w="0" w:type="dxa"/>
            </w:tcMar>
            <w:vAlign w:val="center"/>
          </w:tcPr>
          <w:p w14:paraId="4DD0EC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水电等基础设施综合保证率</w:t>
            </w:r>
          </w:p>
        </w:tc>
        <w:tc>
          <w:tcPr>
            <w:tcW w:w="778" w:type="pct"/>
            <w:noWrap w:val="0"/>
            <w:tcMar>
              <w:top w:w="0" w:type="dxa"/>
              <w:left w:w="0" w:type="dxa"/>
              <w:bottom w:w="0" w:type="dxa"/>
              <w:right w:w="0" w:type="dxa"/>
            </w:tcMar>
            <w:vAlign w:val="center"/>
          </w:tcPr>
          <w:p w14:paraId="59B366B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95%</w:t>
            </w:r>
          </w:p>
        </w:tc>
        <w:tc>
          <w:tcPr>
            <w:tcW w:w="813" w:type="pct"/>
            <w:noWrap w:val="0"/>
            <w:tcMar>
              <w:top w:w="0" w:type="dxa"/>
              <w:left w:w="0" w:type="dxa"/>
              <w:bottom w:w="0" w:type="dxa"/>
              <w:right w:w="0" w:type="dxa"/>
            </w:tcMar>
            <w:vAlign w:val="center"/>
          </w:tcPr>
          <w:p w14:paraId="71E3DE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95%</w:t>
            </w:r>
          </w:p>
        </w:tc>
        <w:tc>
          <w:tcPr>
            <w:tcW w:w="833" w:type="pct"/>
            <w:noWrap w:val="0"/>
            <w:tcMar>
              <w:top w:w="0" w:type="dxa"/>
              <w:left w:w="0" w:type="dxa"/>
              <w:bottom w:w="0" w:type="dxa"/>
              <w:right w:w="0" w:type="dxa"/>
            </w:tcMar>
            <w:vAlign w:val="center"/>
          </w:tcPr>
          <w:p w14:paraId="68D14E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95%</w:t>
            </w:r>
          </w:p>
        </w:tc>
        <w:tc>
          <w:tcPr>
            <w:tcW w:w="822" w:type="pct"/>
            <w:noWrap w:val="0"/>
            <w:tcMar>
              <w:top w:w="0" w:type="dxa"/>
              <w:left w:w="0" w:type="dxa"/>
              <w:bottom w:w="0" w:type="dxa"/>
              <w:right w:w="0" w:type="dxa"/>
            </w:tcMar>
            <w:vAlign w:val="center"/>
          </w:tcPr>
          <w:p w14:paraId="0C674E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95%</w:t>
            </w:r>
          </w:p>
        </w:tc>
      </w:tr>
      <w:tr w14:paraId="3DC8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1C5F2D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967" w:type="pct"/>
            <w:noWrap w:val="0"/>
            <w:tcMar>
              <w:top w:w="0" w:type="dxa"/>
              <w:left w:w="0" w:type="dxa"/>
              <w:bottom w:w="0" w:type="dxa"/>
              <w:right w:w="0" w:type="dxa"/>
            </w:tcMar>
            <w:vAlign w:val="center"/>
          </w:tcPr>
          <w:p w14:paraId="2CC1A2D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环境质量</w:t>
            </w:r>
          </w:p>
        </w:tc>
        <w:tc>
          <w:tcPr>
            <w:tcW w:w="778" w:type="pct"/>
            <w:noWrap w:val="0"/>
            <w:tcMar>
              <w:top w:w="0" w:type="dxa"/>
              <w:left w:w="0" w:type="dxa"/>
              <w:bottom w:w="0" w:type="dxa"/>
              <w:right w:w="0" w:type="dxa"/>
            </w:tcMar>
            <w:vAlign w:val="center"/>
          </w:tcPr>
          <w:p w14:paraId="2211DE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好</w:t>
            </w:r>
          </w:p>
        </w:tc>
        <w:tc>
          <w:tcPr>
            <w:tcW w:w="813" w:type="pct"/>
            <w:noWrap w:val="0"/>
            <w:tcMar>
              <w:top w:w="0" w:type="dxa"/>
              <w:left w:w="0" w:type="dxa"/>
              <w:bottom w:w="0" w:type="dxa"/>
              <w:right w:w="0" w:type="dxa"/>
            </w:tcMar>
            <w:vAlign w:val="center"/>
          </w:tcPr>
          <w:p w14:paraId="78063D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好</w:t>
            </w:r>
          </w:p>
        </w:tc>
        <w:tc>
          <w:tcPr>
            <w:tcW w:w="833" w:type="pct"/>
            <w:noWrap w:val="0"/>
            <w:tcMar>
              <w:top w:w="0" w:type="dxa"/>
              <w:left w:w="0" w:type="dxa"/>
              <w:bottom w:w="0" w:type="dxa"/>
              <w:right w:w="0" w:type="dxa"/>
            </w:tcMar>
            <w:vAlign w:val="center"/>
          </w:tcPr>
          <w:p w14:paraId="126A097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好</w:t>
            </w:r>
          </w:p>
        </w:tc>
        <w:tc>
          <w:tcPr>
            <w:tcW w:w="822" w:type="pct"/>
            <w:noWrap w:val="0"/>
            <w:tcMar>
              <w:top w:w="0" w:type="dxa"/>
              <w:left w:w="0" w:type="dxa"/>
              <w:bottom w:w="0" w:type="dxa"/>
              <w:right w:w="0" w:type="dxa"/>
            </w:tcMar>
            <w:vAlign w:val="center"/>
          </w:tcPr>
          <w:p w14:paraId="1834339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好</w:t>
            </w:r>
          </w:p>
        </w:tc>
      </w:tr>
      <w:tr w14:paraId="0F11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40F22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967" w:type="pct"/>
            <w:noWrap w:val="0"/>
            <w:tcMar>
              <w:top w:w="0" w:type="dxa"/>
              <w:left w:w="0" w:type="dxa"/>
              <w:bottom w:w="0" w:type="dxa"/>
              <w:right w:w="0" w:type="dxa"/>
            </w:tcMar>
            <w:vAlign w:val="center"/>
          </w:tcPr>
          <w:p w14:paraId="68CBB5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区域公共设施状况</w:t>
            </w:r>
          </w:p>
        </w:tc>
        <w:tc>
          <w:tcPr>
            <w:tcW w:w="778" w:type="pct"/>
            <w:noWrap w:val="0"/>
            <w:tcMar>
              <w:top w:w="0" w:type="dxa"/>
              <w:left w:w="0" w:type="dxa"/>
              <w:bottom w:w="0" w:type="dxa"/>
              <w:right w:w="0" w:type="dxa"/>
            </w:tcMar>
            <w:vAlign w:val="center"/>
          </w:tcPr>
          <w:p w14:paraId="6D91D56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齐全</w:t>
            </w:r>
          </w:p>
        </w:tc>
        <w:tc>
          <w:tcPr>
            <w:tcW w:w="813" w:type="pct"/>
            <w:noWrap w:val="0"/>
            <w:tcMar>
              <w:top w:w="0" w:type="dxa"/>
              <w:left w:w="0" w:type="dxa"/>
              <w:bottom w:w="0" w:type="dxa"/>
              <w:right w:w="0" w:type="dxa"/>
            </w:tcMar>
            <w:vAlign w:val="center"/>
          </w:tcPr>
          <w:p w14:paraId="2AF9864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齐全</w:t>
            </w:r>
          </w:p>
        </w:tc>
        <w:tc>
          <w:tcPr>
            <w:tcW w:w="833" w:type="pct"/>
            <w:noWrap w:val="0"/>
            <w:tcMar>
              <w:top w:w="0" w:type="dxa"/>
              <w:left w:w="0" w:type="dxa"/>
              <w:bottom w:w="0" w:type="dxa"/>
              <w:right w:w="0" w:type="dxa"/>
            </w:tcMar>
            <w:vAlign w:val="center"/>
          </w:tcPr>
          <w:p w14:paraId="04E84F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齐全</w:t>
            </w:r>
          </w:p>
        </w:tc>
        <w:tc>
          <w:tcPr>
            <w:tcW w:w="822" w:type="pct"/>
            <w:noWrap w:val="0"/>
            <w:tcMar>
              <w:top w:w="0" w:type="dxa"/>
              <w:left w:w="0" w:type="dxa"/>
              <w:bottom w:w="0" w:type="dxa"/>
              <w:right w:w="0" w:type="dxa"/>
            </w:tcMar>
            <w:vAlign w:val="center"/>
          </w:tcPr>
          <w:p w14:paraId="552E19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齐全</w:t>
            </w:r>
          </w:p>
        </w:tc>
      </w:tr>
      <w:tr w14:paraId="0788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restart"/>
            <w:noWrap w:val="0"/>
            <w:tcMar>
              <w:top w:w="0" w:type="dxa"/>
              <w:left w:w="0" w:type="dxa"/>
              <w:bottom w:w="0" w:type="dxa"/>
              <w:right w:w="0" w:type="dxa"/>
            </w:tcMar>
            <w:vAlign w:val="center"/>
          </w:tcPr>
          <w:p w14:paraId="6294FE8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个别因素</w:t>
            </w:r>
          </w:p>
        </w:tc>
        <w:tc>
          <w:tcPr>
            <w:tcW w:w="967" w:type="pct"/>
            <w:noWrap w:val="0"/>
            <w:tcMar>
              <w:top w:w="0" w:type="dxa"/>
              <w:left w:w="0" w:type="dxa"/>
              <w:bottom w:w="0" w:type="dxa"/>
              <w:right w:w="0" w:type="dxa"/>
            </w:tcMar>
            <w:vAlign w:val="center"/>
          </w:tcPr>
          <w:p w14:paraId="30BDC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所临道路类型</w:t>
            </w:r>
          </w:p>
        </w:tc>
        <w:tc>
          <w:tcPr>
            <w:tcW w:w="778" w:type="pct"/>
            <w:noWrap w:val="0"/>
            <w:tcMar>
              <w:top w:w="0" w:type="dxa"/>
              <w:left w:w="0" w:type="dxa"/>
              <w:bottom w:w="0" w:type="dxa"/>
              <w:right w:w="0" w:type="dxa"/>
            </w:tcMar>
            <w:vAlign w:val="center"/>
          </w:tcPr>
          <w:p w14:paraId="567BE90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临</w:t>
            </w:r>
            <w:r>
              <w:rPr>
                <w:rFonts w:hint="eastAsia" w:ascii="仿宋_GB2312" w:hAnsi="仿宋_GB2312" w:eastAsia="仿宋_GB2312" w:cs="仿宋_GB2312"/>
                <w:b w:val="0"/>
                <w:bCs w:val="0"/>
                <w:color w:val="000000"/>
                <w:kern w:val="2"/>
                <w:sz w:val="21"/>
                <w:szCs w:val="21"/>
                <w:highlight w:val="none"/>
                <w:lang w:val="en-US" w:eastAsia="zh-CN" w:bidi="ar-SA"/>
              </w:rPr>
              <w:t>次干道</w:t>
            </w:r>
          </w:p>
        </w:tc>
        <w:tc>
          <w:tcPr>
            <w:tcW w:w="813" w:type="pct"/>
            <w:noWrap w:val="0"/>
            <w:tcMar>
              <w:top w:w="0" w:type="dxa"/>
              <w:left w:w="0" w:type="dxa"/>
              <w:bottom w:w="0" w:type="dxa"/>
              <w:right w:w="0" w:type="dxa"/>
            </w:tcMar>
            <w:vAlign w:val="center"/>
          </w:tcPr>
          <w:p w14:paraId="13AB3C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临主干道</w:t>
            </w:r>
          </w:p>
        </w:tc>
        <w:tc>
          <w:tcPr>
            <w:tcW w:w="833" w:type="pct"/>
            <w:noWrap w:val="0"/>
            <w:tcMar>
              <w:top w:w="0" w:type="dxa"/>
              <w:left w:w="0" w:type="dxa"/>
              <w:bottom w:w="0" w:type="dxa"/>
              <w:right w:w="0" w:type="dxa"/>
            </w:tcMar>
            <w:vAlign w:val="center"/>
          </w:tcPr>
          <w:p w14:paraId="329F12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临主干道</w:t>
            </w:r>
          </w:p>
        </w:tc>
        <w:tc>
          <w:tcPr>
            <w:tcW w:w="822" w:type="pct"/>
            <w:noWrap w:val="0"/>
            <w:tcMar>
              <w:top w:w="0" w:type="dxa"/>
              <w:left w:w="0" w:type="dxa"/>
              <w:bottom w:w="0" w:type="dxa"/>
              <w:right w:w="0" w:type="dxa"/>
            </w:tcMar>
            <w:vAlign w:val="center"/>
          </w:tcPr>
          <w:p w14:paraId="561619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临主干道</w:t>
            </w:r>
          </w:p>
        </w:tc>
      </w:tr>
      <w:tr w14:paraId="2B4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FE73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967" w:type="pct"/>
            <w:noWrap w:val="0"/>
            <w:tcMar>
              <w:top w:w="0" w:type="dxa"/>
              <w:left w:w="0" w:type="dxa"/>
              <w:bottom w:w="0" w:type="dxa"/>
              <w:right w:w="0" w:type="dxa"/>
            </w:tcMar>
            <w:vAlign w:val="center"/>
          </w:tcPr>
          <w:p w14:paraId="17E195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通风采光</w:t>
            </w:r>
          </w:p>
        </w:tc>
        <w:tc>
          <w:tcPr>
            <w:tcW w:w="778" w:type="pct"/>
            <w:noWrap w:val="0"/>
            <w:tcMar>
              <w:top w:w="0" w:type="dxa"/>
              <w:left w:w="0" w:type="dxa"/>
              <w:bottom w:w="0" w:type="dxa"/>
              <w:right w:w="0" w:type="dxa"/>
            </w:tcMar>
            <w:vAlign w:val="center"/>
          </w:tcPr>
          <w:p w14:paraId="6CA489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好</w:t>
            </w:r>
          </w:p>
        </w:tc>
        <w:tc>
          <w:tcPr>
            <w:tcW w:w="813" w:type="pct"/>
            <w:noWrap w:val="0"/>
            <w:tcMar>
              <w:top w:w="0" w:type="dxa"/>
              <w:left w:w="0" w:type="dxa"/>
              <w:bottom w:w="0" w:type="dxa"/>
              <w:right w:w="0" w:type="dxa"/>
            </w:tcMar>
            <w:vAlign w:val="center"/>
          </w:tcPr>
          <w:p w14:paraId="61DA9B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好</w:t>
            </w:r>
          </w:p>
        </w:tc>
        <w:tc>
          <w:tcPr>
            <w:tcW w:w="833" w:type="pct"/>
            <w:noWrap w:val="0"/>
            <w:tcMar>
              <w:top w:w="0" w:type="dxa"/>
              <w:left w:w="0" w:type="dxa"/>
              <w:bottom w:w="0" w:type="dxa"/>
              <w:right w:w="0" w:type="dxa"/>
            </w:tcMar>
            <w:vAlign w:val="center"/>
          </w:tcPr>
          <w:p w14:paraId="7A67C7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好</w:t>
            </w:r>
          </w:p>
        </w:tc>
        <w:tc>
          <w:tcPr>
            <w:tcW w:w="822" w:type="pct"/>
            <w:noWrap w:val="0"/>
            <w:tcMar>
              <w:top w:w="0" w:type="dxa"/>
              <w:left w:w="0" w:type="dxa"/>
              <w:bottom w:w="0" w:type="dxa"/>
              <w:right w:w="0" w:type="dxa"/>
            </w:tcMar>
            <w:vAlign w:val="center"/>
          </w:tcPr>
          <w:p w14:paraId="0C668B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好</w:t>
            </w:r>
          </w:p>
        </w:tc>
      </w:tr>
      <w:tr w14:paraId="50A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0B9DB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967" w:type="pct"/>
            <w:noWrap w:val="0"/>
            <w:tcMar>
              <w:top w:w="0" w:type="dxa"/>
              <w:left w:w="0" w:type="dxa"/>
              <w:bottom w:w="0" w:type="dxa"/>
              <w:right w:w="0" w:type="dxa"/>
            </w:tcMar>
            <w:vAlign w:val="center"/>
          </w:tcPr>
          <w:p w14:paraId="3182A5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房屋成新度</w:t>
            </w:r>
          </w:p>
        </w:tc>
        <w:tc>
          <w:tcPr>
            <w:tcW w:w="778" w:type="pct"/>
            <w:noWrap w:val="0"/>
            <w:tcMar>
              <w:top w:w="0" w:type="dxa"/>
              <w:left w:w="0" w:type="dxa"/>
              <w:bottom w:w="0" w:type="dxa"/>
              <w:right w:w="0" w:type="dxa"/>
            </w:tcMar>
            <w:vAlign w:val="center"/>
          </w:tcPr>
          <w:p w14:paraId="30192E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八</w:t>
            </w:r>
            <w:r>
              <w:rPr>
                <w:rFonts w:hint="default" w:ascii="仿宋_GB2312" w:hAnsi="仿宋_GB2312" w:eastAsia="仿宋_GB2312" w:cs="仿宋_GB2312"/>
                <w:b w:val="0"/>
                <w:bCs w:val="0"/>
                <w:color w:val="000000"/>
                <w:kern w:val="2"/>
                <w:sz w:val="21"/>
                <w:szCs w:val="21"/>
                <w:highlight w:val="none"/>
                <w:lang w:val="en-US" w:eastAsia="zh-CN" w:bidi="ar-SA"/>
              </w:rPr>
              <w:t>成新</w:t>
            </w:r>
          </w:p>
        </w:tc>
        <w:tc>
          <w:tcPr>
            <w:tcW w:w="813" w:type="pct"/>
            <w:noWrap w:val="0"/>
            <w:tcMar>
              <w:top w:w="0" w:type="dxa"/>
              <w:left w:w="0" w:type="dxa"/>
              <w:bottom w:w="0" w:type="dxa"/>
              <w:right w:w="0" w:type="dxa"/>
            </w:tcMar>
            <w:vAlign w:val="center"/>
          </w:tcPr>
          <w:p w14:paraId="5D7E39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八</w:t>
            </w:r>
            <w:r>
              <w:rPr>
                <w:rFonts w:hint="default" w:ascii="仿宋_GB2312" w:hAnsi="仿宋_GB2312" w:eastAsia="仿宋_GB2312" w:cs="仿宋_GB2312"/>
                <w:b w:val="0"/>
                <w:bCs w:val="0"/>
                <w:color w:val="000000"/>
                <w:kern w:val="2"/>
                <w:sz w:val="21"/>
                <w:szCs w:val="21"/>
                <w:highlight w:val="none"/>
                <w:lang w:val="en-US" w:eastAsia="zh-CN" w:bidi="ar-SA"/>
              </w:rPr>
              <w:t>成新</w:t>
            </w:r>
          </w:p>
        </w:tc>
        <w:tc>
          <w:tcPr>
            <w:tcW w:w="833" w:type="pct"/>
            <w:noWrap w:val="0"/>
            <w:tcMar>
              <w:top w:w="0" w:type="dxa"/>
              <w:left w:w="0" w:type="dxa"/>
              <w:bottom w:w="0" w:type="dxa"/>
              <w:right w:w="0" w:type="dxa"/>
            </w:tcMar>
            <w:vAlign w:val="center"/>
          </w:tcPr>
          <w:p w14:paraId="042EF4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八</w:t>
            </w:r>
            <w:r>
              <w:rPr>
                <w:rFonts w:hint="default" w:ascii="仿宋_GB2312" w:hAnsi="仿宋_GB2312" w:eastAsia="仿宋_GB2312" w:cs="仿宋_GB2312"/>
                <w:b w:val="0"/>
                <w:bCs w:val="0"/>
                <w:color w:val="000000"/>
                <w:kern w:val="2"/>
                <w:sz w:val="21"/>
                <w:szCs w:val="21"/>
                <w:highlight w:val="none"/>
                <w:lang w:val="en-US" w:eastAsia="zh-CN" w:bidi="ar-SA"/>
              </w:rPr>
              <w:t>成新</w:t>
            </w:r>
          </w:p>
        </w:tc>
        <w:tc>
          <w:tcPr>
            <w:tcW w:w="822" w:type="pct"/>
            <w:noWrap w:val="0"/>
            <w:tcMar>
              <w:top w:w="0" w:type="dxa"/>
              <w:left w:w="0" w:type="dxa"/>
              <w:bottom w:w="0" w:type="dxa"/>
              <w:right w:w="0" w:type="dxa"/>
            </w:tcMar>
            <w:vAlign w:val="center"/>
          </w:tcPr>
          <w:p w14:paraId="7E86AF5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八</w:t>
            </w:r>
            <w:r>
              <w:rPr>
                <w:rFonts w:hint="default" w:ascii="仿宋_GB2312" w:hAnsi="仿宋_GB2312" w:eastAsia="仿宋_GB2312" w:cs="仿宋_GB2312"/>
                <w:b w:val="0"/>
                <w:bCs w:val="0"/>
                <w:color w:val="000000"/>
                <w:kern w:val="2"/>
                <w:sz w:val="21"/>
                <w:szCs w:val="21"/>
                <w:highlight w:val="none"/>
                <w:lang w:val="en-US" w:eastAsia="zh-CN" w:bidi="ar-SA"/>
              </w:rPr>
              <w:t>成新</w:t>
            </w:r>
          </w:p>
        </w:tc>
      </w:tr>
      <w:tr w14:paraId="0B77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0DD0D5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967" w:type="pct"/>
            <w:noWrap w:val="0"/>
            <w:tcMar>
              <w:top w:w="0" w:type="dxa"/>
              <w:left w:w="0" w:type="dxa"/>
              <w:bottom w:w="0" w:type="dxa"/>
              <w:right w:w="0" w:type="dxa"/>
            </w:tcMar>
            <w:vAlign w:val="center"/>
          </w:tcPr>
          <w:p w14:paraId="60B93F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建筑物结构</w:t>
            </w:r>
          </w:p>
        </w:tc>
        <w:tc>
          <w:tcPr>
            <w:tcW w:w="778" w:type="pct"/>
            <w:noWrap w:val="0"/>
            <w:tcMar>
              <w:top w:w="0" w:type="dxa"/>
              <w:left w:w="0" w:type="dxa"/>
              <w:bottom w:w="0" w:type="dxa"/>
              <w:right w:w="0" w:type="dxa"/>
            </w:tcMar>
            <w:vAlign w:val="center"/>
          </w:tcPr>
          <w:p w14:paraId="47EE7A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砖混</w:t>
            </w:r>
          </w:p>
        </w:tc>
        <w:tc>
          <w:tcPr>
            <w:tcW w:w="813" w:type="pct"/>
            <w:noWrap w:val="0"/>
            <w:tcMar>
              <w:top w:w="0" w:type="dxa"/>
              <w:left w:w="0" w:type="dxa"/>
              <w:bottom w:w="0" w:type="dxa"/>
              <w:right w:w="0" w:type="dxa"/>
            </w:tcMar>
            <w:vAlign w:val="center"/>
          </w:tcPr>
          <w:p w14:paraId="45B4C69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砖混</w:t>
            </w:r>
          </w:p>
        </w:tc>
        <w:tc>
          <w:tcPr>
            <w:tcW w:w="833" w:type="pct"/>
            <w:noWrap w:val="0"/>
            <w:tcMar>
              <w:top w:w="0" w:type="dxa"/>
              <w:left w:w="0" w:type="dxa"/>
              <w:bottom w:w="0" w:type="dxa"/>
              <w:right w:w="0" w:type="dxa"/>
            </w:tcMar>
            <w:vAlign w:val="center"/>
          </w:tcPr>
          <w:p w14:paraId="5C1EA3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砖混</w:t>
            </w:r>
          </w:p>
        </w:tc>
        <w:tc>
          <w:tcPr>
            <w:tcW w:w="822" w:type="pct"/>
            <w:noWrap w:val="0"/>
            <w:tcMar>
              <w:top w:w="0" w:type="dxa"/>
              <w:left w:w="0" w:type="dxa"/>
              <w:bottom w:w="0" w:type="dxa"/>
              <w:right w:w="0" w:type="dxa"/>
            </w:tcMar>
            <w:vAlign w:val="center"/>
          </w:tcPr>
          <w:p w14:paraId="0731EF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砖混</w:t>
            </w:r>
          </w:p>
        </w:tc>
      </w:tr>
      <w:tr w14:paraId="01A4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4E242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967" w:type="pct"/>
            <w:noWrap w:val="0"/>
            <w:tcMar>
              <w:top w:w="0" w:type="dxa"/>
              <w:left w:w="0" w:type="dxa"/>
              <w:bottom w:w="0" w:type="dxa"/>
              <w:right w:w="0" w:type="dxa"/>
            </w:tcMar>
            <w:vAlign w:val="center"/>
          </w:tcPr>
          <w:p w14:paraId="43F0C72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建筑物内部格局</w:t>
            </w:r>
          </w:p>
        </w:tc>
        <w:tc>
          <w:tcPr>
            <w:tcW w:w="778" w:type="pct"/>
            <w:noWrap w:val="0"/>
            <w:tcMar>
              <w:top w:w="0" w:type="dxa"/>
              <w:left w:w="0" w:type="dxa"/>
              <w:bottom w:w="0" w:type="dxa"/>
              <w:right w:w="0" w:type="dxa"/>
            </w:tcMar>
            <w:vAlign w:val="center"/>
          </w:tcPr>
          <w:p w14:paraId="652F7E7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合理</w:t>
            </w:r>
          </w:p>
        </w:tc>
        <w:tc>
          <w:tcPr>
            <w:tcW w:w="813" w:type="pct"/>
            <w:noWrap w:val="0"/>
            <w:tcMar>
              <w:top w:w="0" w:type="dxa"/>
              <w:left w:w="0" w:type="dxa"/>
              <w:bottom w:w="0" w:type="dxa"/>
              <w:right w:w="0" w:type="dxa"/>
            </w:tcMar>
            <w:vAlign w:val="center"/>
          </w:tcPr>
          <w:p w14:paraId="4612E5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合理</w:t>
            </w:r>
          </w:p>
        </w:tc>
        <w:tc>
          <w:tcPr>
            <w:tcW w:w="833" w:type="pct"/>
            <w:noWrap w:val="0"/>
            <w:tcMar>
              <w:top w:w="0" w:type="dxa"/>
              <w:left w:w="0" w:type="dxa"/>
              <w:bottom w:w="0" w:type="dxa"/>
              <w:right w:w="0" w:type="dxa"/>
            </w:tcMar>
            <w:vAlign w:val="center"/>
          </w:tcPr>
          <w:p w14:paraId="22E235C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合理</w:t>
            </w:r>
          </w:p>
        </w:tc>
        <w:tc>
          <w:tcPr>
            <w:tcW w:w="822" w:type="pct"/>
            <w:noWrap w:val="0"/>
            <w:tcMar>
              <w:top w:w="0" w:type="dxa"/>
              <w:left w:w="0" w:type="dxa"/>
              <w:bottom w:w="0" w:type="dxa"/>
              <w:right w:w="0" w:type="dxa"/>
            </w:tcMar>
            <w:vAlign w:val="center"/>
          </w:tcPr>
          <w:p w14:paraId="2D2D5A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合理</w:t>
            </w:r>
          </w:p>
        </w:tc>
      </w:tr>
      <w:tr w14:paraId="4B8E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7E9203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967" w:type="pct"/>
            <w:noWrap w:val="0"/>
            <w:tcMar>
              <w:top w:w="0" w:type="dxa"/>
              <w:left w:w="0" w:type="dxa"/>
              <w:bottom w:w="0" w:type="dxa"/>
              <w:right w:w="0" w:type="dxa"/>
            </w:tcMar>
            <w:vAlign w:val="center"/>
          </w:tcPr>
          <w:p w14:paraId="6AD667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装修档次</w:t>
            </w:r>
          </w:p>
        </w:tc>
        <w:tc>
          <w:tcPr>
            <w:tcW w:w="778" w:type="pct"/>
            <w:noWrap w:val="0"/>
            <w:tcMar>
              <w:top w:w="0" w:type="dxa"/>
              <w:left w:w="0" w:type="dxa"/>
              <w:bottom w:w="0" w:type="dxa"/>
              <w:right w:w="0" w:type="dxa"/>
            </w:tcMar>
            <w:vAlign w:val="center"/>
          </w:tcPr>
          <w:p w14:paraId="52B11D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简单装修</w:t>
            </w:r>
          </w:p>
        </w:tc>
        <w:tc>
          <w:tcPr>
            <w:tcW w:w="813" w:type="pct"/>
            <w:noWrap w:val="0"/>
            <w:tcMar>
              <w:top w:w="0" w:type="dxa"/>
              <w:left w:w="0" w:type="dxa"/>
              <w:bottom w:w="0" w:type="dxa"/>
              <w:right w:w="0" w:type="dxa"/>
            </w:tcMar>
            <w:vAlign w:val="center"/>
          </w:tcPr>
          <w:p w14:paraId="117D20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简单装修</w:t>
            </w:r>
          </w:p>
        </w:tc>
        <w:tc>
          <w:tcPr>
            <w:tcW w:w="833" w:type="pct"/>
            <w:noWrap w:val="0"/>
            <w:tcMar>
              <w:top w:w="0" w:type="dxa"/>
              <w:left w:w="0" w:type="dxa"/>
              <w:bottom w:w="0" w:type="dxa"/>
              <w:right w:w="0" w:type="dxa"/>
            </w:tcMar>
            <w:vAlign w:val="center"/>
          </w:tcPr>
          <w:p w14:paraId="7780A2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简单装修</w:t>
            </w:r>
          </w:p>
        </w:tc>
        <w:tc>
          <w:tcPr>
            <w:tcW w:w="822" w:type="pct"/>
            <w:noWrap w:val="0"/>
            <w:tcMar>
              <w:top w:w="0" w:type="dxa"/>
              <w:left w:w="0" w:type="dxa"/>
              <w:bottom w:w="0" w:type="dxa"/>
              <w:right w:w="0" w:type="dxa"/>
            </w:tcMar>
            <w:vAlign w:val="center"/>
          </w:tcPr>
          <w:p w14:paraId="7C2B4E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简单装修</w:t>
            </w:r>
          </w:p>
        </w:tc>
      </w:tr>
      <w:tr w14:paraId="7E21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24397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967" w:type="pct"/>
            <w:noWrap w:val="0"/>
            <w:tcMar>
              <w:top w:w="0" w:type="dxa"/>
              <w:left w:w="0" w:type="dxa"/>
              <w:bottom w:w="0" w:type="dxa"/>
              <w:right w:w="0" w:type="dxa"/>
            </w:tcMar>
            <w:vAlign w:val="center"/>
          </w:tcPr>
          <w:p w14:paraId="524FEC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停车情况</w:t>
            </w:r>
          </w:p>
        </w:tc>
        <w:tc>
          <w:tcPr>
            <w:tcW w:w="778" w:type="pct"/>
            <w:noWrap w:val="0"/>
            <w:tcMar>
              <w:top w:w="0" w:type="dxa"/>
              <w:left w:w="0" w:type="dxa"/>
              <w:bottom w:w="0" w:type="dxa"/>
              <w:right w:w="0" w:type="dxa"/>
            </w:tcMar>
            <w:vAlign w:val="center"/>
          </w:tcPr>
          <w:p w14:paraId="6224D66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基本满足停车</w:t>
            </w:r>
            <w:r>
              <w:rPr>
                <w:rFonts w:hint="eastAsia" w:ascii="仿宋_GB2312" w:hAnsi="仿宋_GB2312" w:eastAsia="仿宋_GB2312" w:cs="仿宋_GB2312"/>
                <w:b w:val="0"/>
                <w:bCs w:val="0"/>
                <w:color w:val="000000"/>
                <w:kern w:val="2"/>
                <w:sz w:val="21"/>
                <w:szCs w:val="21"/>
                <w:highlight w:val="none"/>
                <w:lang w:val="en-US" w:eastAsia="zh-CN" w:bidi="ar-SA"/>
              </w:rPr>
              <w:t>需求</w:t>
            </w:r>
          </w:p>
        </w:tc>
        <w:tc>
          <w:tcPr>
            <w:tcW w:w="813" w:type="pct"/>
            <w:noWrap w:val="0"/>
            <w:tcMar>
              <w:top w:w="0" w:type="dxa"/>
              <w:left w:w="0" w:type="dxa"/>
              <w:bottom w:w="0" w:type="dxa"/>
              <w:right w:w="0" w:type="dxa"/>
            </w:tcMar>
            <w:vAlign w:val="center"/>
          </w:tcPr>
          <w:p w14:paraId="6C29411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基本满足停车需求</w:t>
            </w:r>
          </w:p>
        </w:tc>
        <w:tc>
          <w:tcPr>
            <w:tcW w:w="833" w:type="pct"/>
            <w:noWrap w:val="0"/>
            <w:tcMar>
              <w:top w:w="0" w:type="dxa"/>
              <w:left w:w="0" w:type="dxa"/>
              <w:bottom w:w="0" w:type="dxa"/>
              <w:right w:w="0" w:type="dxa"/>
            </w:tcMar>
            <w:vAlign w:val="center"/>
          </w:tcPr>
          <w:p w14:paraId="259188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基本满足停车需求</w:t>
            </w:r>
          </w:p>
        </w:tc>
        <w:tc>
          <w:tcPr>
            <w:tcW w:w="822" w:type="pct"/>
            <w:noWrap w:val="0"/>
            <w:tcMar>
              <w:top w:w="0" w:type="dxa"/>
              <w:left w:w="0" w:type="dxa"/>
              <w:bottom w:w="0" w:type="dxa"/>
              <w:right w:w="0" w:type="dxa"/>
            </w:tcMar>
            <w:vAlign w:val="center"/>
          </w:tcPr>
          <w:p w14:paraId="28ECF1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基本满足停车</w:t>
            </w:r>
            <w:r>
              <w:rPr>
                <w:rFonts w:hint="eastAsia" w:ascii="仿宋_GB2312" w:hAnsi="仿宋_GB2312" w:eastAsia="仿宋_GB2312" w:cs="仿宋_GB2312"/>
                <w:b w:val="0"/>
                <w:bCs w:val="0"/>
                <w:color w:val="000000"/>
                <w:kern w:val="2"/>
                <w:sz w:val="21"/>
                <w:szCs w:val="21"/>
                <w:highlight w:val="none"/>
                <w:lang w:val="en-US" w:eastAsia="zh-CN" w:bidi="ar-SA"/>
              </w:rPr>
              <w:t>需求</w:t>
            </w:r>
          </w:p>
        </w:tc>
      </w:tr>
      <w:tr w14:paraId="4B16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2" w:hRule="atLeast"/>
        </w:trPr>
        <w:tc>
          <w:tcPr>
            <w:tcW w:w="785" w:type="pct"/>
            <w:vMerge w:val="continue"/>
            <w:noWrap w:val="0"/>
            <w:tcMar>
              <w:top w:w="0" w:type="dxa"/>
              <w:left w:w="0" w:type="dxa"/>
              <w:bottom w:w="0" w:type="dxa"/>
              <w:right w:w="0" w:type="dxa"/>
            </w:tcMar>
            <w:vAlign w:val="center"/>
          </w:tcPr>
          <w:p w14:paraId="35BD40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967" w:type="pct"/>
            <w:noWrap w:val="0"/>
            <w:tcMar>
              <w:top w:w="0" w:type="dxa"/>
              <w:left w:w="0" w:type="dxa"/>
              <w:bottom w:w="0" w:type="dxa"/>
              <w:right w:w="0" w:type="dxa"/>
            </w:tcMar>
            <w:vAlign w:val="center"/>
          </w:tcPr>
          <w:p w14:paraId="1F6ED6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物业情况</w:t>
            </w:r>
          </w:p>
        </w:tc>
        <w:tc>
          <w:tcPr>
            <w:tcW w:w="778" w:type="pct"/>
            <w:noWrap w:val="0"/>
            <w:tcMar>
              <w:top w:w="0" w:type="dxa"/>
              <w:left w:w="0" w:type="dxa"/>
              <w:bottom w:w="0" w:type="dxa"/>
              <w:right w:w="0" w:type="dxa"/>
            </w:tcMar>
            <w:vAlign w:val="center"/>
          </w:tcPr>
          <w:p w14:paraId="30B9AF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无</w:t>
            </w:r>
          </w:p>
        </w:tc>
        <w:tc>
          <w:tcPr>
            <w:tcW w:w="813" w:type="pct"/>
            <w:noWrap w:val="0"/>
            <w:tcMar>
              <w:top w:w="0" w:type="dxa"/>
              <w:left w:w="0" w:type="dxa"/>
              <w:bottom w:w="0" w:type="dxa"/>
              <w:right w:w="0" w:type="dxa"/>
            </w:tcMar>
            <w:vAlign w:val="center"/>
          </w:tcPr>
          <w:p w14:paraId="3829D56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无</w:t>
            </w:r>
          </w:p>
        </w:tc>
        <w:tc>
          <w:tcPr>
            <w:tcW w:w="833" w:type="pct"/>
            <w:noWrap w:val="0"/>
            <w:tcMar>
              <w:top w:w="0" w:type="dxa"/>
              <w:left w:w="0" w:type="dxa"/>
              <w:bottom w:w="0" w:type="dxa"/>
              <w:right w:w="0" w:type="dxa"/>
            </w:tcMar>
            <w:vAlign w:val="center"/>
          </w:tcPr>
          <w:p w14:paraId="018B66E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无</w:t>
            </w:r>
          </w:p>
        </w:tc>
        <w:tc>
          <w:tcPr>
            <w:tcW w:w="822" w:type="pct"/>
            <w:noWrap w:val="0"/>
            <w:tcMar>
              <w:top w:w="0" w:type="dxa"/>
              <w:left w:w="0" w:type="dxa"/>
              <w:bottom w:w="0" w:type="dxa"/>
              <w:right w:w="0" w:type="dxa"/>
            </w:tcMar>
            <w:vAlign w:val="center"/>
          </w:tcPr>
          <w:p w14:paraId="46F35BB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无</w:t>
            </w:r>
          </w:p>
        </w:tc>
      </w:tr>
    </w:tbl>
    <w:p w14:paraId="70C32AE6">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租金的比较因素修正说明：</w:t>
      </w:r>
    </w:p>
    <w:p w14:paraId="0E5560CF">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A、用途修正：估价对象与三个比较案例用途都为住宅楼，因此不用做修正；</w:t>
      </w:r>
    </w:p>
    <w:p w14:paraId="221C20A9">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B、交易时间修正，估价对象与三个比较案例交易时间接近，因此不需要做时间修正;</w:t>
      </w:r>
    </w:p>
    <w:p w14:paraId="0FABF52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C、交易情况：估价对象与三个比较案例均是在正常情况下交易的，因此不做交易情况修正；</w:t>
      </w:r>
    </w:p>
    <w:p w14:paraId="3ABE2375">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D、区域因素修正</w:t>
      </w:r>
    </w:p>
    <w:p w14:paraId="3146A8A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w:t>
      </w:r>
      <w:r>
        <w:rPr>
          <w:rFonts w:hint="default" w:ascii="仿宋_GB2312" w:hAnsi="仿宋_GB2312" w:eastAsia="仿宋_GB2312" w:cs="仿宋_GB2312"/>
          <w:b w:val="0"/>
          <w:bCs w:val="0"/>
          <w:color w:val="000000"/>
          <w:kern w:val="2"/>
          <w:sz w:val="28"/>
          <w:szCs w:val="28"/>
          <w:highlight w:val="none"/>
          <w:lang w:val="en-US" w:eastAsia="zh-CN" w:bidi="ar-SA"/>
        </w:rPr>
        <w:t>商服繁华度：商服繁华度分为优、较优、一般、较劣、劣五个等级，以估价对象商服繁华度修正系数为100，每上升或下降一个级别，指数增加或减少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248B0E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b、公交便捷度：交通便捷度分为优、较优、一般、较劣、劣五个等级，以估价对象交通便捷度修正系数为100，每上升或下降一个级别，指数增加或减少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12BACB3D">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度分为通畅、较通畅、一般通畅、较不通畅、不通畅五个等级，以估价对象道路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度修正系数为100，每上升或下降一个级别，指数增加或减少2；</w:t>
      </w:r>
    </w:p>
    <w:p w14:paraId="0D767F4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d、水电等基础设施综合保证率：水电等基础设施综合保证率分为≥95%、[90，95]、≤90%三个等级,以估价对象为100，每上升或下降一个级别，指数增加或减少2。</w:t>
      </w:r>
    </w:p>
    <w:p w14:paraId="464FBC66">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e、环境质量：环境质量分为好、较好、一般、较差、差五个等级，以估价对象为100, 每上升或下降一个级别，指数增加或减少2。</w:t>
      </w:r>
    </w:p>
    <w:p w14:paraId="7CE13308">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f、区域公共设施状况：区域公共设施状况分为齐全，较齐全，一般，较低，低5个等级，以估价对象为100,每上升或下降一个级别，指数增加或减少2。</w:t>
      </w:r>
    </w:p>
    <w:p w14:paraId="728692DE">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E、个别因素</w:t>
      </w:r>
    </w:p>
    <w:p w14:paraId="2A756B2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a、所临道路类型</w:t>
      </w:r>
      <w:r>
        <w:rPr>
          <w:rFonts w:hint="eastAsia" w:ascii="仿宋_GB2312" w:hAnsi="仿宋_GB2312" w:eastAsia="仿宋_GB2312" w:cs="仿宋_GB2312"/>
          <w:b w:val="0"/>
          <w:bCs w:val="0"/>
          <w:color w:val="000000"/>
          <w:kern w:val="2"/>
          <w:sz w:val="28"/>
          <w:szCs w:val="28"/>
          <w:highlight w:val="none"/>
          <w:lang w:val="en-US" w:eastAsia="zh-CN" w:bidi="ar-SA"/>
        </w:rPr>
        <w:t>：所临道路类型分为</w:t>
      </w:r>
      <w:r>
        <w:rPr>
          <w:rFonts w:hint="default" w:ascii="仿宋_GB2312" w:hAnsi="仿宋_GB2312" w:eastAsia="仿宋_GB2312" w:cs="仿宋_GB2312"/>
          <w:b w:val="0"/>
          <w:bCs w:val="0"/>
          <w:color w:val="000000"/>
          <w:kern w:val="2"/>
          <w:sz w:val="28"/>
          <w:szCs w:val="28"/>
          <w:highlight w:val="none"/>
          <w:lang w:val="en-US" w:eastAsia="zh-CN" w:bidi="ar-SA"/>
        </w:rPr>
        <w:t>临主干道、临次干道、临支路、不临路等级别。以估价对象指数为100，每上升或下降一个级别，指数增加或减少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899693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b、通风采光</w:t>
      </w:r>
      <w:r>
        <w:rPr>
          <w:rFonts w:hint="eastAsia" w:ascii="仿宋_GB2312" w:hAnsi="仿宋_GB2312" w:eastAsia="仿宋_GB2312" w:cs="仿宋_GB2312"/>
          <w:b w:val="0"/>
          <w:bCs w:val="0"/>
          <w:color w:val="000000"/>
          <w:kern w:val="2"/>
          <w:sz w:val="28"/>
          <w:szCs w:val="28"/>
          <w:highlight w:val="none"/>
          <w:lang w:val="en-US" w:eastAsia="zh-CN" w:bidi="ar-SA"/>
        </w:rPr>
        <w:t>：通风采光分为</w:t>
      </w:r>
      <w:r>
        <w:rPr>
          <w:rFonts w:hint="default" w:ascii="仿宋_GB2312" w:hAnsi="仿宋_GB2312" w:eastAsia="仿宋_GB2312" w:cs="仿宋_GB2312"/>
          <w:b w:val="0"/>
          <w:bCs w:val="0"/>
          <w:color w:val="000000"/>
          <w:kern w:val="2"/>
          <w:sz w:val="28"/>
          <w:szCs w:val="28"/>
          <w:highlight w:val="none"/>
          <w:lang w:val="en-US" w:eastAsia="zh-CN" w:bidi="ar-SA"/>
        </w:rPr>
        <w:t>好、较好、一般、较差、差五个等级，以估价对象条件指数为100, 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07E351EB">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c、房屋成新度：以估价对象成新度为100，每上升或下降一个级别，指数增加或减少1。</w:t>
      </w:r>
    </w:p>
    <w:p w14:paraId="6F408F2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d、建筑物结构</w:t>
      </w:r>
      <w:r>
        <w:rPr>
          <w:rFonts w:hint="eastAsia" w:ascii="仿宋_GB2312" w:hAnsi="仿宋_GB2312" w:eastAsia="仿宋_GB2312" w:cs="仿宋_GB2312"/>
          <w:b w:val="0"/>
          <w:bCs w:val="0"/>
          <w:color w:val="000000"/>
          <w:kern w:val="2"/>
          <w:sz w:val="28"/>
          <w:szCs w:val="28"/>
          <w:highlight w:val="none"/>
          <w:lang w:val="en-US" w:eastAsia="zh-CN" w:bidi="ar-SA"/>
        </w:rPr>
        <w:t>：建筑物结构分为</w:t>
      </w:r>
      <w:r>
        <w:rPr>
          <w:rFonts w:hint="default" w:ascii="仿宋_GB2312" w:hAnsi="仿宋_GB2312" w:eastAsia="仿宋_GB2312" w:cs="仿宋_GB2312"/>
          <w:b w:val="0"/>
          <w:bCs w:val="0"/>
          <w:color w:val="000000"/>
          <w:kern w:val="2"/>
          <w:sz w:val="28"/>
          <w:szCs w:val="28"/>
          <w:highlight w:val="none"/>
          <w:lang w:val="en-US" w:eastAsia="zh-CN" w:bidi="ar-SA"/>
        </w:rPr>
        <w:t>框架、钢混、砖混、砖木等4个等级,以估价对象为100, 每上升或下降一个级别，指数增加或减少2。</w:t>
      </w:r>
    </w:p>
    <w:p w14:paraId="29EC76C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w:t>
      </w:r>
      <w:r>
        <w:rPr>
          <w:rFonts w:hint="eastAsia" w:ascii="仿宋_GB2312" w:hAnsi="仿宋_GB2312" w:eastAsia="仿宋_GB2312" w:cs="仿宋_GB2312"/>
          <w:b w:val="0"/>
          <w:bCs w:val="0"/>
          <w:color w:val="000000"/>
          <w:kern w:val="2"/>
          <w:sz w:val="28"/>
          <w:szCs w:val="28"/>
          <w:highlight w:val="none"/>
          <w:lang w:val="en-US" w:eastAsia="zh-CN" w:bidi="ar-SA"/>
        </w:rPr>
        <w:t>建筑物内部格局：</w:t>
      </w:r>
      <w:r>
        <w:rPr>
          <w:rFonts w:hint="default" w:ascii="仿宋_GB2312" w:hAnsi="仿宋_GB2312" w:eastAsia="仿宋_GB2312" w:cs="仿宋_GB2312"/>
          <w:b w:val="0"/>
          <w:bCs w:val="0"/>
          <w:color w:val="000000"/>
          <w:kern w:val="2"/>
          <w:sz w:val="28"/>
          <w:szCs w:val="28"/>
          <w:highlight w:val="none"/>
          <w:lang w:val="en-US" w:eastAsia="zh-CN" w:bidi="ar-SA"/>
        </w:rPr>
        <w:t>建筑物内部格局分为有合理、较合理、不合理三个等级,以估价对象为100, 每上升或下降一个级别，指数增加或减少1。</w:t>
      </w:r>
    </w:p>
    <w:p w14:paraId="3CAD1A3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w:t>
      </w:r>
      <w:r>
        <w:rPr>
          <w:rFonts w:hint="eastAsia" w:ascii="仿宋_GB2312" w:hAnsi="仿宋_GB2312" w:eastAsia="仿宋_GB2312" w:cs="仿宋_GB2312"/>
          <w:b w:val="0"/>
          <w:bCs w:val="0"/>
          <w:color w:val="000000"/>
          <w:kern w:val="2"/>
          <w:sz w:val="28"/>
          <w:szCs w:val="28"/>
          <w:highlight w:val="none"/>
          <w:lang w:val="en-US" w:eastAsia="zh-CN" w:bidi="ar-SA"/>
        </w:rPr>
        <w:t>装修档次：</w:t>
      </w:r>
      <w:r>
        <w:rPr>
          <w:rFonts w:hint="default" w:ascii="仿宋_GB2312" w:hAnsi="仿宋_GB2312" w:eastAsia="仿宋_GB2312" w:cs="仿宋_GB2312"/>
          <w:b w:val="0"/>
          <w:bCs w:val="0"/>
          <w:color w:val="000000"/>
          <w:kern w:val="2"/>
          <w:sz w:val="28"/>
          <w:szCs w:val="28"/>
          <w:highlight w:val="none"/>
          <w:lang w:val="en-US" w:eastAsia="zh-CN" w:bidi="ar-SA"/>
        </w:rPr>
        <w:t>装修档次分为毛坯、简单装修、中档装修、中高档装修、高档装修等5个等级,以估价对象为100,每上升或下降一个级别，指数增加或减少2。</w:t>
      </w:r>
    </w:p>
    <w:p w14:paraId="3E984AB1">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g、</w:t>
      </w:r>
      <w:r>
        <w:rPr>
          <w:rFonts w:hint="eastAsia" w:ascii="仿宋_GB2312" w:hAnsi="仿宋_GB2312" w:eastAsia="仿宋_GB2312" w:cs="仿宋_GB2312"/>
          <w:b w:val="0"/>
          <w:bCs w:val="0"/>
          <w:color w:val="000000"/>
          <w:kern w:val="2"/>
          <w:sz w:val="28"/>
          <w:szCs w:val="28"/>
          <w:highlight w:val="none"/>
          <w:lang w:val="en-US" w:eastAsia="zh-CN" w:bidi="ar-SA"/>
        </w:rPr>
        <w:t>停车情况：</w:t>
      </w:r>
      <w:r>
        <w:rPr>
          <w:rFonts w:hint="default" w:ascii="仿宋_GB2312" w:hAnsi="仿宋_GB2312" w:eastAsia="仿宋_GB2312" w:cs="仿宋_GB2312"/>
          <w:b w:val="0"/>
          <w:bCs w:val="0"/>
          <w:color w:val="000000"/>
          <w:kern w:val="2"/>
          <w:sz w:val="28"/>
          <w:szCs w:val="28"/>
          <w:highlight w:val="none"/>
          <w:lang w:val="en-US" w:eastAsia="zh-CN" w:bidi="ar-SA"/>
        </w:rPr>
        <w:t>停车情况分为能满足停车需求、基本满足停车需求、不能满足停车需求三个等别，以估价对象条件指数为100,每上升或下降一个级别，指数增加或减少2。</w:t>
      </w:r>
    </w:p>
    <w:p w14:paraId="4482B4F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h、物业情况分为无物业管理、物业管理一般、物业管理较好等三个等级,以估价对象为100,每上升或下降一个级别，指数增加或减少2。</w:t>
      </w:r>
    </w:p>
    <w:p w14:paraId="3C2BD054">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得到估价对象比较因素条件指数表和</w:t>
      </w:r>
      <w:r>
        <w:rPr>
          <w:rFonts w:hint="eastAsia" w:ascii="仿宋_GB2312" w:hAnsi="仿宋_GB2312" w:eastAsia="仿宋_GB2312" w:cs="仿宋_GB2312"/>
          <w:b w:val="0"/>
          <w:bCs/>
          <w:color w:val="auto"/>
          <w:kern w:val="2"/>
          <w:sz w:val="28"/>
          <w:szCs w:val="28"/>
          <w:highlight w:val="none"/>
          <w:lang w:val="en-US" w:eastAsia="zh-CN" w:bidi="ar-SA"/>
        </w:rPr>
        <w:t>比较因素条件修正系数表</w:t>
      </w:r>
    </w:p>
    <w:p w14:paraId="444BD2E8">
      <w:pPr>
        <w:pStyle w:val="2"/>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16</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比较因素条件指数表</w:t>
      </w:r>
    </w:p>
    <w:tbl>
      <w:tblPr>
        <w:tblStyle w:val="11"/>
        <w:tblW w:w="50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82"/>
        <w:gridCol w:w="1757"/>
        <w:gridCol w:w="1269"/>
        <w:gridCol w:w="1401"/>
        <w:gridCol w:w="1401"/>
        <w:gridCol w:w="1404"/>
      </w:tblGrid>
      <w:tr w14:paraId="6AA3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tcBorders>
              <w:tl2br w:val="single" w:color="000000" w:sz="4" w:space="0"/>
            </w:tcBorders>
            <w:noWrap w:val="0"/>
            <w:vAlign w:val="center"/>
          </w:tcPr>
          <w:p w14:paraId="3F419F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估价对象及比较实例</w:t>
            </w:r>
          </w:p>
          <w:p w14:paraId="498A63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比较因素</w:t>
            </w:r>
          </w:p>
        </w:tc>
        <w:tc>
          <w:tcPr>
            <w:tcW w:w="754" w:type="pct"/>
            <w:noWrap w:val="0"/>
            <w:vAlign w:val="center"/>
          </w:tcPr>
          <w:p w14:paraId="29E6D42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估价对象</w:t>
            </w:r>
          </w:p>
        </w:tc>
        <w:tc>
          <w:tcPr>
            <w:tcW w:w="832" w:type="pct"/>
            <w:noWrap w:val="0"/>
            <w:vAlign w:val="center"/>
          </w:tcPr>
          <w:p w14:paraId="527AA0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案例A</w:t>
            </w:r>
          </w:p>
        </w:tc>
        <w:tc>
          <w:tcPr>
            <w:tcW w:w="832" w:type="pct"/>
            <w:noWrap w:val="0"/>
            <w:vAlign w:val="center"/>
          </w:tcPr>
          <w:p w14:paraId="75590A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案例B</w:t>
            </w:r>
          </w:p>
        </w:tc>
        <w:tc>
          <w:tcPr>
            <w:tcW w:w="834" w:type="pct"/>
            <w:noWrap w:val="0"/>
            <w:vAlign w:val="center"/>
          </w:tcPr>
          <w:p w14:paraId="73A4D38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案例C</w:t>
            </w:r>
          </w:p>
        </w:tc>
      </w:tr>
      <w:tr w14:paraId="4B99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1746" w:type="pct"/>
            <w:gridSpan w:val="2"/>
            <w:noWrap w:val="0"/>
            <w:vAlign w:val="center"/>
          </w:tcPr>
          <w:p w14:paraId="3BEAD5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位置</w:t>
            </w:r>
          </w:p>
        </w:tc>
        <w:tc>
          <w:tcPr>
            <w:tcW w:w="754" w:type="pct"/>
            <w:noWrap w:val="0"/>
            <w:vAlign w:val="center"/>
          </w:tcPr>
          <w:p w14:paraId="19D8EB1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行政街</w:t>
            </w:r>
          </w:p>
        </w:tc>
        <w:tc>
          <w:tcPr>
            <w:tcW w:w="1401" w:type="dxa"/>
            <w:noWrap w:val="0"/>
            <w:vAlign w:val="center"/>
          </w:tcPr>
          <w:p w14:paraId="57718F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欧韩时尚</w:t>
            </w:r>
          </w:p>
        </w:tc>
        <w:tc>
          <w:tcPr>
            <w:tcW w:w="1401" w:type="dxa"/>
            <w:noWrap w:val="0"/>
            <w:vAlign w:val="center"/>
          </w:tcPr>
          <w:p w14:paraId="26A11C0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千鸿鞋业</w:t>
            </w:r>
          </w:p>
        </w:tc>
        <w:tc>
          <w:tcPr>
            <w:tcW w:w="1404" w:type="dxa"/>
            <w:noWrap w:val="0"/>
            <w:vAlign w:val="center"/>
          </w:tcPr>
          <w:p w14:paraId="1B2537B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大东旗舰店</w:t>
            </w:r>
          </w:p>
        </w:tc>
      </w:tr>
      <w:tr w14:paraId="3A74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2939" w:type="dxa"/>
            <w:gridSpan w:val="2"/>
            <w:noWrap w:val="0"/>
            <w:vAlign w:val="center"/>
          </w:tcPr>
          <w:p w14:paraId="3E62D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住宅租金(元/m</w:t>
            </w:r>
            <w:r>
              <w:rPr>
                <w:rFonts w:hint="default" w:ascii="仿宋_GB2312" w:hAnsi="仿宋_GB2312" w:eastAsia="仿宋_GB2312" w:cs="仿宋_GB2312"/>
                <w:b w:val="0"/>
                <w:bCs w:val="0"/>
                <w:color w:val="000000"/>
                <w:kern w:val="2"/>
                <w:sz w:val="21"/>
                <w:szCs w:val="21"/>
                <w:highlight w:val="none"/>
                <w:vertAlign w:val="superscript"/>
                <w:lang w:val="en-US" w:eastAsia="zh-CN" w:bidi="ar-SA"/>
              </w:rPr>
              <w:t>2</w:t>
            </w:r>
            <w:r>
              <w:rPr>
                <w:rFonts w:hint="default" w:ascii="仿宋_GB2312" w:hAnsi="仿宋_GB2312" w:eastAsia="仿宋_GB2312" w:cs="仿宋_GB2312"/>
                <w:b w:val="0"/>
                <w:bCs w:val="0"/>
                <w:color w:val="000000"/>
                <w:kern w:val="2"/>
                <w:sz w:val="21"/>
                <w:szCs w:val="21"/>
                <w:highlight w:val="none"/>
                <w:lang w:val="en-US" w:eastAsia="zh-CN" w:bidi="ar-SA"/>
              </w:rPr>
              <w:t>·月)</w:t>
            </w:r>
          </w:p>
        </w:tc>
        <w:tc>
          <w:tcPr>
            <w:tcW w:w="1269" w:type="dxa"/>
            <w:noWrap w:val="0"/>
            <w:vAlign w:val="center"/>
          </w:tcPr>
          <w:p w14:paraId="73DA182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待估</w:t>
            </w:r>
          </w:p>
        </w:tc>
        <w:tc>
          <w:tcPr>
            <w:tcW w:w="1401" w:type="dxa"/>
            <w:noWrap w:val="0"/>
            <w:vAlign w:val="center"/>
          </w:tcPr>
          <w:p w14:paraId="7898EA6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13.</w:t>
            </w:r>
            <w:r>
              <w:rPr>
                <w:rFonts w:hint="eastAsia" w:ascii="仿宋_GB2312" w:hAnsi="仿宋_GB2312" w:eastAsia="仿宋_GB2312" w:cs="仿宋_GB2312"/>
                <w:b w:val="0"/>
                <w:bCs w:val="0"/>
                <w:color w:val="000000"/>
                <w:kern w:val="2"/>
                <w:sz w:val="21"/>
                <w:szCs w:val="21"/>
                <w:highlight w:val="none"/>
                <w:lang w:val="en-US" w:eastAsia="zh-CN" w:bidi="ar-SA"/>
              </w:rPr>
              <w:t>57</w:t>
            </w:r>
          </w:p>
        </w:tc>
        <w:tc>
          <w:tcPr>
            <w:tcW w:w="1401" w:type="dxa"/>
            <w:noWrap w:val="0"/>
            <w:vAlign w:val="center"/>
          </w:tcPr>
          <w:p w14:paraId="7F66CD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13.</w:t>
            </w:r>
            <w:r>
              <w:rPr>
                <w:rFonts w:hint="eastAsia" w:ascii="仿宋_GB2312" w:hAnsi="仿宋_GB2312" w:eastAsia="仿宋_GB2312" w:cs="仿宋_GB2312"/>
                <w:b w:val="0"/>
                <w:bCs w:val="0"/>
                <w:color w:val="000000"/>
                <w:kern w:val="2"/>
                <w:sz w:val="21"/>
                <w:szCs w:val="21"/>
                <w:highlight w:val="none"/>
                <w:lang w:val="en-US" w:eastAsia="zh-CN" w:bidi="ar-SA"/>
              </w:rPr>
              <w:t>8</w:t>
            </w:r>
          </w:p>
        </w:tc>
        <w:tc>
          <w:tcPr>
            <w:tcW w:w="1404" w:type="dxa"/>
            <w:noWrap w:val="0"/>
            <w:vAlign w:val="center"/>
          </w:tcPr>
          <w:p w14:paraId="460F14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13.6</w:t>
            </w:r>
          </w:p>
        </w:tc>
      </w:tr>
      <w:tr w14:paraId="131FF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2939" w:type="dxa"/>
            <w:gridSpan w:val="2"/>
            <w:noWrap w:val="0"/>
            <w:vAlign w:val="center"/>
          </w:tcPr>
          <w:p w14:paraId="162500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商服租金（</w:t>
            </w:r>
            <w:r>
              <w:rPr>
                <w:rFonts w:hint="default" w:ascii="仿宋_GB2312" w:hAnsi="仿宋_GB2312" w:eastAsia="仿宋_GB2312" w:cs="仿宋_GB2312"/>
                <w:b w:val="0"/>
                <w:bCs w:val="0"/>
                <w:color w:val="000000"/>
                <w:kern w:val="2"/>
                <w:sz w:val="21"/>
                <w:szCs w:val="21"/>
                <w:highlight w:val="none"/>
                <w:lang w:val="en-US" w:eastAsia="zh-CN" w:bidi="ar-SA"/>
              </w:rPr>
              <w:t>元/m</w:t>
            </w:r>
            <w:r>
              <w:rPr>
                <w:rFonts w:hint="default" w:ascii="仿宋_GB2312" w:hAnsi="仿宋_GB2312" w:eastAsia="仿宋_GB2312" w:cs="仿宋_GB2312"/>
                <w:b w:val="0"/>
                <w:bCs w:val="0"/>
                <w:color w:val="000000"/>
                <w:kern w:val="2"/>
                <w:sz w:val="21"/>
                <w:szCs w:val="21"/>
                <w:highlight w:val="none"/>
                <w:vertAlign w:val="superscript"/>
                <w:lang w:val="en-US" w:eastAsia="zh-CN" w:bidi="ar-SA"/>
              </w:rPr>
              <w:t>2</w:t>
            </w:r>
            <w:r>
              <w:rPr>
                <w:rFonts w:hint="default" w:ascii="仿宋_GB2312" w:hAnsi="仿宋_GB2312" w:eastAsia="仿宋_GB2312" w:cs="仿宋_GB2312"/>
                <w:b w:val="0"/>
                <w:bCs w:val="0"/>
                <w:color w:val="000000"/>
                <w:kern w:val="2"/>
                <w:sz w:val="21"/>
                <w:szCs w:val="21"/>
                <w:highlight w:val="none"/>
                <w:lang w:val="en-US" w:eastAsia="zh-CN" w:bidi="ar-SA"/>
              </w:rPr>
              <w:t>·月</w:t>
            </w:r>
            <w:r>
              <w:rPr>
                <w:rFonts w:hint="eastAsia" w:ascii="仿宋_GB2312" w:hAnsi="仿宋_GB2312" w:eastAsia="仿宋_GB2312" w:cs="仿宋_GB2312"/>
                <w:b w:val="0"/>
                <w:bCs w:val="0"/>
                <w:color w:val="000000"/>
                <w:kern w:val="2"/>
                <w:sz w:val="21"/>
                <w:szCs w:val="21"/>
                <w:highlight w:val="none"/>
                <w:lang w:val="en-US" w:eastAsia="zh-CN" w:bidi="ar-SA"/>
              </w:rPr>
              <w:t>）</w:t>
            </w:r>
          </w:p>
        </w:tc>
        <w:tc>
          <w:tcPr>
            <w:tcW w:w="1269" w:type="dxa"/>
            <w:noWrap w:val="0"/>
            <w:vAlign w:val="center"/>
          </w:tcPr>
          <w:p w14:paraId="680ACFD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待估</w:t>
            </w:r>
          </w:p>
        </w:tc>
        <w:tc>
          <w:tcPr>
            <w:tcW w:w="1401" w:type="dxa"/>
            <w:noWrap w:val="0"/>
            <w:vAlign w:val="center"/>
          </w:tcPr>
          <w:p w14:paraId="79DEE34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25.5</w:t>
            </w:r>
          </w:p>
        </w:tc>
        <w:tc>
          <w:tcPr>
            <w:tcW w:w="1401" w:type="dxa"/>
            <w:noWrap w:val="0"/>
            <w:vAlign w:val="center"/>
          </w:tcPr>
          <w:p w14:paraId="64F47D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25.1</w:t>
            </w:r>
          </w:p>
        </w:tc>
        <w:tc>
          <w:tcPr>
            <w:tcW w:w="1404" w:type="dxa"/>
            <w:noWrap w:val="0"/>
            <w:vAlign w:val="center"/>
          </w:tcPr>
          <w:p w14:paraId="6BD69B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25.2</w:t>
            </w:r>
          </w:p>
        </w:tc>
      </w:tr>
      <w:tr w14:paraId="43F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5A96202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用途</w:t>
            </w:r>
          </w:p>
        </w:tc>
        <w:tc>
          <w:tcPr>
            <w:tcW w:w="754" w:type="pct"/>
            <w:noWrap w:val="0"/>
            <w:vAlign w:val="center"/>
          </w:tcPr>
          <w:p w14:paraId="529621B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26F163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23D3D03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4" w:type="pct"/>
            <w:noWrap w:val="0"/>
            <w:vAlign w:val="center"/>
          </w:tcPr>
          <w:p w14:paraId="1FD0F3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170F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063DA5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交易时间</w:t>
            </w:r>
          </w:p>
        </w:tc>
        <w:tc>
          <w:tcPr>
            <w:tcW w:w="754" w:type="pct"/>
            <w:noWrap w:val="0"/>
            <w:vAlign w:val="center"/>
          </w:tcPr>
          <w:p w14:paraId="43C002E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010E4F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32C061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4" w:type="pct"/>
            <w:noWrap w:val="0"/>
            <w:vAlign w:val="center"/>
          </w:tcPr>
          <w:p w14:paraId="1F9DE0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216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7FF224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交易情况</w:t>
            </w:r>
          </w:p>
        </w:tc>
        <w:tc>
          <w:tcPr>
            <w:tcW w:w="754" w:type="pct"/>
            <w:noWrap w:val="0"/>
            <w:vAlign w:val="center"/>
          </w:tcPr>
          <w:p w14:paraId="2927B2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3D3F46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14610E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4" w:type="pct"/>
            <w:noWrap w:val="0"/>
            <w:vAlign w:val="center"/>
          </w:tcPr>
          <w:p w14:paraId="044F166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20A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3561CC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区域因素</w:t>
            </w:r>
          </w:p>
        </w:tc>
        <w:tc>
          <w:tcPr>
            <w:tcW w:w="1043" w:type="pct"/>
            <w:noWrap w:val="0"/>
            <w:vAlign w:val="center"/>
          </w:tcPr>
          <w:p w14:paraId="5F802EF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商服繁华度</w:t>
            </w:r>
          </w:p>
        </w:tc>
        <w:tc>
          <w:tcPr>
            <w:tcW w:w="754" w:type="pct"/>
            <w:noWrap w:val="0"/>
            <w:vAlign w:val="center"/>
          </w:tcPr>
          <w:p w14:paraId="381E67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723FFD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sz w:val="21"/>
                <w:szCs w:val="21"/>
                <w:highlight w:val="none"/>
                <w:lang w:val="en-US" w:eastAsia="zh-CN"/>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209CE4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4" w:type="dxa"/>
            <w:noWrap w:val="0"/>
            <w:vAlign w:val="center"/>
          </w:tcPr>
          <w:p w14:paraId="295CF4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0DDC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F70F1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6D675B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交通便捷度</w:t>
            </w:r>
          </w:p>
        </w:tc>
        <w:tc>
          <w:tcPr>
            <w:tcW w:w="754" w:type="pct"/>
            <w:noWrap w:val="0"/>
            <w:vAlign w:val="center"/>
          </w:tcPr>
          <w:p w14:paraId="3F288A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6C75EE2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w:t>
            </w:r>
            <w:r>
              <w:rPr>
                <w:rFonts w:hint="eastAsia" w:ascii="仿宋_GB2312" w:hAnsi="仿宋_GB2312" w:eastAsia="仿宋_GB2312" w:cs="仿宋_GB2312"/>
                <w:b w:val="0"/>
                <w:bCs w:val="0"/>
                <w:color w:val="000000"/>
                <w:kern w:val="2"/>
                <w:sz w:val="21"/>
                <w:szCs w:val="21"/>
                <w:highlight w:val="none"/>
                <w:lang w:val="en-US" w:eastAsia="zh-CN" w:bidi="ar-SA"/>
              </w:rPr>
              <w:t>0</w:t>
            </w:r>
          </w:p>
        </w:tc>
        <w:tc>
          <w:tcPr>
            <w:tcW w:w="1401" w:type="dxa"/>
            <w:noWrap w:val="0"/>
            <w:vAlign w:val="center"/>
          </w:tcPr>
          <w:p w14:paraId="2BF961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w:t>
            </w:r>
            <w:r>
              <w:rPr>
                <w:rFonts w:hint="eastAsia" w:ascii="仿宋_GB2312" w:hAnsi="仿宋_GB2312" w:eastAsia="仿宋_GB2312" w:cs="仿宋_GB2312"/>
                <w:b w:val="0"/>
                <w:bCs w:val="0"/>
                <w:color w:val="000000"/>
                <w:kern w:val="2"/>
                <w:sz w:val="21"/>
                <w:szCs w:val="21"/>
                <w:highlight w:val="none"/>
                <w:lang w:val="en-US" w:eastAsia="zh-CN" w:bidi="ar-SA"/>
              </w:rPr>
              <w:t>0</w:t>
            </w:r>
          </w:p>
        </w:tc>
        <w:tc>
          <w:tcPr>
            <w:tcW w:w="1404" w:type="dxa"/>
            <w:noWrap w:val="0"/>
            <w:vAlign w:val="center"/>
          </w:tcPr>
          <w:p w14:paraId="4762DE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w:t>
            </w:r>
            <w:r>
              <w:rPr>
                <w:rFonts w:hint="eastAsia" w:ascii="仿宋_GB2312" w:hAnsi="仿宋_GB2312" w:eastAsia="仿宋_GB2312" w:cs="仿宋_GB2312"/>
                <w:b w:val="0"/>
                <w:bCs w:val="0"/>
                <w:color w:val="000000"/>
                <w:kern w:val="2"/>
                <w:sz w:val="21"/>
                <w:szCs w:val="21"/>
                <w:highlight w:val="none"/>
                <w:lang w:val="en-US" w:eastAsia="zh-CN" w:bidi="ar-SA"/>
              </w:rPr>
              <w:t>0</w:t>
            </w:r>
          </w:p>
        </w:tc>
      </w:tr>
      <w:tr w14:paraId="602E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69E074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7293CB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道路</w:t>
            </w:r>
            <w:r>
              <w:rPr>
                <w:rFonts w:hint="eastAsia" w:ascii="仿宋_GB2312" w:hAnsi="仿宋_GB2312" w:eastAsia="仿宋_GB2312" w:cs="仿宋_GB2312"/>
                <w:b w:val="0"/>
                <w:bCs w:val="0"/>
                <w:color w:val="000000"/>
                <w:kern w:val="2"/>
                <w:sz w:val="21"/>
                <w:szCs w:val="21"/>
                <w:highlight w:val="none"/>
                <w:lang w:val="en-US" w:eastAsia="zh-CN" w:bidi="ar-SA"/>
              </w:rPr>
              <w:t>通达</w:t>
            </w:r>
            <w:r>
              <w:rPr>
                <w:rFonts w:hint="default" w:ascii="仿宋_GB2312" w:hAnsi="仿宋_GB2312" w:eastAsia="仿宋_GB2312" w:cs="仿宋_GB2312"/>
                <w:b w:val="0"/>
                <w:bCs w:val="0"/>
                <w:color w:val="000000"/>
                <w:kern w:val="2"/>
                <w:sz w:val="21"/>
                <w:szCs w:val="21"/>
                <w:highlight w:val="none"/>
                <w:lang w:val="en-US" w:eastAsia="zh-CN" w:bidi="ar-SA"/>
              </w:rPr>
              <w:t>度</w:t>
            </w:r>
          </w:p>
        </w:tc>
        <w:tc>
          <w:tcPr>
            <w:tcW w:w="754" w:type="pct"/>
            <w:noWrap w:val="0"/>
            <w:vAlign w:val="center"/>
          </w:tcPr>
          <w:p w14:paraId="68C2D12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1B3E31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09F655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4" w:type="pct"/>
            <w:noWrap w:val="0"/>
            <w:vAlign w:val="center"/>
          </w:tcPr>
          <w:p w14:paraId="37C6EC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0555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5ED0F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3FDF9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水电综合保证率</w:t>
            </w:r>
          </w:p>
        </w:tc>
        <w:tc>
          <w:tcPr>
            <w:tcW w:w="754" w:type="pct"/>
            <w:noWrap w:val="0"/>
            <w:vAlign w:val="center"/>
          </w:tcPr>
          <w:p w14:paraId="56C364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43D4B3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61EBAF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4" w:type="pct"/>
            <w:noWrap w:val="0"/>
            <w:vAlign w:val="center"/>
          </w:tcPr>
          <w:p w14:paraId="3FF8A9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34FB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31DC8F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31C12E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环境质量</w:t>
            </w:r>
          </w:p>
        </w:tc>
        <w:tc>
          <w:tcPr>
            <w:tcW w:w="754" w:type="pct"/>
            <w:noWrap w:val="0"/>
            <w:vAlign w:val="center"/>
          </w:tcPr>
          <w:p w14:paraId="7F2812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7FCE05A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529B73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4" w:type="pct"/>
            <w:noWrap w:val="0"/>
            <w:vAlign w:val="center"/>
          </w:tcPr>
          <w:p w14:paraId="2E73714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3711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702" w:type="pct"/>
            <w:vMerge w:val="continue"/>
            <w:noWrap w:val="0"/>
            <w:vAlign w:val="center"/>
          </w:tcPr>
          <w:p w14:paraId="01DBB4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485D0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区域公共设施状况</w:t>
            </w:r>
          </w:p>
        </w:tc>
        <w:tc>
          <w:tcPr>
            <w:tcW w:w="754" w:type="pct"/>
            <w:noWrap w:val="0"/>
            <w:vAlign w:val="center"/>
          </w:tcPr>
          <w:p w14:paraId="11CDEB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7CB494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w:t>
            </w:r>
            <w:r>
              <w:rPr>
                <w:rFonts w:hint="eastAsia" w:ascii="仿宋_GB2312" w:hAnsi="仿宋_GB2312" w:eastAsia="仿宋_GB2312" w:cs="仿宋_GB2312"/>
                <w:b w:val="0"/>
                <w:bCs w:val="0"/>
                <w:color w:val="000000"/>
                <w:kern w:val="2"/>
                <w:sz w:val="21"/>
                <w:szCs w:val="21"/>
                <w:highlight w:val="none"/>
                <w:lang w:val="en-US" w:eastAsia="zh-CN" w:bidi="ar-SA"/>
              </w:rPr>
              <w:t>0</w:t>
            </w:r>
          </w:p>
        </w:tc>
        <w:tc>
          <w:tcPr>
            <w:tcW w:w="832" w:type="pct"/>
            <w:noWrap w:val="0"/>
            <w:vAlign w:val="center"/>
          </w:tcPr>
          <w:p w14:paraId="01C7EC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w:t>
            </w:r>
            <w:r>
              <w:rPr>
                <w:rFonts w:hint="eastAsia" w:ascii="仿宋_GB2312" w:hAnsi="仿宋_GB2312" w:eastAsia="仿宋_GB2312" w:cs="仿宋_GB2312"/>
                <w:b w:val="0"/>
                <w:bCs w:val="0"/>
                <w:color w:val="000000"/>
                <w:kern w:val="2"/>
                <w:sz w:val="21"/>
                <w:szCs w:val="21"/>
                <w:highlight w:val="none"/>
                <w:lang w:val="en-US" w:eastAsia="zh-CN" w:bidi="ar-SA"/>
              </w:rPr>
              <w:t>0</w:t>
            </w:r>
          </w:p>
        </w:tc>
        <w:tc>
          <w:tcPr>
            <w:tcW w:w="834" w:type="pct"/>
            <w:noWrap w:val="0"/>
            <w:vAlign w:val="center"/>
          </w:tcPr>
          <w:p w14:paraId="391484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w:t>
            </w:r>
            <w:r>
              <w:rPr>
                <w:rFonts w:hint="eastAsia" w:ascii="仿宋_GB2312" w:hAnsi="仿宋_GB2312" w:eastAsia="仿宋_GB2312" w:cs="仿宋_GB2312"/>
                <w:b w:val="0"/>
                <w:bCs w:val="0"/>
                <w:color w:val="000000"/>
                <w:kern w:val="2"/>
                <w:sz w:val="21"/>
                <w:szCs w:val="21"/>
                <w:highlight w:val="none"/>
                <w:lang w:val="en-US" w:eastAsia="zh-CN" w:bidi="ar-SA"/>
              </w:rPr>
              <w:t>0</w:t>
            </w:r>
          </w:p>
        </w:tc>
      </w:tr>
      <w:tr w14:paraId="702A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1E1A38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个别因素</w:t>
            </w:r>
          </w:p>
        </w:tc>
        <w:tc>
          <w:tcPr>
            <w:tcW w:w="1043" w:type="pct"/>
            <w:noWrap w:val="0"/>
            <w:vAlign w:val="center"/>
          </w:tcPr>
          <w:p w14:paraId="2635D1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所临道路类型</w:t>
            </w:r>
          </w:p>
        </w:tc>
        <w:tc>
          <w:tcPr>
            <w:tcW w:w="754" w:type="pct"/>
            <w:noWrap w:val="0"/>
            <w:vAlign w:val="center"/>
          </w:tcPr>
          <w:p w14:paraId="213CD5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15C51D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102</w:t>
            </w:r>
          </w:p>
        </w:tc>
        <w:tc>
          <w:tcPr>
            <w:tcW w:w="1401" w:type="dxa"/>
            <w:noWrap w:val="0"/>
            <w:vAlign w:val="center"/>
          </w:tcPr>
          <w:p w14:paraId="2DE651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102</w:t>
            </w:r>
          </w:p>
        </w:tc>
        <w:tc>
          <w:tcPr>
            <w:tcW w:w="1404" w:type="dxa"/>
            <w:noWrap w:val="0"/>
            <w:vAlign w:val="center"/>
          </w:tcPr>
          <w:p w14:paraId="6C880E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102</w:t>
            </w:r>
          </w:p>
        </w:tc>
      </w:tr>
      <w:tr w14:paraId="61EF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7D418F3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7C87F36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通风采光</w:t>
            </w:r>
          </w:p>
        </w:tc>
        <w:tc>
          <w:tcPr>
            <w:tcW w:w="754" w:type="pct"/>
            <w:noWrap w:val="0"/>
            <w:vAlign w:val="center"/>
          </w:tcPr>
          <w:p w14:paraId="3C61639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6A644B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260B196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w:t>
            </w:r>
          </w:p>
        </w:tc>
        <w:tc>
          <w:tcPr>
            <w:tcW w:w="834" w:type="pct"/>
            <w:noWrap w:val="0"/>
            <w:vAlign w:val="center"/>
          </w:tcPr>
          <w:p w14:paraId="1EAB83C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w:t>
            </w:r>
          </w:p>
        </w:tc>
      </w:tr>
      <w:tr w14:paraId="6425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024750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0CF1E4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房屋成新度</w:t>
            </w:r>
          </w:p>
        </w:tc>
        <w:tc>
          <w:tcPr>
            <w:tcW w:w="754" w:type="pct"/>
            <w:noWrap w:val="0"/>
            <w:vAlign w:val="center"/>
          </w:tcPr>
          <w:p w14:paraId="6E41A2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2B319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w:t>
            </w:r>
          </w:p>
        </w:tc>
        <w:tc>
          <w:tcPr>
            <w:tcW w:w="1401" w:type="dxa"/>
            <w:noWrap w:val="0"/>
            <w:vAlign w:val="center"/>
          </w:tcPr>
          <w:p w14:paraId="5371F53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w:t>
            </w:r>
          </w:p>
        </w:tc>
        <w:tc>
          <w:tcPr>
            <w:tcW w:w="1404" w:type="dxa"/>
            <w:noWrap w:val="0"/>
            <w:vAlign w:val="center"/>
          </w:tcPr>
          <w:p w14:paraId="49C08B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w:t>
            </w:r>
          </w:p>
        </w:tc>
      </w:tr>
      <w:tr w14:paraId="33EF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10CBF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504B5AE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建筑物结构</w:t>
            </w:r>
          </w:p>
        </w:tc>
        <w:tc>
          <w:tcPr>
            <w:tcW w:w="754" w:type="pct"/>
            <w:noWrap w:val="0"/>
            <w:vAlign w:val="center"/>
          </w:tcPr>
          <w:p w14:paraId="57EBB3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49EC98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7C7D18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4" w:type="pct"/>
            <w:noWrap w:val="0"/>
            <w:vAlign w:val="center"/>
          </w:tcPr>
          <w:p w14:paraId="469ECD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61A0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25" w:hRule="atLeast"/>
        </w:trPr>
        <w:tc>
          <w:tcPr>
            <w:tcW w:w="702" w:type="pct"/>
            <w:vMerge w:val="continue"/>
            <w:noWrap w:val="0"/>
            <w:vAlign w:val="center"/>
          </w:tcPr>
          <w:p w14:paraId="20615D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3C3F3C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建筑物内部格局</w:t>
            </w:r>
          </w:p>
        </w:tc>
        <w:tc>
          <w:tcPr>
            <w:tcW w:w="754" w:type="pct"/>
            <w:noWrap w:val="0"/>
            <w:vAlign w:val="center"/>
          </w:tcPr>
          <w:p w14:paraId="3CE4CB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159EE8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728E59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4" w:type="pct"/>
            <w:noWrap w:val="0"/>
            <w:vAlign w:val="center"/>
          </w:tcPr>
          <w:p w14:paraId="4DBE9F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2774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8194A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572C63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装修档次</w:t>
            </w:r>
          </w:p>
        </w:tc>
        <w:tc>
          <w:tcPr>
            <w:tcW w:w="754" w:type="pct"/>
            <w:noWrap w:val="0"/>
            <w:vAlign w:val="center"/>
          </w:tcPr>
          <w:p w14:paraId="011A3D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153630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4ABE08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4" w:type="pct"/>
            <w:noWrap w:val="0"/>
            <w:vAlign w:val="center"/>
          </w:tcPr>
          <w:p w14:paraId="3FA9487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1748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7D837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7D4D5DB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停车情况</w:t>
            </w:r>
          </w:p>
        </w:tc>
        <w:tc>
          <w:tcPr>
            <w:tcW w:w="754" w:type="pct"/>
            <w:noWrap w:val="0"/>
            <w:vAlign w:val="center"/>
          </w:tcPr>
          <w:p w14:paraId="5092ED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742396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3E79C18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4" w:type="pct"/>
            <w:noWrap w:val="0"/>
            <w:vAlign w:val="center"/>
          </w:tcPr>
          <w:p w14:paraId="166497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r w14:paraId="2A0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0" w:hRule="atLeast"/>
        </w:trPr>
        <w:tc>
          <w:tcPr>
            <w:tcW w:w="702" w:type="pct"/>
            <w:vMerge w:val="continue"/>
            <w:noWrap w:val="0"/>
            <w:vAlign w:val="center"/>
          </w:tcPr>
          <w:p w14:paraId="7CD469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p>
        </w:tc>
        <w:tc>
          <w:tcPr>
            <w:tcW w:w="1043" w:type="pct"/>
            <w:noWrap w:val="0"/>
            <w:vAlign w:val="center"/>
          </w:tcPr>
          <w:p w14:paraId="76FCA4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物业情况</w:t>
            </w:r>
          </w:p>
        </w:tc>
        <w:tc>
          <w:tcPr>
            <w:tcW w:w="754" w:type="pct"/>
            <w:noWrap w:val="0"/>
            <w:vAlign w:val="center"/>
          </w:tcPr>
          <w:p w14:paraId="548CE6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66658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2" w:type="pct"/>
            <w:noWrap w:val="0"/>
            <w:vAlign w:val="center"/>
          </w:tcPr>
          <w:p w14:paraId="087634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c>
          <w:tcPr>
            <w:tcW w:w="834" w:type="pct"/>
            <w:noWrap w:val="0"/>
            <w:vAlign w:val="center"/>
          </w:tcPr>
          <w:p w14:paraId="2ADFD1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100</w:t>
            </w:r>
          </w:p>
        </w:tc>
      </w:tr>
    </w:tbl>
    <w:p w14:paraId="3DA9EA85">
      <w:pPr>
        <w:pStyle w:val="2"/>
        <w:keepNext w:val="0"/>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0" w:firstLineChars="0"/>
        <w:jc w:val="center"/>
        <w:textAlignment w:val="baseline"/>
        <w:rPr>
          <w:rFonts w:hint="eastAsia" w:ascii="仿宋" w:hAnsi="仿宋" w:eastAsia="仿宋" w:cs="仿宋"/>
          <w:sz w:val="28"/>
          <w:highlight w:val="none"/>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17</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比较因素条件修正系数表</w:t>
      </w:r>
      <w:r>
        <w:rPr>
          <w:rFonts w:hint="eastAsia" w:ascii="仿宋_GB2312" w:hAnsi="仿宋_GB2312" w:cs="仿宋_GB2312"/>
          <w:b w:val="0"/>
          <w:bCs/>
          <w:color w:val="auto"/>
          <w:kern w:val="2"/>
          <w:sz w:val="28"/>
          <w:szCs w:val="28"/>
          <w:highlight w:val="none"/>
          <w:lang w:val="en-US" w:eastAsia="zh-CN" w:bidi="ar-SA"/>
        </w:rPr>
        <w:t>（商业）</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59"/>
        <w:gridCol w:w="1805"/>
        <w:gridCol w:w="1515"/>
        <w:gridCol w:w="1651"/>
        <w:gridCol w:w="1668"/>
      </w:tblGrid>
      <w:tr w14:paraId="55B14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77" w:hRule="atLeast"/>
        </w:trPr>
        <w:tc>
          <w:tcPr>
            <w:tcW w:w="3464" w:type="dxa"/>
            <w:gridSpan w:val="2"/>
            <w:tcBorders>
              <w:tl2br w:val="single" w:color="000000" w:sz="4" w:space="0"/>
            </w:tcBorders>
            <w:noWrap w:val="0"/>
            <w:vAlign w:val="center"/>
          </w:tcPr>
          <w:p w14:paraId="53CFB0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估价对象及比较实例</w:t>
            </w:r>
          </w:p>
          <w:p w14:paraId="7C6A624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比较因素</w:t>
            </w:r>
          </w:p>
        </w:tc>
        <w:tc>
          <w:tcPr>
            <w:tcW w:w="1515" w:type="dxa"/>
            <w:noWrap w:val="0"/>
            <w:vAlign w:val="center"/>
          </w:tcPr>
          <w:p w14:paraId="4D85301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案例A</w:t>
            </w:r>
          </w:p>
        </w:tc>
        <w:tc>
          <w:tcPr>
            <w:tcW w:w="1651" w:type="dxa"/>
            <w:noWrap w:val="0"/>
            <w:vAlign w:val="center"/>
          </w:tcPr>
          <w:p w14:paraId="0741B6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案例B</w:t>
            </w:r>
          </w:p>
        </w:tc>
        <w:tc>
          <w:tcPr>
            <w:tcW w:w="1668" w:type="dxa"/>
            <w:noWrap w:val="0"/>
            <w:vAlign w:val="center"/>
          </w:tcPr>
          <w:p w14:paraId="00909A9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案例C</w:t>
            </w:r>
          </w:p>
        </w:tc>
      </w:tr>
      <w:tr w14:paraId="1AE39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5" w:hRule="atLeast"/>
        </w:trPr>
        <w:tc>
          <w:tcPr>
            <w:tcW w:w="3464" w:type="dxa"/>
            <w:gridSpan w:val="2"/>
            <w:noWrap w:val="0"/>
            <w:vAlign w:val="center"/>
          </w:tcPr>
          <w:p w14:paraId="5D11B4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位置</w:t>
            </w:r>
          </w:p>
        </w:tc>
        <w:tc>
          <w:tcPr>
            <w:tcW w:w="1515" w:type="dxa"/>
            <w:noWrap w:val="0"/>
            <w:vAlign w:val="center"/>
          </w:tcPr>
          <w:p w14:paraId="5D8209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欧韩时尚</w:t>
            </w:r>
          </w:p>
        </w:tc>
        <w:tc>
          <w:tcPr>
            <w:tcW w:w="1651" w:type="dxa"/>
            <w:noWrap w:val="0"/>
            <w:vAlign w:val="center"/>
          </w:tcPr>
          <w:p w14:paraId="37EC90D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千鸿鞋业</w:t>
            </w:r>
          </w:p>
        </w:tc>
        <w:tc>
          <w:tcPr>
            <w:tcW w:w="1668" w:type="dxa"/>
            <w:noWrap w:val="0"/>
            <w:vAlign w:val="center"/>
          </w:tcPr>
          <w:p w14:paraId="58B4FA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大东旗舰店</w:t>
            </w:r>
          </w:p>
        </w:tc>
      </w:tr>
      <w:tr w14:paraId="059A8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7" w:hRule="atLeast"/>
        </w:trPr>
        <w:tc>
          <w:tcPr>
            <w:tcW w:w="3464" w:type="dxa"/>
            <w:gridSpan w:val="2"/>
            <w:noWrap w:val="0"/>
            <w:vAlign w:val="center"/>
          </w:tcPr>
          <w:p w14:paraId="5494E51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商服租金（</w:t>
            </w:r>
            <w:r>
              <w:rPr>
                <w:rFonts w:hint="default" w:ascii="仿宋_GB2312" w:hAnsi="仿宋_GB2312" w:eastAsia="仿宋_GB2312" w:cs="仿宋_GB2312"/>
                <w:b w:val="0"/>
                <w:bCs w:val="0"/>
                <w:color w:val="000000"/>
                <w:kern w:val="2"/>
                <w:sz w:val="21"/>
                <w:szCs w:val="21"/>
                <w:highlight w:val="none"/>
                <w:lang w:val="en-US" w:eastAsia="zh-CN" w:bidi="ar-SA"/>
              </w:rPr>
              <w:t>元/m</w:t>
            </w:r>
            <w:r>
              <w:rPr>
                <w:rFonts w:hint="default" w:ascii="仿宋_GB2312" w:hAnsi="仿宋_GB2312" w:eastAsia="仿宋_GB2312" w:cs="仿宋_GB2312"/>
                <w:b w:val="0"/>
                <w:bCs w:val="0"/>
                <w:color w:val="000000"/>
                <w:kern w:val="2"/>
                <w:sz w:val="21"/>
                <w:szCs w:val="21"/>
                <w:highlight w:val="none"/>
                <w:vertAlign w:val="superscript"/>
                <w:lang w:val="en-US" w:eastAsia="zh-CN" w:bidi="ar-SA"/>
              </w:rPr>
              <w:t>2</w:t>
            </w:r>
            <w:r>
              <w:rPr>
                <w:rFonts w:hint="default" w:ascii="仿宋_GB2312" w:hAnsi="仿宋_GB2312" w:eastAsia="仿宋_GB2312" w:cs="仿宋_GB2312"/>
                <w:b w:val="0"/>
                <w:bCs w:val="0"/>
                <w:color w:val="000000"/>
                <w:kern w:val="2"/>
                <w:sz w:val="21"/>
                <w:szCs w:val="21"/>
                <w:highlight w:val="none"/>
                <w:lang w:val="en-US" w:eastAsia="zh-CN" w:bidi="ar-SA"/>
              </w:rPr>
              <w:t>·月</w:t>
            </w:r>
            <w:r>
              <w:rPr>
                <w:rFonts w:hint="eastAsia" w:ascii="仿宋_GB2312" w:hAnsi="仿宋_GB2312" w:eastAsia="仿宋_GB2312" w:cs="仿宋_GB2312"/>
                <w:b w:val="0"/>
                <w:bCs w:val="0"/>
                <w:color w:val="000000"/>
                <w:kern w:val="2"/>
                <w:sz w:val="21"/>
                <w:szCs w:val="21"/>
                <w:highlight w:val="none"/>
                <w:lang w:val="en-US" w:eastAsia="zh-CN" w:bidi="ar-SA"/>
              </w:rPr>
              <w:t>）</w:t>
            </w:r>
          </w:p>
        </w:tc>
        <w:tc>
          <w:tcPr>
            <w:tcW w:w="1515" w:type="dxa"/>
            <w:noWrap w:val="0"/>
            <w:vAlign w:val="center"/>
          </w:tcPr>
          <w:p w14:paraId="62F53DE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25.5</w:t>
            </w:r>
          </w:p>
        </w:tc>
        <w:tc>
          <w:tcPr>
            <w:tcW w:w="1651" w:type="dxa"/>
            <w:noWrap w:val="0"/>
            <w:vAlign w:val="center"/>
          </w:tcPr>
          <w:p w14:paraId="1693B8C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25.1</w:t>
            </w:r>
          </w:p>
        </w:tc>
        <w:tc>
          <w:tcPr>
            <w:tcW w:w="1668" w:type="dxa"/>
            <w:noWrap w:val="0"/>
            <w:vAlign w:val="center"/>
          </w:tcPr>
          <w:p w14:paraId="568F40E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25.2</w:t>
            </w:r>
          </w:p>
        </w:tc>
      </w:tr>
      <w:tr w14:paraId="6C183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7" w:hRule="atLeast"/>
        </w:trPr>
        <w:tc>
          <w:tcPr>
            <w:tcW w:w="3464" w:type="dxa"/>
            <w:gridSpan w:val="2"/>
            <w:noWrap w:val="0"/>
            <w:vAlign w:val="center"/>
          </w:tcPr>
          <w:p w14:paraId="1A964C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1515" w:type="dxa"/>
            <w:noWrap w:val="0"/>
            <w:vAlign w:val="center"/>
          </w:tcPr>
          <w:p w14:paraId="6A6726A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1" w:type="dxa"/>
            <w:noWrap w:val="0"/>
            <w:vAlign w:val="center"/>
          </w:tcPr>
          <w:p w14:paraId="044475D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8" w:type="dxa"/>
            <w:noWrap w:val="0"/>
            <w:vAlign w:val="center"/>
          </w:tcPr>
          <w:p w14:paraId="09A36DE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5565A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7" w:hRule="atLeast"/>
        </w:trPr>
        <w:tc>
          <w:tcPr>
            <w:tcW w:w="3464" w:type="dxa"/>
            <w:gridSpan w:val="2"/>
            <w:noWrap w:val="0"/>
            <w:vAlign w:val="center"/>
          </w:tcPr>
          <w:p w14:paraId="4FBD75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交易时间</w:t>
            </w:r>
          </w:p>
        </w:tc>
        <w:tc>
          <w:tcPr>
            <w:tcW w:w="1515" w:type="dxa"/>
            <w:noWrap w:val="0"/>
            <w:vAlign w:val="center"/>
          </w:tcPr>
          <w:p w14:paraId="06C1A88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1" w:type="dxa"/>
            <w:noWrap w:val="0"/>
            <w:vAlign w:val="center"/>
          </w:tcPr>
          <w:p w14:paraId="620B82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8" w:type="dxa"/>
            <w:noWrap w:val="0"/>
            <w:vAlign w:val="center"/>
          </w:tcPr>
          <w:p w14:paraId="3D2A829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1BAF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7" w:hRule="atLeast"/>
        </w:trPr>
        <w:tc>
          <w:tcPr>
            <w:tcW w:w="3464" w:type="dxa"/>
            <w:gridSpan w:val="2"/>
            <w:noWrap w:val="0"/>
            <w:vAlign w:val="center"/>
          </w:tcPr>
          <w:p w14:paraId="54CBD8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交易情况</w:t>
            </w:r>
          </w:p>
        </w:tc>
        <w:tc>
          <w:tcPr>
            <w:tcW w:w="1515" w:type="dxa"/>
            <w:noWrap w:val="0"/>
            <w:vAlign w:val="center"/>
          </w:tcPr>
          <w:p w14:paraId="5D972AE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1" w:type="dxa"/>
            <w:noWrap w:val="0"/>
            <w:vAlign w:val="center"/>
          </w:tcPr>
          <w:p w14:paraId="2E8A6E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8" w:type="dxa"/>
            <w:noWrap w:val="0"/>
            <w:vAlign w:val="center"/>
          </w:tcPr>
          <w:p w14:paraId="620B67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7AE8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7" w:hRule="atLeast"/>
        </w:trPr>
        <w:tc>
          <w:tcPr>
            <w:tcW w:w="1659" w:type="dxa"/>
            <w:vMerge w:val="restart"/>
            <w:noWrap w:val="0"/>
            <w:vAlign w:val="center"/>
          </w:tcPr>
          <w:p w14:paraId="41CA551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区域因素</w:t>
            </w:r>
          </w:p>
        </w:tc>
        <w:tc>
          <w:tcPr>
            <w:tcW w:w="1805" w:type="dxa"/>
            <w:noWrap w:val="0"/>
            <w:vAlign w:val="center"/>
          </w:tcPr>
          <w:p w14:paraId="41D2123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商服繁华度</w:t>
            </w:r>
          </w:p>
        </w:tc>
        <w:tc>
          <w:tcPr>
            <w:tcW w:w="1515" w:type="dxa"/>
            <w:noWrap w:val="0"/>
            <w:vAlign w:val="center"/>
          </w:tcPr>
          <w:p w14:paraId="0267B4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1" w:type="dxa"/>
            <w:noWrap w:val="0"/>
            <w:vAlign w:val="center"/>
          </w:tcPr>
          <w:p w14:paraId="5AB4BBD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8" w:type="dxa"/>
            <w:noWrap w:val="0"/>
            <w:vAlign w:val="center"/>
          </w:tcPr>
          <w:p w14:paraId="661DD17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2B84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7" w:hRule="atLeast"/>
        </w:trPr>
        <w:tc>
          <w:tcPr>
            <w:tcW w:w="1659" w:type="dxa"/>
            <w:vMerge w:val="continue"/>
            <w:noWrap w:val="0"/>
            <w:vAlign w:val="center"/>
          </w:tcPr>
          <w:p w14:paraId="4D5E595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805" w:type="dxa"/>
            <w:noWrap w:val="0"/>
            <w:vAlign w:val="center"/>
          </w:tcPr>
          <w:p w14:paraId="6B80D2C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公交便捷度</w:t>
            </w:r>
          </w:p>
        </w:tc>
        <w:tc>
          <w:tcPr>
            <w:tcW w:w="1515" w:type="dxa"/>
            <w:noWrap w:val="0"/>
            <w:vAlign w:val="center"/>
          </w:tcPr>
          <w:p w14:paraId="2693906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1" w:type="dxa"/>
            <w:noWrap w:val="0"/>
            <w:vAlign w:val="center"/>
          </w:tcPr>
          <w:p w14:paraId="5337911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8" w:type="dxa"/>
            <w:noWrap w:val="0"/>
            <w:vAlign w:val="center"/>
          </w:tcPr>
          <w:p w14:paraId="768F4A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F359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7" w:hRule="atLeast"/>
        </w:trPr>
        <w:tc>
          <w:tcPr>
            <w:tcW w:w="1659" w:type="dxa"/>
            <w:vMerge w:val="continue"/>
            <w:noWrap w:val="0"/>
            <w:vAlign w:val="center"/>
          </w:tcPr>
          <w:p w14:paraId="18B261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805" w:type="dxa"/>
            <w:noWrap w:val="0"/>
            <w:vAlign w:val="center"/>
          </w:tcPr>
          <w:p w14:paraId="174D00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道路通达度</w:t>
            </w:r>
          </w:p>
        </w:tc>
        <w:tc>
          <w:tcPr>
            <w:tcW w:w="1515" w:type="dxa"/>
            <w:noWrap w:val="0"/>
            <w:vAlign w:val="center"/>
          </w:tcPr>
          <w:p w14:paraId="52C1E7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1" w:type="dxa"/>
            <w:noWrap w:val="0"/>
            <w:vAlign w:val="center"/>
          </w:tcPr>
          <w:p w14:paraId="224C420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8" w:type="dxa"/>
            <w:noWrap w:val="0"/>
            <w:vAlign w:val="center"/>
          </w:tcPr>
          <w:p w14:paraId="473413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D128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7" w:hRule="atLeast"/>
        </w:trPr>
        <w:tc>
          <w:tcPr>
            <w:tcW w:w="1659" w:type="dxa"/>
            <w:vMerge w:val="continue"/>
            <w:noWrap w:val="0"/>
            <w:vAlign w:val="center"/>
          </w:tcPr>
          <w:p w14:paraId="6B70D0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805" w:type="dxa"/>
            <w:noWrap w:val="0"/>
            <w:vAlign w:val="center"/>
          </w:tcPr>
          <w:p w14:paraId="2AE8288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水电综合保证率</w:t>
            </w:r>
          </w:p>
        </w:tc>
        <w:tc>
          <w:tcPr>
            <w:tcW w:w="1515" w:type="dxa"/>
            <w:noWrap w:val="0"/>
            <w:vAlign w:val="center"/>
          </w:tcPr>
          <w:p w14:paraId="38F361B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1" w:type="dxa"/>
            <w:noWrap w:val="0"/>
            <w:vAlign w:val="center"/>
          </w:tcPr>
          <w:p w14:paraId="5CA9647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8" w:type="dxa"/>
            <w:noWrap w:val="0"/>
            <w:vAlign w:val="center"/>
          </w:tcPr>
          <w:p w14:paraId="2DA5050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A2AF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7" w:hRule="atLeast"/>
        </w:trPr>
        <w:tc>
          <w:tcPr>
            <w:tcW w:w="1659" w:type="dxa"/>
            <w:vMerge w:val="continue"/>
            <w:noWrap w:val="0"/>
            <w:vAlign w:val="center"/>
          </w:tcPr>
          <w:p w14:paraId="303C5D9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805" w:type="dxa"/>
            <w:noWrap w:val="0"/>
            <w:vAlign w:val="center"/>
          </w:tcPr>
          <w:p w14:paraId="63545E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环境质量</w:t>
            </w:r>
          </w:p>
        </w:tc>
        <w:tc>
          <w:tcPr>
            <w:tcW w:w="1515" w:type="dxa"/>
            <w:noWrap w:val="0"/>
            <w:vAlign w:val="center"/>
          </w:tcPr>
          <w:p w14:paraId="0463AD7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1" w:type="dxa"/>
            <w:noWrap w:val="0"/>
            <w:vAlign w:val="center"/>
          </w:tcPr>
          <w:p w14:paraId="5EFC5C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8" w:type="dxa"/>
            <w:noWrap w:val="0"/>
            <w:vAlign w:val="center"/>
          </w:tcPr>
          <w:p w14:paraId="599D487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1D63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5" w:hRule="atLeast"/>
        </w:trPr>
        <w:tc>
          <w:tcPr>
            <w:tcW w:w="1659" w:type="dxa"/>
            <w:vMerge w:val="continue"/>
            <w:noWrap w:val="0"/>
            <w:vAlign w:val="center"/>
          </w:tcPr>
          <w:p w14:paraId="2F9FB6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805" w:type="dxa"/>
            <w:noWrap w:val="0"/>
            <w:vAlign w:val="center"/>
          </w:tcPr>
          <w:p w14:paraId="6C247B0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区域公共设施状况</w:t>
            </w:r>
          </w:p>
        </w:tc>
        <w:tc>
          <w:tcPr>
            <w:tcW w:w="1515" w:type="dxa"/>
            <w:noWrap w:val="0"/>
            <w:vAlign w:val="center"/>
          </w:tcPr>
          <w:p w14:paraId="10CFAB9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1" w:type="dxa"/>
            <w:noWrap w:val="0"/>
            <w:vAlign w:val="center"/>
          </w:tcPr>
          <w:p w14:paraId="1ED2A9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8" w:type="dxa"/>
            <w:noWrap w:val="0"/>
            <w:vAlign w:val="center"/>
          </w:tcPr>
          <w:p w14:paraId="5156D75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A40C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7" w:hRule="atLeast"/>
        </w:trPr>
        <w:tc>
          <w:tcPr>
            <w:tcW w:w="1659" w:type="dxa"/>
            <w:vMerge w:val="restart"/>
            <w:noWrap w:val="0"/>
            <w:vAlign w:val="center"/>
          </w:tcPr>
          <w:p w14:paraId="6624D7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个别因素</w:t>
            </w:r>
          </w:p>
        </w:tc>
        <w:tc>
          <w:tcPr>
            <w:tcW w:w="1805" w:type="dxa"/>
            <w:noWrap w:val="0"/>
            <w:vAlign w:val="center"/>
          </w:tcPr>
          <w:p w14:paraId="6E313A9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所临道路类型</w:t>
            </w:r>
          </w:p>
        </w:tc>
        <w:tc>
          <w:tcPr>
            <w:tcW w:w="1515" w:type="dxa"/>
            <w:noWrap w:val="0"/>
            <w:vAlign w:val="center"/>
          </w:tcPr>
          <w:p w14:paraId="1790DA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1" w:type="dxa"/>
            <w:noWrap w:val="0"/>
            <w:vAlign w:val="center"/>
          </w:tcPr>
          <w:p w14:paraId="073879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8" w:type="dxa"/>
            <w:noWrap w:val="0"/>
            <w:vAlign w:val="center"/>
          </w:tcPr>
          <w:p w14:paraId="064A25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243DD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7" w:hRule="atLeast"/>
        </w:trPr>
        <w:tc>
          <w:tcPr>
            <w:tcW w:w="1659" w:type="dxa"/>
            <w:vMerge w:val="continue"/>
            <w:noWrap w:val="0"/>
            <w:vAlign w:val="center"/>
          </w:tcPr>
          <w:p w14:paraId="167EDE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805" w:type="dxa"/>
            <w:noWrap w:val="0"/>
            <w:vAlign w:val="center"/>
          </w:tcPr>
          <w:p w14:paraId="70DF0A6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通风采光</w:t>
            </w:r>
          </w:p>
        </w:tc>
        <w:tc>
          <w:tcPr>
            <w:tcW w:w="1515" w:type="dxa"/>
            <w:noWrap w:val="0"/>
            <w:vAlign w:val="center"/>
          </w:tcPr>
          <w:p w14:paraId="4A63ADF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1" w:type="dxa"/>
            <w:noWrap w:val="0"/>
            <w:vAlign w:val="center"/>
          </w:tcPr>
          <w:p w14:paraId="14C356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8" w:type="dxa"/>
            <w:noWrap w:val="0"/>
            <w:vAlign w:val="center"/>
          </w:tcPr>
          <w:p w14:paraId="51B693C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5D75A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7" w:hRule="atLeast"/>
        </w:trPr>
        <w:tc>
          <w:tcPr>
            <w:tcW w:w="1659" w:type="dxa"/>
            <w:vMerge w:val="continue"/>
            <w:noWrap w:val="0"/>
            <w:vAlign w:val="center"/>
          </w:tcPr>
          <w:p w14:paraId="7ECBDFA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805" w:type="dxa"/>
            <w:noWrap w:val="0"/>
            <w:vAlign w:val="center"/>
          </w:tcPr>
          <w:p w14:paraId="1ED4BA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房屋成新度</w:t>
            </w:r>
          </w:p>
        </w:tc>
        <w:tc>
          <w:tcPr>
            <w:tcW w:w="1515" w:type="dxa"/>
            <w:noWrap w:val="0"/>
            <w:vAlign w:val="center"/>
          </w:tcPr>
          <w:p w14:paraId="2417621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1" w:type="dxa"/>
            <w:noWrap w:val="0"/>
            <w:vAlign w:val="center"/>
          </w:tcPr>
          <w:p w14:paraId="6DDBB62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8" w:type="dxa"/>
            <w:noWrap w:val="0"/>
            <w:vAlign w:val="center"/>
          </w:tcPr>
          <w:p w14:paraId="360B2E0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531B3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7" w:hRule="atLeast"/>
        </w:trPr>
        <w:tc>
          <w:tcPr>
            <w:tcW w:w="1659" w:type="dxa"/>
            <w:vMerge w:val="continue"/>
            <w:noWrap w:val="0"/>
            <w:vAlign w:val="center"/>
          </w:tcPr>
          <w:p w14:paraId="0CBA28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805" w:type="dxa"/>
            <w:noWrap w:val="0"/>
            <w:vAlign w:val="center"/>
          </w:tcPr>
          <w:p w14:paraId="0287C5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建筑物结构</w:t>
            </w:r>
          </w:p>
        </w:tc>
        <w:tc>
          <w:tcPr>
            <w:tcW w:w="1515" w:type="dxa"/>
            <w:noWrap w:val="0"/>
            <w:vAlign w:val="center"/>
          </w:tcPr>
          <w:p w14:paraId="0D1EE7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1" w:type="dxa"/>
            <w:noWrap w:val="0"/>
            <w:vAlign w:val="center"/>
          </w:tcPr>
          <w:p w14:paraId="1A2DC71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8" w:type="dxa"/>
            <w:noWrap w:val="0"/>
            <w:vAlign w:val="center"/>
          </w:tcPr>
          <w:p w14:paraId="024C0BA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85D9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7" w:hRule="atLeast"/>
        </w:trPr>
        <w:tc>
          <w:tcPr>
            <w:tcW w:w="1659" w:type="dxa"/>
            <w:vMerge w:val="continue"/>
            <w:noWrap w:val="0"/>
            <w:vAlign w:val="center"/>
          </w:tcPr>
          <w:p w14:paraId="5AB1B41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805" w:type="dxa"/>
            <w:noWrap w:val="0"/>
            <w:vAlign w:val="center"/>
          </w:tcPr>
          <w:p w14:paraId="4D026DD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建筑物内部格局</w:t>
            </w:r>
          </w:p>
        </w:tc>
        <w:tc>
          <w:tcPr>
            <w:tcW w:w="1515" w:type="dxa"/>
            <w:noWrap w:val="0"/>
            <w:vAlign w:val="center"/>
          </w:tcPr>
          <w:p w14:paraId="1860F5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1" w:type="dxa"/>
            <w:noWrap w:val="0"/>
            <w:vAlign w:val="center"/>
          </w:tcPr>
          <w:p w14:paraId="7868E3E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8" w:type="dxa"/>
            <w:noWrap w:val="0"/>
            <w:vAlign w:val="center"/>
          </w:tcPr>
          <w:p w14:paraId="57A7F6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54EF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7" w:hRule="atLeast"/>
        </w:trPr>
        <w:tc>
          <w:tcPr>
            <w:tcW w:w="1659" w:type="dxa"/>
            <w:vMerge w:val="continue"/>
            <w:noWrap w:val="0"/>
            <w:vAlign w:val="center"/>
          </w:tcPr>
          <w:p w14:paraId="532F68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805" w:type="dxa"/>
            <w:noWrap w:val="0"/>
            <w:vAlign w:val="center"/>
          </w:tcPr>
          <w:p w14:paraId="2A0E5D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装修档次</w:t>
            </w:r>
          </w:p>
        </w:tc>
        <w:tc>
          <w:tcPr>
            <w:tcW w:w="1515" w:type="dxa"/>
            <w:noWrap w:val="0"/>
            <w:vAlign w:val="center"/>
          </w:tcPr>
          <w:p w14:paraId="25C6521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1" w:type="dxa"/>
            <w:noWrap w:val="0"/>
            <w:vAlign w:val="center"/>
          </w:tcPr>
          <w:p w14:paraId="389E29F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8" w:type="dxa"/>
            <w:noWrap w:val="0"/>
            <w:vAlign w:val="center"/>
          </w:tcPr>
          <w:p w14:paraId="738E225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AED4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7" w:hRule="atLeast"/>
        </w:trPr>
        <w:tc>
          <w:tcPr>
            <w:tcW w:w="1659" w:type="dxa"/>
            <w:vMerge w:val="continue"/>
            <w:noWrap w:val="0"/>
            <w:vAlign w:val="center"/>
          </w:tcPr>
          <w:p w14:paraId="086FA1A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805" w:type="dxa"/>
            <w:noWrap w:val="0"/>
            <w:vAlign w:val="center"/>
          </w:tcPr>
          <w:p w14:paraId="17E3ED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停车情况</w:t>
            </w:r>
          </w:p>
        </w:tc>
        <w:tc>
          <w:tcPr>
            <w:tcW w:w="1515" w:type="dxa"/>
            <w:noWrap w:val="0"/>
            <w:vAlign w:val="center"/>
          </w:tcPr>
          <w:p w14:paraId="3B4B635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1" w:type="dxa"/>
            <w:noWrap w:val="0"/>
            <w:vAlign w:val="center"/>
          </w:tcPr>
          <w:p w14:paraId="0DE8895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8" w:type="dxa"/>
            <w:noWrap w:val="0"/>
            <w:vAlign w:val="center"/>
          </w:tcPr>
          <w:p w14:paraId="7786D6C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D0D3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7" w:hRule="atLeast"/>
        </w:trPr>
        <w:tc>
          <w:tcPr>
            <w:tcW w:w="1659" w:type="dxa"/>
            <w:vMerge w:val="continue"/>
            <w:noWrap w:val="0"/>
            <w:vAlign w:val="center"/>
          </w:tcPr>
          <w:p w14:paraId="7A7180A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805" w:type="dxa"/>
            <w:noWrap w:val="0"/>
            <w:vAlign w:val="center"/>
          </w:tcPr>
          <w:p w14:paraId="7E37B9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物业情况</w:t>
            </w:r>
          </w:p>
        </w:tc>
        <w:tc>
          <w:tcPr>
            <w:tcW w:w="1515" w:type="dxa"/>
            <w:noWrap w:val="0"/>
            <w:vAlign w:val="center"/>
          </w:tcPr>
          <w:p w14:paraId="07F896C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1" w:type="dxa"/>
            <w:noWrap w:val="0"/>
            <w:vAlign w:val="center"/>
          </w:tcPr>
          <w:p w14:paraId="47E00ED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8" w:type="dxa"/>
            <w:noWrap w:val="0"/>
            <w:vAlign w:val="center"/>
          </w:tcPr>
          <w:p w14:paraId="3DD6C43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5E135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56" w:hRule="atLeast"/>
        </w:trPr>
        <w:tc>
          <w:tcPr>
            <w:tcW w:w="3464" w:type="dxa"/>
            <w:gridSpan w:val="2"/>
            <w:noWrap w:val="0"/>
            <w:vAlign w:val="center"/>
          </w:tcPr>
          <w:p w14:paraId="5C96804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比准租金（元/平方米·天）</w:t>
            </w:r>
          </w:p>
        </w:tc>
        <w:tc>
          <w:tcPr>
            <w:tcW w:w="1515" w:type="dxa"/>
            <w:noWrap w:val="0"/>
            <w:vAlign w:val="center"/>
          </w:tcPr>
          <w:p w14:paraId="4A23DBC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24.75 </w:t>
            </w:r>
          </w:p>
        </w:tc>
        <w:tc>
          <w:tcPr>
            <w:tcW w:w="1651" w:type="dxa"/>
            <w:noWrap w:val="0"/>
            <w:vAlign w:val="center"/>
          </w:tcPr>
          <w:p w14:paraId="30195E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24.36 </w:t>
            </w:r>
          </w:p>
        </w:tc>
        <w:tc>
          <w:tcPr>
            <w:tcW w:w="1668" w:type="dxa"/>
            <w:noWrap w:val="0"/>
            <w:vAlign w:val="center"/>
          </w:tcPr>
          <w:p w14:paraId="5BA0A6C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24.46 </w:t>
            </w:r>
          </w:p>
        </w:tc>
      </w:tr>
      <w:tr w14:paraId="2CEA4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64" w:hRule="atLeast"/>
        </w:trPr>
        <w:tc>
          <w:tcPr>
            <w:tcW w:w="3464" w:type="dxa"/>
            <w:gridSpan w:val="2"/>
            <w:noWrap w:val="0"/>
            <w:vAlign w:val="center"/>
          </w:tcPr>
          <w:p w14:paraId="444AF4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算术平均值（元/平方米·天）</w:t>
            </w:r>
          </w:p>
        </w:tc>
        <w:tc>
          <w:tcPr>
            <w:tcW w:w="4834" w:type="dxa"/>
            <w:gridSpan w:val="3"/>
            <w:noWrap w:val="0"/>
            <w:vAlign w:val="center"/>
          </w:tcPr>
          <w:p w14:paraId="6A04FE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24.52 </w:t>
            </w:r>
          </w:p>
        </w:tc>
      </w:tr>
    </w:tbl>
    <w:p w14:paraId="35F53835">
      <w:pPr>
        <w:pStyle w:val="2"/>
        <w:keepNext w:val="0"/>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0" w:firstLineChars="0"/>
        <w:jc w:val="center"/>
        <w:textAlignment w:val="baseline"/>
        <w:rPr>
          <w:rFonts w:hint="eastAsia" w:ascii="仿宋" w:hAnsi="仿宋" w:eastAsia="仿宋" w:cs="仿宋"/>
          <w:sz w:val="28"/>
          <w:highlight w:val="none"/>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18</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比较因素条件修正系数表</w:t>
      </w:r>
      <w:r>
        <w:rPr>
          <w:rFonts w:hint="eastAsia" w:ascii="仿宋_GB2312" w:hAnsi="仿宋_GB2312" w:cs="仿宋_GB2312"/>
          <w:b w:val="0"/>
          <w:bCs/>
          <w:color w:val="auto"/>
          <w:kern w:val="2"/>
          <w:sz w:val="28"/>
          <w:szCs w:val="28"/>
          <w:highlight w:val="none"/>
          <w:lang w:val="en-US" w:eastAsia="zh-CN" w:bidi="ar-SA"/>
        </w:rPr>
        <w:t>（住宅）</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59"/>
        <w:gridCol w:w="1791"/>
        <w:gridCol w:w="1529"/>
        <w:gridCol w:w="1660"/>
        <w:gridCol w:w="9"/>
        <w:gridCol w:w="1650"/>
      </w:tblGrid>
      <w:tr w14:paraId="4EE3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54" w:hRule="atLeast"/>
        </w:trPr>
        <w:tc>
          <w:tcPr>
            <w:tcW w:w="3450" w:type="dxa"/>
            <w:gridSpan w:val="2"/>
            <w:tcBorders>
              <w:tl2br w:val="single" w:color="000000" w:sz="4" w:space="0"/>
            </w:tcBorders>
            <w:noWrap w:val="0"/>
            <w:vAlign w:val="center"/>
          </w:tcPr>
          <w:p w14:paraId="378B4F4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估价对象及比较实例</w:t>
            </w:r>
          </w:p>
          <w:p w14:paraId="6D20375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比较因素</w:t>
            </w:r>
          </w:p>
        </w:tc>
        <w:tc>
          <w:tcPr>
            <w:tcW w:w="1529" w:type="dxa"/>
            <w:noWrap w:val="0"/>
            <w:vAlign w:val="center"/>
          </w:tcPr>
          <w:p w14:paraId="32A5779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案例A</w:t>
            </w:r>
          </w:p>
        </w:tc>
        <w:tc>
          <w:tcPr>
            <w:tcW w:w="1660" w:type="dxa"/>
            <w:noWrap w:val="0"/>
            <w:vAlign w:val="center"/>
          </w:tcPr>
          <w:p w14:paraId="71B8DC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案例B</w:t>
            </w:r>
          </w:p>
        </w:tc>
        <w:tc>
          <w:tcPr>
            <w:tcW w:w="1659" w:type="dxa"/>
            <w:gridSpan w:val="2"/>
            <w:noWrap w:val="0"/>
            <w:vAlign w:val="center"/>
          </w:tcPr>
          <w:p w14:paraId="005973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案例C</w:t>
            </w:r>
          </w:p>
        </w:tc>
      </w:tr>
      <w:tr w14:paraId="0F9B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19" w:hRule="atLeast"/>
        </w:trPr>
        <w:tc>
          <w:tcPr>
            <w:tcW w:w="3450" w:type="dxa"/>
            <w:gridSpan w:val="2"/>
            <w:noWrap w:val="0"/>
            <w:vAlign w:val="center"/>
          </w:tcPr>
          <w:p w14:paraId="3E5779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位置</w:t>
            </w:r>
          </w:p>
        </w:tc>
        <w:tc>
          <w:tcPr>
            <w:tcW w:w="1529" w:type="dxa"/>
            <w:noWrap w:val="0"/>
            <w:vAlign w:val="center"/>
          </w:tcPr>
          <w:p w14:paraId="02A6E17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欧韩时尚</w:t>
            </w:r>
          </w:p>
        </w:tc>
        <w:tc>
          <w:tcPr>
            <w:tcW w:w="1660" w:type="dxa"/>
            <w:noWrap w:val="0"/>
            <w:vAlign w:val="center"/>
          </w:tcPr>
          <w:p w14:paraId="2B388D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千鸿鞋业</w:t>
            </w:r>
          </w:p>
        </w:tc>
        <w:tc>
          <w:tcPr>
            <w:tcW w:w="1659" w:type="dxa"/>
            <w:gridSpan w:val="2"/>
            <w:noWrap w:val="0"/>
            <w:vAlign w:val="center"/>
          </w:tcPr>
          <w:p w14:paraId="00559B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大东旗舰店</w:t>
            </w:r>
          </w:p>
        </w:tc>
      </w:tr>
      <w:tr w14:paraId="2CA1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5" w:hRule="atLeast"/>
        </w:trPr>
        <w:tc>
          <w:tcPr>
            <w:tcW w:w="3450" w:type="dxa"/>
            <w:gridSpan w:val="2"/>
            <w:noWrap w:val="0"/>
            <w:vAlign w:val="center"/>
          </w:tcPr>
          <w:p w14:paraId="2FA503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住宅租金(元/m</w:t>
            </w:r>
            <w:r>
              <w:rPr>
                <w:rFonts w:hint="default" w:ascii="仿宋_GB2312" w:hAnsi="仿宋_GB2312" w:eastAsia="仿宋_GB2312" w:cs="仿宋_GB2312"/>
                <w:b w:val="0"/>
                <w:bCs w:val="0"/>
                <w:color w:val="000000"/>
                <w:kern w:val="2"/>
                <w:sz w:val="21"/>
                <w:szCs w:val="21"/>
                <w:highlight w:val="none"/>
                <w:vertAlign w:val="superscript"/>
                <w:lang w:val="en-US" w:eastAsia="zh-CN" w:bidi="ar-SA"/>
              </w:rPr>
              <w:t>2</w:t>
            </w:r>
            <w:r>
              <w:rPr>
                <w:rFonts w:hint="default" w:ascii="仿宋_GB2312" w:hAnsi="仿宋_GB2312" w:eastAsia="仿宋_GB2312" w:cs="仿宋_GB2312"/>
                <w:b w:val="0"/>
                <w:bCs w:val="0"/>
                <w:color w:val="000000"/>
                <w:kern w:val="2"/>
                <w:sz w:val="21"/>
                <w:szCs w:val="21"/>
                <w:highlight w:val="none"/>
                <w:lang w:val="en-US" w:eastAsia="zh-CN" w:bidi="ar-SA"/>
              </w:rPr>
              <w:t>·月)</w:t>
            </w:r>
          </w:p>
        </w:tc>
        <w:tc>
          <w:tcPr>
            <w:tcW w:w="1529" w:type="dxa"/>
            <w:noWrap w:val="0"/>
            <w:vAlign w:val="center"/>
          </w:tcPr>
          <w:p w14:paraId="33A9C3C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13.</w:t>
            </w:r>
            <w:r>
              <w:rPr>
                <w:rFonts w:hint="eastAsia" w:ascii="仿宋_GB2312" w:hAnsi="仿宋_GB2312" w:eastAsia="仿宋_GB2312" w:cs="仿宋_GB2312"/>
                <w:b w:val="0"/>
                <w:bCs w:val="0"/>
                <w:color w:val="000000"/>
                <w:kern w:val="2"/>
                <w:sz w:val="21"/>
                <w:szCs w:val="21"/>
                <w:highlight w:val="none"/>
                <w:lang w:val="en-US" w:eastAsia="zh-CN" w:bidi="ar-SA"/>
              </w:rPr>
              <w:t>57</w:t>
            </w:r>
          </w:p>
        </w:tc>
        <w:tc>
          <w:tcPr>
            <w:tcW w:w="1660" w:type="dxa"/>
            <w:noWrap w:val="0"/>
            <w:vAlign w:val="center"/>
          </w:tcPr>
          <w:p w14:paraId="590374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13.</w:t>
            </w:r>
            <w:r>
              <w:rPr>
                <w:rFonts w:hint="eastAsia" w:ascii="仿宋_GB2312" w:hAnsi="仿宋_GB2312" w:eastAsia="仿宋_GB2312" w:cs="仿宋_GB2312"/>
                <w:b w:val="0"/>
                <w:bCs w:val="0"/>
                <w:color w:val="000000"/>
                <w:kern w:val="2"/>
                <w:sz w:val="21"/>
                <w:szCs w:val="21"/>
                <w:highlight w:val="none"/>
                <w:lang w:val="en-US" w:eastAsia="zh-CN" w:bidi="ar-SA"/>
              </w:rPr>
              <w:t>8</w:t>
            </w:r>
          </w:p>
        </w:tc>
        <w:tc>
          <w:tcPr>
            <w:tcW w:w="1659" w:type="dxa"/>
            <w:gridSpan w:val="2"/>
            <w:noWrap w:val="0"/>
            <w:vAlign w:val="center"/>
          </w:tcPr>
          <w:p w14:paraId="2A3E58B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13.6</w:t>
            </w:r>
          </w:p>
        </w:tc>
      </w:tr>
      <w:tr w14:paraId="00CF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5" w:hRule="atLeast"/>
        </w:trPr>
        <w:tc>
          <w:tcPr>
            <w:tcW w:w="3450" w:type="dxa"/>
            <w:gridSpan w:val="2"/>
            <w:noWrap w:val="0"/>
            <w:vAlign w:val="center"/>
          </w:tcPr>
          <w:p w14:paraId="2A27D9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1529" w:type="dxa"/>
            <w:noWrap w:val="0"/>
            <w:vAlign w:val="center"/>
          </w:tcPr>
          <w:p w14:paraId="1E7E5E0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7F15F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1E3EB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F45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5" w:hRule="atLeast"/>
        </w:trPr>
        <w:tc>
          <w:tcPr>
            <w:tcW w:w="3450" w:type="dxa"/>
            <w:gridSpan w:val="2"/>
            <w:noWrap w:val="0"/>
            <w:vAlign w:val="center"/>
          </w:tcPr>
          <w:p w14:paraId="66675E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交易时间</w:t>
            </w:r>
          </w:p>
        </w:tc>
        <w:tc>
          <w:tcPr>
            <w:tcW w:w="1529" w:type="dxa"/>
            <w:noWrap w:val="0"/>
            <w:vAlign w:val="center"/>
          </w:tcPr>
          <w:p w14:paraId="4A7C4B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4E02DE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3AB2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F24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5" w:hRule="atLeast"/>
        </w:trPr>
        <w:tc>
          <w:tcPr>
            <w:tcW w:w="3450" w:type="dxa"/>
            <w:gridSpan w:val="2"/>
            <w:noWrap w:val="0"/>
            <w:vAlign w:val="center"/>
          </w:tcPr>
          <w:p w14:paraId="1EC98A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交易情况</w:t>
            </w:r>
          </w:p>
        </w:tc>
        <w:tc>
          <w:tcPr>
            <w:tcW w:w="1529" w:type="dxa"/>
            <w:noWrap w:val="0"/>
            <w:vAlign w:val="center"/>
          </w:tcPr>
          <w:p w14:paraId="2BC00F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D6C39F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77F87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22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5" w:hRule="atLeast"/>
        </w:trPr>
        <w:tc>
          <w:tcPr>
            <w:tcW w:w="1659" w:type="dxa"/>
            <w:vMerge w:val="restart"/>
            <w:noWrap w:val="0"/>
            <w:vAlign w:val="center"/>
          </w:tcPr>
          <w:p w14:paraId="362C15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区域因素</w:t>
            </w:r>
          </w:p>
        </w:tc>
        <w:tc>
          <w:tcPr>
            <w:tcW w:w="1791" w:type="dxa"/>
            <w:noWrap w:val="0"/>
            <w:vAlign w:val="center"/>
          </w:tcPr>
          <w:p w14:paraId="41A450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商服繁华度</w:t>
            </w:r>
          </w:p>
        </w:tc>
        <w:tc>
          <w:tcPr>
            <w:tcW w:w="1529" w:type="dxa"/>
            <w:noWrap w:val="0"/>
            <w:vAlign w:val="center"/>
          </w:tcPr>
          <w:p w14:paraId="67BEB5B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7ED84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B23F1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4EE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5" w:hRule="atLeast"/>
        </w:trPr>
        <w:tc>
          <w:tcPr>
            <w:tcW w:w="1659" w:type="dxa"/>
            <w:vMerge w:val="continue"/>
            <w:noWrap w:val="0"/>
            <w:vAlign w:val="center"/>
          </w:tcPr>
          <w:p w14:paraId="141D21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91" w:type="dxa"/>
            <w:noWrap w:val="0"/>
            <w:vAlign w:val="center"/>
          </w:tcPr>
          <w:p w14:paraId="39EE52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公交便捷度</w:t>
            </w:r>
          </w:p>
        </w:tc>
        <w:tc>
          <w:tcPr>
            <w:tcW w:w="1529" w:type="dxa"/>
            <w:noWrap w:val="0"/>
            <w:vAlign w:val="center"/>
          </w:tcPr>
          <w:p w14:paraId="409543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4B8D43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07126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49E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5" w:hRule="atLeast"/>
        </w:trPr>
        <w:tc>
          <w:tcPr>
            <w:tcW w:w="1659" w:type="dxa"/>
            <w:vMerge w:val="continue"/>
            <w:noWrap w:val="0"/>
            <w:vAlign w:val="center"/>
          </w:tcPr>
          <w:p w14:paraId="5EDFE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91" w:type="dxa"/>
            <w:noWrap w:val="0"/>
            <w:vAlign w:val="center"/>
          </w:tcPr>
          <w:p w14:paraId="2B28605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道路通达度</w:t>
            </w:r>
          </w:p>
        </w:tc>
        <w:tc>
          <w:tcPr>
            <w:tcW w:w="1529" w:type="dxa"/>
            <w:noWrap w:val="0"/>
            <w:vAlign w:val="center"/>
          </w:tcPr>
          <w:p w14:paraId="439995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213CA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AEB32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0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5" w:hRule="atLeast"/>
        </w:trPr>
        <w:tc>
          <w:tcPr>
            <w:tcW w:w="1659" w:type="dxa"/>
            <w:vMerge w:val="continue"/>
            <w:noWrap w:val="0"/>
            <w:vAlign w:val="center"/>
          </w:tcPr>
          <w:p w14:paraId="537F98C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91" w:type="dxa"/>
            <w:noWrap w:val="0"/>
            <w:vAlign w:val="center"/>
          </w:tcPr>
          <w:p w14:paraId="51F9B25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水电综合保证率</w:t>
            </w:r>
          </w:p>
        </w:tc>
        <w:tc>
          <w:tcPr>
            <w:tcW w:w="1529" w:type="dxa"/>
            <w:noWrap w:val="0"/>
            <w:vAlign w:val="center"/>
          </w:tcPr>
          <w:p w14:paraId="303207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6A64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D6D5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170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5" w:hRule="atLeast"/>
        </w:trPr>
        <w:tc>
          <w:tcPr>
            <w:tcW w:w="1659" w:type="dxa"/>
            <w:vMerge w:val="continue"/>
            <w:noWrap w:val="0"/>
            <w:vAlign w:val="center"/>
          </w:tcPr>
          <w:p w14:paraId="6BC1D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91" w:type="dxa"/>
            <w:noWrap w:val="0"/>
            <w:vAlign w:val="center"/>
          </w:tcPr>
          <w:p w14:paraId="5BA38B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环境质量</w:t>
            </w:r>
          </w:p>
        </w:tc>
        <w:tc>
          <w:tcPr>
            <w:tcW w:w="1529" w:type="dxa"/>
            <w:noWrap w:val="0"/>
            <w:vAlign w:val="center"/>
          </w:tcPr>
          <w:p w14:paraId="7EAE5D1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CEF20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545354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B7A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19" w:hRule="atLeast"/>
        </w:trPr>
        <w:tc>
          <w:tcPr>
            <w:tcW w:w="1659" w:type="dxa"/>
            <w:vMerge w:val="continue"/>
            <w:noWrap w:val="0"/>
            <w:vAlign w:val="center"/>
          </w:tcPr>
          <w:p w14:paraId="0F6367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91" w:type="dxa"/>
            <w:noWrap w:val="0"/>
            <w:vAlign w:val="center"/>
          </w:tcPr>
          <w:p w14:paraId="2C87D82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区域公共设施状况</w:t>
            </w:r>
          </w:p>
        </w:tc>
        <w:tc>
          <w:tcPr>
            <w:tcW w:w="1529" w:type="dxa"/>
            <w:noWrap w:val="0"/>
            <w:vAlign w:val="center"/>
          </w:tcPr>
          <w:p w14:paraId="5C6B10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13679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A1B34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7BBB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5" w:hRule="atLeast"/>
        </w:trPr>
        <w:tc>
          <w:tcPr>
            <w:tcW w:w="1659" w:type="dxa"/>
            <w:vMerge w:val="restart"/>
            <w:noWrap w:val="0"/>
            <w:vAlign w:val="center"/>
          </w:tcPr>
          <w:p w14:paraId="7C96E6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个别因素</w:t>
            </w:r>
          </w:p>
        </w:tc>
        <w:tc>
          <w:tcPr>
            <w:tcW w:w="1791" w:type="dxa"/>
            <w:noWrap w:val="0"/>
            <w:vAlign w:val="center"/>
          </w:tcPr>
          <w:p w14:paraId="6496540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所临道路类型</w:t>
            </w:r>
          </w:p>
        </w:tc>
        <w:tc>
          <w:tcPr>
            <w:tcW w:w="1529" w:type="dxa"/>
            <w:noWrap w:val="0"/>
            <w:vAlign w:val="center"/>
          </w:tcPr>
          <w:p w14:paraId="6D30F7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E6C738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6892A58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5B31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5" w:hRule="atLeast"/>
        </w:trPr>
        <w:tc>
          <w:tcPr>
            <w:tcW w:w="1659" w:type="dxa"/>
            <w:vMerge w:val="continue"/>
            <w:noWrap w:val="0"/>
            <w:vAlign w:val="center"/>
          </w:tcPr>
          <w:p w14:paraId="407B81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91" w:type="dxa"/>
            <w:noWrap w:val="0"/>
            <w:vAlign w:val="center"/>
          </w:tcPr>
          <w:p w14:paraId="78AEFF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通风采光</w:t>
            </w:r>
          </w:p>
        </w:tc>
        <w:tc>
          <w:tcPr>
            <w:tcW w:w="1529" w:type="dxa"/>
            <w:noWrap w:val="0"/>
            <w:vAlign w:val="center"/>
          </w:tcPr>
          <w:p w14:paraId="56403BE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6B2591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025EFE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30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5" w:hRule="atLeast"/>
        </w:trPr>
        <w:tc>
          <w:tcPr>
            <w:tcW w:w="1659" w:type="dxa"/>
            <w:vMerge w:val="continue"/>
            <w:noWrap w:val="0"/>
            <w:vAlign w:val="center"/>
          </w:tcPr>
          <w:p w14:paraId="1F0C82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91" w:type="dxa"/>
            <w:noWrap w:val="0"/>
            <w:vAlign w:val="center"/>
          </w:tcPr>
          <w:p w14:paraId="349B7C1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房屋成新度</w:t>
            </w:r>
          </w:p>
        </w:tc>
        <w:tc>
          <w:tcPr>
            <w:tcW w:w="1529" w:type="dxa"/>
            <w:noWrap w:val="0"/>
            <w:vAlign w:val="center"/>
          </w:tcPr>
          <w:p w14:paraId="6971D9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3553B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5858D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57C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5" w:hRule="atLeast"/>
        </w:trPr>
        <w:tc>
          <w:tcPr>
            <w:tcW w:w="1659" w:type="dxa"/>
            <w:vMerge w:val="continue"/>
            <w:noWrap w:val="0"/>
            <w:vAlign w:val="center"/>
          </w:tcPr>
          <w:p w14:paraId="7299238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91" w:type="dxa"/>
            <w:noWrap w:val="0"/>
            <w:vAlign w:val="center"/>
          </w:tcPr>
          <w:p w14:paraId="29F01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建筑物结构</w:t>
            </w:r>
          </w:p>
        </w:tc>
        <w:tc>
          <w:tcPr>
            <w:tcW w:w="1529" w:type="dxa"/>
            <w:noWrap w:val="0"/>
            <w:vAlign w:val="center"/>
          </w:tcPr>
          <w:p w14:paraId="43E374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4B8F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23DB73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432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5" w:hRule="atLeast"/>
        </w:trPr>
        <w:tc>
          <w:tcPr>
            <w:tcW w:w="1659" w:type="dxa"/>
            <w:vMerge w:val="continue"/>
            <w:noWrap w:val="0"/>
            <w:vAlign w:val="center"/>
          </w:tcPr>
          <w:p w14:paraId="039A50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91" w:type="dxa"/>
            <w:noWrap w:val="0"/>
            <w:vAlign w:val="center"/>
          </w:tcPr>
          <w:p w14:paraId="1EC5C1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建筑物内部格局</w:t>
            </w:r>
          </w:p>
        </w:tc>
        <w:tc>
          <w:tcPr>
            <w:tcW w:w="1529" w:type="dxa"/>
            <w:noWrap w:val="0"/>
            <w:vAlign w:val="center"/>
          </w:tcPr>
          <w:p w14:paraId="05145B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0ACFA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4379DE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6D0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5" w:hRule="atLeast"/>
        </w:trPr>
        <w:tc>
          <w:tcPr>
            <w:tcW w:w="1659" w:type="dxa"/>
            <w:vMerge w:val="continue"/>
            <w:noWrap w:val="0"/>
            <w:vAlign w:val="center"/>
          </w:tcPr>
          <w:p w14:paraId="3C2D64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91" w:type="dxa"/>
            <w:noWrap w:val="0"/>
            <w:vAlign w:val="center"/>
          </w:tcPr>
          <w:p w14:paraId="414089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装修档次</w:t>
            </w:r>
          </w:p>
        </w:tc>
        <w:tc>
          <w:tcPr>
            <w:tcW w:w="1529" w:type="dxa"/>
            <w:noWrap w:val="0"/>
            <w:vAlign w:val="center"/>
          </w:tcPr>
          <w:p w14:paraId="11CAAE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20E9A3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FA17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A1A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5" w:hRule="atLeast"/>
        </w:trPr>
        <w:tc>
          <w:tcPr>
            <w:tcW w:w="1659" w:type="dxa"/>
            <w:vMerge w:val="continue"/>
            <w:noWrap w:val="0"/>
            <w:vAlign w:val="center"/>
          </w:tcPr>
          <w:p w14:paraId="5719FF6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91" w:type="dxa"/>
            <w:noWrap w:val="0"/>
            <w:vAlign w:val="center"/>
          </w:tcPr>
          <w:p w14:paraId="34386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停车情况</w:t>
            </w:r>
          </w:p>
        </w:tc>
        <w:tc>
          <w:tcPr>
            <w:tcW w:w="1529" w:type="dxa"/>
            <w:noWrap w:val="0"/>
            <w:vAlign w:val="center"/>
          </w:tcPr>
          <w:p w14:paraId="325EDE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24763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1B70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CE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5" w:hRule="atLeast"/>
        </w:trPr>
        <w:tc>
          <w:tcPr>
            <w:tcW w:w="1659" w:type="dxa"/>
            <w:vMerge w:val="continue"/>
            <w:noWrap w:val="0"/>
            <w:vAlign w:val="center"/>
          </w:tcPr>
          <w:p w14:paraId="0DB522A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791" w:type="dxa"/>
            <w:noWrap w:val="0"/>
            <w:vAlign w:val="center"/>
          </w:tcPr>
          <w:p w14:paraId="219F50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物业情况</w:t>
            </w:r>
          </w:p>
        </w:tc>
        <w:tc>
          <w:tcPr>
            <w:tcW w:w="1529" w:type="dxa"/>
            <w:noWrap w:val="0"/>
            <w:vAlign w:val="center"/>
          </w:tcPr>
          <w:p w14:paraId="7EC7534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843835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6109404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90C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5" w:hRule="atLeast"/>
        </w:trPr>
        <w:tc>
          <w:tcPr>
            <w:tcW w:w="3450" w:type="dxa"/>
            <w:gridSpan w:val="2"/>
            <w:noWrap w:val="0"/>
            <w:vAlign w:val="center"/>
          </w:tcPr>
          <w:p w14:paraId="77F566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比准租金（元/平方米·天）</w:t>
            </w:r>
          </w:p>
        </w:tc>
        <w:tc>
          <w:tcPr>
            <w:tcW w:w="1529" w:type="dxa"/>
            <w:noWrap w:val="0"/>
            <w:vAlign w:val="center"/>
          </w:tcPr>
          <w:p w14:paraId="124850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13.30 </w:t>
            </w:r>
          </w:p>
        </w:tc>
        <w:tc>
          <w:tcPr>
            <w:tcW w:w="1669" w:type="dxa"/>
            <w:gridSpan w:val="2"/>
            <w:noWrap w:val="0"/>
            <w:vAlign w:val="center"/>
          </w:tcPr>
          <w:p w14:paraId="5ABF40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13.53 </w:t>
            </w:r>
          </w:p>
        </w:tc>
        <w:tc>
          <w:tcPr>
            <w:tcW w:w="1650" w:type="dxa"/>
            <w:noWrap w:val="0"/>
            <w:vAlign w:val="center"/>
          </w:tcPr>
          <w:p w14:paraId="04F3FF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13.33 </w:t>
            </w:r>
          </w:p>
        </w:tc>
      </w:tr>
      <w:tr w14:paraId="2BA4C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15" w:hRule="atLeast"/>
        </w:trPr>
        <w:tc>
          <w:tcPr>
            <w:tcW w:w="3450" w:type="dxa"/>
            <w:gridSpan w:val="2"/>
            <w:noWrap w:val="0"/>
            <w:vAlign w:val="center"/>
          </w:tcPr>
          <w:p w14:paraId="0598364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算术平均值（元/平方米·天）</w:t>
            </w:r>
          </w:p>
        </w:tc>
        <w:tc>
          <w:tcPr>
            <w:tcW w:w="4848" w:type="dxa"/>
            <w:gridSpan w:val="4"/>
            <w:noWrap w:val="0"/>
            <w:vAlign w:val="center"/>
          </w:tcPr>
          <w:p w14:paraId="193DDE2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13.</w:t>
            </w:r>
            <w:r>
              <w:rPr>
                <w:rFonts w:hint="eastAsia" w:ascii="仿宋_GB2312" w:hAnsi="仿宋_GB2312" w:eastAsia="仿宋_GB2312" w:cs="仿宋_GB2312"/>
                <w:b w:val="0"/>
                <w:bCs w:val="0"/>
                <w:color w:val="000000"/>
                <w:kern w:val="2"/>
                <w:sz w:val="21"/>
                <w:szCs w:val="21"/>
                <w:highlight w:val="none"/>
                <w:lang w:val="en-US" w:eastAsia="zh-CN" w:bidi="ar-SA"/>
              </w:rPr>
              <w:t>39</w:t>
            </w:r>
          </w:p>
        </w:tc>
      </w:tr>
    </w:tbl>
    <w:p w14:paraId="3EC3A952">
      <w:pPr>
        <w:keepNext w:val="0"/>
        <w:keepLines w:val="0"/>
        <w:pageBreakBefore w:val="0"/>
        <w:widowControl w:val="0"/>
        <w:kinsoku/>
        <w:wordWrap/>
        <w:overflowPunct/>
        <w:topLinePunct w:val="0"/>
        <w:bidi w:val="0"/>
        <w:adjustRightInd w:val="0"/>
        <w:snapToGrid w:val="0"/>
        <w:spacing w:line="480" w:lineRule="exact"/>
        <w:ind w:firstLine="536"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spacing w:val="-6"/>
          <w:sz w:val="28"/>
          <w:highlight w:val="none"/>
        </w:rPr>
        <w:t>通过市场比较，估价对象与3个比较实例的比准租金接近，所以采取3个结果的算术平均值作为估价对象的租金。故</w:t>
      </w:r>
      <w:r>
        <w:rPr>
          <w:rFonts w:hint="eastAsia" w:ascii="仿宋_GB2312" w:hAnsi="仿宋_GB2312" w:eastAsia="仿宋_GB2312" w:cs="仿宋_GB2312"/>
          <w:spacing w:val="-6"/>
          <w:sz w:val="28"/>
          <w:highlight w:val="none"/>
          <w:lang w:val="zh-CN"/>
        </w:rPr>
        <w:t>本次评估对象</w:t>
      </w:r>
      <w:r>
        <w:rPr>
          <w:rFonts w:hint="eastAsia" w:ascii="仿宋_GB2312" w:hAnsi="仿宋_GB2312" w:eastAsia="仿宋_GB2312" w:cs="仿宋_GB2312"/>
          <w:spacing w:val="-6"/>
          <w:sz w:val="28"/>
          <w:highlight w:val="none"/>
        </w:rPr>
        <w:t>住宅用房</w:t>
      </w:r>
      <w:r>
        <w:rPr>
          <w:rFonts w:hint="eastAsia" w:ascii="仿宋_GB2312" w:hAnsi="仿宋_GB2312" w:eastAsia="仿宋_GB2312" w:cs="仿宋_GB2312"/>
          <w:spacing w:val="-6"/>
          <w:sz w:val="28"/>
          <w:highlight w:val="none"/>
          <w:lang w:val="zh-CN"/>
        </w:rPr>
        <w:t>租金</w:t>
      </w:r>
      <w:r>
        <w:rPr>
          <w:rFonts w:hint="eastAsia" w:ascii="仿宋_GB2312" w:hAnsi="仿宋_GB2312" w:eastAsia="仿宋_GB2312" w:cs="仿宋_GB2312"/>
          <w:spacing w:val="-6"/>
          <w:sz w:val="28"/>
          <w:highlight w:val="none"/>
          <w:lang w:val="en-US" w:eastAsia="zh-CN"/>
        </w:rPr>
        <w:t>13.39</w:t>
      </w:r>
      <w:r>
        <w:rPr>
          <w:rFonts w:hint="eastAsia" w:ascii="仿宋_GB2312" w:hAnsi="仿宋_GB2312" w:eastAsia="仿宋_GB2312" w:cs="仿宋_GB2312"/>
          <w:spacing w:val="-6"/>
          <w:sz w:val="28"/>
          <w:highlight w:val="none"/>
        </w:rPr>
        <w:t>元／㎡·月，商服用房租金</w:t>
      </w:r>
      <w:r>
        <w:rPr>
          <w:rFonts w:hint="eastAsia" w:ascii="仿宋_GB2312" w:hAnsi="仿宋_GB2312" w:eastAsia="仿宋_GB2312" w:cs="仿宋_GB2312"/>
          <w:spacing w:val="-6"/>
          <w:sz w:val="28"/>
          <w:highlight w:val="none"/>
          <w:lang w:val="en-US" w:eastAsia="zh-CN"/>
        </w:rPr>
        <w:t>24.52</w:t>
      </w:r>
      <w:r>
        <w:rPr>
          <w:rFonts w:hint="eastAsia" w:ascii="仿宋_GB2312" w:hAnsi="仿宋_GB2312" w:eastAsia="仿宋_GB2312" w:cs="仿宋_GB2312"/>
          <w:spacing w:val="-6"/>
          <w:sz w:val="28"/>
          <w:highlight w:val="none"/>
        </w:rPr>
        <w:t>元/平方米。</w:t>
      </w:r>
    </w:p>
    <w:p w14:paraId="33DDE93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fldChar w:fldCharType="begin"/>
      </w:r>
      <w:r>
        <w:rPr>
          <w:rFonts w:hint="default"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default" w:ascii="仿宋_GB2312" w:hAnsi="仿宋_GB2312" w:eastAsia="仿宋_GB2312" w:cs="仿宋_GB2312"/>
          <w:b w:val="0"/>
          <w:bCs w:val="0"/>
          <w:color w:val="000000"/>
          <w:kern w:val="2"/>
          <w:sz w:val="28"/>
          <w:szCs w:val="28"/>
          <w:highlight w:val="none"/>
          <w:lang w:val="en-US" w:eastAsia="zh-CN" w:bidi="ar-SA"/>
        </w:rPr>
        <w:fldChar w:fldCharType="separate"/>
      </w:r>
      <w:r>
        <w:rPr>
          <w:rFonts w:hint="default" w:ascii="仿宋_GB2312" w:hAnsi="仿宋_GB2312" w:eastAsia="仿宋_GB2312" w:cs="仿宋_GB2312"/>
          <w:b w:val="0"/>
          <w:bCs w:val="0"/>
          <w:color w:val="000000"/>
          <w:kern w:val="2"/>
          <w:sz w:val="28"/>
          <w:szCs w:val="28"/>
          <w:highlight w:val="none"/>
          <w:lang w:val="zh-CN" w:eastAsia="zh-CN" w:bidi="ar-SA"/>
        </w:rPr>
        <w:t>③</w:t>
      </w:r>
      <w:r>
        <w:rPr>
          <w:rFonts w:hint="default" w:ascii="仿宋_GB2312" w:hAnsi="仿宋_GB2312" w:eastAsia="仿宋_GB2312" w:cs="仿宋_GB2312"/>
          <w:b w:val="0"/>
          <w:bCs w:val="0"/>
          <w:color w:val="000000"/>
          <w:kern w:val="2"/>
          <w:sz w:val="28"/>
          <w:szCs w:val="28"/>
          <w:highlight w:val="none"/>
          <w:lang w:val="en-US" w:eastAsia="zh-CN" w:bidi="ar-SA"/>
        </w:rPr>
        <w:fldChar w:fldCharType="end"/>
      </w:r>
      <w:r>
        <w:rPr>
          <w:rFonts w:hint="default" w:ascii="仿宋_GB2312" w:hAnsi="仿宋_GB2312" w:eastAsia="仿宋_GB2312" w:cs="仿宋_GB2312"/>
          <w:b w:val="0"/>
          <w:bCs w:val="0"/>
          <w:color w:val="000000"/>
          <w:kern w:val="2"/>
          <w:sz w:val="28"/>
          <w:szCs w:val="28"/>
          <w:highlight w:val="none"/>
          <w:lang w:val="en-US" w:eastAsia="zh-CN" w:bidi="ar-SA"/>
        </w:rPr>
        <w:t>房地年总收益的确定</w:t>
      </w:r>
    </w:p>
    <w:p w14:paraId="2BF9477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估价人员通过对周边出租行情进行调查,区域内出租案例较多，根据市场调查区域商住房地产平均空置率为</w:t>
      </w:r>
      <w:r>
        <w:rPr>
          <w:rFonts w:hint="eastAsia" w:ascii="仿宋_GB2312" w:hAnsi="仿宋_GB2312" w:eastAsia="仿宋_GB2312" w:cs="仿宋_GB2312"/>
          <w:b w:val="0"/>
          <w:bCs w:val="0"/>
          <w:color w:val="000000"/>
          <w:kern w:val="2"/>
          <w:sz w:val="28"/>
          <w:szCs w:val="28"/>
          <w:highlight w:val="none"/>
          <w:lang w:val="en-US" w:eastAsia="zh-CN" w:bidi="ar-SA"/>
        </w:rPr>
        <w:t>3</w:t>
      </w:r>
      <w:r>
        <w:rPr>
          <w:rFonts w:hint="default" w:ascii="仿宋_GB2312" w:hAnsi="仿宋_GB2312" w:eastAsia="仿宋_GB2312" w:cs="仿宋_GB2312"/>
          <w:b w:val="0"/>
          <w:bCs w:val="0"/>
          <w:color w:val="000000"/>
          <w:kern w:val="2"/>
          <w:sz w:val="28"/>
          <w:szCs w:val="28"/>
          <w:highlight w:val="none"/>
          <w:lang w:val="en-US" w:eastAsia="zh-CN" w:bidi="ar-SA"/>
        </w:rPr>
        <w:t>%至</w:t>
      </w:r>
      <w:r>
        <w:rPr>
          <w:rFonts w:hint="eastAsia" w:ascii="仿宋_GB2312" w:hAnsi="仿宋_GB2312" w:eastAsia="仿宋_GB2312" w:cs="仿宋_GB2312"/>
          <w:b w:val="0"/>
          <w:bCs w:val="0"/>
          <w:color w:val="000000"/>
          <w:kern w:val="2"/>
          <w:sz w:val="28"/>
          <w:szCs w:val="28"/>
          <w:highlight w:val="none"/>
          <w:lang w:val="en-US" w:eastAsia="zh-CN" w:bidi="ar-SA"/>
        </w:rPr>
        <w:t>5</w:t>
      </w:r>
      <w:r>
        <w:rPr>
          <w:rFonts w:hint="default" w:ascii="仿宋_GB2312" w:hAnsi="仿宋_GB2312" w:eastAsia="仿宋_GB2312" w:cs="仿宋_GB2312"/>
          <w:b w:val="0"/>
          <w:bCs w:val="0"/>
          <w:color w:val="000000"/>
          <w:kern w:val="2"/>
          <w:sz w:val="28"/>
          <w:szCs w:val="28"/>
          <w:highlight w:val="none"/>
          <w:lang w:val="en-US" w:eastAsia="zh-CN" w:bidi="ar-SA"/>
        </w:rPr>
        <w:t>%，本次评估取平均空置率</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%。估价对象地上建筑物可出租房屋比例为96%。</w:t>
      </w:r>
    </w:p>
    <w:p w14:paraId="6C8F2BB3">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商业房地年总</w:t>
      </w:r>
      <w:r>
        <w:rPr>
          <w:rFonts w:hint="default" w:ascii="仿宋_GB2312" w:hAnsi="仿宋_GB2312" w:eastAsia="仿宋_GB2312" w:cs="仿宋_GB2312"/>
          <w:b w:val="0"/>
          <w:bCs w:val="0"/>
          <w:color w:val="000000"/>
          <w:kern w:val="2"/>
          <w:sz w:val="28"/>
          <w:szCs w:val="28"/>
          <w:highlight w:val="none"/>
          <w:lang w:val="en-US" w:eastAsia="zh-CN" w:bidi="ar-SA"/>
        </w:rPr>
        <w:t>收益</w:t>
      </w:r>
      <w:r>
        <w:rPr>
          <w:rFonts w:hint="eastAsia" w:ascii="仿宋_GB2312" w:hAnsi="仿宋_GB2312" w:eastAsia="仿宋_GB2312" w:cs="仿宋_GB2312"/>
          <w:b w:val="0"/>
          <w:bCs w:val="0"/>
          <w:color w:val="000000"/>
          <w:kern w:val="2"/>
          <w:sz w:val="28"/>
          <w:szCs w:val="28"/>
          <w:highlight w:val="none"/>
          <w:lang w:val="en-US" w:eastAsia="zh-CN" w:bidi="ar-SA"/>
        </w:rPr>
        <w:t>＝商业</w:t>
      </w:r>
      <w:r>
        <w:rPr>
          <w:rFonts w:hint="default" w:ascii="仿宋_GB2312" w:hAnsi="仿宋_GB2312" w:eastAsia="仿宋_GB2312" w:cs="仿宋_GB2312"/>
          <w:b w:val="0"/>
          <w:bCs w:val="0"/>
          <w:color w:val="000000"/>
          <w:kern w:val="2"/>
          <w:sz w:val="28"/>
          <w:szCs w:val="28"/>
          <w:highlight w:val="none"/>
          <w:lang w:val="en-US" w:eastAsia="zh-CN" w:bidi="ar-SA"/>
        </w:rPr>
        <w:t>用房月租金×12×（1-空置率）×</w:t>
      </w:r>
      <w:r>
        <w:rPr>
          <w:rFonts w:hint="eastAsia" w:ascii="仿宋_GB2312" w:hAnsi="仿宋_GB2312" w:eastAsia="仿宋_GB2312" w:cs="仿宋_GB2312"/>
          <w:b w:val="0"/>
          <w:bCs w:val="0"/>
          <w:color w:val="000000"/>
          <w:kern w:val="2"/>
          <w:sz w:val="28"/>
          <w:szCs w:val="28"/>
          <w:highlight w:val="none"/>
          <w:lang w:val="en-US" w:eastAsia="zh-CN" w:bidi="ar-SA"/>
        </w:rPr>
        <w:t>商业</w:t>
      </w:r>
      <w:r>
        <w:rPr>
          <w:rFonts w:hint="default" w:ascii="仿宋_GB2312" w:hAnsi="仿宋_GB2312" w:eastAsia="仿宋_GB2312" w:cs="仿宋_GB2312"/>
          <w:b w:val="0"/>
          <w:bCs w:val="0"/>
          <w:color w:val="000000"/>
          <w:kern w:val="2"/>
          <w:sz w:val="28"/>
          <w:szCs w:val="28"/>
          <w:highlight w:val="none"/>
          <w:lang w:val="en-US" w:eastAsia="zh-CN" w:bidi="ar-SA"/>
        </w:rPr>
        <w:t>用房</w:t>
      </w:r>
      <w:r>
        <w:rPr>
          <w:rFonts w:hint="eastAsia" w:ascii="仿宋_GB2312" w:hAnsi="仿宋_GB2312" w:eastAsia="仿宋_GB2312" w:cs="仿宋_GB2312"/>
          <w:b w:val="0"/>
          <w:bCs w:val="0"/>
          <w:color w:val="000000"/>
          <w:kern w:val="2"/>
          <w:sz w:val="28"/>
          <w:szCs w:val="28"/>
          <w:highlight w:val="none"/>
          <w:lang w:val="en-US" w:eastAsia="zh-CN" w:bidi="ar-SA"/>
        </w:rPr>
        <w:t>出租率＝24.52</w:t>
      </w:r>
      <w:r>
        <w:rPr>
          <w:rFonts w:hint="default" w:ascii="仿宋_GB2312" w:hAnsi="仿宋_GB2312" w:eastAsia="仿宋_GB2312" w:cs="仿宋_GB2312"/>
          <w:b w:val="0"/>
          <w:bCs w:val="0"/>
          <w:color w:val="000000"/>
          <w:kern w:val="2"/>
          <w:sz w:val="28"/>
          <w:szCs w:val="28"/>
          <w:highlight w:val="none"/>
          <w:lang w:val="en-US" w:eastAsia="zh-CN" w:bidi="ar-SA"/>
        </w:rPr>
        <w:t>×12×（1-</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164.25</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96</w:t>
      </w:r>
      <w:r>
        <w:rPr>
          <w:rFonts w:hint="default" w:ascii="仿宋_GB2312" w:hAnsi="仿宋_GB2312" w:eastAsia="仿宋_GB2312" w:cs="仿宋_GB2312"/>
          <w:b w:val="0"/>
          <w:bCs w:val="0"/>
          <w:color w:val="000000"/>
          <w:kern w:val="2"/>
          <w:sz w:val="28"/>
          <w:szCs w:val="28"/>
          <w:highlight w:val="none"/>
          <w:lang w:val="en-US" w:eastAsia="zh-CN" w:bidi="ar-SA"/>
        </w:rPr>
        <w:t>%÷1000</w:t>
      </w:r>
      <w:r>
        <w:rPr>
          <w:rFonts w:hint="eastAsia" w:ascii="仿宋_GB2312" w:hAnsi="仿宋_GB2312" w:eastAsia="仿宋_GB2312" w:cs="仿宋_GB2312"/>
          <w:b w:val="0"/>
          <w:bCs w:val="0"/>
          <w:color w:val="000000"/>
          <w:kern w:val="2"/>
          <w:sz w:val="28"/>
          <w:szCs w:val="28"/>
          <w:highlight w:val="none"/>
          <w:lang w:val="en-US" w:eastAsia="zh-CN" w:bidi="ar-SA"/>
        </w:rPr>
        <w:t>0＝4.4540（万元）</w:t>
      </w:r>
    </w:p>
    <w:p w14:paraId="26D7328B">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住宅房地年总收益＝住宅用房月租金×12×（1-空置率）×住宅用房出租率＝13.39×12×（1-4%）×581.22×96%÷10000＝8.6069（万元）</w:t>
      </w:r>
    </w:p>
    <w:p w14:paraId="6571855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2、确定</w:t>
      </w:r>
      <w:r>
        <w:rPr>
          <w:rFonts w:hint="eastAsia" w:ascii="仿宋_GB2312" w:hAnsi="仿宋_GB2312" w:eastAsia="仿宋_GB2312" w:cs="仿宋_GB2312"/>
          <w:b w:val="0"/>
          <w:bCs w:val="0"/>
          <w:color w:val="000000"/>
          <w:kern w:val="2"/>
          <w:sz w:val="28"/>
          <w:szCs w:val="28"/>
          <w:highlight w:val="none"/>
          <w:lang w:val="en-US" w:eastAsia="zh-CN" w:bidi="ar-SA"/>
        </w:rPr>
        <w:t>房地</w:t>
      </w:r>
      <w:r>
        <w:rPr>
          <w:rFonts w:hint="default" w:ascii="仿宋_GB2312" w:hAnsi="仿宋_GB2312" w:eastAsia="仿宋_GB2312" w:cs="仿宋_GB2312"/>
          <w:b w:val="0"/>
          <w:bCs w:val="0"/>
          <w:color w:val="000000"/>
          <w:kern w:val="2"/>
          <w:sz w:val="28"/>
          <w:szCs w:val="28"/>
          <w:highlight w:val="none"/>
          <w:lang w:val="en-US" w:eastAsia="zh-CN" w:bidi="ar-SA"/>
        </w:rPr>
        <w:t>年总费用</w:t>
      </w:r>
    </w:p>
    <w:p w14:paraId="63F6A16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总费用是指利用土地进行经营活动时正常合理的必要年支出。</w:t>
      </w:r>
    </w:p>
    <w:p w14:paraId="78143A0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（1）经营管理费：指对出租房屋进行的必要管理所需的费用。按年租金的2%～5%计，本次评估中根据估价对象地上建筑物管理难易程度确定为2%，则：</w:t>
      </w:r>
    </w:p>
    <w:p w14:paraId="7225B8FD">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商业用房</w:t>
      </w:r>
      <w:r>
        <w:rPr>
          <w:rFonts w:hint="default" w:ascii="仿宋_GB2312" w:hAnsi="仿宋_GB2312" w:eastAsia="仿宋_GB2312" w:cs="仿宋_GB2312"/>
          <w:b w:val="0"/>
          <w:bCs w:val="0"/>
          <w:color w:val="000000"/>
          <w:kern w:val="2"/>
          <w:sz w:val="28"/>
          <w:szCs w:val="28"/>
          <w:highlight w:val="none"/>
          <w:lang w:val="en-US" w:eastAsia="zh-CN" w:bidi="ar-SA"/>
        </w:rPr>
        <w:t>经营管理费＝房地年总收益×2%</w:t>
      </w:r>
    </w:p>
    <w:p w14:paraId="7AEC1EB4">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4.4540</w:t>
      </w:r>
      <w:r>
        <w:rPr>
          <w:rFonts w:hint="default" w:ascii="仿宋_GB2312" w:hAnsi="仿宋_GB2312" w:eastAsia="仿宋_GB2312" w:cs="仿宋_GB2312"/>
          <w:b w:val="0"/>
          <w:bCs w:val="0"/>
          <w:color w:val="000000"/>
          <w:kern w:val="2"/>
          <w:sz w:val="28"/>
          <w:szCs w:val="28"/>
          <w:highlight w:val="none"/>
          <w:lang w:val="en-US" w:eastAsia="zh-CN" w:bidi="ar-SA"/>
        </w:rPr>
        <w:t>×2%</w:t>
      </w:r>
    </w:p>
    <w:p w14:paraId="15E473F9">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0.0891</w:t>
      </w:r>
      <w:r>
        <w:rPr>
          <w:rFonts w:hint="default" w:ascii="仿宋_GB2312" w:hAnsi="仿宋_GB2312" w:eastAsia="仿宋_GB2312" w:cs="仿宋_GB2312"/>
          <w:b w:val="0"/>
          <w:bCs w:val="0"/>
          <w:color w:val="000000"/>
          <w:kern w:val="2"/>
          <w:sz w:val="28"/>
          <w:szCs w:val="28"/>
          <w:highlight w:val="none"/>
          <w:lang w:val="en-US" w:eastAsia="zh-CN" w:bidi="ar-SA"/>
        </w:rPr>
        <w:t>（万元）</w:t>
      </w:r>
    </w:p>
    <w:p w14:paraId="61219EB5">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住宅用房</w:t>
      </w:r>
      <w:r>
        <w:rPr>
          <w:rFonts w:hint="default" w:ascii="仿宋_GB2312" w:hAnsi="仿宋_GB2312" w:eastAsia="仿宋_GB2312" w:cs="仿宋_GB2312"/>
          <w:b w:val="0"/>
          <w:bCs w:val="0"/>
          <w:color w:val="000000"/>
          <w:kern w:val="2"/>
          <w:sz w:val="28"/>
          <w:szCs w:val="28"/>
          <w:highlight w:val="none"/>
          <w:lang w:val="en-US" w:eastAsia="zh-CN" w:bidi="ar-SA"/>
        </w:rPr>
        <w:t>经营管理费＝房地年总收益×2%</w:t>
      </w:r>
    </w:p>
    <w:p w14:paraId="261CAE16">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8.6069</w:t>
      </w:r>
      <w:r>
        <w:rPr>
          <w:rFonts w:hint="default" w:ascii="仿宋_GB2312" w:hAnsi="仿宋_GB2312" w:eastAsia="仿宋_GB2312" w:cs="仿宋_GB2312"/>
          <w:b w:val="0"/>
          <w:bCs w:val="0"/>
          <w:color w:val="000000"/>
          <w:kern w:val="2"/>
          <w:sz w:val="28"/>
          <w:szCs w:val="28"/>
          <w:highlight w:val="none"/>
          <w:lang w:val="en-US" w:eastAsia="zh-CN" w:bidi="ar-SA"/>
        </w:rPr>
        <w:t>×2%</w:t>
      </w:r>
    </w:p>
    <w:p w14:paraId="4269A2F2">
      <w:pPr>
        <w:pStyle w:val="2"/>
        <w:rPr>
          <w:rFonts w:hint="default"/>
          <w:highlight w:val="none"/>
          <w:lang w:val="en-US" w:eastAsia="zh-CN"/>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cs="仿宋_GB2312"/>
          <w:b w:val="0"/>
          <w:bCs w:val="0"/>
          <w:color w:val="000000"/>
          <w:kern w:val="2"/>
          <w:sz w:val="28"/>
          <w:szCs w:val="28"/>
          <w:highlight w:val="none"/>
          <w:lang w:val="en-US" w:eastAsia="zh-CN" w:bidi="ar-SA"/>
        </w:rPr>
        <w:t>0.1721</w:t>
      </w:r>
      <w:r>
        <w:rPr>
          <w:rFonts w:hint="default" w:ascii="仿宋_GB2312" w:hAnsi="仿宋_GB2312" w:eastAsia="仿宋_GB2312" w:cs="仿宋_GB2312"/>
          <w:b w:val="0"/>
          <w:bCs w:val="0"/>
          <w:color w:val="000000"/>
          <w:kern w:val="2"/>
          <w:sz w:val="28"/>
          <w:szCs w:val="28"/>
          <w:highlight w:val="none"/>
          <w:lang w:val="en-US" w:eastAsia="zh-CN" w:bidi="ar-SA"/>
        </w:rPr>
        <w:t>（万元）</w:t>
      </w:r>
    </w:p>
    <w:p w14:paraId="6078E48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（2）经营维修费：指为保障房屋正常使用每年需支付的修缮费。根据估价对象房屋的实际使用情况，按建筑物重置价格的2%计算。</w:t>
      </w:r>
    </w:p>
    <w:p w14:paraId="0D05F9B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default" w:ascii="仿宋_GB2312" w:hAnsi="仿宋_GB2312" w:eastAsia="仿宋_GB2312" w:cs="仿宋_GB2312"/>
          <w:sz w:val="28"/>
          <w:szCs w:val="30"/>
          <w:highlight w:val="none"/>
          <w:lang w:val="en-US" w:eastAsia="zh-CN"/>
        </w:rPr>
      </w:pPr>
      <w:r>
        <w:rPr>
          <w:rFonts w:hint="eastAsia" w:ascii="仿宋_GB2312" w:hAnsi="Times New Roman" w:eastAsia="仿宋_GB2312" w:cs="Times New Roman"/>
          <w:sz w:val="28"/>
          <w:szCs w:val="30"/>
          <w:highlight w:val="none"/>
          <w:lang w:val="en-GB"/>
        </w:rPr>
        <w:t>根据《湖南省房地产协会关于发布&lt;湖南省建筑物建设成本参考标准研究成果&gt;的通知》（编号：湘房协[2023]3号，2023年2月14日）中的“各类建筑物建设成本参考标准”，住宅类</w:t>
      </w:r>
      <w:r>
        <w:rPr>
          <w:rFonts w:hint="eastAsia" w:ascii="仿宋_GB2312" w:eastAsia="仿宋_GB2312" w:cs="Times New Roman"/>
          <w:sz w:val="28"/>
          <w:szCs w:val="30"/>
          <w:highlight w:val="none"/>
          <w:lang w:val="en-US" w:eastAsia="zh-CN"/>
        </w:rPr>
        <w:t>砖混</w:t>
      </w:r>
      <w:r>
        <w:rPr>
          <w:rFonts w:hint="eastAsia" w:ascii="仿宋_GB2312" w:hAnsi="Times New Roman" w:eastAsia="仿宋_GB2312" w:cs="Times New Roman"/>
          <w:sz w:val="28"/>
          <w:szCs w:val="30"/>
          <w:highlight w:val="none"/>
          <w:lang w:val="en-GB"/>
        </w:rPr>
        <w:t>结构</w:t>
      </w:r>
      <w:r>
        <w:rPr>
          <w:rFonts w:hint="eastAsia" w:ascii="仿宋_GB2312" w:eastAsia="仿宋_GB2312" w:cs="Times New Roman"/>
          <w:sz w:val="28"/>
          <w:szCs w:val="30"/>
          <w:highlight w:val="none"/>
          <w:lang w:val="en-US" w:eastAsia="zh-CN"/>
        </w:rPr>
        <w:t>二等</w:t>
      </w:r>
      <w:r>
        <w:rPr>
          <w:rFonts w:hint="eastAsia" w:ascii="仿宋_GB2312" w:hAnsi="Times New Roman" w:eastAsia="仿宋_GB2312" w:cs="Times New Roman"/>
          <w:sz w:val="28"/>
          <w:szCs w:val="30"/>
          <w:highlight w:val="none"/>
          <w:lang w:val="en-GB"/>
        </w:rPr>
        <w:t>建设成本价格在1</w:t>
      </w:r>
      <w:r>
        <w:rPr>
          <w:rFonts w:hint="eastAsia" w:ascii="仿宋_GB2312" w:eastAsia="仿宋_GB2312" w:cs="Times New Roman"/>
          <w:sz w:val="28"/>
          <w:szCs w:val="30"/>
          <w:highlight w:val="none"/>
          <w:lang w:val="en-US" w:eastAsia="zh-CN"/>
        </w:rPr>
        <w:t>2</w:t>
      </w:r>
      <w:r>
        <w:rPr>
          <w:rFonts w:hint="eastAsia" w:ascii="仿宋_GB2312" w:hAnsi="Times New Roman" w:eastAsia="仿宋_GB2312" w:cs="Times New Roman"/>
          <w:sz w:val="28"/>
          <w:szCs w:val="30"/>
          <w:highlight w:val="none"/>
          <w:lang w:val="en-GB"/>
        </w:rPr>
        <w:t>00-1</w:t>
      </w:r>
      <w:r>
        <w:rPr>
          <w:rFonts w:hint="eastAsia" w:ascii="仿宋_GB2312" w:eastAsia="仿宋_GB2312" w:cs="Times New Roman"/>
          <w:sz w:val="28"/>
          <w:szCs w:val="30"/>
          <w:highlight w:val="none"/>
          <w:lang w:val="en-US" w:eastAsia="zh-CN"/>
        </w:rPr>
        <w:t>3</w:t>
      </w:r>
      <w:r>
        <w:rPr>
          <w:rFonts w:hint="eastAsia" w:ascii="仿宋_GB2312" w:hAnsi="Times New Roman" w:eastAsia="仿宋_GB2312" w:cs="Times New Roman"/>
          <w:sz w:val="28"/>
          <w:szCs w:val="30"/>
          <w:highlight w:val="none"/>
          <w:lang w:val="en-GB"/>
        </w:rPr>
        <w:t>00元/平方米</w:t>
      </w:r>
      <w:r>
        <w:rPr>
          <w:rFonts w:hint="eastAsia" w:ascii="仿宋_GB2312" w:hAnsi="Times New Roman" w:eastAsia="仿宋_GB2312" w:cs="Times New Roman"/>
          <w:sz w:val="28"/>
          <w:szCs w:val="30"/>
          <w:highlight w:val="none"/>
          <w:lang w:val="en-GB" w:eastAsia="zh-CN"/>
        </w:rPr>
        <w:t>，</w:t>
      </w:r>
      <w:r>
        <w:rPr>
          <w:rFonts w:hint="eastAsia" w:ascii="仿宋_GB2312" w:hAnsi="Times New Roman" w:eastAsia="仿宋_GB2312" w:cs="Times New Roman"/>
          <w:sz w:val="28"/>
          <w:szCs w:val="30"/>
          <w:highlight w:val="none"/>
          <w:lang w:val="en-GB"/>
        </w:rPr>
        <w:t>根据《湖南省房地产协会关于发布&lt;湖南省建筑物建设成本参考标准研究成果&gt;的通知》（编号：湘房协[2023]3号，2023年2月14日）中的“利用系数表”，估价对象位于</w:t>
      </w:r>
      <w:r>
        <w:rPr>
          <w:rFonts w:hint="eastAsia" w:ascii="仿宋_GB2312" w:eastAsia="仿宋_GB2312" w:cs="Times New Roman"/>
          <w:sz w:val="28"/>
          <w:szCs w:val="30"/>
          <w:highlight w:val="none"/>
          <w:lang w:val="en-US" w:eastAsia="zh-CN"/>
        </w:rPr>
        <w:t>通</w:t>
      </w:r>
      <w:r>
        <w:rPr>
          <w:rFonts w:hint="eastAsia" w:ascii="仿宋_GB2312" w:hAnsi="Times New Roman" w:eastAsia="仿宋_GB2312" w:cs="Times New Roman"/>
          <w:sz w:val="28"/>
          <w:szCs w:val="30"/>
          <w:highlight w:val="none"/>
          <w:lang w:val="en-US" w:eastAsia="zh-CN"/>
        </w:rPr>
        <w:t>道县</w:t>
      </w:r>
      <w:r>
        <w:rPr>
          <w:rFonts w:hint="eastAsia" w:ascii="仿宋_GB2312" w:hAnsi="Times New Roman" w:eastAsia="仿宋_GB2312" w:cs="Times New Roman"/>
          <w:sz w:val="28"/>
          <w:szCs w:val="30"/>
          <w:highlight w:val="none"/>
          <w:lang w:val="en-GB"/>
        </w:rPr>
        <w:t>，应进行利用系数修正，修正系数为</w:t>
      </w:r>
      <w:r>
        <w:rPr>
          <w:rFonts w:hint="eastAsia" w:ascii="仿宋_GB2312" w:hAnsi="Times New Roman" w:eastAsia="仿宋_GB2312" w:cs="Times New Roman"/>
          <w:sz w:val="28"/>
          <w:szCs w:val="30"/>
          <w:highlight w:val="none"/>
          <w:lang w:val="en-US" w:eastAsia="zh-CN"/>
        </w:rPr>
        <w:t>0.90</w:t>
      </w:r>
      <w:r>
        <w:rPr>
          <w:rFonts w:hint="eastAsia" w:ascii="仿宋_GB2312" w:hAnsi="Times New Roman" w:eastAsia="仿宋_GB2312" w:cs="Times New Roman"/>
          <w:sz w:val="28"/>
          <w:szCs w:val="30"/>
          <w:highlight w:val="none"/>
          <w:lang w:val="en-GB"/>
        </w:rPr>
        <w:t>，取</w:t>
      </w:r>
      <w:r>
        <w:rPr>
          <w:rFonts w:hint="eastAsia" w:ascii="仿宋_GB2312" w:eastAsia="仿宋_GB2312" w:cs="Times New Roman"/>
          <w:sz w:val="28"/>
          <w:szCs w:val="30"/>
          <w:highlight w:val="none"/>
          <w:lang w:val="en-US" w:eastAsia="zh-CN"/>
        </w:rPr>
        <w:t>二等砖混</w:t>
      </w:r>
      <w:r>
        <w:rPr>
          <w:rFonts w:hint="eastAsia" w:ascii="仿宋_GB2312" w:hAnsi="Times New Roman" w:eastAsia="仿宋_GB2312" w:cs="Times New Roman"/>
          <w:sz w:val="28"/>
          <w:szCs w:val="30"/>
          <w:highlight w:val="none"/>
          <w:lang w:val="en-GB"/>
        </w:rPr>
        <w:t>结构重置价格为</w:t>
      </w:r>
      <w:r>
        <w:rPr>
          <w:rFonts w:hint="eastAsia" w:ascii="仿宋_GB2312" w:hAnsi="Times New Roman" w:eastAsia="仿宋_GB2312" w:cs="Times New Roman"/>
          <w:sz w:val="28"/>
          <w:szCs w:val="30"/>
          <w:highlight w:val="none"/>
          <w:lang w:val="en-US" w:eastAsia="zh-CN"/>
        </w:rPr>
        <w:t>1</w:t>
      </w:r>
      <w:r>
        <w:rPr>
          <w:rFonts w:hint="eastAsia" w:ascii="仿宋_GB2312" w:eastAsia="仿宋_GB2312" w:cs="Times New Roman"/>
          <w:sz w:val="28"/>
          <w:szCs w:val="30"/>
          <w:highlight w:val="none"/>
          <w:lang w:val="en-US" w:eastAsia="zh-CN"/>
        </w:rPr>
        <w:t>3</w:t>
      </w:r>
      <w:r>
        <w:rPr>
          <w:rFonts w:hint="eastAsia" w:ascii="仿宋_GB2312" w:hAnsi="Times New Roman" w:eastAsia="仿宋_GB2312" w:cs="Times New Roman"/>
          <w:sz w:val="28"/>
          <w:szCs w:val="30"/>
          <w:highlight w:val="none"/>
          <w:lang w:val="en-US" w:eastAsia="zh-CN"/>
        </w:rPr>
        <w:t>00</w:t>
      </w:r>
      <w:r>
        <w:rPr>
          <w:rFonts w:hint="eastAsia" w:ascii="仿宋_GB2312" w:hAnsi="Times New Roman" w:eastAsia="仿宋_GB2312" w:cs="Times New Roman"/>
          <w:sz w:val="28"/>
          <w:szCs w:val="30"/>
          <w:highlight w:val="none"/>
          <w:lang w:val="en-GB"/>
        </w:rPr>
        <w:t>元/平方米，</w:t>
      </w:r>
      <w:r>
        <w:rPr>
          <w:rFonts w:hint="eastAsia" w:ascii="仿宋_GB2312" w:eastAsia="仿宋_GB2312" w:cs="Times New Roman"/>
          <w:sz w:val="28"/>
          <w:szCs w:val="30"/>
          <w:highlight w:val="none"/>
          <w:lang w:val="en-US" w:eastAsia="zh-CN"/>
        </w:rPr>
        <w:t>则通道县类似混合结构建筑物重置价为1300×0.9=</w:t>
      </w:r>
      <w:r>
        <w:rPr>
          <w:rFonts w:hint="eastAsia" w:ascii="仿宋_GB2312" w:hAnsi="仿宋_GB2312" w:eastAsia="仿宋_GB2312" w:cs="仿宋_GB2312"/>
          <w:sz w:val="28"/>
          <w:szCs w:val="30"/>
          <w:highlight w:val="none"/>
          <w:lang w:val="en-US" w:eastAsia="zh-CN"/>
        </w:rPr>
        <w:t>1170元/平方米。</w:t>
      </w:r>
    </w:p>
    <w:p w14:paraId="16EACBA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sz w:val="28"/>
          <w:szCs w:val="28"/>
          <w:highlight w:val="none"/>
        </w:rPr>
        <w:t>考虑近几年价格上涨水平，取砖混结构重置价格年增长率为</w:t>
      </w:r>
      <w:r>
        <w:rPr>
          <w:rFonts w:hint="eastAsia" w:ascii="仿宋_GB2312" w:hAnsi="仿宋_GB2312" w:eastAsia="仿宋_GB2312" w:cs="仿宋_GB2312"/>
          <w:sz w:val="28"/>
          <w:szCs w:val="28"/>
          <w:highlight w:val="none"/>
          <w:lang w:val="en-US" w:eastAsia="zh-CN"/>
        </w:rPr>
        <w:t>3</w:t>
      </w:r>
      <w:r>
        <w:rPr>
          <w:rFonts w:hint="eastAsia" w:ascii="仿宋_GB2312" w:hAnsi="仿宋_GB2312" w:eastAsia="仿宋_GB2312" w:cs="仿宋_GB2312"/>
          <w:sz w:val="28"/>
          <w:szCs w:val="28"/>
          <w:highlight w:val="none"/>
        </w:rPr>
        <w:t>%。</w:t>
      </w:r>
      <w:r>
        <w:rPr>
          <w:rFonts w:hint="eastAsia" w:ascii="仿宋_GB2312" w:hAnsi="Times New Roman" w:eastAsia="仿宋_GB2312" w:cs="Times New Roman"/>
          <w:sz w:val="28"/>
          <w:szCs w:val="30"/>
          <w:highlight w:val="none"/>
          <w:lang w:val="en-GB"/>
        </w:rPr>
        <w:t>《湖南省房地产协会关于发布&lt;湖南省建筑物建设成本参考标准研究成果&gt;的通知》（编号：湘房协[2023]3号，2023年2月14日）建筑物建设成本对应的价值时点为2023年1月</w:t>
      </w:r>
      <w:r>
        <w:rPr>
          <w:rFonts w:hint="eastAsia" w:ascii="仿宋_GB2312" w:hAnsi="仿宋_GB2312" w:eastAsia="仿宋_GB2312" w:cs="仿宋_GB2312"/>
          <w:sz w:val="28"/>
          <w:szCs w:val="30"/>
          <w:highlight w:val="none"/>
          <w:lang w:val="en-GB"/>
        </w:rPr>
        <w:t xml:space="preserve">1 </w:t>
      </w:r>
      <w:r>
        <w:rPr>
          <w:rFonts w:hint="eastAsia" w:ascii="仿宋_GB2312" w:hAnsi="仿宋_GB2312" w:eastAsia="仿宋_GB2312" w:cs="仿宋_GB2312"/>
          <w:b w:val="0"/>
          <w:bCs w:val="0"/>
          <w:color w:val="000000"/>
          <w:sz w:val="28"/>
          <w:szCs w:val="28"/>
          <w:highlight w:val="none"/>
        </w:rPr>
        <w:t>日</w:t>
      </w:r>
      <w:r>
        <w:rPr>
          <w:rFonts w:hint="eastAsia" w:ascii="仿宋_GB2312" w:hAnsi="仿宋_GB2312" w:eastAsia="仿宋_GB2312" w:cs="仿宋_GB2312"/>
          <w:sz w:val="28"/>
          <w:highlight w:val="none"/>
        </w:rPr>
        <w:t>，而本次评估的估价期日是</w:t>
      </w:r>
      <w:r>
        <w:rPr>
          <w:rFonts w:hint="eastAsia" w:ascii="仿宋_GB2312" w:hAnsi="仿宋_GB2312" w:eastAsia="仿宋_GB2312" w:cs="仿宋_GB2312"/>
          <w:sz w:val="28"/>
          <w:highlight w:val="none"/>
          <w:lang w:eastAsia="zh-CN"/>
        </w:rPr>
        <w:t>2026年2月3日</w:t>
      </w:r>
      <w:r>
        <w:rPr>
          <w:rFonts w:hint="eastAsia" w:ascii="仿宋_GB2312" w:hAnsi="仿宋_GB2312" w:eastAsia="仿宋_GB2312" w:cs="仿宋_GB2312"/>
          <w:sz w:val="28"/>
          <w:highlight w:val="none"/>
        </w:rPr>
        <w:t>，相距</w:t>
      </w:r>
      <w:r>
        <w:rPr>
          <w:rFonts w:hint="eastAsia" w:ascii="仿宋_GB2312" w:hAnsi="仿宋_GB2312" w:eastAsia="仿宋_GB2312" w:cs="仿宋_GB2312"/>
          <w:sz w:val="28"/>
          <w:highlight w:val="none"/>
          <w:lang w:val="en-US" w:eastAsia="zh-CN"/>
        </w:rPr>
        <w:t>3.09</w:t>
      </w:r>
      <w:r>
        <w:rPr>
          <w:rFonts w:hint="eastAsia" w:ascii="仿宋_GB2312" w:hAnsi="仿宋_GB2312" w:eastAsia="仿宋_GB2312" w:cs="仿宋_GB2312"/>
          <w:sz w:val="28"/>
          <w:highlight w:val="none"/>
        </w:rPr>
        <w:t>年。</w:t>
      </w:r>
    </w:p>
    <w:p w14:paraId="617891A6">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highlight w:val="none"/>
          <w:lang w:val="en-US" w:eastAsia="zh-CN"/>
        </w:rPr>
      </w:pPr>
      <w:r>
        <w:rPr>
          <w:rFonts w:hint="eastAsia" w:ascii="仿宋_GB2312" w:hAnsi="仿宋_GB2312" w:eastAsia="仿宋_GB2312" w:cs="仿宋_GB2312"/>
          <w:sz w:val="28"/>
          <w:szCs w:val="28"/>
          <w:highlight w:val="none"/>
        </w:rPr>
        <w:t>可确定估价对象估价期日的房屋重置价格</w:t>
      </w:r>
      <w:r>
        <w:rPr>
          <w:rFonts w:hint="eastAsia" w:ascii="仿宋_GB2312" w:hAnsi="仿宋_GB2312" w:eastAsia="仿宋_GB2312" w:cs="仿宋_GB2312"/>
          <w:sz w:val="28"/>
          <w:szCs w:val="28"/>
          <w:highlight w:val="none"/>
          <w:lang w:val="en-US" w:eastAsia="zh-CN"/>
        </w:rPr>
        <w:t>单价</w:t>
      </w:r>
      <w:r>
        <w:rPr>
          <w:rFonts w:hint="eastAsia" w:ascii="仿宋_GB2312" w:hAnsi="仿宋_GB2312" w:eastAsia="仿宋_GB2312" w:cs="仿宋_GB2312"/>
          <w:sz w:val="28"/>
          <w:szCs w:val="28"/>
          <w:highlight w:val="none"/>
        </w:rPr>
        <w:t>为</w:t>
      </w:r>
      <w:r>
        <w:rPr>
          <w:rFonts w:hint="eastAsia" w:ascii="仿宋_GB2312" w:hAnsi="仿宋_GB2312" w:eastAsia="仿宋_GB2312" w:cs="仿宋_GB2312"/>
          <w:sz w:val="28"/>
          <w:szCs w:val="28"/>
          <w:highlight w:val="none"/>
          <w:lang w:val="en-US" w:eastAsia="zh-CN"/>
        </w:rPr>
        <w:t>1170</w:t>
      </w:r>
      <w:r>
        <w:rPr>
          <w:rFonts w:hint="eastAsia" w:ascii="仿宋_GB2312" w:hAnsi="仿宋_GB2312" w:eastAsia="仿宋_GB2312" w:cs="仿宋_GB2312"/>
          <w:sz w:val="28"/>
          <w:szCs w:val="28"/>
          <w:highlight w:val="none"/>
        </w:rPr>
        <w:t>×(1+</w:t>
      </w:r>
      <w:r>
        <w:rPr>
          <w:rFonts w:hint="eastAsia" w:ascii="仿宋_GB2312" w:hAnsi="仿宋_GB2312" w:eastAsia="仿宋_GB2312" w:cs="仿宋_GB2312"/>
          <w:sz w:val="28"/>
          <w:szCs w:val="28"/>
          <w:highlight w:val="none"/>
          <w:lang w:val="en-US" w:eastAsia="zh-CN"/>
        </w:rPr>
        <w:t>3</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sz w:val="28"/>
          <w:highlight w:val="none"/>
          <w:vertAlign w:val="superscript"/>
          <w:lang w:val="en-US" w:eastAsia="zh-CN"/>
        </w:rPr>
        <w:t>3.09</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sz w:val="28"/>
          <w:szCs w:val="28"/>
          <w:highlight w:val="none"/>
          <w:lang w:val="en-US" w:eastAsia="zh-CN"/>
        </w:rPr>
        <w:t>1282</w:t>
      </w:r>
      <w:r>
        <w:rPr>
          <w:rFonts w:hint="eastAsia" w:ascii="仿宋_GB2312" w:hAnsi="仿宋_GB2312" w:eastAsia="仿宋_GB2312" w:cs="仿宋_GB2312"/>
          <w:sz w:val="28"/>
          <w:szCs w:val="28"/>
          <w:highlight w:val="none"/>
        </w:rPr>
        <w:t>元/平方米。</w:t>
      </w:r>
    </w:p>
    <w:p w14:paraId="2D225B2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商业用房房屋重置价格＝重置单价×总建筑面积</w:t>
      </w:r>
    </w:p>
    <w:p w14:paraId="1751CC2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＝1282×164.25＝21.0569（万元）</w:t>
      </w:r>
    </w:p>
    <w:p w14:paraId="53616902">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住宅用房房屋重置价格＝重置单价×总建筑面积</w:t>
      </w:r>
    </w:p>
    <w:p w14:paraId="2E1C72DD">
      <w:pPr>
        <w:pStyle w:val="2"/>
        <w:rPr>
          <w:rFonts w:hint="eastAsia"/>
          <w:highlight w:val="none"/>
          <w:lang w:val="en-US" w:eastAsia="zh-CN"/>
        </w:rPr>
      </w:pPr>
      <w:r>
        <w:rPr>
          <w:rFonts w:hint="eastAsia" w:ascii="仿宋_GB2312" w:hAnsi="仿宋_GB2312" w:eastAsia="仿宋_GB2312" w:cs="仿宋_GB2312"/>
          <w:b w:val="0"/>
          <w:bCs w:val="0"/>
          <w:color w:val="000000"/>
          <w:kern w:val="2"/>
          <w:sz w:val="28"/>
          <w:szCs w:val="28"/>
          <w:highlight w:val="none"/>
          <w:lang w:val="en-US" w:eastAsia="zh-CN" w:bidi="ar-SA"/>
        </w:rPr>
        <w:t>＝1282×</w:t>
      </w:r>
      <w:r>
        <w:rPr>
          <w:rFonts w:hint="eastAsia" w:ascii="仿宋_GB2312" w:hAnsi="仿宋_GB2312" w:cs="仿宋_GB2312"/>
          <w:b w:val="0"/>
          <w:bCs w:val="0"/>
          <w:color w:val="000000"/>
          <w:kern w:val="2"/>
          <w:sz w:val="28"/>
          <w:szCs w:val="28"/>
          <w:highlight w:val="none"/>
          <w:lang w:val="en-US" w:eastAsia="zh-CN" w:bidi="ar-SA"/>
        </w:rPr>
        <w:t>581.22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cs="仿宋_GB2312"/>
          <w:b w:val="0"/>
          <w:bCs w:val="0"/>
          <w:color w:val="000000"/>
          <w:kern w:val="2"/>
          <w:sz w:val="28"/>
          <w:szCs w:val="28"/>
          <w:highlight w:val="none"/>
          <w:lang w:val="en-US" w:eastAsia="zh-CN" w:bidi="ar-SA"/>
        </w:rPr>
        <w:t>74.5124</w:t>
      </w:r>
      <w:r>
        <w:rPr>
          <w:rFonts w:hint="eastAsia" w:ascii="仿宋_GB2312" w:hAnsi="仿宋_GB2312" w:eastAsia="仿宋_GB2312" w:cs="仿宋_GB2312"/>
          <w:b w:val="0"/>
          <w:bCs w:val="0"/>
          <w:color w:val="000000"/>
          <w:kern w:val="2"/>
          <w:sz w:val="28"/>
          <w:szCs w:val="28"/>
          <w:highlight w:val="none"/>
          <w:lang w:val="en-US" w:eastAsia="zh-CN" w:bidi="ar-SA"/>
        </w:rPr>
        <w:t>（万元）</w:t>
      </w:r>
    </w:p>
    <w:p w14:paraId="3E35FEA9">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则：商业用房经营维修费＝房屋重置价格×2%</w:t>
      </w:r>
    </w:p>
    <w:p w14:paraId="2B3444C6">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＝21.0569×2%</w:t>
      </w:r>
    </w:p>
    <w:p w14:paraId="413D9D3D">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＝0.4211（万元）</w:t>
      </w:r>
    </w:p>
    <w:p w14:paraId="1FE60DEA">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住宅用房经营维修费＝房屋重置价格×2%</w:t>
      </w:r>
    </w:p>
    <w:p w14:paraId="0A284F95">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＝74.5124×2%</w:t>
      </w:r>
    </w:p>
    <w:p w14:paraId="069C9435">
      <w:pPr>
        <w:pStyle w:val="2"/>
        <w:ind w:firstLine="2520" w:firstLineChars="900"/>
        <w:rPr>
          <w:rFonts w:hint="eastAsia"/>
          <w:highlight w:val="none"/>
          <w:lang w:val="en-US" w:eastAsia="zh-CN"/>
        </w:rPr>
      </w:pPr>
      <w:r>
        <w:rPr>
          <w:rFonts w:hint="eastAsia"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cs="仿宋_GB2312"/>
          <w:b w:val="0"/>
          <w:bCs w:val="0"/>
          <w:color w:val="000000"/>
          <w:kern w:val="2"/>
          <w:sz w:val="28"/>
          <w:szCs w:val="28"/>
          <w:highlight w:val="none"/>
          <w:lang w:val="en-US" w:eastAsia="zh-CN" w:bidi="ar-SA"/>
        </w:rPr>
        <w:t>1.49002</w:t>
      </w:r>
      <w:r>
        <w:rPr>
          <w:rFonts w:hint="eastAsia" w:ascii="仿宋_GB2312" w:hAnsi="仿宋_GB2312" w:eastAsia="仿宋_GB2312" w:cs="仿宋_GB2312"/>
          <w:b w:val="0"/>
          <w:bCs w:val="0"/>
          <w:color w:val="000000"/>
          <w:kern w:val="2"/>
          <w:sz w:val="28"/>
          <w:szCs w:val="28"/>
          <w:highlight w:val="none"/>
          <w:lang w:val="en-US" w:eastAsia="zh-CN" w:bidi="ar-SA"/>
        </w:rPr>
        <w:t>（万元）</w:t>
      </w:r>
    </w:p>
    <w:p w14:paraId="6DD769B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（3）房屋年保险费：指房产所有人为使自己的房产避免意外损失而向保险公司支付的费用。按房屋现值乘以保险费率2‰计算，则：</w:t>
      </w:r>
    </w:p>
    <w:p w14:paraId="5BEAFAA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计算房屋年折旧费：房屋年折旧费指房屋在使用过程中因损耗而在租金中补偿的那部分价值。</w:t>
      </w:r>
    </w:p>
    <w:p w14:paraId="417125C3">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估价对象建筑为混合结构，耐用年限为50年，残值率2%，估价对象地上房屋建成于2015年，已使用年限约为10年，剩余使用年限40年，此次评估设定出让土地使用权年限为70年，大于房屋剩余使用年限，根据孰短原则，折旧年限＝房屋已使用年限+房屋剩余使用年限。则年折旧费计算公式为：</w:t>
      </w:r>
    </w:p>
    <w:p w14:paraId="64AAAC8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商业用房年折旧费＝房屋重置价×（1-残值率）÷（房屋已使用年限+房屋剩余使用年限）</w:t>
      </w:r>
    </w:p>
    <w:p w14:paraId="253B825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＝21.0569×（1-2%）÷（10+40）</w:t>
      </w:r>
    </w:p>
    <w:p w14:paraId="0C8B782E">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＝0.4127（万元）</w:t>
      </w:r>
    </w:p>
    <w:p w14:paraId="53014758">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住宅用房年折旧费＝房屋重置价×（1-残值率）÷（房屋已使用年限+房屋剩余使用年限）</w:t>
      </w:r>
    </w:p>
    <w:p w14:paraId="09770314">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＝74.5124×（1-2%）÷（10+40）</w:t>
      </w:r>
    </w:p>
    <w:p w14:paraId="23AD9892">
      <w:pPr>
        <w:pStyle w:val="2"/>
        <w:rPr>
          <w:rFonts w:hint="eastAsia"/>
          <w:highlight w:val="none"/>
          <w:lang w:val="en-US" w:eastAsia="zh-CN"/>
        </w:rPr>
      </w:pPr>
      <w:r>
        <w:rPr>
          <w:rFonts w:hint="eastAsia"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cs="仿宋_GB2312"/>
          <w:b w:val="0"/>
          <w:bCs w:val="0"/>
          <w:color w:val="000000"/>
          <w:kern w:val="2"/>
          <w:sz w:val="28"/>
          <w:szCs w:val="28"/>
          <w:highlight w:val="none"/>
          <w:lang w:val="en-US" w:eastAsia="zh-CN" w:bidi="ar-SA"/>
        </w:rPr>
        <w:t>1.4604</w:t>
      </w:r>
      <w:r>
        <w:rPr>
          <w:rFonts w:hint="eastAsia" w:ascii="仿宋_GB2312" w:hAnsi="仿宋_GB2312" w:eastAsia="仿宋_GB2312" w:cs="仿宋_GB2312"/>
          <w:b w:val="0"/>
          <w:bCs w:val="0"/>
          <w:color w:val="000000"/>
          <w:kern w:val="2"/>
          <w:sz w:val="28"/>
          <w:szCs w:val="28"/>
          <w:highlight w:val="none"/>
          <w:lang w:val="en-US" w:eastAsia="zh-CN" w:bidi="ar-SA"/>
        </w:rPr>
        <w:t>（万元）</w:t>
      </w:r>
    </w:p>
    <w:p w14:paraId="55DF112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计算房屋现值</w:t>
      </w:r>
    </w:p>
    <w:p w14:paraId="2BF6FF0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商业用房房屋现值＝房屋重置价格-折旧总额</w:t>
      </w:r>
    </w:p>
    <w:p w14:paraId="3292E274">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＝21.0569-年折旧费×已使用年限</w:t>
      </w:r>
    </w:p>
    <w:p w14:paraId="63B88B0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＝21.0569-0.4127×10</w:t>
      </w:r>
    </w:p>
    <w:p w14:paraId="7B3E59D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＝16.9299（万元）</w:t>
      </w:r>
    </w:p>
    <w:p w14:paraId="5E2191E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住宅用房房屋现值＝房屋重置价格-折旧总额</w:t>
      </w:r>
    </w:p>
    <w:p w14:paraId="26F2D43B">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＝74.5124-年折旧费×已使用年限</w:t>
      </w:r>
    </w:p>
    <w:p w14:paraId="0C1A06BE">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＝74.5124-1.4504×10</w:t>
      </w:r>
    </w:p>
    <w:p w14:paraId="4B02E945">
      <w:pPr>
        <w:pStyle w:val="2"/>
        <w:rPr>
          <w:rFonts w:hint="eastAsia"/>
          <w:highlight w:val="none"/>
          <w:lang w:val="en-US" w:eastAsia="zh-CN"/>
        </w:rPr>
      </w:pPr>
      <w:r>
        <w:rPr>
          <w:rFonts w:hint="eastAsia" w:ascii="仿宋_GB2312" w:hAnsi="仿宋_GB2312" w:eastAsia="仿宋_GB2312" w:cs="仿宋_GB2312"/>
          <w:b w:val="0"/>
          <w:bCs w:val="0"/>
          <w:color w:val="000000"/>
          <w:kern w:val="2"/>
          <w:sz w:val="28"/>
          <w:szCs w:val="28"/>
          <w:highlight w:val="none"/>
          <w:lang w:val="en-US" w:eastAsia="zh-CN" w:bidi="ar-SA"/>
        </w:rPr>
        <w:t xml:space="preserve">         ＝</w:t>
      </w:r>
      <w:r>
        <w:rPr>
          <w:rFonts w:hint="eastAsia" w:ascii="仿宋_GB2312" w:hAnsi="仿宋_GB2312" w:cs="仿宋_GB2312"/>
          <w:b w:val="0"/>
          <w:bCs w:val="0"/>
          <w:color w:val="000000"/>
          <w:kern w:val="2"/>
          <w:sz w:val="28"/>
          <w:szCs w:val="28"/>
          <w:highlight w:val="none"/>
          <w:lang w:val="en-US" w:eastAsia="zh-CN" w:bidi="ar-SA"/>
        </w:rPr>
        <w:t>59.9084</w:t>
      </w:r>
      <w:r>
        <w:rPr>
          <w:rFonts w:hint="eastAsia" w:ascii="仿宋_GB2312" w:hAnsi="仿宋_GB2312" w:eastAsia="仿宋_GB2312" w:cs="仿宋_GB2312"/>
          <w:b w:val="0"/>
          <w:bCs w:val="0"/>
          <w:color w:val="000000"/>
          <w:kern w:val="2"/>
          <w:sz w:val="28"/>
          <w:szCs w:val="28"/>
          <w:highlight w:val="none"/>
          <w:lang w:val="en-US" w:eastAsia="zh-CN" w:bidi="ar-SA"/>
        </w:rPr>
        <w:t>（万元</w:t>
      </w:r>
      <w:r>
        <w:rPr>
          <w:rFonts w:hint="eastAsia" w:ascii="仿宋_GB2312" w:hAnsi="仿宋_GB2312" w:cs="仿宋_GB2312"/>
          <w:b w:val="0"/>
          <w:bCs w:val="0"/>
          <w:color w:val="000000"/>
          <w:kern w:val="2"/>
          <w:sz w:val="28"/>
          <w:szCs w:val="28"/>
          <w:highlight w:val="none"/>
          <w:lang w:val="en-US" w:eastAsia="zh-CN" w:bidi="ar-SA"/>
        </w:rPr>
        <w:t>）</w:t>
      </w:r>
    </w:p>
    <w:p w14:paraId="299E9477">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③</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计算房屋年保险费</w:t>
      </w:r>
    </w:p>
    <w:p w14:paraId="2BBEF3D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商业用房房屋年保险费＝房屋现值×2‰</w:t>
      </w:r>
    </w:p>
    <w:p w14:paraId="2DC0F7F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＝16.9299×2‰</w:t>
      </w:r>
    </w:p>
    <w:p w14:paraId="033A52B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＝0.0339（万元）</w:t>
      </w:r>
    </w:p>
    <w:p w14:paraId="7CA0FCC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住宅用房房屋年保险费＝房屋现值×2‰</w:t>
      </w:r>
    </w:p>
    <w:p w14:paraId="66782DA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＝59.9084×2‰</w:t>
      </w:r>
    </w:p>
    <w:p w14:paraId="7F462A86">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＝0.1198（万元）</w:t>
      </w:r>
    </w:p>
    <w:p w14:paraId="4127948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（4）出租年应交税金</w:t>
      </w:r>
    </w:p>
    <w:p w14:paraId="16B8A9D9">
      <w:pPr>
        <w:keepNext w:val="0"/>
        <w:keepLines w:val="0"/>
        <w:pageBreakBefore w:val="0"/>
        <w:widowControl w:val="0"/>
        <w:kinsoku/>
        <w:wordWrap/>
        <w:overflowPunct/>
        <w:topLinePunct w:val="0"/>
        <w:bidi w:val="0"/>
        <w:adjustRightInd w:val="0"/>
        <w:snapToGrid w:val="0"/>
        <w:spacing w:line="480" w:lineRule="exact"/>
        <w:ind w:firstLine="562" w:firstLineChars="200"/>
        <w:rPr>
          <w:rFonts w:hint="eastAsia" w:ascii="仿宋_GB2312" w:hAnsi="仿宋_GB2312" w:eastAsia="仿宋_GB2312" w:cs="仿宋_GB2312"/>
          <w:b w:val="0"/>
          <w:bCs w:val="0"/>
          <w:color w:val="000000"/>
          <w:kern w:val="2"/>
          <w:sz w:val="28"/>
          <w:szCs w:val="28"/>
          <w:highlight w:val="none"/>
          <w:lang w:val="de-DE" w:eastAsia="zh-CN" w:bidi="ar-SA"/>
        </w:rPr>
      </w:pPr>
      <w:r>
        <w:rPr>
          <w:rFonts w:hint="eastAsia" w:ascii="仿宋" w:hAnsi="仿宋" w:eastAsia="仿宋"/>
          <w:b/>
          <w:bCs/>
          <w:sz w:val="28"/>
          <w:highlight w:val="none"/>
          <w:lang w:val="en-US" w:eastAsia="zh-CN"/>
        </w:rPr>
        <w:t>A、出租商业用房</w:t>
      </w:r>
      <w:r>
        <w:rPr>
          <w:rFonts w:ascii="仿宋" w:hAnsi="仿宋" w:eastAsia="仿宋"/>
          <w:b/>
          <w:bCs/>
          <w:sz w:val="28"/>
          <w:highlight w:val="none"/>
        </w:rPr>
        <w:t>应缴纳以下税款：</w:t>
      </w:r>
    </w:p>
    <w:p w14:paraId="27578D64">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de-DE" w:eastAsia="zh-CN" w:bidi="ar-SA"/>
        </w:rPr>
        <w:fldChar w:fldCharType="begin"/>
      </w:r>
      <w:r>
        <w:rPr>
          <w:rFonts w:hint="eastAsia" w:ascii="仿宋_GB2312" w:hAnsi="仿宋_GB2312" w:eastAsia="仿宋_GB2312" w:cs="仿宋_GB2312"/>
          <w:b w:val="0"/>
          <w:bCs w:val="0"/>
          <w:color w:val="000000"/>
          <w:kern w:val="2"/>
          <w:sz w:val="28"/>
          <w:szCs w:val="28"/>
          <w:highlight w:val="none"/>
          <w:lang w:val="de-DE"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de-DE" w:eastAsia="zh-CN" w:bidi="ar-SA"/>
        </w:rPr>
        <w:fldChar w:fldCharType="separate"/>
      </w:r>
      <w:r>
        <w:rPr>
          <w:rFonts w:hint="eastAsia" w:ascii="仿宋_GB2312" w:hAnsi="仿宋_GB2312" w:eastAsia="仿宋_GB2312" w:cs="仿宋_GB2312"/>
          <w:b w:val="0"/>
          <w:bCs w:val="0"/>
          <w:color w:val="000000"/>
          <w:kern w:val="2"/>
          <w:sz w:val="28"/>
          <w:szCs w:val="28"/>
          <w:highlight w:val="none"/>
          <w:lang w:val="de-DE" w:eastAsia="zh-CN" w:bidi="ar-SA"/>
        </w:rPr>
        <w:t>①</w:t>
      </w:r>
      <w:r>
        <w:rPr>
          <w:rFonts w:hint="eastAsia" w:ascii="仿宋_GB2312" w:hAnsi="仿宋_GB2312" w:eastAsia="仿宋_GB2312" w:cs="仿宋_GB2312"/>
          <w:b w:val="0"/>
          <w:bCs w:val="0"/>
          <w:color w:val="000000"/>
          <w:kern w:val="2"/>
          <w:sz w:val="28"/>
          <w:szCs w:val="28"/>
          <w:highlight w:val="none"/>
          <w:lang w:val="de-DE"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增值税及城市建设维护税和教育费附加</w:t>
      </w:r>
    </w:p>
    <w:p w14:paraId="66A6FE1B">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根据《财政部税务总局关于增值税法施行后增值税优惠政策衔接事项的公告》（财政部 税务总局公告2026年第10号，2026年1月30日），小规模纳税人增值税起征点为月销售额10万元，估价对象平均月租金收入未超过10万元，免征增值税。</w:t>
      </w:r>
    </w:p>
    <w:p w14:paraId="20D36B8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②附加税（城市维护建设税、教育费附加、地方教育附加）</w:t>
      </w:r>
    </w:p>
    <w:p w14:paraId="22554A4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增值税附加是以缴纳的增值税为基数，估价对象免征增值税，因此增值税附加为0。</w:t>
      </w:r>
    </w:p>
    <w:p w14:paraId="663B15F5">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③印花税：根据《财政部 国家税务总局 关于廉租住房经济适用住房和住房租赁有关税收政策的通知》（财税〔2008〕24号），对个人出租、承租住房签订的租赁合同，免征印花税。</w:t>
      </w:r>
    </w:p>
    <w:p w14:paraId="65FB287F">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④房产税：</w:t>
      </w:r>
      <w:r>
        <w:rPr>
          <w:rFonts w:hint="eastAsia" w:ascii="仿宋_GB2312" w:hAnsi="仿宋_GB2312" w:eastAsia="仿宋_GB2312" w:cs="仿宋_GB2312"/>
          <w:sz w:val="28"/>
          <w:highlight w:val="none"/>
        </w:rPr>
        <w:t>根据《财政部、国家税务总局关于廉租住房经济适用住房和住房租赁有关税收政策的通知》（财税[2008]24号）规定，出租个人商服用房的房产税税率为12%。</w:t>
      </w:r>
      <w:r>
        <w:rPr>
          <w:rFonts w:hint="eastAsia" w:ascii="仿宋_GB2312" w:hAnsi="仿宋_GB2312" w:eastAsia="仿宋_GB2312" w:cs="仿宋_GB2312"/>
          <w:b w:val="0"/>
          <w:bCs w:val="0"/>
          <w:color w:val="000000"/>
          <w:kern w:val="2"/>
          <w:sz w:val="28"/>
          <w:szCs w:val="28"/>
          <w:highlight w:val="none"/>
          <w:lang w:val="en-US" w:eastAsia="zh-CN" w:bidi="ar-SA"/>
        </w:rPr>
        <w:t>根据《财政部税务总局关于进一步支持小微企业和个体工商户发展有关税费政策的公告》（财政部 税务总局公告2023年第12号，2023年8月2日），对增值税小规模纳税人减半征收房产税。</w:t>
      </w:r>
    </w:p>
    <w:p w14:paraId="3A82926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商业用房出租年应交税金＝年总收益×税率</w:t>
      </w:r>
    </w:p>
    <w:p w14:paraId="53EDAB48">
      <w:pPr>
        <w:keepNext w:val="0"/>
        <w:keepLines w:val="0"/>
        <w:pageBreakBefore w:val="0"/>
        <w:widowControl w:val="0"/>
        <w:kinsoku/>
        <w:wordWrap/>
        <w:overflowPunct/>
        <w:topLinePunct w:val="0"/>
        <w:bidi w:val="0"/>
        <w:adjustRightInd w:val="0"/>
        <w:snapToGrid w:val="0"/>
        <w:spacing w:line="480" w:lineRule="exact"/>
        <w:ind w:firstLine="2520" w:firstLineChars="9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＝4.4540×12%×50%</w:t>
      </w:r>
    </w:p>
    <w:p w14:paraId="54EA8DD9">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＝0.2672（万元）</w:t>
      </w:r>
    </w:p>
    <w:p w14:paraId="603717FB">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商业用房房地出租年总费用＝经营管理费+经营维修费+房屋年保险费+房屋出租年应交税金＝0.0891+0.4211+0.0339+0.2672</w:t>
      </w:r>
    </w:p>
    <w:p w14:paraId="0F5FA4A2">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＝0.8113（万元）</w:t>
      </w:r>
    </w:p>
    <w:p w14:paraId="452A7A5E">
      <w:pPr>
        <w:pStyle w:val="2"/>
        <w:keepNext w:val="0"/>
        <w:keepLines w:val="0"/>
        <w:pageBreakBefore w:val="0"/>
        <w:widowControl w:val="0"/>
        <w:kinsoku/>
        <w:wordWrap/>
        <w:overflowPunct/>
        <w:topLinePunct w:val="0"/>
        <w:autoSpaceDE/>
        <w:autoSpaceDN/>
        <w:bidi w:val="0"/>
        <w:spacing w:line="480" w:lineRule="exact"/>
        <w:textAlignment w:val="auto"/>
        <w:rPr>
          <w:rFonts w:ascii="仿宋" w:hAnsi="仿宋" w:eastAsia="仿宋"/>
          <w:sz w:val="28"/>
          <w:highlight w:val="none"/>
        </w:rPr>
      </w:pPr>
      <w:r>
        <w:rPr>
          <w:rFonts w:hint="eastAsia" w:ascii="仿宋" w:hAnsi="仿宋" w:eastAsia="仿宋"/>
          <w:b/>
          <w:bCs/>
          <w:sz w:val="28"/>
          <w:highlight w:val="none"/>
          <w:lang w:val="en-US" w:eastAsia="zh-CN"/>
        </w:rPr>
        <w:t>B、</w:t>
      </w:r>
      <w:r>
        <w:rPr>
          <w:rFonts w:ascii="仿宋" w:hAnsi="仿宋" w:eastAsia="仿宋"/>
          <w:b/>
          <w:bCs/>
          <w:sz w:val="28"/>
          <w:highlight w:val="none"/>
        </w:rPr>
        <w:t>出租</w:t>
      </w:r>
      <w:r>
        <w:rPr>
          <w:rFonts w:hint="eastAsia" w:ascii="仿宋" w:hAnsi="仿宋" w:eastAsia="仿宋"/>
          <w:b/>
          <w:bCs/>
          <w:sz w:val="28"/>
          <w:highlight w:val="none"/>
          <w:lang w:val="en-US" w:eastAsia="zh-CN"/>
        </w:rPr>
        <w:t>住宅</w:t>
      </w:r>
      <w:r>
        <w:rPr>
          <w:rFonts w:hint="eastAsia" w:ascii="仿宋" w:hAnsi="仿宋" w:eastAsia="仿宋"/>
          <w:b/>
          <w:bCs/>
          <w:sz w:val="28"/>
          <w:highlight w:val="none"/>
        </w:rPr>
        <w:t>用房</w:t>
      </w:r>
      <w:r>
        <w:rPr>
          <w:rFonts w:ascii="仿宋" w:hAnsi="仿宋" w:eastAsia="仿宋"/>
          <w:b/>
          <w:bCs/>
          <w:sz w:val="28"/>
          <w:highlight w:val="none"/>
        </w:rPr>
        <w:t>应缴纳以下税款：</w:t>
      </w:r>
    </w:p>
    <w:p w14:paraId="6F09062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de-DE" w:eastAsia="zh-CN" w:bidi="ar-SA"/>
        </w:rPr>
        <w:fldChar w:fldCharType="begin"/>
      </w:r>
      <w:r>
        <w:rPr>
          <w:rFonts w:hint="eastAsia" w:ascii="仿宋_GB2312" w:hAnsi="仿宋_GB2312" w:eastAsia="仿宋_GB2312" w:cs="仿宋_GB2312"/>
          <w:b w:val="0"/>
          <w:bCs w:val="0"/>
          <w:color w:val="000000"/>
          <w:kern w:val="2"/>
          <w:sz w:val="28"/>
          <w:szCs w:val="28"/>
          <w:highlight w:val="none"/>
          <w:lang w:val="de-DE"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de-DE" w:eastAsia="zh-CN" w:bidi="ar-SA"/>
        </w:rPr>
        <w:fldChar w:fldCharType="separate"/>
      </w:r>
      <w:r>
        <w:rPr>
          <w:rFonts w:hint="eastAsia" w:ascii="仿宋_GB2312" w:hAnsi="仿宋_GB2312" w:eastAsia="仿宋_GB2312" w:cs="仿宋_GB2312"/>
          <w:b w:val="0"/>
          <w:bCs w:val="0"/>
          <w:color w:val="000000"/>
          <w:kern w:val="2"/>
          <w:sz w:val="28"/>
          <w:szCs w:val="28"/>
          <w:highlight w:val="none"/>
          <w:lang w:val="de-DE" w:eastAsia="zh-CN" w:bidi="ar-SA"/>
        </w:rPr>
        <w:t>①</w:t>
      </w:r>
      <w:r>
        <w:rPr>
          <w:rFonts w:hint="eastAsia" w:ascii="仿宋_GB2312" w:hAnsi="仿宋_GB2312" w:eastAsia="仿宋_GB2312" w:cs="仿宋_GB2312"/>
          <w:b w:val="0"/>
          <w:bCs w:val="0"/>
          <w:color w:val="000000"/>
          <w:kern w:val="2"/>
          <w:sz w:val="28"/>
          <w:szCs w:val="28"/>
          <w:highlight w:val="none"/>
          <w:lang w:val="de-DE"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增值税及城市建设维护税和教育费附加</w:t>
      </w:r>
    </w:p>
    <w:p w14:paraId="33C1994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关于全面推开营业税改征增值税试点有关税收征收管理事项的公告》（2016年第23号）、《国务院办公厅关于加快培育和发展住房租赁市场的若干意见》（国办发〔2016〕39号），落实营改增关于住房租赁的有关政策，对个人出租住房的，由按照5%的征收率减按1.5%计算缴纳增值税；根据《财政部税务总局关于增值税法施行后增值税优惠政策衔接事项的公告》（财政部 税务总局公告2026年第10号，2026年1月30日），小规模纳税人增值税起征点为月销售额10万元，估价对象平均月租金收入未超过10万元，免征增值税。</w:t>
      </w:r>
    </w:p>
    <w:p w14:paraId="45600F58">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②附加税（城市维护建设税、教育费附加、地方教育附加）</w:t>
      </w:r>
    </w:p>
    <w:p w14:paraId="51D8B62B">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增值税附加是以缴纳的增值税为基数，估价对象免征增值税，因此增值税附加为0。</w:t>
      </w:r>
    </w:p>
    <w:p w14:paraId="2B512CC2">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③印花税：根据《财政部 国家税务总局 关于廉租住房经济适用住房和住房租赁有关税收政策的通知》（财税〔2008〕24号），对个人出租、承租住房签订的租赁合同，免征印花税。</w:t>
      </w:r>
    </w:p>
    <w:p w14:paraId="205E57F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④房产税：根据《财政部 国家税务总局 关于廉租住房经济适用住房和住房租赁有关税收政策的通知》（财税〔2008〕24号），对个人出租住房，按4%的税率征收房产税。根据《财政部税务总局关于进一步支持小微企业和个体工商户发展有关税费政策的公告》（财政部 税务总局公告2023年第12号，2023年8月2日），对增值税小规模纳税人减半征收房产税。</w:t>
      </w:r>
    </w:p>
    <w:p w14:paraId="3983ECDA">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住宅用房出租年应交税金＝年总收益×税率</w:t>
      </w:r>
    </w:p>
    <w:p w14:paraId="1E16065A">
      <w:pPr>
        <w:keepNext w:val="0"/>
        <w:keepLines w:val="0"/>
        <w:pageBreakBefore w:val="0"/>
        <w:widowControl w:val="0"/>
        <w:kinsoku/>
        <w:wordWrap/>
        <w:overflowPunct/>
        <w:topLinePunct w:val="0"/>
        <w:bidi w:val="0"/>
        <w:adjustRightInd w:val="0"/>
        <w:snapToGrid w:val="0"/>
        <w:spacing w:line="480" w:lineRule="exact"/>
        <w:ind w:firstLine="2520" w:firstLineChars="9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＝8.6069×4%×50%</w:t>
      </w:r>
    </w:p>
    <w:p w14:paraId="369E69CD">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＝0.1721（万元）</w:t>
      </w:r>
    </w:p>
    <w:p w14:paraId="39FD166B">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住宅用房房地出租年总费用＝经营管理费+经营维修费+房屋年保险费+房屋出租年应交税金＝0.1721+1.4902+0.1198+0.1721</w:t>
      </w:r>
    </w:p>
    <w:p w14:paraId="79DF8D4B">
      <w:pPr>
        <w:rPr>
          <w:rFonts w:hint="eastAsia"/>
          <w:highlight w:val="none"/>
          <w:lang w:val="en-US" w:eastAsia="zh-CN"/>
        </w:rPr>
      </w:pPr>
      <w:r>
        <w:rPr>
          <w:rFonts w:hint="eastAsia" w:ascii="仿宋_GB2312" w:hAnsi="仿宋_GB2312" w:eastAsia="仿宋_GB2312" w:cs="仿宋_GB2312"/>
          <w:b w:val="0"/>
          <w:bCs w:val="0"/>
          <w:color w:val="000000"/>
          <w:kern w:val="2"/>
          <w:sz w:val="28"/>
          <w:szCs w:val="28"/>
          <w:highlight w:val="none"/>
          <w:lang w:val="en-US" w:eastAsia="zh-CN" w:bidi="ar-SA"/>
        </w:rPr>
        <w:t xml:space="preserve">             ＝1.9542（万元）</w:t>
      </w:r>
    </w:p>
    <w:p w14:paraId="4368597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3、房地年纯收益</w:t>
      </w:r>
    </w:p>
    <w:p w14:paraId="3AF48718">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商业用房房地年纯收益＝房地年总收益-房地年总费用</w:t>
      </w:r>
    </w:p>
    <w:p w14:paraId="53D6B511">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＝4.4540-0.8113</w:t>
      </w:r>
    </w:p>
    <w:p w14:paraId="57761BD1">
      <w:pPr>
        <w:keepNext w:val="0"/>
        <w:keepLines w:val="0"/>
        <w:pageBreakBefore w:val="0"/>
        <w:widowControl w:val="0"/>
        <w:kinsoku/>
        <w:wordWrap/>
        <w:overflowPunct/>
        <w:topLinePunct w:val="0"/>
        <w:bidi w:val="0"/>
        <w:adjustRightInd w:val="0"/>
        <w:snapToGrid w:val="0"/>
        <w:spacing w:line="480" w:lineRule="exact"/>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＝3.6427（万元）</w:t>
      </w:r>
    </w:p>
    <w:p w14:paraId="05D0935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住宅用房房地年纯收益＝房地年总收益-房地年总费用</w:t>
      </w:r>
    </w:p>
    <w:p w14:paraId="5308B9AD">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＝8.6069-1.9542</w:t>
      </w:r>
    </w:p>
    <w:p w14:paraId="00DB97D1">
      <w:pPr>
        <w:pStyle w:val="2"/>
        <w:ind w:firstLine="2240" w:firstLineChars="800"/>
        <w:rPr>
          <w:rFonts w:hint="eastAsia"/>
          <w:highlight w:val="none"/>
          <w:lang w:val="en-US" w:eastAsia="zh-CN"/>
        </w:rPr>
      </w:pPr>
      <w:r>
        <w:rPr>
          <w:rFonts w:hint="eastAsia"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cs="仿宋_GB2312"/>
          <w:b w:val="0"/>
          <w:bCs w:val="0"/>
          <w:color w:val="000000"/>
          <w:kern w:val="2"/>
          <w:sz w:val="28"/>
          <w:szCs w:val="28"/>
          <w:highlight w:val="none"/>
          <w:lang w:val="en-US" w:eastAsia="zh-CN" w:bidi="ar-SA"/>
        </w:rPr>
        <w:t>6.6527</w:t>
      </w:r>
      <w:r>
        <w:rPr>
          <w:rFonts w:hint="eastAsia" w:ascii="仿宋_GB2312" w:hAnsi="仿宋_GB2312" w:eastAsia="仿宋_GB2312" w:cs="仿宋_GB2312"/>
          <w:b w:val="0"/>
          <w:bCs w:val="0"/>
          <w:color w:val="000000"/>
          <w:kern w:val="2"/>
          <w:sz w:val="28"/>
          <w:szCs w:val="28"/>
          <w:highlight w:val="none"/>
          <w:lang w:val="en-US" w:eastAsia="zh-CN" w:bidi="ar-SA"/>
        </w:rPr>
        <w:t>（万元）</w:t>
      </w:r>
    </w:p>
    <w:p w14:paraId="6A17CAF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4、房屋年纯收益</w:t>
      </w:r>
    </w:p>
    <w:p w14:paraId="4910DC75">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根据前文，采用土地纯收益与价格比率法、投资收益法测算确定土地和房屋的还原率，详见下表：</w:t>
      </w:r>
    </w:p>
    <w:p w14:paraId="3903085F">
      <w:pPr>
        <w:pStyle w:val="2"/>
        <w:keepNext w:val="0"/>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19</w:t>
      </w:r>
      <w:r>
        <w:rPr>
          <w:rFonts w:hint="eastAsia" w:ascii="仿宋_GB2312" w:hAnsi="仿宋_GB2312" w:eastAsia="仿宋_GB2312" w:cs="仿宋_GB2312"/>
          <w:b w:val="0"/>
          <w:bCs/>
          <w:color w:val="auto"/>
          <w:kern w:val="2"/>
          <w:sz w:val="28"/>
          <w:szCs w:val="28"/>
          <w:highlight w:val="none"/>
          <w:lang w:val="en-US" w:eastAsia="zh-CN" w:bidi="ar-SA"/>
        </w:rPr>
        <w:t xml:space="preserve"> 通道县土地和房屋还原利率表(%)</w:t>
      </w:r>
    </w:p>
    <w:tbl>
      <w:tblPr>
        <w:tblStyle w:val="1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4"/>
        <w:gridCol w:w="2892"/>
        <w:gridCol w:w="3543"/>
      </w:tblGrid>
      <w:tr w14:paraId="2843F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377" w:hRule="atLeast"/>
          <w:jc w:val="center"/>
        </w:trPr>
        <w:tc>
          <w:tcPr>
            <w:tcW w:w="1223" w:type="pct"/>
            <w:tcBorders>
              <w:top w:val="single" w:color="auto" w:sz="6" w:space="0"/>
              <w:left w:val="single" w:color="auto" w:sz="6" w:space="0"/>
              <w:bottom w:val="single" w:color="auto" w:sz="4" w:space="0"/>
              <w:right w:val="single" w:color="auto" w:sz="4" w:space="0"/>
            </w:tcBorders>
            <w:noWrap w:val="0"/>
            <w:vAlign w:val="center"/>
          </w:tcPr>
          <w:p w14:paraId="16B7F38B">
            <w:pPr>
              <w:keepNext w:val="0"/>
              <w:keepLines w:val="0"/>
              <w:pageBreakBefore w:val="0"/>
              <w:widowControl w:val="0"/>
              <w:kinsoku/>
              <w:wordWrap/>
              <w:overflowPunct w:val="0"/>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土地用途</w:t>
            </w:r>
          </w:p>
        </w:tc>
        <w:tc>
          <w:tcPr>
            <w:tcW w:w="1697" w:type="pct"/>
            <w:tcBorders>
              <w:top w:val="single" w:color="auto" w:sz="6" w:space="0"/>
              <w:left w:val="single" w:color="auto" w:sz="6" w:space="0"/>
              <w:right w:val="single" w:color="auto" w:sz="4" w:space="0"/>
            </w:tcBorders>
            <w:noWrap w:val="0"/>
            <w:vAlign w:val="center"/>
          </w:tcPr>
          <w:p w14:paraId="25B8E36A">
            <w:pPr>
              <w:keepNext w:val="0"/>
              <w:keepLines w:val="0"/>
              <w:pageBreakBefore w:val="0"/>
              <w:widowControl w:val="0"/>
              <w:kinsoku/>
              <w:wordWrap/>
              <w:overflowPunct w:val="0"/>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住宅用地</w:t>
            </w:r>
          </w:p>
        </w:tc>
        <w:tc>
          <w:tcPr>
            <w:tcW w:w="2078" w:type="pct"/>
            <w:tcBorders>
              <w:top w:val="single" w:color="auto" w:sz="6" w:space="0"/>
              <w:left w:val="single" w:color="auto" w:sz="6" w:space="0"/>
              <w:bottom w:val="single" w:color="auto" w:sz="4" w:space="0"/>
              <w:right w:val="single" w:color="auto" w:sz="4" w:space="0"/>
            </w:tcBorders>
            <w:noWrap w:val="0"/>
            <w:vAlign w:val="center"/>
          </w:tcPr>
          <w:p w14:paraId="20194894">
            <w:pPr>
              <w:keepNext w:val="0"/>
              <w:keepLines w:val="0"/>
              <w:pageBreakBefore w:val="0"/>
              <w:widowControl w:val="0"/>
              <w:kinsoku/>
              <w:wordWrap/>
              <w:overflowPunct w:val="0"/>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商服用地</w:t>
            </w:r>
          </w:p>
        </w:tc>
      </w:tr>
      <w:tr w14:paraId="32ABB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1223" w:type="pct"/>
            <w:tcBorders>
              <w:top w:val="single" w:color="auto" w:sz="4" w:space="0"/>
              <w:left w:val="single" w:color="auto" w:sz="6" w:space="0"/>
              <w:bottom w:val="single" w:color="auto" w:sz="4" w:space="0"/>
              <w:right w:val="single" w:color="auto" w:sz="4" w:space="0"/>
            </w:tcBorders>
            <w:noWrap w:val="0"/>
            <w:vAlign w:val="center"/>
          </w:tcPr>
          <w:p w14:paraId="1EA3ABA3">
            <w:pPr>
              <w:keepNext w:val="0"/>
              <w:keepLines w:val="0"/>
              <w:pageBreakBefore w:val="0"/>
              <w:widowControl w:val="0"/>
              <w:kinsoku/>
              <w:wordWrap/>
              <w:overflowPunct/>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土地还原利率</w:t>
            </w:r>
          </w:p>
        </w:tc>
        <w:tc>
          <w:tcPr>
            <w:tcW w:w="1697" w:type="pct"/>
            <w:tcBorders>
              <w:top w:val="single" w:color="auto" w:sz="4" w:space="0"/>
              <w:left w:val="single" w:color="auto" w:sz="6" w:space="0"/>
              <w:bottom w:val="single" w:color="auto" w:sz="4" w:space="0"/>
              <w:right w:val="single" w:color="auto" w:sz="4" w:space="0"/>
            </w:tcBorders>
            <w:noWrap w:val="0"/>
            <w:vAlign w:val="center"/>
          </w:tcPr>
          <w:p w14:paraId="1D20EE16">
            <w:pPr>
              <w:keepNext w:val="0"/>
              <w:keepLines w:val="0"/>
              <w:pageBreakBefore w:val="0"/>
              <w:widowControl w:val="0"/>
              <w:kinsoku/>
              <w:wordWrap/>
              <w:overflowPunct/>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6.75%</w:t>
            </w:r>
          </w:p>
        </w:tc>
        <w:tc>
          <w:tcPr>
            <w:tcW w:w="2078" w:type="pct"/>
            <w:tcBorders>
              <w:top w:val="single" w:color="auto" w:sz="4" w:space="0"/>
              <w:left w:val="single" w:color="auto" w:sz="6" w:space="0"/>
              <w:bottom w:val="single" w:color="auto" w:sz="4" w:space="0"/>
              <w:right w:val="single" w:color="auto" w:sz="4" w:space="0"/>
            </w:tcBorders>
            <w:noWrap w:val="0"/>
            <w:vAlign w:val="center"/>
          </w:tcPr>
          <w:p w14:paraId="306478A9">
            <w:pPr>
              <w:keepNext w:val="0"/>
              <w:keepLines w:val="0"/>
              <w:pageBreakBefore w:val="0"/>
              <w:widowControl w:val="0"/>
              <w:kinsoku/>
              <w:wordWrap/>
              <w:overflowPunct/>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7.7%</w:t>
            </w:r>
          </w:p>
        </w:tc>
      </w:tr>
      <w:tr w14:paraId="4B904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1223" w:type="pct"/>
            <w:tcBorders>
              <w:top w:val="single" w:color="auto" w:sz="4" w:space="0"/>
              <w:left w:val="single" w:color="auto" w:sz="6" w:space="0"/>
              <w:bottom w:val="single" w:color="auto" w:sz="6" w:space="0"/>
              <w:right w:val="single" w:color="auto" w:sz="4" w:space="0"/>
            </w:tcBorders>
            <w:noWrap w:val="0"/>
            <w:vAlign w:val="center"/>
          </w:tcPr>
          <w:p w14:paraId="76F73E04">
            <w:pPr>
              <w:keepNext w:val="0"/>
              <w:keepLines w:val="0"/>
              <w:pageBreakBefore w:val="0"/>
              <w:widowControl w:val="0"/>
              <w:kinsoku/>
              <w:wordWrap/>
              <w:overflowPunct/>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房屋还原利率</w:t>
            </w:r>
          </w:p>
        </w:tc>
        <w:tc>
          <w:tcPr>
            <w:tcW w:w="1697" w:type="pct"/>
            <w:tcBorders>
              <w:top w:val="single" w:color="auto" w:sz="4" w:space="0"/>
              <w:left w:val="single" w:color="auto" w:sz="6" w:space="0"/>
              <w:bottom w:val="single" w:color="auto" w:sz="6" w:space="0"/>
              <w:right w:val="single" w:color="auto" w:sz="4" w:space="0"/>
            </w:tcBorders>
            <w:noWrap w:val="0"/>
            <w:vAlign w:val="center"/>
          </w:tcPr>
          <w:p w14:paraId="6B87FBF4">
            <w:pPr>
              <w:keepNext w:val="0"/>
              <w:keepLines w:val="0"/>
              <w:pageBreakBefore w:val="0"/>
              <w:widowControl w:val="0"/>
              <w:kinsoku/>
              <w:wordWrap/>
              <w:overflowPunct/>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8.75%</w:t>
            </w:r>
          </w:p>
        </w:tc>
        <w:tc>
          <w:tcPr>
            <w:tcW w:w="2078" w:type="pct"/>
            <w:tcBorders>
              <w:top w:val="single" w:color="auto" w:sz="4" w:space="0"/>
              <w:left w:val="single" w:color="auto" w:sz="6" w:space="0"/>
              <w:bottom w:val="single" w:color="auto" w:sz="6" w:space="0"/>
              <w:right w:val="single" w:color="auto" w:sz="4" w:space="0"/>
            </w:tcBorders>
            <w:noWrap w:val="0"/>
            <w:vAlign w:val="center"/>
          </w:tcPr>
          <w:p w14:paraId="34C0DF7A">
            <w:pPr>
              <w:keepNext w:val="0"/>
              <w:keepLines w:val="0"/>
              <w:pageBreakBefore w:val="0"/>
              <w:widowControl w:val="0"/>
              <w:kinsoku/>
              <w:wordWrap/>
              <w:overflowPunct/>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9.7%</w:t>
            </w:r>
          </w:p>
        </w:tc>
      </w:tr>
    </w:tbl>
    <w:p w14:paraId="27EA69F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则，商业用房房屋年纯收益＝房屋现值×房屋还原利率</w:t>
      </w:r>
    </w:p>
    <w:p w14:paraId="2E47AF74">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＝16.9299×9.7%</w:t>
      </w:r>
    </w:p>
    <w:p w14:paraId="77B982C7">
      <w:pPr>
        <w:keepNext w:val="0"/>
        <w:keepLines w:val="0"/>
        <w:pageBreakBefore w:val="0"/>
        <w:widowControl w:val="0"/>
        <w:kinsoku/>
        <w:wordWrap/>
        <w:overflowPunct/>
        <w:topLinePunct w:val="0"/>
        <w:bidi w:val="0"/>
        <w:adjustRightInd w:val="0"/>
        <w:snapToGrid w:val="0"/>
        <w:spacing w:line="480" w:lineRule="exact"/>
        <w:ind w:firstLine="2800" w:firstLineChars="10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＝1.6422（万元）</w:t>
      </w:r>
    </w:p>
    <w:p w14:paraId="6E140878">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住宅用房房屋年纯收益＝房屋现值×房屋还原利率</w:t>
      </w:r>
    </w:p>
    <w:p w14:paraId="7DDC62E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＝59.9084×8.75%</w:t>
      </w:r>
    </w:p>
    <w:p w14:paraId="31024291">
      <w:pPr>
        <w:pStyle w:val="2"/>
        <w:ind w:firstLine="2800" w:firstLineChars="1000"/>
        <w:rPr>
          <w:rFonts w:hint="eastAsia"/>
          <w:highlight w:val="none"/>
          <w:lang w:val="en-US" w:eastAsia="zh-CN"/>
        </w:rPr>
      </w:pPr>
      <w:r>
        <w:rPr>
          <w:rFonts w:hint="eastAsia" w:ascii="仿宋_GB2312" w:hAnsi="仿宋_GB2312" w:eastAsia="仿宋_GB2312" w:cs="仿宋_GB2312"/>
          <w:b w:val="0"/>
          <w:bCs w:val="0"/>
          <w:color w:val="000000"/>
          <w:kern w:val="2"/>
          <w:sz w:val="28"/>
          <w:szCs w:val="28"/>
          <w:highlight w:val="none"/>
          <w:lang w:val="en-US" w:eastAsia="zh-CN" w:bidi="ar-SA"/>
        </w:rPr>
        <w:t>＝5.2420（万元）</w:t>
      </w:r>
    </w:p>
    <w:p w14:paraId="7F46D56A">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5、土地年纯收益</w:t>
      </w:r>
    </w:p>
    <w:p w14:paraId="60C1E0C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商业土地年纯收益＝房地年纯收益-房屋年纯收益</w:t>
      </w:r>
    </w:p>
    <w:p w14:paraId="1A764BB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＝3.6427-1.6422</w:t>
      </w:r>
    </w:p>
    <w:p w14:paraId="1B141CE7">
      <w:pPr>
        <w:keepNext w:val="0"/>
        <w:keepLines w:val="0"/>
        <w:pageBreakBefore w:val="0"/>
        <w:widowControl w:val="0"/>
        <w:kinsoku/>
        <w:wordWrap/>
        <w:overflowPunct/>
        <w:topLinePunct w:val="0"/>
        <w:bidi w:val="0"/>
        <w:adjustRightInd w:val="0"/>
        <w:snapToGrid w:val="0"/>
        <w:spacing w:line="480" w:lineRule="exact"/>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＝2.0005（万元）</w:t>
      </w:r>
    </w:p>
    <w:p w14:paraId="294B9DF2">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住宅土地年纯收益＝房地年纯收益-房屋年纯收益</w:t>
      </w:r>
    </w:p>
    <w:p w14:paraId="7DF77708">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＝6.6527-5.2420</w:t>
      </w:r>
    </w:p>
    <w:p w14:paraId="0E959BD9">
      <w:pPr>
        <w:pStyle w:val="2"/>
        <w:ind w:firstLine="2240" w:firstLineChars="800"/>
        <w:rPr>
          <w:rFonts w:hint="eastAsia"/>
          <w:highlight w:val="none"/>
          <w:lang w:val="en-US" w:eastAsia="zh-CN"/>
        </w:rPr>
      </w:pPr>
      <w:r>
        <w:rPr>
          <w:rFonts w:hint="eastAsia"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cs="仿宋_GB2312"/>
          <w:b w:val="0"/>
          <w:bCs w:val="0"/>
          <w:color w:val="000000"/>
          <w:kern w:val="2"/>
          <w:sz w:val="28"/>
          <w:szCs w:val="28"/>
          <w:highlight w:val="none"/>
          <w:lang w:val="en-US" w:eastAsia="zh-CN" w:bidi="ar-SA"/>
        </w:rPr>
        <w:t>1.4107</w:t>
      </w:r>
      <w:r>
        <w:rPr>
          <w:rFonts w:hint="eastAsia" w:ascii="仿宋_GB2312" w:hAnsi="仿宋_GB2312" w:eastAsia="仿宋_GB2312" w:cs="仿宋_GB2312"/>
          <w:b w:val="0"/>
          <w:bCs w:val="0"/>
          <w:color w:val="000000"/>
          <w:kern w:val="2"/>
          <w:sz w:val="28"/>
          <w:szCs w:val="28"/>
          <w:highlight w:val="none"/>
          <w:lang w:val="en-US" w:eastAsia="zh-CN" w:bidi="ar-SA"/>
        </w:rPr>
        <w:t>（万元）</w:t>
      </w:r>
    </w:p>
    <w:p w14:paraId="30386674">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6、计算待估宗地总地价</w:t>
      </w:r>
    </w:p>
    <w:p w14:paraId="7E52E1FA">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商服总地价＝土地年纯收益÷r×[1-1/（1＋r）</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n</w:t>
      </w:r>
      <w:r>
        <w:rPr>
          <w:rFonts w:hint="eastAsia" w:ascii="仿宋_GB2312" w:hAnsi="仿宋_GB2312" w:eastAsia="仿宋_GB2312" w:cs="仿宋_GB2312"/>
          <w:b w:val="0"/>
          <w:bCs w:val="0"/>
          <w:color w:val="000000"/>
          <w:kern w:val="2"/>
          <w:sz w:val="28"/>
          <w:szCs w:val="28"/>
          <w:highlight w:val="none"/>
          <w:lang w:val="en-US" w:eastAsia="zh-CN" w:bidi="ar-SA"/>
        </w:rPr>
        <w:t>]</w:t>
      </w:r>
    </w:p>
    <w:p w14:paraId="59058519">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其中：r—土地还原率7.7%。</w:t>
      </w:r>
    </w:p>
    <w:p w14:paraId="3A453CB2">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n—待估宗地土地使用年期</w:t>
      </w:r>
    </w:p>
    <w:p w14:paraId="5B2B4C6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＝2.0005÷7.7%×[1-1/（1+7.7%）</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40</w:t>
      </w:r>
      <w:r>
        <w:rPr>
          <w:rFonts w:hint="eastAsia" w:ascii="仿宋_GB2312" w:hAnsi="仿宋_GB2312" w:eastAsia="仿宋_GB2312" w:cs="仿宋_GB2312"/>
          <w:b w:val="0"/>
          <w:bCs w:val="0"/>
          <w:color w:val="000000"/>
          <w:kern w:val="2"/>
          <w:sz w:val="28"/>
          <w:szCs w:val="28"/>
          <w:highlight w:val="none"/>
          <w:lang w:val="en-US" w:eastAsia="zh-CN" w:bidi="ar-SA"/>
        </w:rPr>
        <w:t>]</w:t>
      </w:r>
    </w:p>
    <w:p w14:paraId="3AD7D1BF">
      <w:pPr>
        <w:keepNext w:val="0"/>
        <w:keepLines w:val="0"/>
        <w:pageBreakBefore w:val="0"/>
        <w:widowControl w:val="0"/>
        <w:kinsoku/>
        <w:wordWrap/>
        <w:overflowPunct/>
        <w:topLinePunct w:val="0"/>
        <w:bidi w:val="0"/>
        <w:adjustRightInd w:val="0"/>
        <w:snapToGrid w:val="0"/>
        <w:spacing w:line="480" w:lineRule="exact"/>
        <w:ind w:firstLine="1400" w:firstLineChars="5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＝24.6451（万元）</w:t>
      </w:r>
    </w:p>
    <w:p w14:paraId="5768EAA9">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住宅总地价＝土地年纯收益÷r×[1-1/（1＋r）</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n</w:t>
      </w:r>
      <w:r>
        <w:rPr>
          <w:rFonts w:hint="eastAsia" w:ascii="仿宋_GB2312" w:hAnsi="仿宋_GB2312" w:eastAsia="仿宋_GB2312" w:cs="仿宋_GB2312"/>
          <w:b w:val="0"/>
          <w:bCs w:val="0"/>
          <w:color w:val="000000"/>
          <w:kern w:val="2"/>
          <w:sz w:val="28"/>
          <w:szCs w:val="28"/>
          <w:highlight w:val="none"/>
          <w:lang w:val="en-US" w:eastAsia="zh-CN" w:bidi="ar-SA"/>
        </w:rPr>
        <w:t>]</w:t>
      </w:r>
    </w:p>
    <w:p w14:paraId="3D9149A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其中：r—土地还原率6.75%。</w:t>
      </w:r>
    </w:p>
    <w:p w14:paraId="35006872">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n—待估宗地土地使用年期</w:t>
      </w:r>
    </w:p>
    <w:p w14:paraId="71D8618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＝1.4107÷6.75%×[1-1/（1+6.75%）</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70</w:t>
      </w:r>
      <w:r>
        <w:rPr>
          <w:rFonts w:hint="eastAsia" w:ascii="仿宋_GB2312" w:hAnsi="仿宋_GB2312" w:eastAsia="仿宋_GB2312" w:cs="仿宋_GB2312"/>
          <w:b w:val="0"/>
          <w:bCs w:val="0"/>
          <w:color w:val="000000"/>
          <w:kern w:val="2"/>
          <w:sz w:val="28"/>
          <w:szCs w:val="28"/>
          <w:highlight w:val="none"/>
          <w:lang w:val="en-US" w:eastAsia="zh-CN" w:bidi="ar-SA"/>
        </w:rPr>
        <w:t>]</w:t>
      </w:r>
    </w:p>
    <w:p w14:paraId="1983C2EE">
      <w:pPr>
        <w:pStyle w:val="2"/>
        <w:ind w:firstLine="1400" w:firstLineChars="500"/>
        <w:rPr>
          <w:rFonts w:hint="eastAsia" w:ascii="仿宋_GB2312" w:hAnsi="仿宋_GB2312" w:eastAsia="仿宋_GB2312" w:cs="仿宋_GB2312"/>
          <w:highlight w:val="none"/>
          <w:lang w:val="en-US" w:eastAsia="zh-CN"/>
        </w:rPr>
      </w:pPr>
      <w:r>
        <w:rPr>
          <w:rFonts w:hint="eastAsia"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cs="仿宋_GB2312"/>
          <w:b w:val="0"/>
          <w:bCs w:val="0"/>
          <w:color w:val="000000"/>
          <w:kern w:val="2"/>
          <w:sz w:val="28"/>
          <w:szCs w:val="28"/>
          <w:highlight w:val="none"/>
          <w:lang w:val="en-US" w:eastAsia="zh-CN" w:bidi="ar-SA"/>
        </w:rPr>
        <w:t>20.6840</w:t>
      </w:r>
      <w:r>
        <w:rPr>
          <w:rFonts w:hint="eastAsia" w:ascii="仿宋_GB2312" w:hAnsi="仿宋_GB2312" w:eastAsia="仿宋_GB2312" w:cs="仿宋_GB2312"/>
          <w:b w:val="0"/>
          <w:bCs w:val="0"/>
          <w:color w:val="000000"/>
          <w:kern w:val="2"/>
          <w:sz w:val="28"/>
          <w:szCs w:val="28"/>
          <w:highlight w:val="none"/>
          <w:lang w:val="en-US" w:eastAsia="zh-CN" w:bidi="ar-SA"/>
        </w:rPr>
        <w:t>（万元）</w:t>
      </w:r>
    </w:p>
    <w:p w14:paraId="58CC3B76">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7、计算宗地单位面积地价</w:t>
      </w:r>
    </w:p>
    <w:p w14:paraId="6BF47B77">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商服用地单位面积地价＝总地价÷总用地面积</w:t>
      </w:r>
    </w:p>
    <w:p w14:paraId="224783B6">
      <w:pPr>
        <w:keepNext w:val="0"/>
        <w:keepLines w:val="0"/>
        <w:pageBreakBefore w:val="0"/>
        <w:widowControl w:val="0"/>
        <w:kinsoku/>
        <w:wordWrap/>
        <w:overflowPunct/>
        <w:topLinePunct w:val="0"/>
        <w:bidi w:val="0"/>
        <w:adjustRightInd w:val="0"/>
        <w:snapToGrid w:val="0"/>
        <w:spacing w:line="480" w:lineRule="exact"/>
        <w:ind w:firstLine="3360" w:firstLineChars="1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＝24.6451×10000÷40.38＝6103.3（元/平方米）</w:t>
      </w:r>
    </w:p>
    <w:p w14:paraId="39BCFE23">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住宅用地单位面积地价＝总地价÷总用地面积</w:t>
      </w:r>
    </w:p>
    <w:p w14:paraId="56D02E40">
      <w:pPr>
        <w:keepNext w:val="0"/>
        <w:keepLines w:val="0"/>
        <w:pageBreakBefore w:val="0"/>
        <w:widowControl w:val="0"/>
        <w:kinsoku/>
        <w:wordWrap/>
        <w:overflowPunct/>
        <w:topLinePunct w:val="0"/>
        <w:bidi w:val="0"/>
        <w:adjustRightInd w:val="0"/>
        <w:snapToGrid w:val="0"/>
        <w:spacing w:line="480" w:lineRule="exact"/>
        <w:ind w:firstLine="3360" w:firstLineChars="1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＝20.6840×10000÷142.89</w:t>
      </w:r>
    </w:p>
    <w:p w14:paraId="563E31F3">
      <w:pPr>
        <w:pStyle w:val="2"/>
        <w:ind w:firstLine="3360" w:firstLineChars="1200"/>
        <w:rPr>
          <w:rFonts w:hint="eastAsia"/>
          <w:highlight w:val="none"/>
          <w:lang w:val="en-US" w:eastAsia="zh-CN"/>
        </w:rPr>
      </w:pP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eastAsia" w:ascii="仿宋_GB2312" w:hAnsi="仿宋_GB2312" w:cs="仿宋_GB2312"/>
          <w:b w:val="0"/>
          <w:bCs w:val="0"/>
          <w:color w:val="000000"/>
          <w:kern w:val="2"/>
          <w:sz w:val="28"/>
          <w:szCs w:val="28"/>
          <w:highlight w:val="none"/>
          <w:lang w:val="en-US" w:eastAsia="zh-CN" w:bidi="ar-SA"/>
        </w:rPr>
        <w:t>447.5</w:t>
      </w:r>
      <w:r>
        <w:rPr>
          <w:rFonts w:hint="eastAsia" w:ascii="仿宋_GB2312" w:hAnsi="仿宋_GB2312" w:eastAsia="仿宋_GB2312" w:cs="仿宋_GB2312"/>
          <w:b w:val="0"/>
          <w:bCs w:val="0"/>
          <w:color w:val="000000"/>
          <w:kern w:val="2"/>
          <w:sz w:val="28"/>
          <w:szCs w:val="28"/>
          <w:highlight w:val="none"/>
          <w:lang w:val="en-US" w:eastAsia="zh-CN" w:bidi="ar-SA"/>
        </w:rPr>
        <w:t>（元/平方米）</w:t>
      </w:r>
    </w:p>
    <w:p w14:paraId="1792EDD9">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法测算地价的结果为：估价对象于估价期日2026年2月3日，在设定土地用途，设定土地使用年限，设定土地开发程度，现状利用条件下的国有土地出让使用权价格为商服用地6103.3元/平方米、住宅用地1447.5元/平方米。</w:t>
      </w:r>
    </w:p>
    <w:p w14:paraId="4265A839">
      <w:pPr>
        <w:keepNext w:val="0"/>
        <w:keepLines w:val="0"/>
        <w:pageBreakBefore w:val="0"/>
        <w:widowControl w:val="0"/>
        <w:kinsoku/>
        <w:wordWrap/>
        <w:overflowPunct/>
        <w:topLinePunct w:val="0"/>
        <w:bidi w:val="0"/>
        <w:adjustRightInd w:val="0"/>
        <w:snapToGrid w:val="0"/>
        <w:spacing w:line="480" w:lineRule="exact"/>
        <w:ind w:firstLine="562" w:firstLineChars="200"/>
        <w:outlineLvl w:val="1"/>
        <w:rPr>
          <w:rFonts w:hint="eastAsia" w:ascii="仿宋_GB2312" w:hAnsi="仿宋_GB2312" w:eastAsia="仿宋_GB2312" w:cs="仿宋_GB2312"/>
          <w:b/>
          <w:bCs/>
          <w:color w:val="000000"/>
          <w:kern w:val="2"/>
          <w:sz w:val="28"/>
          <w:szCs w:val="28"/>
          <w:highlight w:val="none"/>
          <w:lang w:val="en-US" w:eastAsia="zh-CN" w:bidi="ar-SA"/>
        </w:rPr>
      </w:pPr>
      <w:bookmarkStart w:id="26" w:name="_Toc23310"/>
      <w:bookmarkStart w:id="27" w:name="_Toc16838"/>
      <w:r>
        <w:rPr>
          <w:rFonts w:hint="eastAsia" w:ascii="仿宋_GB2312" w:hAnsi="仿宋_GB2312" w:eastAsia="仿宋_GB2312" w:cs="仿宋_GB2312"/>
          <w:b/>
          <w:bCs/>
          <w:color w:val="000000"/>
          <w:kern w:val="2"/>
          <w:sz w:val="28"/>
          <w:szCs w:val="28"/>
          <w:highlight w:val="none"/>
          <w:lang w:val="en-US" w:eastAsia="zh-CN" w:bidi="ar-SA"/>
        </w:rPr>
        <w:t>三、地价的确定</w:t>
      </w:r>
      <w:bookmarkEnd w:id="26"/>
      <w:bookmarkEnd w:id="27"/>
    </w:p>
    <w:p w14:paraId="6AC8B232">
      <w:pPr>
        <w:keepNext w:val="0"/>
        <w:keepLines w:val="0"/>
        <w:pageBreakBefore w:val="0"/>
        <w:widowControl w:val="0"/>
        <w:kinsoku/>
        <w:wordWrap/>
        <w:overflowPunct/>
        <w:topLinePunct w:val="0"/>
        <w:bidi w:val="0"/>
        <w:adjustRightInd w:val="0"/>
        <w:snapToGrid w:val="0"/>
        <w:spacing w:line="480" w:lineRule="exact"/>
        <w:ind w:firstLine="560" w:firstLineChars="200"/>
        <w:outlineLvl w:val="3"/>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1、地价的确定</w:t>
      </w:r>
    </w:p>
    <w:p w14:paraId="18A7C155">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szCs w:val="28"/>
          <w:highlight w:val="none"/>
        </w:rPr>
      </w:pPr>
      <w:r>
        <w:rPr>
          <w:rFonts w:hint="eastAsia" w:ascii="仿宋_GB2312" w:hAnsi="仿宋_GB2312" w:eastAsia="仿宋_GB2312" w:cs="仿宋_GB2312"/>
          <w:bCs/>
          <w:sz w:val="28"/>
          <w:szCs w:val="28"/>
          <w:highlight w:val="none"/>
        </w:rPr>
        <w:t>根据以上评估过程，</w:t>
      </w:r>
      <w:r>
        <w:rPr>
          <w:rFonts w:hint="eastAsia" w:ascii="仿宋_GB2312" w:hAnsi="仿宋_GB2312" w:eastAsia="仿宋_GB2312" w:cs="仿宋_GB2312"/>
          <w:bCs/>
          <w:sz w:val="28"/>
          <w:szCs w:val="28"/>
          <w:highlight w:val="none"/>
          <w:lang w:eastAsia="zh-CN"/>
        </w:rPr>
        <w:t>此次</w:t>
      </w:r>
      <w:r>
        <w:rPr>
          <w:rFonts w:hint="eastAsia" w:ascii="仿宋_GB2312" w:hAnsi="仿宋_GB2312" w:eastAsia="仿宋_GB2312" w:cs="仿宋_GB2312"/>
          <w:bCs/>
          <w:sz w:val="28"/>
          <w:szCs w:val="28"/>
          <w:highlight w:val="none"/>
        </w:rPr>
        <w:t>采用基准地价系数修正法和收益还原法两种方法进行评估。评估结果详见</w:t>
      </w:r>
      <w:r>
        <w:rPr>
          <w:rFonts w:hint="eastAsia" w:ascii="仿宋_GB2312" w:hAnsi="仿宋_GB2312" w:eastAsia="仿宋_GB2312" w:cs="仿宋_GB2312"/>
          <w:sz w:val="28"/>
          <w:szCs w:val="28"/>
          <w:highlight w:val="none"/>
        </w:rPr>
        <w:t>结果确定表</w:t>
      </w:r>
      <w:r>
        <w:rPr>
          <w:rFonts w:hint="eastAsia" w:ascii="仿宋_GB2312" w:hAnsi="仿宋_GB2312" w:eastAsia="仿宋_GB2312" w:cs="仿宋_GB2312"/>
          <w:bCs/>
          <w:sz w:val="28"/>
          <w:szCs w:val="28"/>
          <w:highlight w:val="none"/>
        </w:rPr>
        <w:t>。</w:t>
      </w:r>
    </w:p>
    <w:p w14:paraId="17CFA01E">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基准地价系数修正法是通过对待估宗地的区域条件和个别条件等与其所处区域的平均条件相比较，通过一定的修正系数得到待估宗地在估价期日价格的方法。基准地价是通过科学方法测算而来，是</w:t>
      </w:r>
      <w:r>
        <w:rPr>
          <w:rFonts w:hint="eastAsia" w:ascii="仿宋_GB2312" w:hAnsi="仿宋_GB2312" w:eastAsia="仿宋_GB2312" w:cs="仿宋_GB2312"/>
          <w:sz w:val="28"/>
          <w:szCs w:val="28"/>
          <w:highlight w:val="none"/>
          <w:lang w:val="en-US" w:eastAsia="zh-CN"/>
        </w:rPr>
        <w:t>通道县</w:t>
      </w:r>
      <w:r>
        <w:rPr>
          <w:rFonts w:hint="eastAsia" w:ascii="仿宋_GB2312" w:hAnsi="仿宋_GB2312" w:eastAsia="仿宋_GB2312" w:cs="仿宋_GB2312"/>
          <w:sz w:val="28"/>
          <w:szCs w:val="28"/>
          <w:highlight w:val="none"/>
        </w:rPr>
        <w:t>人民政府土地市场宏观管理的有效工具，基准地价的适应性较强，运用基准地价系数修正法评估的结果依据较为充分。</w:t>
      </w:r>
    </w:p>
    <w:p w14:paraId="45EFC938">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收益还原法是在估算估价对象在未来每年预期纯收益（正常年纯收益）的基础上，以一定的土地还原率，将评估对象在未来每年的纯收益折算为估价期日收益总和的一种方法。因此该方法的测算结果能够比较真实的反映待估宗地的客观合理的市场价格。</w:t>
      </w:r>
    </w:p>
    <w:p w14:paraId="03F8BAB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综合分析，两种方法评估的结果内涵一致</w:t>
      </w:r>
      <w:r>
        <w:rPr>
          <w:rFonts w:hint="eastAsia" w:ascii="仿宋_GB2312" w:hAnsi="仿宋_GB2312" w:eastAsia="仿宋_GB2312" w:cs="仿宋_GB2312"/>
          <w:sz w:val="28"/>
          <w:szCs w:val="28"/>
          <w:highlight w:val="none"/>
          <w:lang w:eastAsia="zh-CN"/>
        </w:rPr>
        <w:t>，</w:t>
      </w:r>
      <w:r>
        <w:rPr>
          <w:rFonts w:hint="eastAsia" w:ascii="仿宋_GB2312" w:hAnsi="仿宋_GB2312" w:eastAsia="仿宋_GB2312" w:cs="仿宋_GB2312"/>
          <w:sz w:val="28"/>
          <w:szCs w:val="28"/>
          <w:highlight w:val="none"/>
          <w:lang w:val="en-US" w:eastAsia="zh-CN"/>
        </w:rPr>
        <w:t>价格接近，</w:t>
      </w:r>
      <w:r>
        <w:rPr>
          <w:rFonts w:hint="eastAsia" w:ascii="仿宋_GB2312" w:hAnsi="仿宋_GB2312" w:eastAsia="仿宋_GB2312" w:cs="仿宋_GB2312"/>
          <w:sz w:val="28"/>
          <w:szCs w:val="28"/>
          <w:highlight w:val="none"/>
        </w:rPr>
        <w:t>根据项目特点，综合考虑估价对象所在区域的地价水平，确定以收益还原法测算结果与基准地价系数修正法测算结果的</w:t>
      </w:r>
      <w:r>
        <w:rPr>
          <w:rFonts w:hint="eastAsia" w:ascii="仿宋_GB2312" w:hAnsi="仿宋_GB2312" w:eastAsia="仿宋_GB2312" w:cs="仿宋_GB2312"/>
          <w:sz w:val="28"/>
          <w:szCs w:val="28"/>
          <w:highlight w:val="none"/>
          <w:lang w:val="en-US" w:eastAsia="zh-CN"/>
        </w:rPr>
        <w:t>加权</w:t>
      </w:r>
      <w:r>
        <w:rPr>
          <w:rFonts w:hint="eastAsia" w:ascii="仿宋_GB2312" w:hAnsi="仿宋_GB2312" w:eastAsia="仿宋_GB2312" w:cs="仿宋_GB2312"/>
          <w:sz w:val="28"/>
          <w:szCs w:val="28"/>
          <w:highlight w:val="none"/>
        </w:rPr>
        <w:t>平均值（取整）作为最终结果较为合理。</w:t>
      </w:r>
    </w:p>
    <w:p w14:paraId="3D1657B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sz w:val="28"/>
          <w:szCs w:val="28"/>
          <w:highlight w:val="none"/>
        </w:rPr>
        <w:t>故本次评估确定现状使用条件下的出让土地使用权价格采取上述两种方法测算结果的</w:t>
      </w:r>
      <w:r>
        <w:rPr>
          <w:rFonts w:hint="eastAsia" w:ascii="仿宋_GB2312" w:hAnsi="仿宋_GB2312" w:eastAsia="仿宋_GB2312" w:cs="仿宋_GB2312"/>
          <w:sz w:val="28"/>
          <w:szCs w:val="28"/>
          <w:highlight w:val="none"/>
          <w:lang w:val="en-US" w:eastAsia="zh-CN"/>
        </w:rPr>
        <w:t>加权</w:t>
      </w:r>
      <w:r>
        <w:rPr>
          <w:rFonts w:hint="eastAsia" w:ascii="仿宋_GB2312" w:hAnsi="仿宋_GB2312" w:eastAsia="仿宋_GB2312" w:cs="仿宋_GB2312"/>
          <w:sz w:val="28"/>
          <w:szCs w:val="28"/>
          <w:highlight w:val="none"/>
        </w:rPr>
        <w:t>平均值作为最终评估结果，具体地价结果确定详见下表。</w:t>
      </w:r>
    </w:p>
    <w:p w14:paraId="17A67294">
      <w:pPr>
        <w:pStyle w:val="2"/>
        <w:keepNext w:val="0"/>
        <w:keepLines w:val="0"/>
        <w:pageBreakBefore w:val="0"/>
        <w:widowControl/>
        <w:kinsoku w:val="0"/>
        <w:wordWrap/>
        <w:overflowPunct/>
        <w:topLinePunct w:val="0"/>
        <w:autoSpaceDE w:val="0"/>
        <w:autoSpaceDN w:val="0"/>
        <w:bidi w:val="0"/>
        <w:adjustRightInd w:val="0"/>
        <w:snapToGrid w:val="0"/>
        <w:spacing w:before="157" w:beforeLines="50" w:after="10" w:line="240" w:lineRule="exact"/>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 xml:space="preserve">表3-1  </w:t>
      </w:r>
      <w:r>
        <w:rPr>
          <w:rFonts w:hint="eastAsia" w:ascii="仿宋_GB2312" w:hAnsi="仿宋_GB2312" w:cs="仿宋_GB2312"/>
          <w:b w:val="0"/>
          <w:bCs/>
          <w:color w:val="auto"/>
          <w:kern w:val="2"/>
          <w:sz w:val="28"/>
          <w:szCs w:val="28"/>
          <w:highlight w:val="none"/>
          <w:lang w:val="en-US" w:eastAsia="zh-CN" w:bidi="ar-SA"/>
        </w:rPr>
        <w:t>估价对象地价</w:t>
      </w:r>
      <w:r>
        <w:rPr>
          <w:rFonts w:hint="eastAsia" w:ascii="仿宋_GB2312" w:hAnsi="仿宋_GB2312" w:eastAsia="仿宋_GB2312" w:cs="仿宋_GB2312"/>
          <w:b w:val="0"/>
          <w:bCs/>
          <w:color w:val="auto"/>
          <w:kern w:val="2"/>
          <w:sz w:val="28"/>
          <w:szCs w:val="28"/>
          <w:highlight w:val="none"/>
          <w:lang w:val="en-US" w:eastAsia="zh-CN" w:bidi="ar-SA"/>
        </w:rPr>
        <w:t>表</w:t>
      </w:r>
    </w:p>
    <w:tbl>
      <w:tblPr>
        <w:tblStyle w:val="11"/>
        <w:tblW w:w="523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3"/>
        <w:gridCol w:w="1103"/>
        <w:gridCol w:w="853"/>
        <w:gridCol w:w="529"/>
        <w:gridCol w:w="1000"/>
        <w:gridCol w:w="707"/>
        <w:gridCol w:w="775"/>
        <w:gridCol w:w="982"/>
        <w:gridCol w:w="764"/>
        <w:gridCol w:w="979"/>
      </w:tblGrid>
      <w:tr w14:paraId="42AF3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 w:hRule="atLeast"/>
          <w:jc w:val="center"/>
        </w:trPr>
        <w:tc>
          <w:tcPr>
            <w:tcW w:w="1223" w:type="dxa"/>
            <w:vMerge w:val="restart"/>
            <w:noWrap w:val="0"/>
            <w:vAlign w:val="center"/>
          </w:tcPr>
          <w:p w14:paraId="461CFCFB">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rPr>
            </w:pPr>
            <w:r>
              <w:rPr>
                <w:rFonts w:hint="eastAsia" w:ascii="仿宋_GB2312" w:hAnsi="仿宋_GB2312" w:eastAsia="仿宋_GB2312" w:cs="仿宋_GB2312"/>
                <w:snapToGrid w:val="0"/>
                <w:sz w:val="20"/>
                <w:szCs w:val="20"/>
                <w:highlight w:val="none"/>
              </w:rPr>
              <w:t>评估项目</w:t>
            </w:r>
          </w:p>
        </w:tc>
        <w:tc>
          <w:tcPr>
            <w:tcW w:w="1103" w:type="dxa"/>
            <w:vMerge w:val="restart"/>
            <w:noWrap w:val="0"/>
            <w:vAlign w:val="center"/>
          </w:tcPr>
          <w:p w14:paraId="53064E02">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rPr>
            </w:pPr>
            <w:r>
              <w:rPr>
                <w:rFonts w:hint="eastAsia" w:ascii="仿宋_GB2312" w:hAnsi="仿宋_GB2312" w:eastAsia="仿宋_GB2312" w:cs="仿宋_GB2312"/>
                <w:snapToGrid w:val="0"/>
                <w:sz w:val="20"/>
                <w:szCs w:val="20"/>
                <w:highlight w:val="none"/>
              </w:rPr>
              <w:t>用途</w:t>
            </w:r>
          </w:p>
        </w:tc>
        <w:tc>
          <w:tcPr>
            <w:tcW w:w="1382" w:type="dxa"/>
            <w:gridSpan w:val="2"/>
            <w:noWrap w:val="0"/>
            <w:vAlign w:val="center"/>
          </w:tcPr>
          <w:p w14:paraId="50CBAA68">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2"/>
                <w:szCs w:val="22"/>
                <w:highlight w:val="none"/>
                <w:lang w:val="en-US" w:eastAsia="zh-CN"/>
              </w:rPr>
            </w:pPr>
            <w:r>
              <w:rPr>
                <w:rFonts w:hint="eastAsia" w:ascii="仿宋_GB2312" w:hAnsi="仿宋_GB2312" w:eastAsia="仿宋_GB2312" w:cs="仿宋_GB2312"/>
                <w:snapToGrid w:val="0"/>
                <w:sz w:val="20"/>
                <w:szCs w:val="20"/>
                <w:highlight w:val="none"/>
                <w:lang w:val="en-US" w:eastAsia="zh-CN"/>
              </w:rPr>
              <w:t>基准地价系数修正法</w:t>
            </w:r>
          </w:p>
        </w:tc>
        <w:tc>
          <w:tcPr>
            <w:tcW w:w="1707" w:type="dxa"/>
            <w:gridSpan w:val="2"/>
            <w:noWrap w:val="0"/>
            <w:vAlign w:val="center"/>
          </w:tcPr>
          <w:p w14:paraId="141A0EB1">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rPr>
            </w:pPr>
            <w:r>
              <w:rPr>
                <w:rFonts w:hint="eastAsia" w:ascii="仿宋_GB2312" w:hAnsi="仿宋_GB2312" w:eastAsia="仿宋_GB2312" w:cs="仿宋_GB2312"/>
                <w:snapToGrid w:val="0"/>
                <w:sz w:val="20"/>
                <w:szCs w:val="20"/>
                <w:highlight w:val="none"/>
                <w:lang w:val="en-US" w:eastAsia="zh-CN"/>
              </w:rPr>
              <w:t>收益还原法</w:t>
            </w:r>
          </w:p>
        </w:tc>
        <w:tc>
          <w:tcPr>
            <w:tcW w:w="775" w:type="dxa"/>
            <w:vMerge w:val="restart"/>
            <w:noWrap w:val="0"/>
            <w:vAlign w:val="center"/>
          </w:tcPr>
          <w:p w14:paraId="52D13F76">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0"/>
                <w:szCs w:val="20"/>
                <w:highlight w:val="none"/>
              </w:rPr>
            </w:pPr>
            <w:r>
              <w:rPr>
                <w:rFonts w:hint="eastAsia" w:ascii="仿宋_GB2312" w:hAnsi="仿宋_GB2312" w:eastAsia="仿宋_GB2312" w:cs="仿宋_GB2312"/>
                <w:snapToGrid w:val="0"/>
                <w:sz w:val="20"/>
                <w:szCs w:val="20"/>
                <w:highlight w:val="none"/>
              </w:rPr>
              <w:t>确定土地单价</w:t>
            </w:r>
          </w:p>
          <w:p w14:paraId="0D79CF63">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rPr>
            </w:pPr>
            <w:r>
              <w:rPr>
                <w:rFonts w:hint="eastAsia" w:ascii="仿宋_GB2312" w:hAnsi="仿宋_GB2312" w:eastAsia="仿宋_GB2312" w:cs="仿宋_GB2312"/>
                <w:snapToGrid w:val="0"/>
                <w:sz w:val="20"/>
                <w:szCs w:val="20"/>
                <w:highlight w:val="none"/>
              </w:rPr>
              <w:t>（元/ m</w:t>
            </w:r>
            <w:r>
              <w:rPr>
                <w:rFonts w:hint="eastAsia" w:ascii="仿宋_GB2312" w:hAnsi="仿宋_GB2312" w:eastAsia="仿宋_GB2312" w:cs="仿宋_GB2312"/>
                <w:snapToGrid w:val="0"/>
                <w:sz w:val="20"/>
                <w:szCs w:val="20"/>
                <w:highlight w:val="none"/>
                <w:vertAlign w:val="superscript"/>
              </w:rPr>
              <w:t>2</w:t>
            </w:r>
            <w:r>
              <w:rPr>
                <w:rFonts w:hint="eastAsia" w:ascii="仿宋_GB2312" w:hAnsi="仿宋_GB2312" w:eastAsia="仿宋_GB2312" w:cs="仿宋_GB2312"/>
                <w:snapToGrid w:val="0"/>
                <w:sz w:val="20"/>
                <w:szCs w:val="20"/>
                <w:highlight w:val="none"/>
              </w:rPr>
              <w:t>）</w:t>
            </w:r>
          </w:p>
        </w:tc>
        <w:tc>
          <w:tcPr>
            <w:tcW w:w="982" w:type="dxa"/>
            <w:vMerge w:val="restart"/>
            <w:noWrap w:val="0"/>
            <w:vAlign w:val="center"/>
          </w:tcPr>
          <w:p w14:paraId="348FCF79">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rPr>
            </w:pPr>
            <w:r>
              <w:rPr>
                <w:rFonts w:hint="eastAsia" w:ascii="仿宋_GB2312" w:hAnsi="仿宋_GB2312" w:eastAsia="仿宋_GB2312" w:cs="仿宋_GB2312"/>
                <w:snapToGrid w:val="0"/>
                <w:sz w:val="20"/>
                <w:szCs w:val="20"/>
                <w:highlight w:val="none"/>
              </w:rPr>
              <w:t>土地面积（m</w:t>
            </w:r>
            <w:r>
              <w:rPr>
                <w:rFonts w:hint="eastAsia" w:ascii="仿宋_GB2312" w:hAnsi="仿宋_GB2312" w:eastAsia="仿宋_GB2312" w:cs="仿宋_GB2312"/>
                <w:snapToGrid w:val="0"/>
                <w:sz w:val="20"/>
                <w:szCs w:val="20"/>
                <w:highlight w:val="none"/>
                <w:vertAlign w:val="superscript"/>
              </w:rPr>
              <w:t>2</w:t>
            </w:r>
            <w:r>
              <w:rPr>
                <w:rFonts w:hint="eastAsia" w:ascii="仿宋_GB2312" w:hAnsi="仿宋_GB2312" w:eastAsia="仿宋_GB2312" w:cs="仿宋_GB2312"/>
                <w:snapToGrid w:val="0"/>
                <w:sz w:val="20"/>
                <w:szCs w:val="20"/>
                <w:highlight w:val="none"/>
              </w:rPr>
              <w:t>）</w:t>
            </w:r>
          </w:p>
        </w:tc>
        <w:tc>
          <w:tcPr>
            <w:tcW w:w="764" w:type="dxa"/>
            <w:vMerge w:val="restart"/>
            <w:noWrap w:val="0"/>
            <w:vAlign w:val="center"/>
          </w:tcPr>
          <w:p w14:paraId="78BA9FC9">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rPr>
            </w:pPr>
            <w:r>
              <w:rPr>
                <w:rFonts w:hint="eastAsia" w:ascii="仿宋_GB2312" w:hAnsi="仿宋_GB2312" w:eastAsia="仿宋_GB2312" w:cs="仿宋_GB2312"/>
                <w:snapToGrid w:val="0"/>
                <w:sz w:val="20"/>
                <w:szCs w:val="20"/>
                <w:highlight w:val="none"/>
              </w:rPr>
              <w:t>土地总价（万元）</w:t>
            </w:r>
          </w:p>
        </w:tc>
        <w:tc>
          <w:tcPr>
            <w:tcW w:w="979" w:type="dxa"/>
            <w:vMerge w:val="restart"/>
            <w:noWrap w:val="0"/>
            <w:vAlign w:val="center"/>
          </w:tcPr>
          <w:p w14:paraId="677C2C8F">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rPr>
            </w:pPr>
            <w:r>
              <w:rPr>
                <w:rFonts w:hint="eastAsia" w:ascii="仿宋_GB2312" w:hAnsi="仿宋_GB2312" w:eastAsia="仿宋_GB2312" w:cs="仿宋_GB2312"/>
                <w:snapToGrid w:val="0"/>
                <w:sz w:val="20"/>
                <w:szCs w:val="20"/>
                <w:highlight w:val="none"/>
                <w:lang w:val="en-US" w:eastAsia="zh-CN"/>
              </w:rPr>
              <w:t>楼面地价</w:t>
            </w:r>
            <w:r>
              <w:rPr>
                <w:rFonts w:hint="eastAsia" w:ascii="仿宋_GB2312" w:hAnsi="仿宋_GB2312" w:eastAsia="仿宋_GB2312" w:cs="仿宋_GB2312"/>
                <w:snapToGrid w:val="0"/>
                <w:sz w:val="20"/>
                <w:szCs w:val="20"/>
                <w:highlight w:val="none"/>
              </w:rPr>
              <w:t>（元/m</w:t>
            </w:r>
            <w:r>
              <w:rPr>
                <w:rFonts w:hint="eastAsia" w:ascii="仿宋_GB2312" w:hAnsi="仿宋_GB2312" w:eastAsia="仿宋_GB2312" w:cs="仿宋_GB2312"/>
                <w:snapToGrid w:val="0"/>
                <w:sz w:val="20"/>
                <w:szCs w:val="20"/>
                <w:highlight w:val="none"/>
                <w:vertAlign w:val="superscript"/>
              </w:rPr>
              <w:t>2</w:t>
            </w:r>
            <w:r>
              <w:rPr>
                <w:rFonts w:hint="eastAsia" w:ascii="仿宋_GB2312" w:hAnsi="仿宋_GB2312" w:eastAsia="仿宋_GB2312" w:cs="仿宋_GB2312"/>
                <w:snapToGrid w:val="0"/>
                <w:sz w:val="20"/>
                <w:szCs w:val="20"/>
                <w:highlight w:val="none"/>
              </w:rPr>
              <w:t>）</w:t>
            </w:r>
          </w:p>
        </w:tc>
      </w:tr>
      <w:tr w14:paraId="344C6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1223" w:type="dxa"/>
            <w:vMerge w:val="continue"/>
            <w:noWrap w:val="0"/>
            <w:vAlign w:val="center"/>
          </w:tcPr>
          <w:p w14:paraId="36709039">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rPr>
            </w:pPr>
          </w:p>
        </w:tc>
        <w:tc>
          <w:tcPr>
            <w:tcW w:w="1103" w:type="dxa"/>
            <w:vMerge w:val="continue"/>
            <w:noWrap w:val="0"/>
            <w:vAlign w:val="center"/>
          </w:tcPr>
          <w:p w14:paraId="3041506A">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rPr>
            </w:pPr>
          </w:p>
        </w:tc>
        <w:tc>
          <w:tcPr>
            <w:tcW w:w="853" w:type="dxa"/>
            <w:noWrap w:val="0"/>
            <w:vAlign w:val="center"/>
          </w:tcPr>
          <w:p w14:paraId="3EEAD9C3">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rPr>
            </w:pPr>
            <w:r>
              <w:rPr>
                <w:rFonts w:hint="eastAsia" w:ascii="仿宋_GB2312" w:hAnsi="仿宋_GB2312" w:eastAsia="仿宋_GB2312" w:cs="仿宋_GB2312"/>
                <w:snapToGrid w:val="0"/>
                <w:sz w:val="20"/>
                <w:szCs w:val="20"/>
                <w:highlight w:val="none"/>
              </w:rPr>
              <w:t>土地单价（元/ m</w:t>
            </w:r>
            <w:r>
              <w:rPr>
                <w:rFonts w:hint="eastAsia" w:ascii="仿宋_GB2312" w:hAnsi="仿宋_GB2312" w:eastAsia="仿宋_GB2312" w:cs="仿宋_GB2312"/>
                <w:snapToGrid w:val="0"/>
                <w:sz w:val="20"/>
                <w:szCs w:val="20"/>
                <w:highlight w:val="none"/>
                <w:vertAlign w:val="superscript"/>
              </w:rPr>
              <w:t>2</w:t>
            </w:r>
            <w:r>
              <w:rPr>
                <w:rFonts w:hint="eastAsia" w:ascii="仿宋_GB2312" w:hAnsi="仿宋_GB2312" w:eastAsia="仿宋_GB2312" w:cs="仿宋_GB2312"/>
                <w:snapToGrid w:val="0"/>
                <w:sz w:val="20"/>
                <w:szCs w:val="20"/>
                <w:highlight w:val="none"/>
              </w:rPr>
              <w:t>）</w:t>
            </w:r>
          </w:p>
        </w:tc>
        <w:tc>
          <w:tcPr>
            <w:tcW w:w="529" w:type="dxa"/>
            <w:noWrap w:val="0"/>
            <w:vAlign w:val="center"/>
          </w:tcPr>
          <w:p w14:paraId="7CD51E05">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rPr>
            </w:pPr>
            <w:r>
              <w:rPr>
                <w:rFonts w:hint="eastAsia" w:ascii="仿宋_GB2312" w:hAnsi="仿宋_GB2312" w:eastAsia="仿宋_GB2312" w:cs="仿宋_GB2312"/>
                <w:snapToGrid w:val="0"/>
                <w:sz w:val="20"/>
                <w:szCs w:val="20"/>
                <w:highlight w:val="none"/>
              </w:rPr>
              <w:t>权重</w:t>
            </w:r>
          </w:p>
        </w:tc>
        <w:tc>
          <w:tcPr>
            <w:tcW w:w="1000" w:type="dxa"/>
            <w:noWrap w:val="0"/>
            <w:vAlign w:val="center"/>
          </w:tcPr>
          <w:p w14:paraId="3B6A2E2E">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rPr>
            </w:pPr>
            <w:r>
              <w:rPr>
                <w:rFonts w:hint="eastAsia" w:ascii="仿宋_GB2312" w:hAnsi="仿宋_GB2312" w:eastAsia="仿宋_GB2312" w:cs="仿宋_GB2312"/>
                <w:snapToGrid w:val="0"/>
                <w:sz w:val="20"/>
                <w:szCs w:val="20"/>
                <w:highlight w:val="none"/>
              </w:rPr>
              <w:t>土地单价（元/ m</w:t>
            </w:r>
            <w:r>
              <w:rPr>
                <w:rFonts w:hint="eastAsia" w:ascii="仿宋_GB2312" w:hAnsi="仿宋_GB2312" w:eastAsia="仿宋_GB2312" w:cs="仿宋_GB2312"/>
                <w:snapToGrid w:val="0"/>
                <w:sz w:val="20"/>
                <w:szCs w:val="20"/>
                <w:highlight w:val="none"/>
                <w:vertAlign w:val="superscript"/>
              </w:rPr>
              <w:t>2</w:t>
            </w:r>
            <w:r>
              <w:rPr>
                <w:rFonts w:hint="eastAsia" w:ascii="仿宋_GB2312" w:hAnsi="仿宋_GB2312" w:eastAsia="仿宋_GB2312" w:cs="仿宋_GB2312"/>
                <w:snapToGrid w:val="0"/>
                <w:sz w:val="20"/>
                <w:szCs w:val="20"/>
                <w:highlight w:val="none"/>
              </w:rPr>
              <w:t>）</w:t>
            </w:r>
          </w:p>
        </w:tc>
        <w:tc>
          <w:tcPr>
            <w:tcW w:w="707" w:type="dxa"/>
            <w:noWrap w:val="0"/>
            <w:vAlign w:val="center"/>
          </w:tcPr>
          <w:p w14:paraId="14356A9A">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rPr>
            </w:pPr>
            <w:r>
              <w:rPr>
                <w:rFonts w:hint="eastAsia" w:ascii="仿宋_GB2312" w:hAnsi="仿宋_GB2312" w:eastAsia="仿宋_GB2312" w:cs="仿宋_GB2312"/>
                <w:snapToGrid w:val="0"/>
                <w:sz w:val="20"/>
                <w:szCs w:val="20"/>
                <w:highlight w:val="none"/>
              </w:rPr>
              <w:t>权重</w:t>
            </w:r>
          </w:p>
        </w:tc>
        <w:tc>
          <w:tcPr>
            <w:tcW w:w="775" w:type="dxa"/>
            <w:vMerge w:val="continue"/>
            <w:noWrap w:val="0"/>
            <w:vAlign w:val="center"/>
          </w:tcPr>
          <w:p w14:paraId="200E5A79">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rPr>
            </w:pPr>
          </w:p>
        </w:tc>
        <w:tc>
          <w:tcPr>
            <w:tcW w:w="982" w:type="dxa"/>
            <w:vMerge w:val="continue"/>
            <w:noWrap w:val="0"/>
            <w:vAlign w:val="center"/>
          </w:tcPr>
          <w:p w14:paraId="32E02E49">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rPr>
            </w:pPr>
          </w:p>
        </w:tc>
        <w:tc>
          <w:tcPr>
            <w:tcW w:w="764" w:type="dxa"/>
            <w:vMerge w:val="continue"/>
            <w:noWrap w:val="0"/>
            <w:vAlign w:val="center"/>
          </w:tcPr>
          <w:p w14:paraId="51877FB3">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rPr>
            </w:pPr>
          </w:p>
        </w:tc>
        <w:tc>
          <w:tcPr>
            <w:tcW w:w="979" w:type="dxa"/>
            <w:vMerge w:val="continue"/>
            <w:noWrap w:val="0"/>
            <w:vAlign w:val="center"/>
          </w:tcPr>
          <w:p w14:paraId="2A92182C">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rPr>
            </w:pPr>
          </w:p>
        </w:tc>
      </w:tr>
      <w:tr w14:paraId="0613E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center"/>
        </w:trPr>
        <w:tc>
          <w:tcPr>
            <w:tcW w:w="1223" w:type="dxa"/>
            <w:vMerge w:val="restart"/>
            <w:noWrap w:val="0"/>
            <w:vAlign w:val="center"/>
          </w:tcPr>
          <w:p w14:paraId="3A31FAAF">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2"/>
                <w:szCs w:val="22"/>
                <w:highlight w:val="none"/>
                <w:lang w:val="en-US" w:eastAsia="zh-CN"/>
              </w:rPr>
            </w:pPr>
            <w:r>
              <w:rPr>
                <w:rFonts w:hint="eastAsia" w:ascii="仿宋_GB2312" w:hAnsi="仿宋_GB2312" w:eastAsia="仿宋_GB2312" w:cs="仿宋_GB2312"/>
                <w:snapToGrid w:val="0"/>
                <w:sz w:val="20"/>
                <w:szCs w:val="20"/>
                <w:highlight w:val="none"/>
                <w:lang w:val="en-US" w:eastAsia="zh-CN"/>
              </w:rPr>
              <w:t>通道县双江镇行政街</w:t>
            </w:r>
          </w:p>
        </w:tc>
        <w:tc>
          <w:tcPr>
            <w:tcW w:w="1103" w:type="dxa"/>
            <w:noWrap w:val="0"/>
            <w:vAlign w:val="center"/>
          </w:tcPr>
          <w:p w14:paraId="55428DDE">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2"/>
                <w:szCs w:val="22"/>
                <w:highlight w:val="none"/>
                <w:lang w:val="en-US" w:eastAsia="zh-CN"/>
              </w:rPr>
            </w:pPr>
            <w:r>
              <w:rPr>
                <w:rFonts w:hint="eastAsia" w:ascii="仿宋_GB2312" w:hAnsi="仿宋_GB2312" w:eastAsia="仿宋_GB2312" w:cs="仿宋_GB2312"/>
                <w:snapToGrid w:val="0"/>
                <w:sz w:val="20"/>
                <w:szCs w:val="20"/>
                <w:highlight w:val="none"/>
                <w:lang w:val="en-US" w:eastAsia="zh-CN"/>
              </w:rPr>
              <w:t>商服用地</w:t>
            </w:r>
          </w:p>
        </w:tc>
        <w:tc>
          <w:tcPr>
            <w:tcW w:w="853" w:type="dxa"/>
            <w:noWrap w:val="0"/>
            <w:vAlign w:val="center"/>
          </w:tcPr>
          <w:p w14:paraId="28F6D66F">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7168</w:t>
            </w:r>
          </w:p>
        </w:tc>
        <w:tc>
          <w:tcPr>
            <w:tcW w:w="529" w:type="dxa"/>
            <w:noWrap w:val="0"/>
            <w:vAlign w:val="center"/>
          </w:tcPr>
          <w:p w14:paraId="696067CF">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50%</w:t>
            </w:r>
          </w:p>
        </w:tc>
        <w:tc>
          <w:tcPr>
            <w:tcW w:w="1000" w:type="dxa"/>
            <w:noWrap w:val="0"/>
            <w:vAlign w:val="center"/>
          </w:tcPr>
          <w:p w14:paraId="422738E3">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6103.3</w:t>
            </w:r>
          </w:p>
        </w:tc>
        <w:tc>
          <w:tcPr>
            <w:tcW w:w="707" w:type="dxa"/>
            <w:noWrap w:val="0"/>
            <w:vAlign w:val="center"/>
          </w:tcPr>
          <w:p w14:paraId="10B385AC">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50%</w:t>
            </w:r>
          </w:p>
        </w:tc>
        <w:tc>
          <w:tcPr>
            <w:tcW w:w="775" w:type="dxa"/>
            <w:noWrap w:val="0"/>
            <w:vAlign w:val="center"/>
          </w:tcPr>
          <w:p w14:paraId="5BBE0DCD">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6636</w:t>
            </w:r>
          </w:p>
        </w:tc>
        <w:tc>
          <w:tcPr>
            <w:tcW w:w="982" w:type="dxa"/>
            <w:noWrap w:val="0"/>
            <w:vAlign w:val="center"/>
          </w:tcPr>
          <w:p w14:paraId="2D850F39">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40.38</w:t>
            </w:r>
          </w:p>
        </w:tc>
        <w:tc>
          <w:tcPr>
            <w:tcW w:w="764" w:type="dxa"/>
            <w:noWrap w:val="0"/>
            <w:vAlign w:val="center"/>
          </w:tcPr>
          <w:p w14:paraId="15D4B2B2">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26.8</w:t>
            </w:r>
          </w:p>
        </w:tc>
        <w:tc>
          <w:tcPr>
            <w:tcW w:w="979" w:type="dxa"/>
            <w:noWrap w:val="0"/>
            <w:vAlign w:val="center"/>
          </w:tcPr>
          <w:p w14:paraId="0EB44647">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252.3</w:t>
            </w:r>
          </w:p>
        </w:tc>
      </w:tr>
      <w:tr w14:paraId="21546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center"/>
        </w:trPr>
        <w:tc>
          <w:tcPr>
            <w:tcW w:w="1223" w:type="dxa"/>
            <w:vMerge w:val="continue"/>
            <w:noWrap w:val="0"/>
            <w:vAlign w:val="center"/>
          </w:tcPr>
          <w:p w14:paraId="4C38E3B5">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p>
        </w:tc>
        <w:tc>
          <w:tcPr>
            <w:tcW w:w="1103" w:type="dxa"/>
            <w:noWrap w:val="0"/>
            <w:vAlign w:val="center"/>
          </w:tcPr>
          <w:p w14:paraId="2D8D3F88">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eastAsia" w:ascii="仿宋_GB2312" w:hAnsi="仿宋_GB2312" w:eastAsia="仿宋_GB2312" w:cs="仿宋_GB2312"/>
                <w:snapToGrid w:val="0"/>
                <w:sz w:val="20"/>
                <w:szCs w:val="20"/>
                <w:highlight w:val="none"/>
                <w:lang w:val="en-US" w:eastAsia="zh-CN"/>
              </w:rPr>
              <w:t>住宅用地</w:t>
            </w:r>
          </w:p>
        </w:tc>
        <w:tc>
          <w:tcPr>
            <w:tcW w:w="853" w:type="dxa"/>
            <w:noWrap w:val="0"/>
            <w:vAlign w:val="center"/>
          </w:tcPr>
          <w:p w14:paraId="6138E3B1">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1023.5</w:t>
            </w:r>
          </w:p>
        </w:tc>
        <w:tc>
          <w:tcPr>
            <w:tcW w:w="529" w:type="dxa"/>
            <w:noWrap w:val="0"/>
            <w:vAlign w:val="center"/>
          </w:tcPr>
          <w:p w14:paraId="10442160">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50%</w:t>
            </w:r>
          </w:p>
        </w:tc>
        <w:tc>
          <w:tcPr>
            <w:tcW w:w="1000" w:type="dxa"/>
            <w:noWrap w:val="0"/>
            <w:vAlign w:val="center"/>
          </w:tcPr>
          <w:p w14:paraId="7B9F2CD1">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1447.5</w:t>
            </w:r>
          </w:p>
        </w:tc>
        <w:tc>
          <w:tcPr>
            <w:tcW w:w="707" w:type="dxa"/>
            <w:noWrap w:val="0"/>
            <w:vAlign w:val="center"/>
          </w:tcPr>
          <w:p w14:paraId="0FEEBC8E">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50%</w:t>
            </w:r>
          </w:p>
        </w:tc>
        <w:tc>
          <w:tcPr>
            <w:tcW w:w="775" w:type="dxa"/>
            <w:noWrap w:val="0"/>
            <w:vAlign w:val="center"/>
          </w:tcPr>
          <w:p w14:paraId="2AAB32AB">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1236</w:t>
            </w:r>
          </w:p>
        </w:tc>
        <w:tc>
          <w:tcPr>
            <w:tcW w:w="982" w:type="dxa"/>
            <w:noWrap w:val="0"/>
            <w:vAlign w:val="center"/>
          </w:tcPr>
          <w:p w14:paraId="3B0F539A">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142.89</w:t>
            </w:r>
          </w:p>
        </w:tc>
        <w:tc>
          <w:tcPr>
            <w:tcW w:w="764" w:type="dxa"/>
            <w:noWrap w:val="0"/>
            <w:vAlign w:val="center"/>
          </w:tcPr>
          <w:p w14:paraId="6FEAC618">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17.66</w:t>
            </w:r>
          </w:p>
        </w:tc>
        <w:tc>
          <w:tcPr>
            <w:tcW w:w="979" w:type="dxa"/>
            <w:noWrap w:val="0"/>
            <w:vAlign w:val="center"/>
          </w:tcPr>
          <w:p w14:paraId="41FFA5BC">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1630.5</w:t>
            </w:r>
          </w:p>
        </w:tc>
      </w:tr>
      <w:tr w14:paraId="65D97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23" w:type="dxa"/>
            <w:noWrap w:val="0"/>
            <w:vAlign w:val="center"/>
          </w:tcPr>
          <w:p w14:paraId="1B2D84E9">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eastAsia" w:ascii="仿宋_GB2312" w:hAnsi="仿宋_GB2312" w:eastAsia="仿宋_GB2312" w:cs="仿宋_GB2312"/>
                <w:snapToGrid w:val="0"/>
                <w:sz w:val="20"/>
                <w:szCs w:val="20"/>
                <w:highlight w:val="none"/>
                <w:lang w:val="en-US" w:eastAsia="zh-CN"/>
              </w:rPr>
              <w:t>合计</w:t>
            </w:r>
          </w:p>
        </w:tc>
        <w:tc>
          <w:tcPr>
            <w:tcW w:w="1103" w:type="dxa"/>
            <w:noWrap w:val="0"/>
            <w:vAlign w:val="center"/>
          </w:tcPr>
          <w:p w14:paraId="63A305D4">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eastAsia" w:ascii="仿宋_GB2312" w:hAnsi="仿宋_GB2312" w:eastAsia="仿宋_GB2312" w:cs="仿宋_GB2312"/>
                <w:snapToGrid w:val="0"/>
                <w:sz w:val="20"/>
                <w:szCs w:val="20"/>
                <w:highlight w:val="none"/>
                <w:lang w:val="en-US" w:eastAsia="zh-CN"/>
              </w:rPr>
              <w:t>/</w:t>
            </w:r>
          </w:p>
        </w:tc>
        <w:tc>
          <w:tcPr>
            <w:tcW w:w="853" w:type="dxa"/>
            <w:noWrap w:val="0"/>
            <w:vAlign w:val="center"/>
          </w:tcPr>
          <w:p w14:paraId="735A9234">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w:t>
            </w:r>
          </w:p>
        </w:tc>
        <w:tc>
          <w:tcPr>
            <w:tcW w:w="529" w:type="dxa"/>
            <w:noWrap w:val="0"/>
            <w:vAlign w:val="center"/>
          </w:tcPr>
          <w:p w14:paraId="3108489F">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w:t>
            </w:r>
          </w:p>
        </w:tc>
        <w:tc>
          <w:tcPr>
            <w:tcW w:w="1000" w:type="dxa"/>
            <w:noWrap w:val="0"/>
            <w:vAlign w:val="center"/>
          </w:tcPr>
          <w:p w14:paraId="6B7D351C">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w:t>
            </w:r>
          </w:p>
        </w:tc>
        <w:tc>
          <w:tcPr>
            <w:tcW w:w="707" w:type="dxa"/>
            <w:noWrap w:val="0"/>
            <w:vAlign w:val="center"/>
          </w:tcPr>
          <w:p w14:paraId="600DE563">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default"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w:t>
            </w:r>
          </w:p>
        </w:tc>
        <w:tc>
          <w:tcPr>
            <w:tcW w:w="775" w:type="dxa"/>
            <w:noWrap w:val="0"/>
            <w:vAlign w:val="center"/>
          </w:tcPr>
          <w:p w14:paraId="7A2C39DB">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2426</w:t>
            </w:r>
          </w:p>
        </w:tc>
        <w:tc>
          <w:tcPr>
            <w:tcW w:w="982" w:type="dxa"/>
            <w:noWrap w:val="0"/>
            <w:vAlign w:val="center"/>
          </w:tcPr>
          <w:p w14:paraId="7017D17B">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183.27</w:t>
            </w:r>
          </w:p>
        </w:tc>
        <w:tc>
          <w:tcPr>
            <w:tcW w:w="764" w:type="dxa"/>
            <w:noWrap w:val="0"/>
            <w:vAlign w:val="center"/>
          </w:tcPr>
          <w:p w14:paraId="03EFA83E">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44.46</w:t>
            </w:r>
          </w:p>
        </w:tc>
        <w:tc>
          <w:tcPr>
            <w:tcW w:w="979" w:type="dxa"/>
            <w:noWrap w:val="0"/>
            <w:vAlign w:val="center"/>
          </w:tcPr>
          <w:p w14:paraId="30F8D783">
            <w:pPr>
              <w:keepNext w:val="0"/>
              <w:keepLines w:val="0"/>
              <w:pageBreakBefore w:val="0"/>
              <w:widowControl w:val="0"/>
              <w:kinsoku/>
              <w:wordWrap/>
              <w:overflowPunct/>
              <w:topLinePunct w:val="0"/>
              <w:autoSpaceDE/>
              <w:autoSpaceDN/>
              <w:bidi w:val="0"/>
              <w:adjustRightInd w:val="0"/>
              <w:snapToGrid w:val="0"/>
              <w:spacing w:line="240" w:lineRule="exact"/>
              <w:jc w:val="center"/>
              <w:textAlignment w:val="auto"/>
              <w:rPr>
                <w:rFonts w:hint="eastAsia" w:ascii="仿宋_GB2312" w:hAnsi="仿宋_GB2312" w:eastAsia="仿宋_GB2312" w:cs="仿宋_GB2312"/>
                <w:snapToGrid w:val="0"/>
                <w:sz w:val="22"/>
                <w:szCs w:val="22"/>
                <w:highlight w:val="none"/>
                <w:lang w:val="en-US" w:eastAsia="zh-CN"/>
              </w:rPr>
            </w:pPr>
            <w:r>
              <w:rPr>
                <w:rFonts w:hint="default" w:ascii="仿宋_GB2312" w:hAnsi="仿宋_GB2312" w:eastAsia="仿宋_GB2312" w:cs="仿宋_GB2312"/>
                <w:snapToGrid w:val="0"/>
                <w:sz w:val="20"/>
                <w:szCs w:val="20"/>
                <w:highlight w:val="none"/>
                <w:lang w:val="en-US" w:eastAsia="zh-CN"/>
              </w:rPr>
              <w:t>596.1</w:t>
            </w:r>
          </w:p>
        </w:tc>
      </w:tr>
    </w:tbl>
    <w:p w14:paraId="7A1EBB32">
      <w:pPr>
        <w:keepNext w:val="0"/>
        <w:keepLines w:val="0"/>
        <w:pageBreakBefore w:val="0"/>
        <w:widowControl w:val="0"/>
        <w:kinsoku/>
        <w:wordWrap/>
        <w:overflowPunct/>
        <w:topLinePunct w:val="0"/>
        <w:autoSpaceDE/>
        <w:autoSpaceDN/>
        <w:bidi w:val="0"/>
        <w:spacing w:line="480" w:lineRule="exact"/>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2、估价结果</w:t>
      </w:r>
    </w:p>
    <w:p w14:paraId="3BF2DA2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US" w:eastAsia="zh-CN"/>
        </w:rPr>
        <w:t>通道侗族自治</w:t>
      </w:r>
      <w:r>
        <w:rPr>
          <w:rFonts w:hint="eastAsia" w:ascii="仿宋_GB2312" w:hAnsi="仿宋_GB2312" w:eastAsia="仿宋_GB2312" w:cs="仿宋_GB2312"/>
          <w:bCs/>
          <w:color w:val="auto"/>
          <w:sz w:val="28"/>
          <w:szCs w:val="28"/>
          <w:highlight w:val="none"/>
          <w:lang w:val="en-GB" w:eastAsia="zh-CN"/>
        </w:rPr>
        <w:t>县自然资源局委托评估的，位于</w:t>
      </w:r>
      <w:r>
        <w:rPr>
          <w:rFonts w:hint="eastAsia" w:ascii="仿宋_GB2312" w:hAnsi="仿宋_GB2312" w:eastAsia="仿宋_GB2312" w:cs="仿宋_GB2312"/>
          <w:bCs/>
          <w:color w:val="auto"/>
          <w:sz w:val="28"/>
          <w:szCs w:val="28"/>
          <w:highlight w:val="none"/>
          <w:lang w:val="en-US" w:eastAsia="zh-CN"/>
        </w:rPr>
        <w:t>通道县双江镇行政街</w:t>
      </w:r>
      <w:r>
        <w:rPr>
          <w:rFonts w:hint="eastAsia" w:ascii="仿宋_GB2312" w:hAnsi="仿宋_GB2312" w:eastAsia="仿宋_GB2312" w:cs="仿宋_GB2312"/>
          <w:bCs/>
          <w:color w:val="auto"/>
          <w:sz w:val="28"/>
          <w:szCs w:val="28"/>
          <w:highlight w:val="none"/>
          <w:lang w:val="en-GB" w:eastAsia="zh-CN"/>
        </w:rPr>
        <w:t>的一宗国有土地，土地面积为</w:t>
      </w:r>
      <w:r>
        <w:rPr>
          <w:rFonts w:hint="eastAsia" w:ascii="仿宋_GB2312" w:hAnsi="仿宋_GB2312" w:eastAsia="仿宋_GB2312" w:cs="仿宋_GB2312"/>
          <w:bCs/>
          <w:color w:val="auto"/>
          <w:sz w:val="28"/>
          <w:szCs w:val="28"/>
          <w:highlight w:val="none"/>
          <w:lang w:val="en-US" w:eastAsia="zh-CN"/>
        </w:rPr>
        <w:t>183.27平方米</w:t>
      </w:r>
      <w:r>
        <w:rPr>
          <w:rFonts w:hint="eastAsia" w:ascii="仿宋_GB2312" w:hAnsi="仿宋_GB2312" w:eastAsia="仿宋_GB2312" w:cs="仿宋_GB2312"/>
          <w:bCs/>
          <w:color w:val="auto"/>
          <w:sz w:val="28"/>
          <w:szCs w:val="28"/>
          <w:highlight w:val="none"/>
          <w:lang w:val="en-GB" w:eastAsia="zh-CN"/>
        </w:rPr>
        <w:t>，于估价期日2026年2月3日，在设定土地用途为</w:t>
      </w:r>
      <w:r>
        <w:rPr>
          <w:rFonts w:hint="eastAsia" w:ascii="仿宋_GB2312" w:hAnsi="仿宋_GB2312" w:eastAsia="仿宋_GB2312" w:cs="仿宋_GB2312"/>
          <w:bCs/>
          <w:color w:val="auto"/>
          <w:sz w:val="28"/>
          <w:szCs w:val="28"/>
          <w:highlight w:val="none"/>
          <w:lang w:val="en-US" w:eastAsia="zh-CN"/>
        </w:rPr>
        <w:t>商服用地、</w:t>
      </w:r>
      <w:r>
        <w:rPr>
          <w:rFonts w:hint="eastAsia" w:ascii="仿宋_GB2312" w:hAnsi="仿宋_GB2312" w:eastAsia="仿宋_GB2312" w:cs="仿宋_GB2312"/>
          <w:bCs/>
          <w:color w:val="auto"/>
          <w:sz w:val="28"/>
          <w:szCs w:val="28"/>
          <w:highlight w:val="none"/>
          <w:lang w:val="en-GB" w:eastAsia="zh-CN"/>
        </w:rPr>
        <w:t>住宅用地（</w:t>
      </w:r>
      <w:r>
        <w:rPr>
          <w:rFonts w:hint="eastAsia" w:ascii="仿宋_GB2312" w:hAnsi="仿宋_GB2312" w:eastAsia="仿宋_GB2312" w:cs="仿宋_GB2312"/>
          <w:bCs/>
          <w:color w:val="auto"/>
          <w:sz w:val="28"/>
          <w:szCs w:val="28"/>
          <w:highlight w:val="none"/>
          <w:lang w:val="en-US" w:eastAsia="zh-CN"/>
        </w:rPr>
        <w:t>商住比22.03%：77.97%</w:t>
      </w:r>
      <w:r>
        <w:rPr>
          <w:rFonts w:hint="eastAsia" w:ascii="仿宋_GB2312" w:hAnsi="仿宋_GB2312" w:eastAsia="仿宋_GB2312" w:cs="仿宋_GB2312"/>
          <w:bCs/>
          <w:color w:val="auto"/>
          <w:sz w:val="28"/>
          <w:szCs w:val="28"/>
          <w:highlight w:val="none"/>
          <w:lang w:val="en-GB" w:eastAsia="zh-CN"/>
        </w:rPr>
        <w:t>），设定土地使用权类型为出让，设定土地使用年期为</w:t>
      </w:r>
      <w:r>
        <w:rPr>
          <w:rFonts w:hint="eastAsia" w:ascii="仿宋_GB2312" w:hAnsi="仿宋_GB2312" w:eastAsia="仿宋_GB2312" w:cs="仿宋_GB2312"/>
          <w:bCs/>
          <w:color w:val="auto"/>
          <w:sz w:val="28"/>
          <w:szCs w:val="28"/>
          <w:highlight w:val="none"/>
          <w:lang w:val="en-US" w:eastAsia="zh-CN"/>
        </w:rPr>
        <w:t>商服用地40年、住宅用地70年</w:t>
      </w:r>
      <w:r>
        <w:rPr>
          <w:rFonts w:hint="eastAsia" w:ascii="仿宋_GB2312" w:hAnsi="仿宋_GB2312" w:eastAsia="仿宋_GB2312" w:cs="仿宋_GB2312"/>
          <w:bCs/>
          <w:color w:val="auto"/>
          <w:sz w:val="28"/>
          <w:szCs w:val="28"/>
          <w:highlight w:val="none"/>
          <w:lang w:val="en-GB" w:eastAsia="zh-CN"/>
        </w:rPr>
        <w:t>，设定容积率为4.07，设定土地开发程度为宗地红线外“五通”（通路、供水、排水、通电、通讯）及红线内场地平整，现状利用条件下的出让土地使用权价格如下（币种：人民币）：</w:t>
      </w:r>
    </w:p>
    <w:p w14:paraId="1BB99C1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土地面积：</w:t>
      </w:r>
      <w:r>
        <w:rPr>
          <w:rFonts w:hint="eastAsia" w:ascii="仿宋_GB2312" w:hAnsi="仿宋_GB2312" w:eastAsia="仿宋_GB2312" w:cs="仿宋_GB2312"/>
          <w:b/>
          <w:bCs w:val="0"/>
          <w:color w:val="auto"/>
          <w:sz w:val="28"/>
          <w:szCs w:val="28"/>
          <w:highlight w:val="none"/>
          <w:lang w:val="en-US" w:eastAsia="zh-CN"/>
        </w:rPr>
        <w:t>183.27平方米</w:t>
      </w:r>
    </w:p>
    <w:p w14:paraId="315B65A2">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单位面积地价：</w:t>
      </w:r>
      <w:r>
        <w:rPr>
          <w:rFonts w:hint="eastAsia" w:ascii="仿宋_GB2312" w:hAnsi="仿宋_GB2312" w:eastAsia="仿宋_GB2312" w:cs="仿宋_GB2312"/>
          <w:b/>
          <w:bCs w:val="0"/>
          <w:color w:val="auto"/>
          <w:sz w:val="28"/>
          <w:szCs w:val="28"/>
          <w:highlight w:val="none"/>
          <w:lang w:val="en-US" w:eastAsia="zh-CN"/>
        </w:rPr>
        <w:t>2426</w:t>
      </w:r>
      <w:r>
        <w:rPr>
          <w:rFonts w:hint="eastAsia" w:ascii="仿宋_GB2312" w:hAnsi="仿宋_GB2312" w:eastAsia="仿宋_GB2312" w:cs="仿宋_GB2312"/>
          <w:b/>
          <w:bCs w:val="0"/>
          <w:color w:val="auto"/>
          <w:sz w:val="28"/>
          <w:szCs w:val="28"/>
          <w:highlight w:val="none"/>
          <w:lang w:val="en-GB" w:eastAsia="zh-CN"/>
        </w:rPr>
        <w:t>元/平方米</w:t>
      </w:r>
    </w:p>
    <w:p w14:paraId="33703238">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楼面地价：</w:t>
      </w:r>
      <w:r>
        <w:rPr>
          <w:rFonts w:hint="eastAsia" w:ascii="仿宋_GB2312" w:hAnsi="仿宋_GB2312" w:eastAsia="仿宋_GB2312" w:cs="仿宋_GB2312"/>
          <w:b/>
          <w:bCs w:val="0"/>
          <w:color w:val="auto"/>
          <w:sz w:val="28"/>
          <w:szCs w:val="28"/>
          <w:highlight w:val="none"/>
          <w:lang w:val="en-US" w:eastAsia="zh-CN"/>
        </w:rPr>
        <w:t>596.1</w:t>
      </w:r>
      <w:r>
        <w:rPr>
          <w:rFonts w:hint="eastAsia" w:ascii="仿宋_GB2312" w:hAnsi="仿宋_GB2312" w:eastAsia="仿宋_GB2312" w:cs="仿宋_GB2312"/>
          <w:b/>
          <w:bCs w:val="0"/>
          <w:color w:val="auto"/>
          <w:sz w:val="28"/>
          <w:szCs w:val="28"/>
          <w:highlight w:val="none"/>
          <w:lang w:val="en-GB" w:eastAsia="zh-CN"/>
        </w:rPr>
        <w:t>元/平方米</w:t>
      </w:r>
    </w:p>
    <w:p w14:paraId="090ABEE5">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总 地 价：</w:t>
      </w:r>
      <w:r>
        <w:rPr>
          <w:rFonts w:hint="eastAsia" w:ascii="仿宋_GB2312" w:hAnsi="仿宋_GB2312" w:eastAsia="仿宋_GB2312" w:cs="仿宋_GB2312"/>
          <w:b/>
          <w:bCs w:val="0"/>
          <w:color w:val="auto"/>
          <w:sz w:val="28"/>
          <w:szCs w:val="28"/>
          <w:highlight w:val="none"/>
          <w:lang w:val="en-US" w:eastAsia="zh-CN"/>
        </w:rPr>
        <w:t>44.46</w:t>
      </w:r>
      <w:r>
        <w:rPr>
          <w:rFonts w:hint="eastAsia" w:ascii="仿宋_GB2312" w:hAnsi="仿宋_GB2312" w:eastAsia="仿宋_GB2312" w:cs="仿宋_GB2312"/>
          <w:b/>
          <w:bCs w:val="0"/>
          <w:color w:val="auto"/>
          <w:sz w:val="28"/>
          <w:szCs w:val="28"/>
          <w:highlight w:val="none"/>
          <w:lang w:val="en-GB" w:eastAsia="zh-CN"/>
        </w:rPr>
        <w:t>万元</w:t>
      </w:r>
    </w:p>
    <w:p w14:paraId="6741C8CD">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大    写：</w:t>
      </w:r>
      <w:r>
        <w:rPr>
          <w:rFonts w:hint="eastAsia" w:ascii="仿宋_GB2312" w:hAnsi="仿宋_GB2312" w:eastAsia="仿宋_GB2312" w:cs="仿宋_GB2312"/>
          <w:b/>
          <w:bCs w:val="0"/>
          <w:color w:val="auto"/>
          <w:sz w:val="28"/>
          <w:szCs w:val="28"/>
          <w:highlight w:val="none"/>
          <w:lang w:val="en-US" w:eastAsia="zh-CN"/>
        </w:rPr>
        <w:t>肆拾肆万肆仟陆佰</w:t>
      </w:r>
      <w:r>
        <w:rPr>
          <w:rFonts w:hint="eastAsia" w:ascii="仿宋_GB2312" w:hAnsi="仿宋_GB2312" w:eastAsia="仿宋_GB2312" w:cs="仿宋_GB2312"/>
          <w:b/>
          <w:bCs w:val="0"/>
          <w:color w:val="auto"/>
          <w:sz w:val="28"/>
          <w:szCs w:val="28"/>
          <w:highlight w:val="none"/>
          <w:lang w:val="en-GB" w:eastAsia="zh-CN"/>
        </w:rPr>
        <w:t>元整</w:t>
      </w:r>
    </w:p>
    <w:p w14:paraId="69551292">
      <w:pPr>
        <w:spacing w:line="480" w:lineRule="exact"/>
        <w:ind w:firstLine="562" w:firstLineChars="200"/>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其中：</w:t>
      </w:r>
    </w:p>
    <w:p w14:paraId="21D2384F">
      <w:pPr>
        <w:overflowPunct w:val="0"/>
        <w:autoSpaceDE w:val="0"/>
        <w:autoSpaceDN w:val="0"/>
        <w:snapToGrid w:val="0"/>
        <w:spacing w:line="460" w:lineRule="exact"/>
        <w:ind w:firstLine="562" w:firstLineChars="200"/>
        <w:rPr>
          <w:rFonts w:hint="eastAsia" w:ascii="仿宋" w:hAnsi="仿宋" w:eastAsia="仿宋"/>
          <w:b/>
          <w:bCs/>
          <w:sz w:val="28"/>
          <w:szCs w:val="28"/>
          <w:highlight w:val="none"/>
        </w:rPr>
      </w:pPr>
      <w:r>
        <w:rPr>
          <w:rFonts w:hint="eastAsia" w:ascii="仿宋" w:hAnsi="仿宋" w:eastAsia="仿宋"/>
          <w:b/>
          <w:bCs/>
          <w:sz w:val="28"/>
          <w:szCs w:val="28"/>
          <w:highlight w:val="none"/>
        </w:rPr>
        <w:t>商服用地面积</w:t>
      </w:r>
      <w:r>
        <w:rPr>
          <w:rFonts w:hint="eastAsia" w:ascii="仿宋" w:hAnsi="仿宋" w:eastAsia="仿宋"/>
          <w:b/>
          <w:bCs/>
          <w:sz w:val="28"/>
          <w:szCs w:val="28"/>
          <w:highlight w:val="none"/>
          <w:lang w:val="en-US" w:eastAsia="zh-CN"/>
        </w:rPr>
        <w:t>:40.38</w:t>
      </w:r>
      <w:r>
        <w:rPr>
          <w:rFonts w:hint="eastAsia" w:ascii="仿宋" w:hAnsi="仿宋" w:eastAsia="仿宋"/>
          <w:b/>
          <w:bCs/>
          <w:sz w:val="28"/>
          <w:szCs w:val="28"/>
          <w:highlight w:val="none"/>
        </w:rPr>
        <w:t>平方米</w:t>
      </w:r>
    </w:p>
    <w:p w14:paraId="417A9B3F">
      <w:pPr>
        <w:overflowPunct w:val="0"/>
        <w:autoSpaceDE w:val="0"/>
        <w:autoSpaceDN w:val="0"/>
        <w:snapToGrid w:val="0"/>
        <w:spacing w:line="460" w:lineRule="exact"/>
        <w:ind w:firstLine="562" w:firstLineChars="200"/>
        <w:rPr>
          <w:rFonts w:hint="eastAsia" w:ascii="仿宋" w:hAnsi="仿宋" w:eastAsia="仿宋"/>
          <w:b/>
          <w:bCs/>
          <w:sz w:val="28"/>
          <w:szCs w:val="28"/>
          <w:highlight w:val="none"/>
        </w:rPr>
      </w:pPr>
      <w:r>
        <w:rPr>
          <w:rFonts w:hint="eastAsia" w:ascii="仿宋" w:hAnsi="仿宋" w:eastAsia="仿宋"/>
          <w:b/>
          <w:bCs/>
          <w:sz w:val="28"/>
          <w:szCs w:val="28"/>
          <w:highlight w:val="none"/>
        </w:rPr>
        <w:t>商服用地</w:t>
      </w:r>
      <w:r>
        <w:rPr>
          <w:rFonts w:hint="eastAsia" w:ascii="仿宋" w:hAnsi="仿宋" w:eastAsia="仿宋"/>
          <w:b/>
          <w:bCs/>
          <w:sz w:val="28"/>
          <w:szCs w:val="28"/>
          <w:highlight w:val="none"/>
          <w:lang w:val="en-US" w:eastAsia="zh-CN"/>
        </w:rPr>
        <w:t>单</w:t>
      </w:r>
      <w:r>
        <w:rPr>
          <w:rFonts w:hint="eastAsia" w:ascii="仿宋" w:hAnsi="仿宋" w:eastAsia="仿宋"/>
          <w:b/>
          <w:bCs/>
          <w:sz w:val="28"/>
          <w:szCs w:val="28"/>
          <w:highlight w:val="none"/>
        </w:rPr>
        <w:t>价</w:t>
      </w:r>
      <w:r>
        <w:rPr>
          <w:rFonts w:hint="eastAsia" w:ascii="仿宋" w:hAnsi="仿宋" w:eastAsia="仿宋"/>
          <w:b/>
          <w:bCs/>
          <w:sz w:val="28"/>
          <w:szCs w:val="28"/>
          <w:highlight w:val="none"/>
          <w:lang w:val="en-US" w:eastAsia="zh-CN"/>
        </w:rPr>
        <w:t>:6636.00元</w:t>
      </w:r>
      <w:r>
        <w:rPr>
          <w:rFonts w:hint="eastAsia" w:ascii="仿宋" w:hAnsi="仿宋" w:eastAsia="仿宋"/>
          <w:b/>
          <w:bCs/>
          <w:sz w:val="28"/>
          <w:szCs w:val="28"/>
          <w:highlight w:val="none"/>
        </w:rPr>
        <w:t>/平方米</w:t>
      </w:r>
    </w:p>
    <w:p w14:paraId="090DFD22">
      <w:pPr>
        <w:overflowPunct w:val="0"/>
        <w:autoSpaceDE w:val="0"/>
        <w:autoSpaceDN w:val="0"/>
        <w:snapToGrid w:val="0"/>
        <w:spacing w:line="460" w:lineRule="exact"/>
        <w:ind w:firstLine="562" w:firstLineChars="200"/>
        <w:rPr>
          <w:rFonts w:hint="eastAsia" w:ascii="仿宋" w:hAnsi="仿宋" w:eastAsia="仿宋"/>
          <w:b/>
          <w:bCs/>
          <w:sz w:val="28"/>
          <w:szCs w:val="28"/>
          <w:highlight w:val="none"/>
        </w:rPr>
      </w:pPr>
      <w:r>
        <w:rPr>
          <w:rFonts w:hint="eastAsia" w:ascii="仿宋" w:hAnsi="仿宋" w:eastAsia="仿宋"/>
          <w:b/>
          <w:bCs/>
          <w:sz w:val="28"/>
          <w:szCs w:val="28"/>
          <w:highlight w:val="none"/>
        </w:rPr>
        <w:t>商服用地楼面地价</w:t>
      </w:r>
      <w:r>
        <w:rPr>
          <w:rFonts w:hint="eastAsia" w:ascii="仿宋" w:hAnsi="仿宋" w:eastAsia="仿宋"/>
          <w:b/>
          <w:bCs/>
          <w:sz w:val="28"/>
          <w:szCs w:val="28"/>
          <w:highlight w:val="none"/>
          <w:lang w:val="en-US" w:eastAsia="zh-CN"/>
        </w:rPr>
        <w:t>:1630.5</w:t>
      </w:r>
      <w:r>
        <w:rPr>
          <w:rFonts w:hint="eastAsia" w:ascii="仿宋" w:hAnsi="仿宋" w:eastAsia="仿宋"/>
          <w:b/>
          <w:bCs/>
          <w:sz w:val="28"/>
          <w:szCs w:val="28"/>
          <w:highlight w:val="none"/>
        </w:rPr>
        <w:t>元/平方米</w:t>
      </w:r>
    </w:p>
    <w:p w14:paraId="320523BF">
      <w:pPr>
        <w:overflowPunct w:val="0"/>
        <w:autoSpaceDE w:val="0"/>
        <w:autoSpaceDN w:val="0"/>
        <w:snapToGrid w:val="0"/>
        <w:spacing w:line="460" w:lineRule="exact"/>
        <w:ind w:firstLine="562" w:firstLineChars="200"/>
        <w:rPr>
          <w:rFonts w:hint="eastAsia" w:ascii="仿宋" w:hAnsi="仿宋" w:eastAsia="仿宋"/>
          <w:b/>
          <w:bCs/>
          <w:sz w:val="28"/>
          <w:szCs w:val="28"/>
          <w:highlight w:val="none"/>
        </w:rPr>
      </w:pPr>
      <w:r>
        <w:rPr>
          <w:rFonts w:hint="eastAsia" w:ascii="仿宋" w:hAnsi="仿宋" w:eastAsia="仿宋"/>
          <w:b/>
          <w:bCs/>
          <w:sz w:val="28"/>
          <w:szCs w:val="28"/>
          <w:highlight w:val="none"/>
        </w:rPr>
        <w:t>商服用地总价</w:t>
      </w:r>
      <w:r>
        <w:rPr>
          <w:rFonts w:hint="eastAsia" w:ascii="仿宋" w:hAnsi="仿宋" w:eastAsia="仿宋"/>
          <w:b/>
          <w:bCs/>
          <w:sz w:val="28"/>
          <w:szCs w:val="28"/>
          <w:highlight w:val="none"/>
          <w:lang w:val="en-US" w:eastAsia="zh-CN"/>
        </w:rPr>
        <w:t>:26.8</w:t>
      </w:r>
      <w:r>
        <w:rPr>
          <w:rFonts w:hint="eastAsia" w:ascii="仿宋" w:hAnsi="仿宋" w:eastAsia="仿宋"/>
          <w:b/>
          <w:bCs/>
          <w:sz w:val="28"/>
          <w:szCs w:val="28"/>
          <w:highlight w:val="none"/>
        </w:rPr>
        <w:t>万元</w:t>
      </w:r>
    </w:p>
    <w:p w14:paraId="169E2F65">
      <w:pPr>
        <w:overflowPunct w:val="0"/>
        <w:autoSpaceDE w:val="0"/>
        <w:autoSpaceDN w:val="0"/>
        <w:snapToGrid w:val="0"/>
        <w:spacing w:line="460" w:lineRule="exact"/>
        <w:ind w:firstLine="562" w:firstLineChars="200"/>
        <w:rPr>
          <w:rFonts w:hint="eastAsia" w:ascii="仿宋" w:hAnsi="仿宋" w:eastAsia="仿宋"/>
          <w:b/>
          <w:bCs/>
          <w:snapToGrid w:val="0"/>
          <w:kern w:val="0"/>
          <w:sz w:val="28"/>
          <w:szCs w:val="28"/>
          <w:highlight w:val="none"/>
        </w:rPr>
      </w:pPr>
      <w:r>
        <w:rPr>
          <w:rFonts w:hint="eastAsia" w:ascii="仿宋" w:hAnsi="仿宋" w:eastAsia="仿宋"/>
          <w:b/>
          <w:bCs/>
          <w:snapToGrid w:val="0"/>
          <w:kern w:val="0"/>
          <w:sz w:val="28"/>
          <w:szCs w:val="28"/>
          <w:highlight w:val="none"/>
        </w:rPr>
        <w:t>住宅用地面积</w:t>
      </w:r>
      <w:r>
        <w:rPr>
          <w:rFonts w:hint="eastAsia" w:ascii="仿宋" w:hAnsi="仿宋" w:eastAsia="仿宋"/>
          <w:b/>
          <w:bCs/>
          <w:snapToGrid w:val="0"/>
          <w:kern w:val="0"/>
          <w:sz w:val="28"/>
          <w:szCs w:val="28"/>
          <w:highlight w:val="none"/>
          <w:lang w:val="en-US" w:eastAsia="zh-CN"/>
        </w:rPr>
        <w:t>:142.89</w:t>
      </w:r>
      <w:r>
        <w:rPr>
          <w:rFonts w:hint="eastAsia" w:ascii="仿宋" w:hAnsi="仿宋" w:eastAsia="仿宋"/>
          <w:b/>
          <w:bCs/>
          <w:snapToGrid w:val="0"/>
          <w:kern w:val="0"/>
          <w:sz w:val="28"/>
          <w:szCs w:val="28"/>
          <w:highlight w:val="none"/>
        </w:rPr>
        <w:t>平方米</w:t>
      </w:r>
    </w:p>
    <w:p w14:paraId="1306B179">
      <w:pPr>
        <w:overflowPunct w:val="0"/>
        <w:autoSpaceDE w:val="0"/>
        <w:autoSpaceDN w:val="0"/>
        <w:snapToGrid w:val="0"/>
        <w:spacing w:line="460" w:lineRule="exact"/>
        <w:ind w:firstLine="562" w:firstLineChars="200"/>
        <w:rPr>
          <w:rFonts w:hint="eastAsia" w:ascii="仿宋" w:hAnsi="仿宋" w:eastAsia="仿宋"/>
          <w:b/>
          <w:bCs/>
          <w:snapToGrid w:val="0"/>
          <w:kern w:val="0"/>
          <w:sz w:val="28"/>
          <w:szCs w:val="28"/>
          <w:highlight w:val="none"/>
        </w:rPr>
      </w:pPr>
      <w:r>
        <w:rPr>
          <w:rFonts w:hint="eastAsia" w:ascii="仿宋" w:hAnsi="仿宋" w:eastAsia="仿宋"/>
          <w:b/>
          <w:bCs/>
          <w:snapToGrid w:val="0"/>
          <w:kern w:val="0"/>
          <w:sz w:val="28"/>
          <w:szCs w:val="28"/>
          <w:highlight w:val="none"/>
        </w:rPr>
        <w:t>住宅用地单价</w:t>
      </w:r>
      <w:r>
        <w:rPr>
          <w:rFonts w:hint="eastAsia" w:ascii="仿宋" w:hAnsi="仿宋" w:eastAsia="仿宋"/>
          <w:b/>
          <w:bCs/>
          <w:snapToGrid w:val="0"/>
          <w:kern w:val="0"/>
          <w:sz w:val="28"/>
          <w:szCs w:val="28"/>
          <w:highlight w:val="none"/>
          <w:lang w:val="en-US" w:eastAsia="zh-CN"/>
        </w:rPr>
        <w:t>:1236.00</w:t>
      </w:r>
      <w:r>
        <w:rPr>
          <w:rFonts w:hint="eastAsia" w:ascii="仿宋" w:hAnsi="仿宋" w:eastAsia="仿宋"/>
          <w:b/>
          <w:bCs/>
          <w:snapToGrid w:val="0"/>
          <w:kern w:val="0"/>
          <w:sz w:val="28"/>
          <w:szCs w:val="28"/>
          <w:highlight w:val="none"/>
        </w:rPr>
        <w:t>元/平方米</w:t>
      </w:r>
    </w:p>
    <w:p w14:paraId="59742F21">
      <w:pPr>
        <w:overflowPunct w:val="0"/>
        <w:autoSpaceDE w:val="0"/>
        <w:autoSpaceDN w:val="0"/>
        <w:snapToGrid w:val="0"/>
        <w:spacing w:line="460" w:lineRule="exact"/>
        <w:ind w:firstLine="562" w:firstLineChars="200"/>
        <w:rPr>
          <w:rFonts w:hint="eastAsia" w:ascii="仿宋" w:hAnsi="仿宋" w:eastAsia="仿宋"/>
          <w:b/>
          <w:bCs/>
          <w:snapToGrid w:val="0"/>
          <w:kern w:val="0"/>
          <w:sz w:val="28"/>
          <w:szCs w:val="28"/>
          <w:highlight w:val="none"/>
        </w:rPr>
      </w:pPr>
      <w:r>
        <w:rPr>
          <w:rFonts w:hint="eastAsia" w:ascii="仿宋" w:hAnsi="仿宋" w:eastAsia="仿宋"/>
          <w:b/>
          <w:bCs/>
          <w:snapToGrid w:val="0"/>
          <w:kern w:val="0"/>
          <w:sz w:val="28"/>
          <w:szCs w:val="28"/>
          <w:highlight w:val="none"/>
        </w:rPr>
        <w:t>住宅用地楼面地价</w:t>
      </w:r>
      <w:r>
        <w:rPr>
          <w:rFonts w:hint="eastAsia" w:ascii="仿宋" w:hAnsi="仿宋" w:eastAsia="仿宋"/>
          <w:b/>
          <w:bCs/>
          <w:snapToGrid w:val="0"/>
          <w:kern w:val="0"/>
          <w:sz w:val="28"/>
          <w:szCs w:val="28"/>
          <w:highlight w:val="none"/>
          <w:lang w:val="en-US" w:eastAsia="zh-CN"/>
        </w:rPr>
        <w:t>:303.7</w:t>
      </w:r>
      <w:r>
        <w:rPr>
          <w:rFonts w:hint="eastAsia" w:ascii="仿宋" w:hAnsi="仿宋" w:eastAsia="仿宋"/>
          <w:b/>
          <w:bCs/>
          <w:snapToGrid w:val="0"/>
          <w:kern w:val="0"/>
          <w:sz w:val="28"/>
          <w:szCs w:val="28"/>
          <w:highlight w:val="none"/>
        </w:rPr>
        <w:t>元/平方米</w:t>
      </w:r>
    </w:p>
    <w:p w14:paraId="79E1683D">
      <w:pPr>
        <w:overflowPunct w:val="0"/>
        <w:autoSpaceDE w:val="0"/>
        <w:autoSpaceDN w:val="0"/>
        <w:snapToGrid w:val="0"/>
        <w:spacing w:line="460" w:lineRule="exact"/>
        <w:ind w:firstLine="562" w:firstLineChars="200"/>
        <w:rPr>
          <w:rFonts w:hint="eastAsia" w:eastAsia="仿宋_GB2312"/>
          <w:highlight w:val="none"/>
          <w:lang w:val="en-US" w:eastAsia="zh-CN"/>
        </w:rPr>
      </w:pPr>
      <w:r>
        <w:rPr>
          <w:rFonts w:hint="eastAsia" w:ascii="仿宋" w:hAnsi="仿宋" w:eastAsia="仿宋"/>
          <w:b/>
          <w:bCs/>
          <w:snapToGrid w:val="0"/>
          <w:kern w:val="0"/>
          <w:sz w:val="28"/>
          <w:szCs w:val="28"/>
          <w:highlight w:val="none"/>
        </w:rPr>
        <w:t>住宅用地总价</w:t>
      </w:r>
      <w:r>
        <w:rPr>
          <w:rFonts w:hint="eastAsia" w:ascii="仿宋" w:hAnsi="仿宋" w:eastAsia="仿宋"/>
          <w:b/>
          <w:bCs/>
          <w:snapToGrid w:val="0"/>
          <w:kern w:val="0"/>
          <w:sz w:val="28"/>
          <w:szCs w:val="28"/>
          <w:highlight w:val="none"/>
          <w:lang w:val="en-US" w:eastAsia="zh-CN"/>
        </w:rPr>
        <w:t>:17.66</w:t>
      </w:r>
      <w:r>
        <w:rPr>
          <w:rFonts w:hint="eastAsia" w:ascii="仿宋" w:hAnsi="仿宋" w:eastAsia="仿宋"/>
          <w:b/>
          <w:bCs/>
          <w:snapToGrid w:val="0"/>
          <w:kern w:val="0"/>
          <w:sz w:val="28"/>
          <w:szCs w:val="28"/>
          <w:highlight w:val="none"/>
        </w:rPr>
        <w:t>万</w:t>
      </w:r>
      <w:r>
        <w:rPr>
          <w:rFonts w:hint="eastAsia" w:ascii="仿宋" w:hAnsi="仿宋" w:eastAsia="仿宋"/>
          <w:b/>
          <w:bCs/>
          <w:sz w:val="28"/>
          <w:szCs w:val="28"/>
          <w:highlight w:val="none"/>
        </w:rPr>
        <w:t>元</w:t>
      </w:r>
    </w:p>
    <w:p w14:paraId="090681CC">
      <w:pPr>
        <w:keepNext w:val="0"/>
        <w:keepLines w:val="0"/>
        <w:pageBreakBefore w:val="0"/>
        <w:widowControl w:val="0"/>
        <w:kinsoku/>
        <w:wordWrap/>
        <w:overflowPunct/>
        <w:topLinePunct w:val="0"/>
        <w:bidi w:val="0"/>
        <w:adjustRightInd w:val="0"/>
        <w:snapToGrid w:val="0"/>
        <w:spacing w:line="480" w:lineRule="exact"/>
        <w:ind w:firstLine="562" w:firstLineChars="200"/>
        <w:rPr>
          <w:rFonts w:hint="eastAsia" w:ascii="仿宋_GB2312" w:hAnsi="仿宋_GB2312" w:eastAsia="仿宋_GB2312" w:cs="仿宋_GB2312"/>
          <w:b/>
          <w:bCs/>
          <w:color w:val="000000"/>
          <w:kern w:val="2"/>
          <w:sz w:val="28"/>
          <w:szCs w:val="28"/>
          <w:highlight w:val="none"/>
          <w:lang w:val="en-US" w:eastAsia="zh-CN" w:bidi="ar-SA"/>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详见《土地估价结果一览表》</w:t>
      </w:r>
      <w:r>
        <w:rPr>
          <w:rFonts w:hint="eastAsia" w:ascii="仿宋_GB2312" w:hAnsi="仿宋_GB2312" w:eastAsia="仿宋_GB2312" w:cs="仿宋_GB2312"/>
          <w:b/>
          <w:bCs/>
          <w:color w:val="000000"/>
          <w:kern w:val="2"/>
          <w:sz w:val="28"/>
          <w:szCs w:val="28"/>
          <w:highlight w:val="none"/>
          <w:lang w:val="en-US" w:eastAsia="zh-CN" w:bidi="ar-SA"/>
        </w:rPr>
        <w:t>。</w:t>
      </w:r>
      <w:r>
        <w:rPr>
          <w:rFonts w:hint="eastAsia" w:ascii="仿宋_GB2312" w:hAnsi="仿宋_GB2312" w:eastAsia="仿宋_GB2312" w:cs="仿宋_GB2312"/>
          <w:b/>
          <w:bCs/>
          <w:color w:val="000000"/>
          <w:kern w:val="2"/>
          <w:sz w:val="28"/>
          <w:szCs w:val="28"/>
          <w:highlight w:val="none"/>
          <w:lang w:val="en-US" w:eastAsia="zh-CN" w:bidi="ar-SA"/>
        </w:rPr>
        <w:br w:type="page"/>
      </w:r>
    </w:p>
    <w:p w14:paraId="0115C1C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 w:hAnsi="仿宋" w:eastAsia="仿宋" w:cs="仿宋"/>
          <w:sz w:val="28"/>
          <w:szCs w:val="28"/>
          <w:highlight w:val="none"/>
        </w:rPr>
      </w:pPr>
    </w:p>
    <w:p w14:paraId="58B589F4">
      <w:pPr>
        <w:pStyle w:val="5"/>
        <w:numPr>
          <w:ilvl w:val="0"/>
          <w:numId w:val="2"/>
        </w:numPr>
        <w:ind w:firstLine="0"/>
        <w:jc w:val="center"/>
        <w:rPr>
          <w:rFonts w:hint="eastAsia" w:ascii="宋体" w:hAnsi="宋体" w:eastAsia="宋体" w:cs="宋体"/>
          <w:b/>
          <w:bCs/>
          <w:sz w:val="32"/>
          <w:highlight w:val="none"/>
        </w:rPr>
      </w:pPr>
      <w:r>
        <w:rPr>
          <w:rFonts w:hint="eastAsia" w:ascii="宋体" w:hAnsi="宋体" w:eastAsia="宋体" w:cs="宋体"/>
          <w:b/>
          <w:bCs/>
          <w:sz w:val="32"/>
          <w:highlight w:val="none"/>
        </w:rPr>
        <w:t xml:space="preserve">     附件</w:t>
      </w:r>
    </w:p>
    <w:p w14:paraId="0781E94D">
      <w:pPr>
        <w:spacing w:line="360" w:lineRule="auto"/>
        <w:ind w:firstLine="560" w:firstLineChars="200"/>
        <w:rPr>
          <w:rFonts w:ascii="仿宋_GB2312" w:eastAsia="仿宋_GB2312"/>
          <w:bCs/>
          <w:sz w:val="28"/>
          <w:szCs w:val="22"/>
          <w:highlight w:val="none"/>
        </w:rPr>
      </w:pPr>
    </w:p>
    <w:p w14:paraId="1223DA48">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1.估价对象《土地资产评估委托书》；</w:t>
      </w:r>
    </w:p>
    <w:p w14:paraId="3F475003">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2.委托方《统一社会信用代码证书》复印件</w:t>
      </w:r>
    </w:p>
    <w:p w14:paraId="280F537B">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3.估价对象《国有土地使用证》（通国用（2014）第000327号）；</w:t>
      </w:r>
    </w:p>
    <w:p w14:paraId="6676B847">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4.估价对象《房屋所有权证》（通房权证双江字第201517109号）；</w:t>
      </w:r>
    </w:p>
    <w:p w14:paraId="542EB46B">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5.《通道侗族自治县自然资源局关于通道县政府大院内各建筑性质的认定》（2026年1月28日）；</w:t>
      </w:r>
    </w:p>
    <w:p w14:paraId="0DE867D1">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6.《通道县自然资源局行政许可申请受理决定书》（2026年1月22日）；</w:t>
      </w:r>
    </w:p>
    <w:p w14:paraId="42A521F0">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7.估价对象《土地分户分摊面积明细表》</w:t>
      </w:r>
    </w:p>
    <w:p w14:paraId="4F374D94">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8.估价对象宗地区域位置示意图；</w:t>
      </w:r>
    </w:p>
    <w:p w14:paraId="128F8EBE">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9.</w:t>
      </w:r>
      <w:r>
        <w:rPr>
          <w:rFonts w:hint="eastAsia" w:ascii="仿宋_GB2312" w:hAnsi="仿宋_GB2312" w:eastAsia="仿宋_GB2312" w:cs="仿宋_GB2312"/>
          <w:color w:val="auto"/>
          <w:kern w:val="2"/>
          <w:sz w:val="28"/>
          <w:szCs w:val="28"/>
          <w:highlight w:val="none"/>
          <w:lang w:val="en-US" w:eastAsia="zh-CN" w:bidi="ar"/>
        </w:rPr>
        <w:t>估价对象照片</w:t>
      </w:r>
      <w:r>
        <w:rPr>
          <w:rFonts w:hint="eastAsia" w:ascii="仿宋_GB2312" w:hAnsi="仿宋_GB2312" w:eastAsia="仿宋_GB2312" w:cs="仿宋_GB2312"/>
          <w:bCs/>
          <w:sz w:val="28"/>
          <w:szCs w:val="28"/>
          <w:highlight w:val="none"/>
          <w:lang w:val="en-US" w:eastAsia="zh-CN"/>
        </w:rPr>
        <w:t>；</w:t>
      </w:r>
    </w:p>
    <w:p w14:paraId="162D533D">
      <w:pPr>
        <w:keepNext w:val="0"/>
        <w:keepLines w:val="0"/>
        <w:pageBreakBefore w:val="0"/>
        <w:widowControl w:val="0"/>
        <w:tabs>
          <w:tab w:val="left" w:pos="1011"/>
        </w:tabs>
        <w:kinsoku/>
        <w:wordWrap/>
        <w:overflowPunct/>
        <w:topLinePunct w:val="0"/>
        <w:autoSpaceDE w:val="0"/>
        <w:autoSpaceDN w:val="0"/>
        <w:bidi w:val="0"/>
        <w:adjustRightInd w:val="0"/>
        <w:snapToGrid w:val="0"/>
        <w:spacing w:line="360" w:lineRule="auto"/>
        <w:ind w:firstLine="560" w:firstLineChars="200"/>
        <w:textAlignment w:val="auto"/>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10.现场勘察表；</w:t>
      </w:r>
    </w:p>
    <w:p w14:paraId="46134C8D">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11.土地评估中介机构企业营业执照；</w:t>
      </w:r>
    </w:p>
    <w:p w14:paraId="7ABC9B9D">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12.土地评估中介机构备案证明；</w:t>
      </w:r>
    </w:p>
    <w:p w14:paraId="430BBFB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13.土地估价师资质证书。</w:t>
      </w:r>
    </w:p>
    <w:p w14:paraId="337EB938">
      <w:pPr>
        <w:keepNext w:val="0"/>
        <w:keepLines w:val="0"/>
        <w:pageBreakBefore w:val="0"/>
        <w:widowControl w:val="0"/>
        <w:kinsoku/>
        <w:wordWrap/>
        <w:overflowPunct/>
        <w:topLinePunct w:val="0"/>
        <w:bidi w:val="0"/>
        <w:spacing w:line="360" w:lineRule="auto"/>
        <w:jc w:val="right"/>
        <w:textAlignment w:val="auto"/>
        <w:rPr>
          <w:rFonts w:hint="eastAsia" w:ascii="仿宋_GB2312" w:eastAsia="仿宋_GB2312"/>
          <w:sz w:val="28"/>
          <w:szCs w:val="28"/>
          <w:highlight w:val="none"/>
        </w:rPr>
      </w:pPr>
    </w:p>
    <w:p w14:paraId="04745258">
      <w:pPr>
        <w:keepNext w:val="0"/>
        <w:keepLines w:val="0"/>
        <w:pageBreakBefore w:val="0"/>
        <w:widowControl w:val="0"/>
        <w:kinsoku/>
        <w:wordWrap/>
        <w:overflowPunct/>
        <w:topLinePunct w:val="0"/>
        <w:bidi w:val="0"/>
        <w:spacing w:line="360" w:lineRule="auto"/>
        <w:jc w:val="right"/>
        <w:textAlignment w:val="auto"/>
        <w:rPr>
          <w:rFonts w:hint="eastAsia" w:ascii="仿宋" w:hAnsi="仿宋" w:eastAsia="仿宋" w:cs="仿宋"/>
          <w:b/>
          <w:bCs w:val="0"/>
          <w:color w:val="auto"/>
          <w:sz w:val="28"/>
          <w:szCs w:val="28"/>
          <w:highlight w:val="none"/>
          <w:lang w:val="en-US" w:eastAsia="zh-CN"/>
        </w:rPr>
      </w:pPr>
      <w:r>
        <w:rPr>
          <w:rFonts w:hint="eastAsia" w:ascii="仿宋_GB2312" w:eastAsia="仿宋_GB2312"/>
          <w:sz w:val="28"/>
          <w:szCs w:val="28"/>
          <w:highlight w:val="none"/>
        </w:rPr>
        <w:t>（以上资料均为复印件）</w:t>
      </w:r>
    </w:p>
    <w:p w14:paraId="5B48FBED">
      <w:pPr>
        <w:pStyle w:val="2"/>
        <w:numPr>
          <w:ilvl w:val="0"/>
          <w:numId w:val="0"/>
        </w:numPr>
        <w:ind w:leftChars="200"/>
        <w:rPr>
          <w:highlight w:val="none"/>
        </w:rPr>
      </w:pPr>
      <w:r>
        <w:rPr>
          <w:rFonts w:hint="eastAsia" w:ascii="仿宋" w:hAnsi="仿宋" w:eastAsia="仿宋" w:cs="仿宋"/>
          <w:bCs/>
          <w:color w:val="auto"/>
          <w:sz w:val="28"/>
          <w:szCs w:val="28"/>
          <w:highlight w:val="none"/>
          <w:lang w:val="en-US" w:eastAsia="zh-CN"/>
        </w:rPr>
        <w:t xml:space="preserve">  </w:t>
      </w:r>
    </w:p>
    <w:sectPr>
      <w:headerReference r:id="rId21" w:type="default"/>
      <w:footerReference r:id="rId22"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体">
    <w:altName w:val="宋体"/>
    <w:panose1 w:val="00000000000000000000"/>
    <w:charset w:val="86"/>
    <w:family w:val="roman"/>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 w:name="昆仑仿宋">
    <w:altName w:val="黑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4F21D">
    <w:pPr>
      <w:pStyle w:val="8"/>
      <w:pBdr>
        <w:top w:val="single" w:color="auto" w:sz="4" w:space="1"/>
        <w:left w:val="none" w:color="auto" w:sz="0" w:space="0"/>
        <w:bottom w:val="none" w:color="auto" w:sz="0" w:space="0"/>
        <w:right w:val="none" w:color="auto" w:sz="0" w:space="0"/>
        <w:between w:val="none" w:color="auto" w:sz="0" w:space="0"/>
      </w:pBdr>
    </w:pPr>
    <w:r>
      <w:rPr>
        <w:rFonts w:hint="eastAsia" w:ascii="仿宋_GB2312" w:hAnsi="仿宋_GB2312" w:eastAsia="仿宋_GB2312" w:cs="仿宋_GB2312"/>
        <w:spacing w:val="14"/>
        <w:sz w:val="21"/>
        <w:szCs w:val="21"/>
        <w:lang w:eastAsia="zh-CN"/>
      </w:rPr>
      <w:t>湖南兆财不动产规划评估有限公司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0B565">
    <w:pPr>
      <w:pStyle w:val="8"/>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68480" behindDoc="0" locked="0" layoutInCell="1" allowOverlap="1">
              <wp:simplePos x="0" y="0"/>
              <wp:positionH relativeFrom="margin">
                <wp:align>right</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C27537D">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spEF7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MspEF7eAgAAJgYAAA4AAAAAAAAAAQAgAAAAHwEAAGRycy9lMm9Eb2MueG1sUEsF&#10;BgAAAAAGAAYAWQEAAG8GAAAAAA==&#10;">
              <v:fill on="f" focussize="0,0"/>
              <v:stroke on="f" weight="0.5pt"/>
              <v:imagedata o:title=""/>
              <o:lock v:ext="edit" aspectratio="f"/>
              <v:textbox inset="0mm,0mm,0mm,0mm" style="mso-fit-shape-to-text:t;">
                <w:txbxContent>
                  <w:p w14:paraId="2C27537D">
                    <w:pPr>
                      <w:pStyle w:val="8"/>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1EF3C">
    <w:pPr>
      <w:pStyle w:val="8"/>
    </w:pPr>
    <w:r>
      <w:rPr>
        <w:sz w:val="18"/>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098E5FE">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0WLvTe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J0WLvTeAgAAJgYAAA4AAAAAAAAAAQAgAAAAHwEAAGRycy9lMm9Eb2MueG1sUEsF&#10;BgAAAAAGAAYAWQEAAG8GAAAAAA==&#10;">
              <v:fill on="f" focussize="0,0"/>
              <v:stroke on="f" weight="0.5pt"/>
              <v:imagedata o:title=""/>
              <o:lock v:ext="edit" aspectratio="f"/>
              <v:textbox inset="0mm,0mm,0mm,0mm" style="mso-fit-shape-to-text:t;">
                <w:txbxContent>
                  <w:p w14:paraId="7098E5FE">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sz w:val="18"/>
      </w:rPr>
      <mc:AlternateContent>
        <mc:Choice Requires="wps">
          <w:drawing>
            <wp:anchor distT="0" distB="0" distL="114300" distR="114300" simplePos="0" relativeHeight="251666432" behindDoc="0" locked="0" layoutInCell="1" allowOverlap="1">
              <wp:simplePos x="0" y="0"/>
              <wp:positionH relativeFrom="column">
                <wp:posOffset>4445</wp:posOffset>
              </wp:positionH>
              <wp:positionV relativeFrom="paragraph">
                <wp:posOffset>-59690</wp:posOffset>
              </wp:positionV>
              <wp:extent cx="5285105" cy="0"/>
              <wp:effectExtent l="0" t="6350" r="0" b="6350"/>
              <wp:wrapNone/>
              <wp:docPr id="1" name="直接连接符 1"/>
              <wp:cNvGraphicFramePr/>
              <a:graphic xmlns:a="http://schemas.openxmlformats.org/drawingml/2006/main">
                <a:graphicData uri="http://schemas.microsoft.com/office/word/2010/wordprocessingShape">
                  <wps:wsp>
                    <wps:cNvCnPr/>
                    <wps:spPr>
                      <a:xfrm>
                        <a:off x="1137920" y="9776460"/>
                        <a:ext cx="528510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35pt;margin-top:-4.7pt;height:0pt;width:416.15pt;z-index:251666432;mso-width-relative:page;mso-height-relative:page;" filled="f" stroked="t" coordsize="21600,21600" o:gfxdata="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be1eX1gAAAAYBAAAPAAAAAAAAAAEAIAAAACIAAABkcnMvZG93bnJldi54bWxQSwECFAAUAAAA&#10;CACHTuJAEdV2nPABAAC+AwAADgAAAAAAAAABACAAAAAlAQAAZHJzL2Uyb0RvYy54bWxQSwUGAAAA&#10;AAYABgBZAQAAhwUAAAAA&#10;">
              <v:fill on="f" focussize="0,0"/>
              <v:stroke weight="1pt" color="#000000 [3213]" miterlimit="8" joinstyle="miter"/>
              <v:imagedata o:title=""/>
              <o:lock v:ext="edit" aspectratio="f"/>
            </v:line>
          </w:pict>
        </mc:Fallback>
      </mc:AlternateContent>
    </w:r>
    <w:r>
      <w:rPr>
        <w:rFonts w:hint="eastAsia" w:ascii="仿宋_GB2312" w:hAnsi="仿宋_GB2312" w:eastAsia="仿宋_GB2312" w:cs="仿宋_GB2312"/>
        <w:spacing w:val="14"/>
        <w:sz w:val="21"/>
        <w:szCs w:val="21"/>
        <w:lang w:eastAsia="zh-CN"/>
      </w:rPr>
      <w:t>湖南兆财不动产规划评估有限公司</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26442">
    <w:pPr>
      <w:pStyle w:val="8"/>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D49B9ED">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BuI3ve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HBuI3veAgAAJgYAAA4AAAAAAAAAAQAgAAAAHwEAAGRycy9lMm9Eb2MueG1sUEsF&#10;BgAAAAAGAAYAWQEAAG8GAAAAAA==&#10;">
              <v:fill on="f" focussize="0,0"/>
              <v:stroke on="f" weight="0.5pt"/>
              <v:imagedata o:title=""/>
              <o:lock v:ext="edit" aspectratio="f"/>
              <v:textbox inset="0mm,0mm,0mm,0mm" style="mso-fit-shape-to-text:t;">
                <w:txbxContent>
                  <w:p w14:paraId="3D49B9ED">
                    <w:pPr>
                      <w:pStyle w:val="8"/>
                    </w:pPr>
                    <w:r>
                      <w:fldChar w:fldCharType="begin"/>
                    </w:r>
                    <w:r>
                      <w:instrText xml:space="preserve"> PAGE  \* MERGEFORMAT </w:instrText>
                    </w:r>
                    <w:r>
                      <w:fldChar w:fldCharType="separate"/>
                    </w:r>
                    <w:r>
                      <w:t>1</w:t>
                    </w:r>
                    <w:r>
                      <w:fldChar w:fldCharType="end"/>
                    </w:r>
                  </w:p>
                </w:txbxContent>
              </v:textbox>
            </v:shape>
          </w:pict>
        </mc:Fallback>
      </mc:AlternateContent>
    </w:r>
  </w:p>
  <w:p w14:paraId="1F88F850">
    <w:pPr>
      <w:pStyle w:val="8"/>
    </w:pPr>
    <w:r>
      <w:rPr>
        <w:rFonts w:hint="eastAsia" w:ascii="仿宋_GB2312" w:hAnsi="仿宋_GB2312" w:eastAsia="仿宋_GB2312" w:cs="仿宋_GB2312"/>
        <w:spacing w:val="14"/>
        <w:sz w:val="21"/>
        <w:szCs w:val="21"/>
        <w:lang w:eastAsia="zh-CN"/>
      </w:rPr>
      <w:t>湖南兆财不动产规划评估有限公司</w:t>
    </w:r>
    <w:r>
      <w:rPr>
        <w:rFonts w:hint="eastAsia" w:ascii="仿宋_GB2312" w:eastAsia="仿宋_GB2312"/>
        <w:sz w:val="21"/>
        <w:szCs w:val="21"/>
      </w:rPr>
      <w:t xml:space="preserve">                              　　　  　</w:t>
    </w:r>
    <w:r>
      <w:rPr>
        <w:rFonts w:hint="eastAsia" w:ascii="仿宋_GB2312" w:eastAsia="仿宋_GB2312"/>
        <w:sz w:val="21"/>
        <w:szCs w:val="21"/>
        <w:lang w:val="en-US" w:eastAsia="zh-CN"/>
      </w:rPr>
      <w:t xml:space="preserve">         </w:t>
    </w:r>
    <w:r>
      <w:rPr>
        <w:rFonts w:hint="eastAsia" w:ascii="仿宋_GB2312" w:eastAsia="仿宋_GB2312"/>
        <w:sz w:val="21"/>
        <w:szCs w:val="21"/>
      </w:rPr>
      <w:t>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CEAE0">
    <w:pPr>
      <w:pStyle w:val="8"/>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195580</wp:posOffset>
              </wp:positionV>
              <wp:extent cx="212090" cy="143510"/>
              <wp:effectExtent l="0" t="0" r="0" b="0"/>
              <wp:wrapNone/>
              <wp:docPr id="10" name="文本框 9"/>
              <wp:cNvGraphicFramePr/>
              <a:graphic xmlns:a="http://schemas.openxmlformats.org/drawingml/2006/main">
                <a:graphicData uri="http://schemas.microsoft.com/office/word/2010/wordprocessingShape">
                  <wps:wsp>
                    <wps:cNvSpPr txBox="1"/>
                    <wps:spPr>
                      <a:xfrm>
                        <a:off x="0" y="0"/>
                        <a:ext cx="212090" cy="143510"/>
                      </a:xfrm>
                      <a:prstGeom prst="rect">
                        <a:avLst/>
                      </a:prstGeom>
                      <a:noFill/>
                      <a:ln>
                        <a:noFill/>
                      </a:ln>
                    </wps:spPr>
                    <wps:txbx>
                      <w:txbxContent>
                        <w:p w14:paraId="61B476EB">
                          <w:pPr>
                            <w:snapToGrid w:val="0"/>
                            <w:rPr>
                              <w:sz w:val="18"/>
                            </w:rPr>
                          </w:pPr>
                        </w:p>
                      </w:txbxContent>
                    </wps:txbx>
                    <wps:bodyPr wrap="square" lIns="0" tIns="0" rIns="0" bIns="0"/>
                  </wps:wsp>
                </a:graphicData>
              </a:graphic>
            </wp:anchor>
          </w:drawing>
        </mc:Choice>
        <mc:Fallback>
          <w:pict>
            <v:shape id="文本框 9" o:spid="_x0000_s1026" o:spt="202" type="#_x0000_t202" style="position:absolute;left:0pt;margin-top:15.4pt;height:11.3pt;width:16.7pt;mso-position-horizontal:right;mso-position-horizontal-relative:margin;z-index:251660288;mso-width-relative:page;mso-height-relative:page;" filled="f" stroked="f" coordsize="21600,21600" o:gfxdata="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nWKSh1AAAAAUBAAAPAAAAAAAAAAEAIAAAACIAAABkcnMvZG93bnJldi54bWxQSwECFAAU&#10;AAAACACHTuJA83Oqc7wBAAB0AwAADgAAAAAAAAABACAAAAAjAQAAZHJzL2Uyb0RvYy54bWxQSwUG&#10;AAAAAAYABgBZAQAAUQUAAAAA&#10;">
              <v:fill on="f" focussize="0,0"/>
              <v:stroke on="f"/>
              <v:imagedata o:title=""/>
              <o:lock v:ext="edit" aspectratio="f"/>
              <v:textbox inset="0mm,0mm,0mm,0mm">
                <w:txbxContent>
                  <w:p w14:paraId="61B476EB">
                    <w:pPr>
                      <w:snapToGrid w:val="0"/>
                      <w:rPr>
                        <w:sz w:val="18"/>
                      </w:rPr>
                    </w:pPr>
                  </w:p>
                </w:txbxContent>
              </v:textbox>
            </v:shape>
          </w:pict>
        </mc:Fallback>
      </mc:AlternateContent>
    </w:r>
  </w:p>
  <w:p w14:paraId="00CB4942">
    <w:pPr>
      <w:pStyle w:val="8"/>
    </w:pPr>
    <w:r>
      <w:rPr>
        <w:sz w:val="21"/>
      </w:rPr>
      <mc:AlternateContent>
        <mc:Choice Requires="wps">
          <w:drawing>
            <wp:anchor distT="0" distB="0" distL="114300" distR="114300" simplePos="0" relativeHeight="251671552" behindDoc="0" locked="0" layoutInCell="1" allowOverlap="1">
              <wp:simplePos x="0" y="0"/>
              <wp:positionH relativeFrom="margin">
                <wp:posOffset>8799830</wp:posOffset>
              </wp:positionH>
              <wp:positionV relativeFrom="paragraph">
                <wp:posOffset>10795</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9D995E1">
                          <w:pPr>
                            <w:pStyle w:val="8"/>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692.9pt;margin-top:0.85pt;height:144pt;width:144pt;mso-position-horizontal-relative:margin;mso-wrap-style:none;z-index:251671552;mso-width-relative:page;mso-height-relative:page;" filled="f" stroked="f" coordsize="21600,21600" o:gfxdata="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KsZg62AAAAAsBAAAPAAAAAAAAAAEAIAAAACIAAABkcnMvZG93bnJldi54&#10;bWxQSwECFAAUAAAACACHTuJAJzfdyt4CAAAmBgAADgAAAAAAAAABACAAAAAnAQAAZHJzL2Uyb0Rv&#10;Yy54bWxQSwUGAAAAAAYABgBZAQAAdwYAAAAA&#10;">
              <v:fill on="f" focussize="0,0"/>
              <v:stroke on="f" weight="0.5pt"/>
              <v:imagedata o:title=""/>
              <o:lock v:ext="edit" aspectratio="f"/>
              <v:textbox inset="0mm,0mm,0mm,0mm" style="mso-fit-shape-to-text:t;">
                <w:txbxContent>
                  <w:p w14:paraId="09D995E1">
                    <w:pPr>
                      <w:pStyle w:val="8"/>
                    </w:pPr>
                    <w:r>
                      <w:fldChar w:fldCharType="begin"/>
                    </w:r>
                    <w:r>
                      <w:instrText xml:space="preserve"> PAGE  \* MERGEFORMAT </w:instrText>
                    </w:r>
                    <w:r>
                      <w:fldChar w:fldCharType="separate"/>
                    </w:r>
                    <w:r>
                      <w:t>7</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B4678">
    <w:pPr>
      <w:pStyle w:val="8"/>
      <w:pBdr>
        <w:top w:val="single" w:color="auto" w:sz="4" w:space="1"/>
        <w:left w:val="none" w:color="auto" w:sz="0" w:space="0"/>
        <w:bottom w:val="none" w:color="auto" w:sz="0" w:space="0"/>
        <w:right w:val="none" w:color="auto" w:sz="0" w:space="0"/>
        <w:between w:val="none" w:color="auto" w:sz="0" w:space="0"/>
      </w:pBdr>
      <w:tabs>
        <w:tab w:val="right" w:pos="13958"/>
        <w:tab w:val="clear" w:pos="4153"/>
      </w:tabs>
    </w:pPr>
    <w:r>
      <w:rPr>
        <w:sz w:val="21"/>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0F5AB08">
                          <w:pPr>
                            <w:pStyle w:val="8"/>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EI42DeAgAAJg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HEI42DeAgAAJgYAAA4AAAAAAAAAAQAgAAAAHwEAAGRycy9lMm9Eb2MueG1sUEsF&#10;BgAAAAAGAAYAWQEAAG8GAAAAAA==&#10;">
              <v:fill on="f" focussize="0,0"/>
              <v:stroke on="f" weight="0.5pt"/>
              <v:imagedata o:title=""/>
              <o:lock v:ext="edit" aspectratio="f"/>
              <v:textbox inset="0mm,0mm,0mm,0mm" style="mso-fit-shape-to-text:t;">
                <w:txbxContent>
                  <w:p w14:paraId="40F5AB08">
                    <w:pPr>
                      <w:pStyle w:val="8"/>
                    </w:pPr>
                    <w:r>
                      <w:fldChar w:fldCharType="begin"/>
                    </w:r>
                    <w:r>
                      <w:instrText xml:space="preserve"> PAGE  \* MERGEFORMAT </w:instrText>
                    </w:r>
                    <w:r>
                      <w:fldChar w:fldCharType="separate"/>
                    </w:r>
                    <w:r>
                      <w:t>8</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r>
      <w:rPr>
        <w:rFonts w:hint="eastAsia" w:ascii="仿宋_GB2312" w:hAnsi="仿宋_GB2312" w:eastAsia="仿宋_GB2312" w:cs="仿宋_GB2312"/>
        <w:spacing w:val="14"/>
        <w:sz w:val="21"/>
        <w:szCs w:val="21"/>
        <w:lang w:eastAsia="zh-CN"/>
      </w:rPr>
      <w:tab/>
      <w:t/>
    </w:r>
    <w:r>
      <w:rPr>
        <w:rFonts w:hint="eastAsia" w:ascii="仿宋_GB2312" w:hAnsi="仿宋_GB2312" w:eastAsia="仿宋_GB2312" w:cs="仿宋_GB2312"/>
        <w:spacing w:val="14"/>
        <w:sz w:val="21"/>
        <w:szCs w:val="21"/>
        <w:lang w:eastAsia="zh-CN"/>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8B2">
    <w:pPr>
      <w:pStyle w:val="8"/>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35B8E5">
                          <w:pPr>
                            <w:pStyle w:val="8"/>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W+3o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W+3ozAgAAYwQAAA4AAAAAAAAAAQAgAAAAHwEAAGRycy9lMm9Eb2MueG1sUEsF&#10;BgAAAAAGAAYAWQEAAMQFAAAAAA==&#10;">
              <v:fill on="f" focussize="0,0"/>
              <v:stroke on="f" weight="0.5pt"/>
              <v:imagedata o:title=""/>
              <o:lock v:ext="edit" aspectratio="f"/>
              <v:textbox inset="0mm,0mm,0mm,0mm" style="mso-fit-shape-to-text:t;">
                <w:txbxContent>
                  <w:p w14:paraId="5535B8E5">
                    <w:pPr>
                      <w:pStyle w:val="8"/>
                    </w:pPr>
                    <w:r>
                      <w:fldChar w:fldCharType="begin"/>
                    </w:r>
                    <w:r>
                      <w:instrText xml:space="preserve"> PAGE  \* MERGEFORMAT </w:instrText>
                    </w:r>
                    <w:r>
                      <w:fldChar w:fldCharType="separate"/>
                    </w:r>
                    <w:r>
                      <w:t>7</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p w14:paraId="58D6942B">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E6744D">
                          <w:pPr>
                            <w:pStyle w:val="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CE6744D">
                    <w:pPr>
                      <w:pStyle w:val="8"/>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92806">
    <w:pPr>
      <w:pStyle w:val="8"/>
      <w:pBdr>
        <w:top w:val="single" w:color="auto" w:sz="4" w:space="1"/>
        <w:left w:val="none" w:color="auto" w:sz="0" w:space="0"/>
        <w:bottom w:val="none" w:color="auto" w:sz="0" w:space="0"/>
        <w:right w:val="none" w:color="auto" w:sz="0" w:space="0"/>
        <w:between w:val="none" w:color="auto" w:sz="0" w:space="0"/>
      </w:pBdr>
      <w:tabs>
        <w:tab w:val="right" w:pos="13958"/>
        <w:tab w:val="clear" w:pos="4153"/>
      </w:tabs>
    </w:pPr>
    <w:r>
      <w:rPr>
        <w:sz w:val="21"/>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BEA34C6">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4U2Rn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4U2RneAgAAJgYAAA4AAAAAAAAAAQAgAAAAHwEAAGRycy9lMm9Eb2MueG1sUEsF&#10;BgAAAAAGAAYAWQEAAG8GAAAAAA==&#10;">
              <v:fill on="f" focussize="0,0"/>
              <v:stroke on="f" weight="0.5pt"/>
              <v:imagedata o:title=""/>
              <o:lock v:ext="edit" aspectratio="f"/>
              <v:textbox inset="0mm,0mm,0mm,0mm" style="mso-fit-shape-to-text:t;">
                <w:txbxContent>
                  <w:p w14:paraId="2BEA34C6">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r>
      <w:rPr>
        <w:rFonts w:hint="eastAsia" w:ascii="仿宋_GB2312" w:hAnsi="仿宋_GB2312" w:eastAsia="仿宋_GB2312" w:cs="仿宋_GB2312"/>
        <w:spacing w:val="14"/>
        <w:sz w:val="21"/>
        <w:szCs w:val="21"/>
        <w:lang w:eastAsia="zh-CN"/>
      </w:rPr>
      <w:tab/>
    </w:r>
    <w:r>
      <w:rPr>
        <w:rFonts w:hint="eastAsia" w:ascii="仿宋_GB2312" w:hAnsi="仿宋_GB2312" w:eastAsia="仿宋_GB2312" w:cs="仿宋_GB2312"/>
        <w:spacing w:val="14"/>
        <w:sz w:val="21"/>
        <w:szCs w:val="21"/>
        <w:lang w:eastAsia="zh-CN"/>
      </w:rPr>
      <w:tab/>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DDC0A">
    <w:pPr>
      <w:pStyle w:val="8"/>
      <w:pBdr>
        <w:top w:val="single" w:color="auto" w:sz="4" w:space="1"/>
        <w:left w:val="none" w:color="auto" w:sz="0" w:space="0"/>
        <w:bottom w:val="none" w:color="auto" w:sz="0" w:space="0"/>
        <w:right w:val="none" w:color="auto" w:sz="0" w:space="0"/>
        <w:between w:val="none" w:color="auto" w:sz="0" w:space="0"/>
      </w:pBdr>
      <w:tabs>
        <w:tab w:val="right" w:pos="13958"/>
        <w:tab w:val="clear" w:pos="4153"/>
      </w:tabs>
    </w:pPr>
    <w:r>
      <w:rPr>
        <w:sz w:val="21"/>
      </w:rPr>
      <mc:AlternateContent>
        <mc:Choice Requires="wps">
          <w:drawing>
            <wp:anchor distT="0" distB="0" distL="114300" distR="114300" simplePos="0" relativeHeight="251674624" behindDoc="0" locked="0" layoutInCell="1" allowOverlap="1">
              <wp:simplePos x="0" y="0"/>
              <wp:positionH relativeFrom="margin">
                <wp:align>right</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5C54401">
                          <w:pPr>
                            <w:pStyle w:val="8"/>
                          </w:pPr>
                          <w:r>
                            <w:fldChar w:fldCharType="begin"/>
                          </w:r>
                          <w:r>
                            <w:instrText xml:space="preserve"> PAGE  \* MERGEFORMAT </w:instrText>
                          </w:r>
                          <w:r>
                            <w:fldChar w:fldCharType="separate"/>
                          </w:r>
                          <w:r>
                            <w:t>59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Cvns90CAAAmBgAADgAAAAAAAAABACAAAAAfAQAAZHJzL2Uyb0RvYy54bWxQSwUG&#10;AAAAAAYABgBZAQAAbgYAAAAA&#10;">
              <v:fill on="f" focussize="0,0"/>
              <v:stroke on="f" weight="0.5pt"/>
              <v:imagedata o:title=""/>
              <o:lock v:ext="edit" aspectratio="f"/>
              <v:textbox inset="0mm,0mm,0mm,0mm" style="mso-fit-shape-to-text:t;">
                <w:txbxContent>
                  <w:p w14:paraId="35C54401">
                    <w:pPr>
                      <w:pStyle w:val="8"/>
                    </w:pPr>
                    <w:r>
                      <w:fldChar w:fldCharType="begin"/>
                    </w:r>
                    <w:r>
                      <w:instrText xml:space="preserve"> PAGE  \* MERGEFORMAT </w:instrText>
                    </w:r>
                    <w:r>
                      <w:fldChar w:fldCharType="separate"/>
                    </w:r>
                    <w:r>
                      <w:t>59</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r>
      <w:rPr>
        <w:rFonts w:hint="eastAsia" w:ascii="仿宋_GB2312" w:hAnsi="仿宋_GB2312" w:eastAsia="仿宋_GB2312" w:cs="仿宋_GB2312"/>
        <w:spacing w:val="14"/>
        <w:sz w:val="21"/>
        <w:szCs w:val="21"/>
        <w:lang w:eastAsia="zh-CN"/>
      </w:rPr>
      <w:tab/>
    </w:r>
    <w:r>
      <w:rPr>
        <w:rFonts w:hint="eastAsia" w:ascii="仿宋_GB2312" w:hAnsi="仿宋_GB2312" w:eastAsia="仿宋_GB2312" w:cs="仿宋_GB2312"/>
        <w:spacing w:val="14"/>
        <w:sz w:val="21"/>
        <w:szCs w:val="21"/>
        <w:lang w:eastAsia="zh-CN"/>
      </w:rPr>
      <w:tab/>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1F8E3">
    <w:pPr>
      <w:pStyle w:val="8"/>
      <w:pBdr>
        <w:bottom w:val="single" w:color="auto" w:sz="6" w:space="1"/>
      </w:pBdr>
      <w:rPr>
        <w:rFonts w:ascii="仿宋_GB2312" w:eastAsia="仿宋_GB2312"/>
        <w:sz w:val="21"/>
        <w:szCs w:val="21"/>
      </w:rPr>
    </w:pPr>
  </w:p>
  <w:p w14:paraId="617BCB99">
    <w:pPr>
      <w:pStyle w:val="8"/>
    </w:pPr>
    <w:r>
      <w:rPr>
        <w:sz w:val="21"/>
      </w:rPr>
      <mc:AlternateContent>
        <mc:Choice Requires="wps">
          <w:drawing>
            <wp:anchor distT="0" distB="0" distL="114300" distR="114300" simplePos="0" relativeHeight="251675648" behindDoc="0" locked="0" layoutInCell="1" allowOverlap="1">
              <wp:simplePos x="0" y="0"/>
              <wp:positionH relativeFrom="margin">
                <wp:posOffset>5088255</wp:posOffset>
              </wp:positionH>
              <wp:positionV relativeFrom="paragraph">
                <wp:posOffset>10795</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C3CF21A">
                          <w:pPr>
                            <w:pStyle w:val="8"/>
                          </w:pPr>
                          <w:r>
                            <w:fldChar w:fldCharType="begin"/>
                          </w:r>
                          <w:r>
                            <w:instrText xml:space="preserve"> PAGE  \* MERGEFORMAT </w:instrText>
                          </w:r>
                          <w:r>
                            <w:fldChar w:fldCharType="separate"/>
                          </w:r>
                          <w:r>
                            <w:t>60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0.65pt;margin-top:0.85pt;height:144pt;width:144pt;mso-position-horizontal-relative:margin;mso-wrap-style:none;z-index:251675648;mso-width-relative:page;mso-height-relative:page;" filled="f" stroked="f" coordsize="21600,21600" o:gfxdata="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vx0mwdYAAAAKAQAADwAAAAAAAAABACAAAAAiAAAAZHJzL2Rvd25yZXYueG1s&#10;UEsBAhQAFAAAAAgAh07iQBVT6jzeAgAAJgYAAA4AAAAAAAAAAQAgAAAAJQEAAGRycy9lMm9Eb2Mu&#10;eG1sUEsFBgAAAAAGAAYAWQEAAHUGAAAAAA==&#10;">
              <v:fill on="f" focussize="0,0"/>
              <v:stroke on="f" weight="0.5pt"/>
              <v:imagedata o:title=""/>
              <o:lock v:ext="edit" aspectratio="f"/>
              <v:textbox inset="0mm,0mm,0mm,0mm" style="mso-fit-shape-to-text:t;">
                <w:txbxContent>
                  <w:p w14:paraId="0C3CF21A">
                    <w:pPr>
                      <w:pStyle w:val="8"/>
                    </w:pPr>
                    <w:r>
                      <w:fldChar w:fldCharType="begin"/>
                    </w:r>
                    <w:r>
                      <w:instrText xml:space="preserve"> PAGE  \* MERGEFORMAT </w:instrText>
                    </w:r>
                    <w:r>
                      <w:fldChar w:fldCharType="separate"/>
                    </w:r>
                    <w:r>
                      <w:t>60</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r>
      <w:rPr>
        <w:rFonts w:hint="eastAsia" w:ascii="仿宋_GB2312" w:eastAsia="仿宋_GB2312"/>
        <w:sz w:val="21"/>
        <w:szCs w:val="21"/>
      </w:rPr>
      <w:t xml:space="preserve">                              　　　  　</w:t>
    </w:r>
    <w:r>
      <w:rPr>
        <w:rFonts w:hint="eastAsia" w:ascii="仿宋_GB2312" w:eastAsia="仿宋_GB2312"/>
        <w:sz w:val="21"/>
        <w:szCs w:val="21"/>
        <w:lang w:val="en-US" w:eastAsia="zh-CN"/>
      </w:rPr>
      <w:t xml:space="preserve">         </w:t>
    </w:r>
    <w:r>
      <w:rPr>
        <w:rFonts w:hint="eastAsia" w:ascii="仿宋_GB2312" w:eastAsia="仿宋_GB2312"/>
        <w:sz w:val="21"/>
        <w:szCs w:val="21"/>
      </w:rPr>
      <w:t>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5C7F3">
    <w:pPr>
      <w:pStyle w:val="9"/>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24931">
    <w:pPr>
      <w:pStyle w:val="9"/>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F5E10">
    <w:pPr>
      <w:pStyle w:val="9"/>
      <w:keepNext w:val="0"/>
      <w:keepLines w:val="0"/>
      <w:pageBreakBefore w:val="0"/>
      <w:widowControl w:val="0"/>
      <w:pBdr>
        <w:bottom w:val="single" w:color="auto" w:sz="4" w:space="1"/>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w:t>
    </w:r>
    <w:r>
      <w:rPr>
        <w:rFonts w:hint="eastAsia" w:ascii="仿宋_GB2312" w:hAnsi="仿宋_GB2312" w:eastAsia="仿宋_GB2312" w:cs="仿宋_GB2312"/>
        <w:sz w:val="21"/>
        <w:szCs w:val="21"/>
        <w:lang w:val="en-US" w:eastAsia="zh-CN"/>
      </w:rPr>
      <w:t>6</w:t>
    </w:r>
    <w:r>
      <w:rPr>
        <w:rFonts w:hint="eastAsia" w:ascii="仿宋_GB2312" w:hAnsi="仿宋_GB2312" w:eastAsia="仿宋_GB2312" w:cs="仿宋_GB2312"/>
        <w:sz w:val="21"/>
        <w:szCs w:val="21"/>
      </w:rPr>
      <w:t>]（</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13</w:t>
    </w:r>
    <w:r>
      <w:rPr>
        <w:rFonts w:hint="eastAsia" w:ascii="仿宋_GB2312" w:hAnsi="仿宋_GB2312" w:eastAsia="仿宋_GB2312" w:cs="仿宋_GB2312"/>
        <w:sz w:val="21"/>
        <w:szCs w:val="21"/>
      </w:rPr>
      <w:t>号</w:t>
    </w:r>
  </w:p>
  <w:p w14:paraId="233FD1EC">
    <w:pPr>
      <w:pStyle w:val="9"/>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3AA35">
    <w:pPr>
      <w:pStyle w:val="9"/>
      <w:pBdr>
        <w:bottom w:val="single" w:color="auto" w:sz="4" w:space="1"/>
      </w:pBdr>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w:t>
    </w:r>
    <w:r>
      <w:rPr>
        <w:rFonts w:hint="eastAsia" w:ascii="仿宋_GB2312" w:hAnsi="仿宋_GB2312" w:eastAsia="仿宋_GB2312" w:cs="仿宋_GB2312"/>
        <w:sz w:val="21"/>
        <w:szCs w:val="21"/>
        <w:lang w:val="en-US" w:eastAsia="zh-CN"/>
      </w:rPr>
      <w:t>6</w:t>
    </w:r>
    <w:r>
      <w:rPr>
        <w:rFonts w:hint="eastAsia" w:ascii="仿宋_GB2312" w:hAnsi="仿宋_GB2312" w:eastAsia="仿宋_GB2312" w:cs="仿宋_GB2312"/>
        <w:sz w:val="21"/>
        <w:szCs w:val="21"/>
      </w:rPr>
      <w:t>]（</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13</w:t>
    </w:r>
    <w:r>
      <w:rPr>
        <w:rFonts w:hint="eastAsia" w:ascii="仿宋_GB2312" w:hAnsi="仿宋_GB2312" w:eastAsia="仿宋_GB2312" w:cs="仿宋_GB2312"/>
        <w:sz w:val="21"/>
        <w:szCs w:val="21"/>
      </w:rPr>
      <w:t>号</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6BBA5">
    <w:pPr>
      <w:pStyle w:val="9"/>
      <w:keepNext w:val="0"/>
      <w:keepLines w:val="0"/>
      <w:pageBreakBefore w:val="0"/>
      <w:widowControl w:val="0"/>
      <w:pBdr>
        <w:bottom w:val="single" w:color="000000" w:sz="4" w:space="1"/>
      </w:pBdr>
      <w:kinsoku/>
      <w:wordWrap/>
      <w:overflowPunct/>
      <w:topLinePunct w:val="0"/>
      <w:bidi w:val="0"/>
      <w:adjustRightInd/>
      <w:snapToGrid w:val="0"/>
      <w:spacing w:before="0" w:beforeLines="50"/>
      <w:jc w:val="center"/>
      <w:textAlignment w:val="auto"/>
      <w:rPr>
        <w:rFonts w:hint="eastAsia"/>
      </w:rPr>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w:t>
    </w:r>
    <w:r>
      <w:rPr>
        <w:rFonts w:hint="eastAsia" w:ascii="仿宋_GB2312" w:hAnsi="仿宋_GB2312" w:eastAsia="仿宋_GB2312" w:cs="仿宋_GB2312"/>
        <w:sz w:val="21"/>
        <w:szCs w:val="21"/>
        <w:lang w:val="en-US" w:eastAsia="zh-CN"/>
      </w:rPr>
      <w:t>6</w:t>
    </w:r>
    <w:r>
      <w:rPr>
        <w:rFonts w:hint="eastAsia" w:ascii="仿宋_GB2312" w:hAnsi="仿宋_GB2312" w:eastAsia="仿宋_GB2312" w:cs="仿宋_GB2312"/>
        <w:sz w:val="21"/>
        <w:szCs w:val="21"/>
      </w:rPr>
      <w:t>]（</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13</w:t>
    </w:r>
    <w:r>
      <w:rPr>
        <w:rFonts w:hint="eastAsia" w:ascii="仿宋_GB2312" w:hAnsi="仿宋_GB2312" w:eastAsia="仿宋_GB2312" w:cs="仿宋_GB2312"/>
        <w:sz w:val="21"/>
        <w:szCs w:val="21"/>
      </w:rPr>
      <w:t>号</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CF851">
    <w:pPr>
      <w:pStyle w:val="9"/>
      <w:keepNext w:val="0"/>
      <w:keepLines w:val="0"/>
      <w:pageBreakBefore w:val="0"/>
      <w:widowControl w:val="0"/>
      <w:pBdr>
        <w:bottom w:val="single" w:color="000000" w:sz="4" w:space="1"/>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w:t>
    </w:r>
    <w:r>
      <w:rPr>
        <w:rFonts w:hint="eastAsia" w:ascii="仿宋_GB2312" w:hAnsi="仿宋_GB2312" w:eastAsia="仿宋_GB2312" w:cs="仿宋_GB2312"/>
        <w:sz w:val="21"/>
        <w:szCs w:val="21"/>
        <w:lang w:val="en-US" w:eastAsia="zh-CN"/>
      </w:rPr>
      <w:t>6</w:t>
    </w:r>
    <w:r>
      <w:rPr>
        <w:rFonts w:hint="eastAsia" w:ascii="仿宋_GB2312" w:hAnsi="仿宋_GB2312" w:eastAsia="仿宋_GB2312" w:cs="仿宋_GB2312"/>
        <w:sz w:val="21"/>
        <w:szCs w:val="21"/>
      </w:rPr>
      <w:t>]（</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13</w:t>
    </w:r>
    <w:r>
      <w:rPr>
        <w:rFonts w:hint="eastAsia" w:ascii="仿宋_GB2312" w:hAnsi="仿宋_GB2312" w:eastAsia="仿宋_GB2312" w:cs="仿宋_GB2312"/>
        <w:sz w:val="21"/>
        <w:szCs w:val="21"/>
      </w:rPr>
      <w:t>号</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5B4B0">
    <w:pPr>
      <w:pStyle w:val="9"/>
      <w:keepNext w:val="0"/>
      <w:keepLines w:val="0"/>
      <w:pageBreakBefore w:val="0"/>
      <w:widowControl w:val="0"/>
      <w:pBdr>
        <w:bottom w:val="single" w:color="000000" w:sz="4" w:space="1"/>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37</w:t>
    </w:r>
    <w:r>
      <w:rPr>
        <w:rFonts w:hint="eastAsia" w:ascii="仿宋_GB2312" w:hAnsi="仿宋_GB2312" w:eastAsia="仿宋_GB2312" w:cs="仿宋_GB2312"/>
        <w:sz w:val="21"/>
        <w:szCs w:val="21"/>
      </w:rPr>
      <w:t>号</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58A4C">
    <w:pPr>
      <w:pStyle w:val="9"/>
      <w:keepNext w:val="0"/>
      <w:keepLines w:val="0"/>
      <w:pageBreakBefore w:val="0"/>
      <w:widowControl w:val="0"/>
      <w:pBdr>
        <w:bottom w:val="single" w:color="000000" w:sz="4" w:space="1"/>
      </w:pBdr>
      <w:kinsoku/>
      <w:wordWrap/>
      <w:overflowPunct/>
      <w:topLinePunct w:val="0"/>
      <w:bidi w:val="0"/>
      <w:adjustRightInd/>
      <w:snapToGrid w:val="0"/>
      <w:spacing w:before="0" w:beforeLines="50"/>
      <w:jc w:val="center"/>
      <w:textAlignment w:val="auto"/>
      <w:rPr>
        <w:rFonts w:hint="eastAsia"/>
      </w:rPr>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w:t>
    </w:r>
    <w:r>
      <w:rPr>
        <w:rFonts w:hint="eastAsia" w:ascii="仿宋_GB2312" w:hAnsi="仿宋_GB2312" w:eastAsia="仿宋_GB2312" w:cs="仿宋_GB2312"/>
        <w:sz w:val="21"/>
        <w:szCs w:val="21"/>
        <w:lang w:val="en-US" w:eastAsia="zh-CN"/>
      </w:rPr>
      <w:t>6</w:t>
    </w:r>
    <w:r>
      <w:rPr>
        <w:rFonts w:hint="eastAsia" w:ascii="仿宋_GB2312" w:hAnsi="仿宋_GB2312" w:eastAsia="仿宋_GB2312" w:cs="仿宋_GB2312"/>
        <w:sz w:val="21"/>
        <w:szCs w:val="21"/>
      </w:rPr>
      <w:t>]（</w:t>
    </w:r>
    <w:r>
      <w:rPr>
        <w:rFonts w:hint="eastAsia" w:ascii="仿宋_GB2312" w:hAnsi="仿宋_GB2312" w:eastAsia="仿宋_GB2312" w:cs="仿宋_GB2312"/>
        <w:sz w:val="21"/>
        <w:szCs w:val="21"/>
        <w:lang w:val="en-US" w:eastAsia="zh-CN"/>
      </w:rPr>
      <w:t>技</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13</w:t>
    </w:r>
    <w:r>
      <w:rPr>
        <w:rFonts w:hint="eastAsia" w:ascii="仿宋_GB2312" w:hAnsi="仿宋_GB2312" w:eastAsia="仿宋_GB2312" w:cs="仿宋_GB2312"/>
        <w:sz w:val="21"/>
        <w:szCs w:val="21"/>
      </w:rPr>
      <w:t>号</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28067">
    <w:pPr>
      <w:pStyle w:val="9"/>
      <w:keepNext w:val="0"/>
      <w:keepLines w:val="0"/>
      <w:pageBreakBefore w:val="0"/>
      <w:widowControl w:val="0"/>
      <w:pBdr>
        <w:bottom w:val="single" w:color="000000" w:sz="4" w:space="1"/>
      </w:pBdr>
      <w:kinsoku/>
      <w:wordWrap/>
      <w:overflowPunct/>
      <w:topLinePunct w:val="0"/>
      <w:bidi w:val="0"/>
      <w:adjustRightInd/>
      <w:snapToGrid w:val="0"/>
      <w:spacing w:before="0" w:beforeLines="50"/>
      <w:jc w:val="center"/>
      <w:textAlignment w:val="auto"/>
      <w:rPr>
        <w:rFonts w:hint="eastAsia"/>
      </w:rPr>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w:t>
    </w:r>
    <w:r>
      <w:rPr>
        <w:rFonts w:hint="eastAsia" w:ascii="仿宋_GB2312" w:hAnsi="仿宋_GB2312" w:eastAsia="仿宋_GB2312" w:cs="仿宋_GB2312"/>
        <w:sz w:val="21"/>
        <w:szCs w:val="21"/>
        <w:lang w:val="en-US" w:eastAsia="zh-CN"/>
      </w:rPr>
      <w:t>6</w:t>
    </w:r>
    <w:r>
      <w:rPr>
        <w:rFonts w:hint="eastAsia" w:ascii="仿宋_GB2312" w:hAnsi="仿宋_GB2312" w:eastAsia="仿宋_GB2312" w:cs="仿宋_GB2312"/>
        <w:sz w:val="21"/>
        <w:szCs w:val="21"/>
      </w:rPr>
      <w:t>]（</w:t>
    </w:r>
    <w:r>
      <w:rPr>
        <w:rFonts w:hint="eastAsia" w:ascii="仿宋_GB2312" w:hAnsi="仿宋_GB2312" w:eastAsia="仿宋_GB2312" w:cs="仿宋_GB2312"/>
        <w:sz w:val="21"/>
        <w:szCs w:val="21"/>
        <w:lang w:val="en-US" w:eastAsia="zh-CN"/>
      </w:rPr>
      <w:t>技</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13</w:t>
    </w:r>
    <w:r>
      <w:rPr>
        <w:rFonts w:hint="eastAsia" w:ascii="仿宋_GB2312" w:hAnsi="仿宋_GB2312" w:eastAsia="仿宋_GB2312" w:cs="仿宋_GB2312"/>
        <w:sz w:val="21"/>
        <w:szCs w:val="21"/>
      </w:rPr>
      <w:t>号</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33A50">
    <w:pPr>
      <w:pStyle w:val="9"/>
      <w:keepNext w:val="0"/>
      <w:keepLines w:val="0"/>
      <w:pageBreakBefore w:val="0"/>
      <w:widowControl w:val="0"/>
      <w:pBdr>
        <w:bottom w:val="single" w:color="000000" w:sz="4" w:space="1"/>
      </w:pBdr>
      <w:kinsoku/>
      <w:wordWrap/>
      <w:overflowPunct/>
      <w:topLinePunct w:val="0"/>
      <w:bidi w:val="0"/>
      <w:adjustRightInd/>
      <w:snapToGrid w:val="0"/>
      <w:spacing w:before="0" w:beforeLines="50"/>
      <w:jc w:val="center"/>
      <w:textAlignment w:val="auto"/>
      <w:rPr>
        <w:rFonts w:hint="eastAsia"/>
      </w:rPr>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w:t>
    </w:r>
    <w:r>
      <w:rPr>
        <w:rFonts w:hint="eastAsia" w:ascii="仿宋_GB2312" w:hAnsi="仿宋_GB2312" w:eastAsia="仿宋_GB2312" w:cs="仿宋_GB2312"/>
        <w:sz w:val="21"/>
        <w:szCs w:val="21"/>
        <w:lang w:val="en-US" w:eastAsia="zh-CN"/>
      </w:rPr>
      <w:t>6</w:t>
    </w:r>
    <w:r>
      <w:rPr>
        <w:rFonts w:hint="eastAsia" w:ascii="仿宋_GB2312" w:hAnsi="仿宋_GB2312" w:eastAsia="仿宋_GB2312" w:cs="仿宋_GB2312"/>
        <w:sz w:val="21"/>
        <w:szCs w:val="21"/>
      </w:rPr>
      <w:t>]（</w:t>
    </w:r>
    <w:r>
      <w:rPr>
        <w:rFonts w:hint="eastAsia" w:ascii="仿宋_GB2312" w:hAnsi="仿宋_GB2312" w:eastAsia="仿宋_GB2312" w:cs="仿宋_GB2312"/>
        <w:sz w:val="21"/>
        <w:szCs w:val="21"/>
        <w:lang w:val="en-US" w:eastAsia="zh-CN"/>
      </w:rPr>
      <w:t>技</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13</w:t>
    </w:r>
    <w:r>
      <w:rPr>
        <w:rFonts w:hint="eastAsia" w:ascii="仿宋_GB2312" w:hAnsi="仿宋_GB2312" w:eastAsia="仿宋_GB2312" w:cs="仿宋_GB2312"/>
        <w:sz w:val="21"/>
        <w:szCs w:val="21"/>
      </w:rPr>
      <w:t>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5C79AB"/>
    <w:multiLevelType w:val="singleLevel"/>
    <w:tmpl w:val="115C79AB"/>
    <w:lvl w:ilvl="0" w:tentative="0">
      <w:start w:val="1"/>
      <w:numFmt w:val="decimal"/>
      <w:suff w:val="nothing"/>
      <w:lvlText w:val="（%1）"/>
      <w:lvlJc w:val="left"/>
    </w:lvl>
  </w:abstractNum>
  <w:abstractNum w:abstractNumId="1">
    <w:nsid w:val="6022C5F8"/>
    <w:multiLevelType w:val="singleLevel"/>
    <w:tmpl w:val="6022C5F8"/>
    <w:lvl w:ilvl="0" w:tentative="0">
      <w:start w:val="4"/>
      <w:numFmt w:val="chineseCounting"/>
      <w:suff w:val="space"/>
      <w:lvlText w:val="第%1部分"/>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CF47B8"/>
    <w:rsid w:val="007D3E6F"/>
    <w:rsid w:val="008F5C00"/>
    <w:rsid w:val="00A16BE5"/>
    <w:rsid w:val="00B20EFF"/>
    <w:rsid w:val="00BE3B02"/>
    <w:rsid w:val="00CF3C73"/>
    <w:rsid w:val="00DB20F7"/>
    <w:rsid w:val="00E667B8"/>
    <w:rsid w:val="01543C57"/>
    <w:rsid w:val="017A2B5E"/>
    <w:rsid w:val="01A75AA3"/>
    <w:rsid w:val="01D9791A"/>
    <w:rsid w:val="02155679"/>
    <w:rsid w:val="02DD11B1"/>
    <w:rsid w:val="02DE74B7"/>
    <w:rsid w:val="03175AFC"/>
    <w:rsid w:val="031C55B0"/>
    <w:rsid w:val="035E280E"/>
    <w:rsid w:val="03B870CA"/>
    <w:rsid w:val="03BB6210"/>
    <w:rsid w:val="03CD1155"/>
    <w:rsid w:val="045945F9"/>
    <w:rsid w:val="046E3819"/>
    <w:rsid w:val="0502762A"/>
    <w:rsid w:val="05336C99"/>
    <w:rsid w:val="05777F14"/>
    <w:rsid w:val="05D5449F"/>
    <w:rsid w:val="062B0864"/>
    <w:rsid w:val="068A4ECC"/>
    <w:rsid w:val="06A42F8B"/>
    <w:rsid w:val="0714287C"/>
    <w:rsid w:val="07373BE8"/>
    <w:rsid w:val="073A38EF"/>
    <w:rsid w:val="07590A0B"/>
    <w:rsid w:val="07686EEB"/>
    <w:rsid w:val="0781143A"/>
    <w:rsid w:val="07840E49"/>
    <w:rsid w:val="07BD575F"/>
    <w:rsid w:val="07C624F0"/>
    <w:rsid w:val="08335C50"/>
    <w:rsid w:val="084D6DC6"/>
    <w:rsid w:val="084F6F27"/>
    <w:rsid w:val="08955281"/>
    <w:rsid w:val="08BE135B"/>
    <w:rsid w:val="09BC6226"/>
    <w:rsid w:val="0A901417"/>
    <w:rsid w:val="0ABC4879"/>
    <w:rsid w:val="0B6F6109"/>
    <w:rsid w:val="0B7202C3"/>
    <w:rsid w:val="0C130BB2"/>
    <w:rsid w:val="0C354171"/>
    <w:rsid w:val="0C776A4C"/>
    <w:rsid w:val="0CBE5160"/>
    <w:rsid w:val="0CD803B4"/>
    <w:rsid w:val="0CE5108B"/>
    <w:rsid w:val="0D1F336B"/>
    <w:rsid w:val="0D70006B"/>
    <w:rsid w:val="0D8B3BB4"/>
    <w:rsid w:val="0DD028B8"/>
    <w:rsid w:val="0DDE3227"/>
    <w:rsid w:val="0E3F3C9B"/>
    <w:rsid w:val="0E494C9C"/>
    <w:rsid w:val="0E9A4915"/>
    <w:rsid w:val="0ECB1F3D"/>
    <w:rsid w:val="0EDB630B"/>
    <w:rsid w:val="0F760C96"/>
    <w:rsid w:val="0F7F23D2"/>
    <w:rsid w:val="0F802C6D"/>
    <w:rsid w:val="0F857801"/>
    <w:rsid w:val="0F873EA9"/>
    <w:rsid w:val="0F966CEC"/>
    <w:rsid w:val="0FA07259"/>
    <w:rsid w:val="0FD146C5"/>
    <w:rsid w:val="0FD20B69"/>
    <w:rsid w:val="10397169"/>
    <w:rsid w:val="10AC0C59"/>
    <w:rsid w:val="10D4446D"/>
    <w:rsid w:val="10ED5D1E"/>
    <w:rsid w:val="117874EE"/>
    <w:rsid w:val="11A55A57"/>
    <w:rsid w:val="11CE7C31"/>
    <w:rsid w:val="11F1104F"/>
    <w:rsid w:val="1208026C"/>
    <w:rsid w:val="126B2CBC"/>
    <w:rsid w:val="12733055"/>
    <w:rsid w:val="129C4D6D"/>
    <w:rsid w:val="13CD37DC"/>
    <w:rsid w:val="13DA29BA"/>
    <w:rsid w:val="141068BE"/>
    <w:rsid w:val="145B45A3"/>
    <w:rsid w:val="14C12F5A"/>
    <w:rsid w:val="151E288C"/>
    <w:rsid w:val="15204A75"/>
    <w:rsid w:val="15376EC6"/>
    <w:rsid w:val="15775FAF"/>
    <w:rsid w:val="15BE54F8"/>
    <w:rsid w:val="162E7252"/>
    <w:rsid w:val="163B0AEA"/>
    <w:rsid w:val="16424266"/>
    <w:rsid w:val="16856946"/>
    <w:rsid w:val="16932E77"/>
    <w:rsid w:val="169E0A9A"/>
    <w:rsid w:val="16D4025C"/>
    <w:rsid w:val="170D0531"/>
    <w:rsid w:val="17364EFF"/>
    <w:rsid w:val="174D4F79"/>
    <w:rsid w:val="175B5C06"/>
    <w:rsid w:val="17CD67F8"/>
    <w:rsid w:val="17F13B56"/>
    <w:rsid w:val="181A30AD"/>
    <w:rsid w:val="18626607"/>
    <w:rsid w:val="188B6AE7"/>
    <w:rsid w:val="18BA4D45"/>
    <w:rsid w:val="19242ACF"/>
    <w:rsid w:val="193E30EE"/>
    <w:rsid w:val="19614D0C"/>
    <w:rsid w:val="198B2FF8"/>
    <w:rsid w:val="19B37E60"/>
    <w:rsid w:val="19B5204F"/>
    <w:rsid w:val="1ADE77FF"/>
    <w:rsid w:val="1B9576CD"/>
    <w:rsid w:val="1BAA78AD"/>
    <w:rsid w:val="1BB82B49"/>
    <w:rsid w:val="1C0B076F"/>
    <w:rsid w:val="1C3E1334"/>
    <w:rsid w:val="1C7B4336"/>
    <w:rsid w:val="1CA473E9"/>
    <w:rsid w:val="1CA6156D"/>
    <w:rsid w:val="1CAA5BC3"/>
    <w:rsid w:val="1CB736AD"/>
    <w:rsid w:val="1CF40C32"/>
    <w:rsid w:val="1D14403F"/>
    <w:rsid w:val="1D1C04E0"/>
    <w:rsid w:val="1D3364E6"/>
    <w:rsid w:val="1DEF517F"/>
    <w:rsid w:val="1E4F7E40"/>
    <w:rsid w:val="1E7228D5"/>
    <w:rsid w:val="1E8A0861"/>
    <w:rsid w:val="1EA00084"/>
    <w:rsid w:val="1EE61F3B"/>
    <w:rsid w:val="1F523FC6"/>
    <w:rsid w:val="1F5F4158"/>
    <w:rsid w:val="1F6B0E21"/>
    <w:rsid w:val="1F920AD6"/>
    <w:rsid w:val="1FA1193D"/>
    <w:rsid w:val="1FAB577F"/>
    <w:rsid w:val="20344AED"/>
    <w:rsid w:val="204D1B46"/>
    <w:rsid w:val="20B47E17"/>
    <w:rsid w:val="20D9164A"/>
    <w:rsid w:val="21572D2F"/>
    <w:rsid w:val="21575417"/>
    <w:rsid w:val="215A451A"/>
    <w:rsid w:val="21867A05"/>
    <w:rsid w:val="219A740D"/>
    <w:rsid w:val="21AD0AEE"/>
    <w:rsid w:val="21D544CF"/>
    <w:rsid w:val="22161202"/>
    <w:rsid w:val="222349ED"/>
    <w:rsid w:val="229104A4"/>
    <w:rsid w:val="22965A26"/>
    <w:rsid w:val="229D2DC0"/>
    <w:rsid w:val="22D24584"/>
    <w:rsid w:val="22E8263C"/>
    <w:rsid w:val="233D40F4"/>
    <w:rsid w:val="236B0501"/>
    <w:rsid w:val="244D480A"/>
    <w:rsid w:val="24694175"/>
    <w:rsid w:val="24F821EE"/>
    <w:rsid w:val="253F4153"/>
    <w:rsid w:val="255C4BD0"/>
    <w:rsid w:val="25A206EF"/>
    <w:rsid w:val="25A66669"/>
    <w:rsid w:val="25AE752B"/>
    <w:rsid w:val="26061115"/>
    <w:rsid w:val="262C51B6"/>
    <w:rsid w:val="263E6259"/>
    <w:rsid w:val="26665585"/>
    <w:rsid w:val="278906CB"/>
    <w:rsid w:val="27AC7017"/>
    <w:rsid w:val="287B12EA"/>
    <w:rsid w:val="287C0C12"/>
    <w:rsid w:val="2891426F"/>
    <w:rsid w:val="28B4150A"/>
    <w:rsid w:val="28D73A22"/>
    <w:rsid w:val="28EE39B4"/>
    <w:rsid w:val="292A6EC8"/>
    <w:rsid w:val="294A1318"/>
    <w:rsid w:val="2A1738F0"/>
    <w:rsid w:val="2A2C0DDD"/>
    <w:rsid w:val="2A41271B"/>
    <w:rsid w:val="2A9F41B4"/>
    <w:rsid w:val="2AC32EAC"/>
    <w:rsid w:val="2AED63FF"/>
    <w:rsid w:val="2B3866CB"/>
    <w:rsid w:val="2B871E3C"/>
    <w:rsid w:val="2BB331A5"/>
    <w:rsid w:val="2BD3004D"/>
    <w:rsid w:val="2BE537AC"/>
    <w:rsid w:val="2C5F5FCA"/>
    <w:rsid w:val="2C892A75"/>
    <w:rsid w:val="2C941849"/>
    <w:rsid w:val="2CC868F9"/>
    <w:rsid w:val="2CD0422B"/>
    <w:rsid w:val="2CD45AC9"/>
    <w:rsid w:val="2CDA29B3"/>
    <w:rsid w:val="2CE33775"/>
    <w:rsid w:val="2CF07B2C"/>
    <w:rsid w:val="2D026DFE"/>
    <w:rsid w:val="2D032C37"/>
    <w:rsid w:val="2D274219"/>
    <w:rsid w:val="2D6420D8"/>
    <w:rsid w:val="2D891511"/>
    <w:rsid w:val="2DAE748E"/>
    <w:rsid w:val="2DB94A8B"/>
    <w:rsid w:val="2E5C5D76"/>
    <w:rsid w:val="2E6469D8"/>
    <w:rsid w:val="2E6F09DE"/>
    <w:rsid w:val="2E9F3EB4"/>
    <w:rsid w:val="2EAC6DFF"/>
    <w:rsid w:val="2EC33A9A"/>
    <w:rsid w:val="2ECD4379"/>
    <w:rsid w:val="2F29719E"/>
    <w:rsid w:val="2F666780"/>
    <w:rsid w:val="2F6A3067"/>
    <w:rsid w:val="2FB15C4D"/>
    <w:rsid w:val="2FC33BD3"/>
    <w:rsid w:val="2FE74788"/>
    <w:rsid w:val="306A22A0"/>
    <w:rsid w:val="308507BF"/>
    <w:rsid w:val="311961A0"/>
    <w:rsid w:val="312201F5"/>
    <w:rsid w:val="312D727C"/>
    <w:rsid w:val="31842EB9"/>
    <w:rsid w:val="318555E4"/>
    <w:rsid w:val="31861BE3"/>
    <w:rsid w:val="31F34352"/>
    <w:rsid w:val="326F4E0A"/>
    <w:rsid w:val="328A5040"/>
    <w:rsid w:val="33072028"/>
    <w:rsid w:val="334D3EDF"/>
    <w:rsid w:val="33BA709B"/>
    <w:rsid w:val="33D60378"/>
    <w:rsid w:val="344C4197"/>
    <w:rsid w:val="347668A7"/>
    <w:rsid w:val="34FC42E2"/>
    <w:rsid w:val="353127E4"/>
    <w:rsid w:val="354242C2"/>
    <w:rsid w:val="355C037E"/>
    <w:rsid w:val="35C9431F"/>
    <w:rsid w:val="36BF5C50"/>
    <w:rsid w:val="36EA6652"/>
    <w:rsid w:val="36EB3797"/>
    <w:rsid w:val="37C26064"/>
    <w:rsid w:val="37F86F59"/>
    <w:rsid w:val="38325D99"/>
    <w:rsid w:val="3833130B"/>
    <w:rsid w:val="384117BE"/>
    <w:rsid w:val="3858657D"/>
    <w:rsid w:val="389F7AE8"/>
    <w:rsid w:val="38D90391"/>
    <w:rsid w:val="39070FD4"/>
    <w:rsid w:val="390C2146"/>
    <w:rsid w:val="392C27E9"/>
    <w:rsid w:val="393E4AAF"/>
    <w:rsid w:val="3948345E"/>
    <w:rsid w:val="39507782"/>
    <w:rsid w:val="395E74AB"/>
    <w:rsid w:val="39812AC2"/>
    <w:rsid w:val="39AA281F"/>
    <w:rsid w:val="3A526047"/>
    <w:rsid w:val="3AD43138"/>
    <w:rsid w:val="3AD93148"/>
    <w:rsid w:val="3AE21FFA"/>
    <w:rsid w:val="3AF17846"/>
    <w:rsid w:val="3B082DE1"/>
    <w:rsid w:val="3B0C0B24"/>
    <w:rsid w:val="3B4F27BE"/>
    <w:rsid w:val="3B5C5C90"/>
    <w:rsid w:val="3B9874E9"/>
    <w:rsid w:val="3C766C4A"/>
    <w:rsid w:val="3C7A7FDD"/>
    <w:rsid w:val="3CC73C28"/>
    <w:rsid w:val="3D052DD8"/>
    <w:rsid w:val="3D3E06DC"/>
    <w:rsid w:val="3D6A1B31"/>
    <w:rsid w:val="3D753127"/>
    <w:rsid w:val="3D936A41"/>
    <w:rsid w:val="3D99065E"/>
    <w:rsid w:val="3DCC00F6"/>
    <w:rsid w:val="3DD6091D"/>
    <w:rsid w:val="3DEF44EB"/>
    <w:rsid w:val="3E261EFC"/>
    <w:rsid w:val="3E322949"/>
    <w:rsid w:val="3E580A7A"/>
    <w:rsid w:val="3E691DE9"/>
    <w:rsid w:val="3EC27265"/>
    <w:rsid w:val="3F28175F"/>
    <w:rsid w:val="3F3423F7"/>
    <w:rsid w:val="3FBE40FC"/>
    <w:rsid w:val="3FCC7891"/>
    <w:rsid w:val="3FE47E4C"/>
    <w:rsid w:val="3FFA6D56"/>
    <w:rsid w:val="406805AA"/>
    <w:rsid w:val="40A7650A"/>
    <w:rsid w:val="40E83499"/>
    <w:rsid w:val="414B7E76"/>
    <w:rsid w:val="415E215F"/>
    <w:rsid w:val="419C6C00"/>
    <w:rsid w:val="41DE70F8"/>
    <w:rsid w:val="42156105"/>
    <w:rsid w:val="425F59DD"/>
    <w:rsid w:val="427A69AF"/>
    <w:rsid w:val="42900D0C"/>
    <w:rsid w:val="42927B60"/>
    <w:rsid w:val="429D02B3"/>
    <w:rsid w:val="42C75119"/>
    <w:rsid w:val="42D013C8"/>
    <w:rsid w:val="42FE6FEA"/>
    <w:rsid w:val="43E625E3"/>
    <w:rsid w:val="44230989"/>
    <w:rsid w:val="448636F5"/>
    <w:rsid w:val="44877172"/>
    <w:rsid w:val="460D35B6"/>
    <w:rsid w:val="46196902"/>
    <w:rsid w:val="4622744D"/>
    <w:rsid w:val="464F5449"/>
    <w:rsid w:val="467632F5"/>
    <w:rsid w:val="46AD5435"/>
    <w:rsid w:val="46F27AE6"/>
    <w:rsid w:val="46F71B64"/>
    <w:rsid w:val="470C54F3"/>
    <w:rsid w:val="47335556"/>
    <w:rsid w:val="474C416A"/>
    <w:rsid w:val="47D72DAC"/>
    <w:rsid w:val="47E164BA"/>
    <w:rsid w:val="484F3550"/>
    <w:rsid w:val="48CE6518"/>
    <w:rsid w:val="48CF47B8"/>
    <w:rsid w:val="48E363DE"/>
    <w:rsid w:val="49442E8E"/>
    <w:rsid w:val="49475BE4"/>
    <w:rsid w:val="496A5FF4"/>
    <w:rsid w:val="49BD5E6A"/>
    <w:rsid w:val="4A123335"/>
    <w:rsid w:val="4A47451B"/>
    <w:rsid w:val="4A4C4151"/>
    <w:rsid w:val="4A7632DC"/>
    <w:rsid w:val="4A9C641A"/>
    <w:rsid w:val="4AB74FD9"/>
    <w:rsid w:val="4B002472"/>
    <w:rsid w:val="4B3650A3"/>
    <w:rsid w:val="4B6439AE"/>
    <w:rsid w:val="4B751DCD"/>
    <w:rsid w:val="4BBA0A7A"/>
    <w:rsid w:val="4BC15012"/>
    <w:rsid w:val="4C3835B9"/>
    <w:rsid w:val="4C3D5E51"/>
    <w:rsid w:val="4C3E641A"/>
    <w:rsid w:val="4C886EF3"/>
    <w:rsid w:val="4C981403"/>
    <w:rsid w:val="4CB968F4"/>
    <w:rsid w:val="4CEA1CF0"/>
    <w:rsid w:val="4D0362FE"/>
    <w:rsid w:val="4D316511"/>
    <w:rsid w:val="4DD8379D"/>
    <w:rsid w:val="4DE1374A"/>
    <w:rsid w:val="4E041E6F"/>
    <w:rsid w:val="4EB57656"/>
    <w:rsid w:val="4EC10539"/>
    <w:rsid w:val="4ECC6AAE"/>
    <w:rsid w:val="4EF41B46"/>
    <w:rsid w:val="4F1D21E9"/>
    <w:rsid w:val="4FDF015D"/>
    <w:rsid w:val="501F1A47"/>
    <w:rsid w:val="503E1327"/>
    <w:rsid w:val="50482354"/>
    <w:rsid w:val="507F768B"/>
    <w:rsid w:val="50AF5D81"/>
    <w:rsid w:val="50B777C2"/>
    <w:rsid w:val="50E357F0"/>
    <w:rsid w:val="50E53551"/>
    <w:rsid w:val="51155943"/>
    <w:rsid w:val="514E0A28"/>
    <w:rsid w:val="51771701"/>
    <w:rsid w:val="51EE28D9"/>
    <w:rsid w:val="52075749"/>
    <w:rsid w:val="524C3BDA"/>
    <w:rsid w:val="5266714D"/>
    <w:rsid w:val="527E6503"/>
    <w:rsid w:val="52CB182B"/>
    <w:rsid w:val="536D7A59"/>
    <w:rsid w:val="537A7A91"/>
    <w:rsid w:val="53A27BFA"/>
    <w:rsid w:val="53A849CE"/>
    <w:rsid w:val="53B245F4"/>
    <w:rsid w:val="53F57F65"/>
    <w:rsid w:val="541C3C19"/>
    <w:rsid w:val="54965FB2"/>
    <w:rsid w:val="549F610D"/>
    <w:rsid w:val="54CD2C7A"/>
    <w:rsid w:val="54F20CFF"/>
    <w:rsid w:val="555D5353"/>
    <w:rsid w:val="55F14746"/>
    <w:rsid w:val="55FA1A6B"/>
    <w:rsid w:val="56026953"/>
    <w:rsid w:val="561054F0"/>
    <w:rsid w:val="56476FF6"/>
    <w:rsid w:val="565C6063"/>
    <w:rsid w:val="56EF6ED8"/>
    <w:rsid w:val="57B74699"/>
    <w:rsid w:val="58025079"/>
    <w:rsid w:val="58142E26"/>
    <w:rsid w:val="58CE0D6F"/>
    <w:rsid w:val="58DC16DE"/>
    <w:rsid w:val="59201250"/>
    <w:rsid w:val="59284923"/>
    <w:rsid w:val="5937613B"/>
    <w:rsid w:val="59652A5F"/>
    <w:rsid w:val="596D2336"/>
    <w:rsid w:val="597C2246"/>
    <w:rsid w:val="598F4A79"/>
    <w:rsid w:val="59E24AD2"/>
    <w:rsid w:val="5A023326"/>
    <w:rsid w:val="5A0B2B29"/>
    <w:rsid w:val="5A250E62"/>
    <w:rsid w:val="5A3823F8"/>
    <w:rsid w:val="5A51252E"/>
    <w:rsid w:val="5B133609"/>
    <w:rsid w:val="5B160F34"/>
    <w:rsid w:val="5B450B40"/>
    <w:rsid w:val="5B85552C"/>
    <w:rsid w:val="5B914A01"/>
    <w:rsid w:val="5B923985"/>
    <w:rsid w:val="5BAE259B"/>
    <w:rsid w:val="5C7834CB"/>
    <w:rsid w:val="5CA47972"/>
    <w:rsid w:val="5CB81CF4"/>
    <w:rsid w:val="5CF54822"/>
    <w:rsid w:val="5D213E66"/>
    <w:rsid w:val="5D4D7582"/>
    <w:rsid w:val="5DB03139"/>
    <w:rsid w:val="5E322AFA"/>
    <w:rsid w:val="5ED645AC"/>
    <w:rsid w:val="5F0F49E8"/>
    <w:rsid w:val="5F0F7FC7"/>
    <w:rsid w:val="5F4A7908"/>
    <w:rsid w:val="5F4D50E3"/>
    <w:rsid w:val="5F5226F9"/>
    <w:rsid w:val="5F666739"/>
    <w:rsid w:val="5FAF36A8"/>
    <w:rsid w:val="5FB32A6C"/>
    <w:rsid w:val="6008482E"/>
    <w:rsid w:val="606E69A5"/>
    <w:rsid w:val="60980C07"/>
    <w:rsid w:val="60EB20A4"/>
    <w:rsid w:val="61025A59"/>
    <w:rsid w:val="61302CB0"/>
    <w:rsid w:val="61A86601"/>
    <w:rsid w:val="62097EB5"/>
    <w:rsid w:val="621A7F86"/>
    <w:rsid w:val="62406DA2"/>
    <w:rsid w:val="62594319"/>
    <w:rsid w:val="627E4BA4"/>
    <w:rsid w:val="62925EA6"/>
    <w:rsid w:val="62AE5783"/>
    <w:rsid w:val="62CC27C3"/>
    <w:rsid w:val="62E0001C"/>
    <w:rsid w:val="62EE2688"/>
    <w:rsid w:val="63084EA6"/>
    <w:rsid w:val="630D44A4"/>
    <w:rsid w:val="638C5AAE"/>
    <w:rsid w:val="63B53257"/>
    <w:rsid w:val="63F0603D"/>
    <w:rsid w:val="64147053"/>
    <w:rsid w:val="64286A71"/>
    <w:rsid w:val="64462101"/>
    <w:rsid w:val="649173BD"/>
    <w:rsid w:val="64EF3BA0"/>
    <w:rsid w:val="654D5C91"/>
    <w:rsid w:val="66783C17"/>
    <w:rsid w:val="67065B78"/>
    <w:rsid w:val="67185FD7"/>
    <w:rsid w:val="672C7CD4"/>
    <w:rsid w:val="67726322"/>
    <w:rsid w:val="678D3C33"/>
    <w:rsid w:val="67E8230A"/>
    <w:rsid w:val="67E92A5B"/>
    <w:rsid w:val="68434CD3"/>
    <w:rsid w:val="6877503D"/>
    <w:rsid w:val="689E02EC"/>
    <w:rsid w:val="68E26D41"/>
    <w:rsid w:val="68EF10DD"/>
    <w:rsid w:val="68F55EA4"/>
    <w:rsid w:val="695864A1"/>
    <w:rsid w:val="69596F2F"/>
    <w:rsid w:val="6A3F1ACC"/>
    <w:rsid w:val="6A4D41E9"/>
    <w:rsid w:val="6A602F29"/>
    <w:rsid w:val="6A7554F1"/>
    <w:rsid w:val="6A7B3531"/>
    <w:rsid w:val="6A894EA5"/>
    <w:rsid w:val="6AC03EA6"/>
    <w:rsid w:val="6AEF704E"/>
    <w:rsid w:val="6AF40B09"/>
    <w:rsid w:val="6B727C10"/>
    <w:rsid w:val="6C2B2CE1"/>
    <w:rsid w:val="6C6A7DB5"/>
    <w:rsid w:val="6CDA35A6"/>
    <w:rsid w:val="6CDF1345"/>
    <w:rsid w:val="6CE51AF7"/>
    <w:rsid w:val="6D7B4022"/>
    <w:rsid w:val="6DCA3C0D"/>
    <w:rsid w:val="6E2F3C06"/>
    <w:rsid w:val="6E5A4D9F"/>
    <w:rsid w:val="6E650859"/>
    <w:rsid w:val="6EB8594E"/>
    <w:rsid w:val="6F2F4168"/>
    <w:rsid w:val="6F531509"/>
    <w:rsid w:val="6F8C4D71"/>
    <w:rsid w:val="6FAD74D8"/>
    <w:rsid w:val="6FB3379D"/>
    <w:rsid w:val="6FBD463C"/>
    <w:rsid w:val="70731074"/>
    <w:rsid w:val="70967F6C"/>
    <w:rsid w:val="70A935C0"/>
    <w:rsid w:val="70B25D9C"/>
    <w:rsid w:val="70D122BC"/>
    <w:rsid w:val="70E41899"/>
    <w:rsid w:val="70EF2BE6"/>
    <w:rsid w:val="70F80C27"/>
    <w:rsid w:val="71922B27"/>
    <w:rsid w:val="71B75694"/>
    <w:rsid w:val="72345C8F"/>
    <w:rsid w:val="729F75AC"/>
    <w:rsid w:val="738B5D82"/>
    <w:rsid w:val="73FC0A2E"/>
    <w:rsid w:val="74242CF0"/>
    <w:rsid w:val="74356595"/>
    <w:rsid w:val="74D3178F"/>
    <w:rsid w:val="74D3433E"/>
    <w:rsid w:val="751E29AF"/>
    <w:rsid w:val="75334EC3"/>
    <w:rsid w:val="759D2548"/>
    <w:rsid w:val="75BA5FEB"/>
    <w:rsid w:val="76286D4A"/>
    <w:rsid w:val="76556AC8"/>
    <w:rsid w:val="76684159"/>
    <w:rsid w:val="76BA746F"/>
    <w:rsid w:val="76F17148"/>
    <w:rsid w:val="77530965"/>
    <w:rsid w:val="77531C93"/>
    <w:rsid w:val="777208E7"/>
    <w:rsid w:val="777A3E5B"/>
    <w:rsid w:val="77846D70"/>
    <w:rsid w:val="782213B2"/>
    <w:rsid w:val="788A04BE"/>
    <w:rsid w:val="78CB4E1F"/>
    <w:rsid w:val="790E2D96"/>
    <w:rsid w:val="791B0953"/>
    <w:rsid w:val="792115F2"/>
    <w:rsid w:val="79AD10F3"/>
    <w:rsid w:val="7A2E0ED0"/>
    <w:rsid w:val="7A4E5BC6"/>
    <w:rsid w:val="7A9D063C"/>
    <w:rsid w:val="7B2625D3"/>
    <w:rsid w:val="7B2965AD"/>
    <w:rsid w:val="7B767318"/>
    <w:rsid w:val="7B846F5D"/>
    <w:rsid w:val="7BAB6FC2"/>
    <w:rsid w:val="7C185786"/>
    <w:rsid w:val="7C4B3FDF"/>
    <w:rsid w:val="7CA22B8B"/>
    <w:rsid w:val="7D260A8C"/>
    <w:rsid w:val="7D2B2BD3"/>
    <w:rsid w:val="7DB360A5"/>
    <w:rsid w:val="7DC5160A"/>
    <w:rsid w:val="7DF43F92"/>
    <w:rsid w:val="7E4C5AF8"/>
    <w:rsid w:val="7E6A79E2"/>
    <w:rsid w:val="7ECA59B1"/>
    <w:rsid w:val="7EF17972"/>
    <w:rsid w:val="7F7F41D5"/>
    <w:rsid w:val="7FB90D50"/>
    <w:rsid w:val="7FBA5A25"/>
    <w:rsid w:val="7FE46093"/>
    <w:rsid w:val="7FF02212"/>
    <w:rsid w:val="7FFA0B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5">
    <w:name w:val="heading 1"/>
    <w:basedOn w:val="1"/>
    <w:next w:val="1"/>
    <w:qFormat/>
    <w:uiPriority w:val="0"/>
    <w:pPr>
      <w:keepNext/>
      <w:autoSpaceDE w:val="0"/>
      <w:autoSpaceDN w:val="0"/>
      <w:adjustRightInd w:val="0"/>
      <w:spacing w:line="312" w:lineRule="atLeast"/>
      <w:ind w:right="-113" w:firstLine="525"/>
      <w:jc w:val="left"/>
      <w:textAlignment w:val="bottom"/>
      <w:outlineLvl w:val="0"/>
    </w:pPr>
    <w:rPr>
      <w:rFonts w:ascii="仿宋体" w:eastAsia="仿宋体"/>
      <w:kern w:val="0"/>
      <w:sz w:val="28"/>
      <w:szCs w:val="20"/>
    </w:rPr>
  </w:style>
  <w:style w:type="paragraph" w:styleId="6">
    <w:name w:val="heading 2"/>
    <w:basedOn w:val="1"/>
    <w:next w:val="1"/>
    <w:qFormat/>
    <w:uiPriority w:val="0"/>
    <w:pPr>
      <w:keepNext/>
      <w:tabs>
        <w:tab w:val="left" w:pos="975"/>
      </w:tabs>
      <w:adjustRightInd w:val="0"/>
      <w:snapToGrid w:val="0"/>
      <w:ind w:left="975" w:hanging="420"/>
      <w:outlineLvl w:val="1"/>
    </w:pPr>
    <w:rPr>
      <w:rFonts w:ascii="仿宋_GB2312" w:hAnsi="仿宋_GB2312" w:eastAsia="仿宋_GB2312"/>
      <w:bCs/>
      <w:sz w:val="28"/>
      <w:szCs w:val="20"/>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1"/>
    <w:qFormat/>
    <w:uiPriority w:val="0"/>
    <w:pPr>
      <w:ind w:firstLine="420" w:firstLineChars="200"/>
    </w:pPr>
  </w:style>
  <w:style w:type="paragraph" w:styleId="3">
    <w:name w:val="Body Text Indent"/>
    <w:basedOn w:val="1"/>
    <w:next w:val="4"/>
    <w:qFormat/>
    <w:uiPriority w:val="0"/>
    <w:pPr>
      <w:ind w:firstLine="560" w:firstLineChars="200"/>
    </w:pPr>
    <w:rPr>
      <w:rFonts w:eastAsia="仿宋_GB2312"/>
      <w:sz w:val="28"/>
    </w:rPr>
  </w:style>
  <w:style w:type="paragraph" w:styleId="4">
    <w:name w:val="Body Text Indent 2"/>
    <w:basedOn w:val="1"/>
    <w:qFormat/>
    <w:uiPriority w:val="0"/>
    <w:pPr>
      <w:spacing w:line="320" w:lineRule="atLeast"/>
      <w:ind w:right="-22" w:firstLine="600"/>
    </w:pPr>
    <w:rPr>
      <w:rFonts w:ascii="仿宋体" w:hAnsi="Tahoma" w:eastAsia="仿宋体"/>
      <w:spacing w:val="10"/>
      <w:sz w:val="28"/>
      <w:szCs w:val="20"/>
    </w:rPr>
  </w:style>
  <w:style w:type="paragraph" w:styleId="7">
    <w:name w:val="Plain Text"/>
    <w:basedOn w:val="1"/>
    <w:qFormat/>
    <w:uiPriority w:val="0"/>
    <w:rPr>
      <w:rFonts w:ascii="宋体"/>
      <w:sz w:val="2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rPr>
  </w:style>
  <w:style w:type="paragraph" w:styleId="10">
    <w:name w:val="List"/>
    <w:basedOn w:val="1"/>
    <w:qFormat/>
    <w:uiPriority w:val="0"/>
    <w:pPr>
      <w:jc w:val="left"/>
    </w:pPr>
    <w:rPr>
      <w:sz w:val="18"/>
      <w:szCs w:val="20"/>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customStyle="1" w:styleId="15">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6">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7">
    <w:name w:val="列出段落1"/>
    <w:basedOn w:val="18"/>
    <w:autoRedefine/>
    <w:qFormat/>
    <w:uiPriority w:val="0"/>
    <w:pPr>
      <w:ind w:firstLine="420" w:firstLineChars="200"/>
    </w:pPr>
  </w:style>
  <w:style w:type="paragraph" w:customStyle="1" w:styleId="18">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9">
    <w:name w:val="样式7"/>
    <w:basedOn w:val="1"/>
    <w:qFormat/>
    <w:uiPriority w:val="0"/>
    <w:pPr>
      <w:spacing w:line="360" w:lineRule="auto"/>
      <w:ind w:firstLine="567"/>
    </w:pPr>
    <w:rPr>
      <w:rFonts w:ascii="仿宋_GB2312" w:eastAsia="仿宋_GB2312"/>
      <w:sz w:val="28"/>
      <w:szCs w:val="20"/>
    </w:rPr>
  </w:style>
  <w:style w:type="table" w:customStyle="1" w:styleId="20">
    <w:name w:val="Table Normal"/>
    <w:autoRedefine/>
    <w:unhideWhenUsed/>
    <w:qFormat/>
    <w:uiPriority w:val="0"/>
    <w:tblPr>
      <w:tblCellMar>
        <w:top w:w="0" w:type="dxa"/>
        <w:left w:w="0" w:type="dxa"/>
        <w:bottom w:w="0" w:type="dxa"/>
        <w:right w:w="0" w:type="dxa"/>
      </w:tblCellMar>
    </w:tblPr>
  </w:style>
  <w:style w:type="paragraph" w:customStyle="1" w:styleId="21">
    <w:name w:val="图表名"/>
    <w:basedOn w:val="22"/>
    <w:qFormat/>
    <w:uiPriority w:val="0"/>
    <w:pPr>
      <w:ind w:firstLine="422"/>
      <w:jc w:val="center"/>
    </w:pPr>
    <w:rPr>
      <w:rFonts w:ascii="宋体" w:hAnsi="宋体"/>
      <w:b/>
      <w:bCs/>
      <w:sz w:val="21"/>
    </w:rPr>
  </w:style>
  <w:style w:type="paragraph" w:customStyle="1" w:styleId="22">
    <w:name w:val="正文1"/>
    <w:basedOn w:val="1"/>
    <w:qFormat/>
    <w:uiPriority w:val="0"/>
    <w:pPr>
      <w:ind w:firstLine="480" w:firstLineChars="200"/>
    </w:pPr>
    <w:rPr>
      <w:sz w:val="24"/>
      <w:szCs w:val="20"/>
    </w:rPr>
  </w:style>
  <w:style w:type="character" w:customStyle="1" w:styleId="23">
    <w:name w:val="font11"/>
    <w:basedOn w:val="13"/>
    <w:qFormat/>
    <w:uiPriority w:val="0"/>
    <w:rPr>
      <w:rFonts w:hint="default" w:ascii="Times New Roman" w:hAnsi="Times New Roman" w:cs="Times New Roman"/>
      <w:color w:val="000000"/>
      <w:sz w:val="20"/>
      <w:szCs w:val="20"/>
      <w:u w:val="none"/>
    </w:rPr>
  </w:style>
  <w:style w:type="character" w:customStyle="1" w:styleId="24">
    <w:name w:val="font21"/>
    <w:basedOn w:val="13"/>
    <w:qFormat/>
    <w:uiPriority w:val="0"/>
    <w:rPr>
      <w:rFonts w:hint="default" w:ascii="Times New Roman" w:hAnsi="Times New Roman" w:cs="Times New Roman"/>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11.wmf"/><Relationship Id="rId42" Type="http://schemas.openxmlformats.org/officeDocument/2006/relationships/oleObject" Target="embeddings/oleObject5.bin"/><Relationship Id="rId41" Type="http://schemas.openxmlformats.org/officeDocument/2006/relationships/image" Target="media/image10.wmf"/><Relationship Id="rId40" Type="http://schemas.openxmlformats.org/officeDocument/2006/relationships/oleObject" Target="embeddings/oleObject4.bin"/><Relationship Id="rId4" Type="http://schemas.openxmlformats.org/officeDocument/2006/relationships/header" Target="header2.xml"/><Relationship Id="rId39" Type="http://schemas.openxmlformats.org/officeDocument/2006/relationships/image" Target="media/image9.wmf"/><Relationship Id="rId38" Type="http://schemas.openxmlformats.org/officeDocument/2006/relationships/oleObject" Target="embeddings/oleObject3.bin"/><Relationship Id="rId37" Type="http://schemas.openxmlformats.org/officeDocument/2006/relationships/image" Target="media/image8.wmf"/><Relationship Id="rId36" Type="http://schemas.openxmlformats.org/officeDocument/2006/relationships/oleObject" Target="embeddings/oleObject2.bin"/><Relationship Id="rId35" Type="http://schemas.openxmlformats.org/officeDocument/2006/relationships/image" Target="media/image7.wmf"/><Relationship Id="rId34" Type="http://schemas.openxmlformats.org/officeDocument/2006/relationships/oleObject" Target="embeddings/oleObject1.bin"/><Relationship Id="rId33" Type="http://schemas.openxmlformats.org/officeDocument/2006/relationships/image" Target="media/image6.jpeg"/><Relationship Id="rId32" Type="http://schemas.openxmlformats.org/officeDocument/2006/relationships/chart" Target="charts/chart4.xml"/><Relationship Id="rId31" Type="http://schemas.openxmlformats.org/officeDocument/2006/relationships/chart" Target="charts/chart3.xml"/><Relationship Id="rId30" Type="http://schemas.openxmlformats.org/officeDocument/2006/relationships/image" Target="media/image5.jpeg"/><Relationship Id="rId3" Type="http://schemas.openxmlformats.org/officeDocument/2006/relationships/header" Target="header1.xml"/><Relationship Id="rId29" Type="http://schemas.openxmlformats.org/officeDocument/2006/relationships/chart" Target="charts/chart2.xml"/><Relationship Id="rId28" Type="http://schemas.openxmlformats.org/officeDocument/2006/relationships/chart" Target="charts/chart1.xml"/><Relationship Id="rId27" Type="http://schemas.openxmlformats.org/officeDocument/2006/relationships/image" Target="media/image4.jpeg"/><Relationship Id="rId26" Type="http://schemas.openxmlformats.org/officeDocument/2006/relationships/image" Target="media/image3.jpeg"/><Relationship Id="rId25" Type="http://schemas.openxmlformats.org/officeDocument/2006/relationships/image" Target="media/image2.jpeg"/><Relationship Id="rId24" Type="http://schemas.openxmlformats.org/officeDocument/2006/relationships/image" Target="media/image1.jpeg"/><Relationship Id="rId23" Type="http://schemas.openxmlformats.org/officeDocument/2006/relationships/theme" Target="theme/theme1.xml"/><Relationship Id="rId22" Type="http://schemas.openxmlformats.org/officeDocument/2006/relationships/footer" Target="footer10.xml"/><Relationship Id="rId21" Type="http://schemas.openxmlformats.org/officeDocument/2006/relationships/header" Target="head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0844;&#31034;&#22320;&#20215;\&#22478;&#38215;&#22522;&#20934;&#22320;&#20215;\&#12304;05&#12305;&#36890;&#36947;&#21439;&#22478;&#38215;&#22522;&#20934;&#22320;&#20215;\&#22478;&#38215;&#22522;&#20934;&#22320;&#20215;&#25216;&#26415;&#25253;&#21578;\01&#31532;&#19968;&#31456;.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0844;&#31034;&#22320;&#20215;\&#22478;&#38215;&#22522;&#20934;&#22320;&#20215;\&#12304;05&#12305;&#36890;&#36947;&#21439;&#22478;&#38215;&#22522;&#20934;&#22320;&#20215;\&#22478;&#38215;&#22522;&#20934;&#22320;&#20215;&#25216;&#26415;&#25253;&#21578;\01&#31532;&#19968;&#31456;.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0844;&#31034;&#22320;&#20215;\&#22478;&#38215;&#22522;&#20934;&#22320;&#20215;\&#12304;05&#12305;&#36890;&#36947;&#21439;&#22478;&#38215;&#22522;&#20934;&#22320;&#20215;\&#22478;&#38215;&#22522;&#20934;&#22320;&#20215;&#25216;&#26415;&#25253;&#21578;\01&#31532;&#19968;&#31456;.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0844;&#31034;&#22320;&#20215;\&#22478;&#38215;&#22522;&#20934;&#22320;&#20215;\&#12304;05&#12305;&#36890;&#36947;&#21439;&#22478;&#38215;&#22522;&#20934;&#22320;&#20215;\&#22478;&#38215;&#22522;&#20934;&#22320;&#20215;&#25216;&#26415;&#25253;&#21578;\01&#31532;&#19968;&#31456;.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8086419753086"/>
          <c:y val="0.0342448879034245"/>
          <c:w val="0.820542740841248"/>
          <c:h val="0.674563820018365"/>
        </c:manualLayout>
      </c:layout>
      <c:lineChart>
        <c:grouping val="standard"/>
        <c:varyColors val="0"/>
        <c:ser>
          <c:idx val="0"/>
          <c:order val="0"/>
          <c:tx>
            <c:strRef>
              <c:f>'[01第一章.xlsx]土地市场分析 (城区)'!$B$3</c:f>
              <c:strCache>
                <c:ptCount val="1"/>
                <c:pt idx="0">
                  <c:v>商业服务业用地</c:v>
                </c:pt>
              </c:strCache>
            </c:strRef>
          </c:tx>
          <c:spPr>
            <a:ln w="28575" cap="rnd">
              <a:solidFill>
                <a:schemeClr val="accent1"/>
              </a:solidFill>
              <a:round/>
            </a:ln>
            <a:effectLst/>
          </c:spPr>
          <c:marker>
            <c:symbol val="none"/>
          </c:marker>
          <c:dLbls>
            <c:delete val="1"/>
          </c:dLbls>
          <c:cat>
            <c:numRef>
              <c:f>'[01第一章.xlsx]土地市场分析 (城区)'!$C$2:$G$2</c:f>
              <c:numCache>
                <c:formatCode>General</c:formatCode>
                <c:ptCount val="5"/>
                <c:pt idx="0">
                  <c:v>2020</c:v>
                </c:pt>
                <c:pt idx="1">
                  <c:v>2021</c:v>
                </c:pt>
                <c:pt idx="2">
                  <c:v>2022</c:v>
                </c:pt>
                <c:pt idx="3">
                  <c:v>2023</c:v>
                </c:pt>
                <c:pt idx="4">
                  <c:v>2024</c:v>
                </c:pt>
              </c:numCache>
            </c:numRef>
          </c:cat>
          <c:val>
            <c:numRef>
              <c:f>'[01第一章.xlsx]土地市场分析 (城区)'!$C$3:$G$3</c:f>
              <c:numCache>
                <c:formatCode>General</c:formatCode>
                <c:ptCount val="5"/>
                <c:pt idx="0">
                  <c:v>2352.68</c:v>
                </c:pt>
                <c:pt idx="1">
                  <c:v>5477.69</c:v>
                </c:pt>
                <c:pt idx="2">
                  <c:v>0</c:v>
                </c:pt>
                <c:pt idx="3">
                  <c:v>0</c:v>
                </c:pt>
                <c:pt idx="4">
                  <c:v>1509.36</c:v>
                </c:pt>
              </c:numCache>
            </c:numRef>
          </c:val>
          <c:smooth val="0"/>
        </c:ser>
        <c:ser>
          <c:idx val="1"/>
          <c:order val="1"/>
          <c:tx>
            <c:strRef>
              <c:f>'[01第一章.xlsx]土地市场分析 (城区)'!$B$4</c:f>
              <c:strCache>
                <c:ptCount val="1"/>
                <c:pt idx="0">
                  <c:v>商住用地</c:v>
                </c:pt>
              </c:strCache>
            </c:strRef>
          </c:tx>
          <c:spPr>
            <a:ln w="28575" cap="rnd">
              <a:solidFill>
                <a:schemeClr val="accent2">
                  <a:lumMod val="75000"/>
                </a:schemeClr>
              </a:solidFill>
              <a:round/>
            </a:ln>
            <a:effectLst/>
          </c:spPr>
          <c:marker>
            <c:symbol val="none"/>
          </c:marker>
          <c:dLbls>
            <c:delete val="1"/>
          </c:dLbls>
          <c:cat>
            <c:numRef>
              <c:f>'[01第一章.xlsx]土地市场分析 (城区)'!$C$2:$G$2</c:f>
              <c:numCache>
                <c:formatCode>General</c:formatCode>
                <c:ptCount val="5"/>
                <c:pt idx="0">
                  <c:v>2020</c:v>
                </c:pt>
                <c:pt idx="1">
                  <c:v>2021</c:v>
                </c:pt>
                <c:pt idx="2">
                  <c:v>2022</c:v>
                </c:pt>
                <c:pt idx="3">
                  <c:v>2023</c:v>
                </c:pt>
                <c:pt idx="4">
                  <c:v>2024</c:v>
                </c:pt>
              </c:numCache>
            </c:numRef>
          </c:cat>
          <c:val>
            <c:numRef>
              <c:f>'[01第一章.xlsx]土地市场分析 (城区)'!$C$4:$G$4</c:f>
              <c:numCache>
                <c:formatCode>General</c:formatCode>
                <c:ptCount val="5"/>
                <c:pt idx="0">
                  <c:v>12396.72</c:v>
                </c:pt>
                <c:pt idx="1">
                  <c:v>68336.07</c:v>
                </c:pt>
                <c:pt idx="2">
                  <c:v>52339.5</c:v>
                </c:pt>
                <c:pt idx="3">
                  <c:v>1080</c:v>
                </c:pt>
                <c:pt idx="4">
                  <c:v>2289.57</c:v>
                </c:pt>
              </c:numCache>
            </c:numRef>
          </c:val>
          <c:smooth val="0"/>
        </c:ser>
        <c:ser>
          <c:idx val="2"/>
          <c:order val="2"/>
          <c:tx>
            <c:strRef>
              <c:f>'[01第一章.xlsx]土地市场分析 (城区)'!$B$5</c:f>
              <c:strCache>
                <c:ptCount val="1"/>
                <c:pt idx="0">
                  <c:v>居住用地</c:v>
                </c:pt>
              </c:strCache>
            </c:strRef>
          </c:tx>
          <c:spPr>
            <a:ln w="28575" cap="rnd">
              <a:solidFill>
                <a:schemeClr val="accent3"/>
              </a:solidFill>
              <a:round/>
            </a:ln>
            <a:effectLst/>
          </c:spPr>
          <c:marker>
            <c:symbol val="none"/>
          </c:marker>
          <c:dLbls>
            <c:delete val="1"/>
          </c:dLbls>
          <c:cat>
            <c:numRef>
              <c:f>'[01第一章.xlsx]土地市场分析 (城区)'!$C$2:$G$2</c:f>
              <c:numCache>
                <c:formatCode>General</c:formatCode>
                <c:ptCount val="5"/>
                <c:pt idx="0">
                  <c:v>2020</c:v>
                </c:pt>
                <c:pt idx="1">
                  <c:v>2021</c:v>
                </c:pt>
                <c:pt idx="2">
                  <c:v>2022</c:v>
                </c:pt>
                <c:pt idx="3">
                  <c:v>2023</c:v>
                </c:pt>
                <c:pt idx="4">
                  <c:v>2024</c:v>
                </c:pt>
              </c:numCache>
            </c:numRef>
          </c:cat>
          <c:val>
            <c:numRef>
              <c:f>'[01第一章.xlsx]土地市场分析 (城区)'!$C$5:$G$5</c:f>
              <c:numCache>
                <c:formatCode>General</c:formatCode>
                <c:ptCount val="5"/>
                <c:pt idx="0">
                  <c:v>48253.9</c:v>
                </c:pt>
                <c:pt idx="1">
                  <c:v>300.77</c:v>
                </c:pt>
                <c:pt idx="2">
                  <c:v>2256.12</c:v>
                </c:pt>
                <c:pt idx="3">
                  <c:v>0</c:v>
                </c:pt>
                <c:pt idx="4">
                  <c:v>44205.17</c:v>
                </c:pt>
              </c:numCache>
            </c:numRef>
          </c:val>
          <c:smooth val="0"/>
        </c:ser>
        <c:ser>
          <c:idx val="3"/>
          <c:order val="3"/>
          <c:tx>
            <c:strRef>
              <c:f>'[01第一章.xlsx]土地市场分析 (城区)'!$B$6</c:f>
              <c:strCache>
                <c:ptCount val="1"/>
                <c:pt idx="0">
                  <c:v>工矿用地</c:v>
                </c:pt>
              </c:strCache>
            </c:strRef>
          </c:tx>
          <c:spPr>
            <a:ln w="28575" cap="rnd">
              <a:solidFill>
                <a:srgbClr val="7030A0"/>
              </a:solidFill>
              <a:round/>
            </a:ln>
            <a:effectLst/>
          </c:spPr>
          <c:marker>
            <c:symbol val="none"/>
          </c:marker>
          <c:dLbls>
            <c:delete val="1"/>
          </c:dLbls>
          <c:cat>
            <c:numRef>
              <c:f>'[01第一章.xlsx]土地市场分析 (城区)'!$C$2:$G$2</c:f>
              <c:numCache>
                <c:formatCode>General</c:formatCode>
                <c:ptCount val="5"/>
                <c:pt idx="0">
                  <c:v>2020</c:v>
                </c:pt>
                <c:pt idx="1">
                  <c:v>2021</c:v>
                </c:pt>
                <c:pt idx="2">
                  <c:v>2022</c:v>
                </c:pt>
                <c:pt idx="3">
                  <c:v>2023</c:v>
                </c:pt>
                <c:pt idx="4">
                  <c:v>2024</c:v>
                </c:pt>
              </c:numCache>
            </c:numRef>
          </c:cat>
          <c:val>
            <c:numRef>
              <c:f>'[01第一章.xlsx]土地市场分析 (城区)'!$C$6:$G$6</c:f>
              <c:numCache>
                <c:formatCode>General</c:formatCode>
                <c:ptCount val="5"/>
                <c:pt idx="0">
                  <c:v>0</c:v>
                </c:pt>
                <c:pt idx="1">
                  <c:v>0</c:v>
                </c:pt>
                <c:pt idx="2">
                  <c:v>89857.5</c:v>
                </c:pt>
                <c:pt idx="3">
                  <c:v>0</c:v>
                </c:pt>
                <c:pt idx="4">
                  <c:v>14914.88</c:v>
                </c:pt>
              </c:numCache>
            </c:numRef>
          </c:val>
          <c:smooth val="0"/>
        </c:ser>
        <c:ser>
          <c:idx val="4"/>
          <c:order val="4"/>
          <c:tx>
            <c:strRef>
              <c:f>'[01第一章.xlsx]土地市场分析 (城区)'!$B$7</c:f>
              <c:strCache>
                <c:ptCount val="1"/>
                <c:pt idx="0">
                  <c:v>仓储用地</c:v>
                </c:pt>
              </c:strCache>
            </c:strRef>
          </c:tx>
          <c:spPr>
            <a:ln w="28575" cap="rnd">
              <a:solidFill>
                <a:schemeClr val="accent4">
                  <a:lumMod val="75000"/>
                </a:schemeClr>
              </a:solidFill>
              <a:round/>
            </a:ln>
            <a:effectLst/>
          </c:spPr>
          <c:marker>
            <c:symbol val="none"/>
          </c:marker>
          <c:dLbls>
            <c:delete val="1"/>
          </c:dLbls>
          <c:cat>
            <c:numRef>
              <c:f>'[01第一章.xlsx]土地市场分析 (城区)'!$C$2:$G$2</c:f>
              <c:numCache>
                <c:formatCode>General</c:formatCode>
                <c:ptCount val="5"/>
                <c:pt idx="0">
                  <c:v>2020</c:v>
                </c:pt>
                <c:pt idx="1">
                  <c:v>2021</c:v>
                </c:pt>
                <c:pt idx="2">
                  <c:v>2022</c:v>
                </c:pt>
                <c:pt idx="3">
                  <c:v>2023</c:v>
                </c:pt>
                <c:pt idx="4">
                  <c:v>2024</c:v>
                </c:pt>
              </c:numCache>
            </c:numRef>
          </c:cat>
          <c:val>
            <c:numRef>
              <c:f>'[01第一章.xlsx]土地市场分析 (城区)'!$C$7:$G$7</c:f>
              <c:numCache>
                <c:formatCode>General</c:formatCode>
                <c:ptCount val="5"/>
                <c:pt idx="0">
                  <c:v>0</c:v>
                </c:pt>
                <c:pt idx="1">
                  <c:v>0</c:v>
                </c:pt>
                <c:pt idx="2">
                  <c:v>0</c:v>
                </c:pt>
                <c:pt idx="3">
                  <c:v>0</c:v>
                </c:pt>
                <c:pt idx="4">
                  <c:v>22102.1</c:v>
                </c:pt>
              </c:numCache>
            </c:numRef>
          </c:val>
          <c:smooth val="0"/>
        </c:ser>
        <c:ser>
          <c:idx val="5"/>
          <c:order val="5"/>
          <c:tx>
            <c:strRef>
              <c:f>'[01第一章.xlsx]土地市场分析 (城区)'!$B$8</c:f>
              <c:strCache>
                <c:ptCount val="1"/>
                <c:pt idx="0">
                  <c:v>公共管理与公共服务用地</c:v>
                </c:pt>
              </c:strCache>
            </c:strRef>
          </c:tx>
          <c:spPr>
            <a:ln w="28575" cap="rnd">
              <a:solidFill>
                <a:srgbClr val="00B0F0"/>
              </a:solidFill>
              <a:round/>
            </a:ln>
            <a:effectLst/>
          </c:spPr>
          <c:marker>
            <c:symbol val="none"/>
          </c:marker>
          <c:dLbls>
            <c:delete val="1"/>
          </c:dLbls>
          <c:cat>
            <c:numRef>
              <c:f>'[01第一章.xlsx]土地市场分析 (城区)'!$C$2:$G$2</c:f>
              <c:numCache>
                <c:formatCode>General</c:formatCode>
                <c:ptCount val="5"/>
                <c:pt idx="0">
                  <c:v>2020</c:v>
                </c:pt>
                <c:pt idx="1">
                  <c:v>2021</c:v>
                </c:pt>
                <c:pt idx="2">
                  <c:v>2022</c:v>
                </c:pt>
                <c:pt idx="3">
                  <c:v>2023</c:v>
                </c:pt>
                <c:pt idx="4">
                  <c:v>2024</c:v>
                </c:pt>
              </c:numCache>
            </c:numRef>
          </c:cat>
          <c:val>
            <c:numRef>
              <c:f>'[01第一章.xlsx]土地市场分析 (城区)'!$C$8:$G$8</c:f>
              <c:numCache>
                <c:formatCode>General</c:formatCode>
                <c:ptCount val="5"/>
                <c:pt idx="0">
                  <c:v>9350</c:v>
                </c:pt>
                <c:pt idx="1">
                  <c:v>0</c:v>
                </c:pt>
                <c:pt idx="2">
                  <c:v>0</c:v>
                </c:pt>
                <c:pt idx="3">
                  <c:v>0</c:v>
                </c:pt>
                <c:pt idx="4">
                  <c:v>0</c:v>
                </c:pt>
              </c:numCache>
            </c:numRef>
          </c:val>
          <c:smooth val="0"/>
        </c:ser>
        <c:ser>
          <c:idx val="6"/>
          <c:order val="6"/>
          <c:tx>
            <c:strRef>
              <c:f>'[01第一章.xlsx]土地市场分析 (城区)'!$B$9</c:f>
              <c:strCache>
                <c:ptCount val="1"/>
                <c:pt idx="0">
                  <c:v>公用设施用地</c:v>
                </c:pt>
              </c:strCache>
            </c:strRef>
          </c:tx>
          <c:spPr>
            <a:ln w="28575" cap="rnd">
              <a:solidFill>
                <a:schemeClr val="accent1">
                  <a:lumMod val="60000"/>
                </a:schemeClr>
              </a:solidFill>
              <a:round/>
            </a:ln>
            <a:effectLst/>
          </c:spPr>
          <c:marker>
            <c:symbol val="none"/>
          </c:marker>
          <c:dLbls>
            <c:delete val="1"/>
          </c:dLbls>
          <c:cat>
            <c:numRef>
              <c:f>'[01第一章.xlsx]土地市场分析 (城区)'!$C$2:$G$2</c:f>
              <c:numCache>
                <c:formatCode>General</c:formatCode>
                <c:ptCount val="5"/>
                <c:pt idx="0">
                  <c:v>2020</c:v>
                </c:pt>
                <c:pt idx="1">
                  <c:v>2021</c:v>
                </c:pt>
                <c:pt idx="2">
                  <c:v>2022</c:v>
                </c:pt>
                <c:pt idx="3">
                  <c:v>2023</c:v>
                </c:pt>
                <c:pt idx="4">
                  <c:v>2024</c:v>
                </c:pt>
              </c:numCache>
            </c:numRef>
          </c:cat>
          <c:val>
            <c:numRef>
              <c:f>'[01第一章.xlsx]土地市场分析 (城区)'!$C$9:$G$9</c:f>
              <c:numCache>
                <c:formatCode>General</c:formatCode>
                <c:ptCount val="5"/>
                <c:pt idx="0">
                  <c:v>0</c:v>
                </c:pt>
                <c:pt idx="1">
                  <c:v>0</c:v>
                </c:pt>
                <c:pt idx="2">
                  <c:v>19068</c:v>
                </c:pt>
                <c:pt idx="3">
                  <c:v>4251.86</c:v>
                </c:pt>
                <c:pt idx="4">
                  <c:v>0</c:v>
                </c:pt>
              </c:numCache>
            </c:numRef>
          </c:val>
          <c:smooth val="0"/>
        </c:ser>
        <c:ser>
          <c:idx val="7"/>
          <c:order val="7"/>
          <c:tx>
            <c:strRef>
              <c:f>'[01第一章.xlsx]土地市场分析 (城区)'!$B$10</c:f>
              <c:strCache>
                <c:ptCount val="1"/>
                <c:pt idx="0">
                  <c:v>合计</c:v>
                </c:pt>
              </c:strCache>
            </c:strRef>
          </c:tx>
          <c:spPr>
            <a:ln w="28575" cap="rnd">
              <a:solidFill>
                <a:srgbClr val="FF0000"/>
              </a:solidFill>
              <a:round/>
            </a:ln>
            <a:effectLst/>
          </c:spPr>
          <c:marker>
            <c:symbol val="none"/>
          </c:marker>
          <c:dLbls>
            <c:dLbl>
              <c:idx val="0"/>
              <c:layout>
                <c:manualLayout>
                  <c:x val="-0.0814242618697231"/>
                  <c:y val="-0.024917353203547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967707438327167"/>
                  <c:y val="-0.052029463843970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155532799999246"/>
                  <c:y val="-0.022468671894895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49662667016617"/>
                  <c:y val="-0.13731914447473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
                  <c:y val="-0.029216467463479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'[01第一章.xlsx]土地市场分析 (城区)'!$C$2:$G$2</c:f>
              <c:numCache>
                <c:formatCode>General</c:formatCode>
                <c:ptCount val="5"/>
                <c:pt idx="0">
                  <c:v>2020</c:v>
                </c:pt>
                <c:pt idx="1">
                  <c:v>2021</c:v>
                </c:pt>
                <c:pt idx="2">
                  <c:v>2022</c:v>
                </c:pt>
                <c:pt idx="3">
                  <c:v>2023</c:v>
                </c:pt>
                <c:pt idx="4">
                  <c:v>2024</c:v>
                </c:pt>
              </c:numCache>
            </c:numRef>
          </c:cat>
          <c:val>
            <c:numRef>
              <c:f>'[01第一章.xlsx]土地市场分析 (城区)'!$C$10:$G$10</c:f>
              <c:numCache>
                <c:formatCode>General</c:formatCode>
                <c:ptCount val="5"/>
                <c:pt idx="0">
                  <c:v>72353.3</c:v>
                </c:pt>
                <c:pt idx="1">
                  <c:v>74114.53</c:v>
                </c:pt>
                <c:pt idx="2">
                  <c:v>163521.12</c:v>
                </c:pt>
                <c:pt idx="3">
                  <c:v>5331.86</c:v>
                </c:pt>
                <c:pt idx="4">
                  <c:v>85021.08</c:v>
                </c:pt>
              </c:numCache>
            </c:numRef>
          </c:val>
          <c:smooth val="0"/>
        </c:ser>
        <c:dLbls>
          <c:showLegendKey val="0"/>
          <c:showVal val="0"/>
          <c:showCatName val="0"/>
          <c:showSerName val="0"/>
          <c:showPercent val="0"/>
          <c:showBubbleSize val="0"/>
        </c:dLbls>
        <c:marker val="0"/>
        <c:smooth val="0"/>
        <c:axId val="747463220"/>
        <c:axId val="43249133"/>
      </c:lineChart>
      <c:catAx>
        <c:axId val="74746322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3249133"/>
        <c:crosses val="autoZero"/>
        <c:auto val="1"/>
        <c:lblAlgn val="ctr"/>
        <c:lblOffset val="100"/>
        <c:noMultiLvlLbl val="0"/>
      </c:catAx>
      <c:valAx>
        <c:axId val="43249133"/>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b="1"/>
                  <a:t>单位</a:t>
                </a:r>
                <a:r>
                  <a:rPr lang="en-US" altLang="zh-CN" b="1"/>
                  <a:t>:</a:t>
                </a:r>
                <a:r>
                  <a:rPr altLang="en-US" b="1"/>
                  <a:t>平方米</a:t>
                </a:r>
                <a:endParaRPr lang="en-US" altLang="zh-CN" b="1"/>
              </a:p>
            </c:rich>
          </c:tx>
          <c:layout>
            <c:manualLayout>
              <c:xMode val="edge"/>
              <c:yMode val="edge"/>
              <c:x val="0.00462962962962963"/>
              <c:y val="0.0073909830007391"/>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47463220"/>
        <c:crosses val="autoZero"/>
        <c:crossBetween val="between"/>
      </c:valAx>
      <c:spPr>
        <a:noFill/>
        <a:ln>
          <a:noFill/>
        </a:ln>
        <a:effectLst/>
      </c:spPr>
    </c:plotArea>
    <c:legend>
      <c:legendPos val="b"/>
      <c:layout>
        <c:manualLayout>
          <c:xMode val="edge"/>
          <c:yMode val="edge"/>
          <c:x val="0.00420624151967436"/>
          <c:y val="0.799127640036731"/>
          <c:w val="0.991316146540027"/>
          <c:h val="0.193985307621671"/>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aca5561-ca51-4905-8c22-1f32f6fb9a47}"/>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6706085953274"/>
          <c:y val="0.145476477683957"/>
          <c:w val="0.804355350447072"/>
          <c:h val="0.521930036188179"/>
        </c:manualLayout>
      </c:layout>
      <c:lineChart>
        <c:grouping val="standard"/>
        <c:varyColors val="0"/>
        <c:ser>
          <c:idx val="0"/>
          <c:order val="0"/>
          <c:tx>
            <c:strRef>
              <c:f>'[01第一章.xlsx]土地市场分析 (城区)'!$B$14</c:f>
              <c:strCache>
                <c:ptCount val="1"/>
                <c:pt idx="0">
                  <c:v>商业服务业用地</c:v>
                </c:pt>
              </c:strCache>
            </c:strRef>
          </c:tx>
          <c:spPr>
            <a:ln w="28575" cap="rnd">
              <a:solidFill>
                <a:schemeClr val="accent1"/>
              </a:solidFill>
              <a:round/>
            </a:ln>
            <a:effectLst/>
          </c:spPr>
          <c:marker>
            <c:symbol val="none"/>
          </c:marker>
          <c:dLbls>
            <c:delete val="1"/>
          </c:dLbls>
          <c:cat>
            <c:numRef>
              <c:f>'[01第一章.xlsx]土地市场分析 (城区)'!$C$13:$G$13</c:f>
              <c:numCache>
                <c:formatCode>General</c:formatCode>
                <c:ptCount val="5"/>
                <c:pt idx="0">
                  <c:v>2020</c:v>
                </c:pt>
                <c:pt idx="1">
                  <c:v>2021</c:v>
                </c:pt>
                <c:pt idx="2">
                  <c:v>2022</c:v>
                </c:pt>
                <c:pt idx="3">
                  <c:v>2023</c:v>
                </c:pt>
                <c:pt idx="4">
                  <c:v>2024</c:v>
                </c:pt>
              </c:numCache>
            </c:numRef>
          </c:cat>
          <c:val>
            <c:numRef>
              <c:f>'[01第一章.xlsx]土地市场分析 (城区)'!$C$14:$G$14</c:f>
              <c:numCache>
                <c:formatCode>General</c:formatCode>
                <c:ptCount val="5"/>
                <c:pt idx="0">
                  <c:v>150</c:v>
                </c:pt>
                <c:pt idx="1">
                  <c:v>529</c:v>
                </c:pt>
                <c:pt idx="2">
                  <c:v>0</c:v>
                </c:pt>
                <c:pt idx="3">
                  <c:v>0</c:v>
                </c:pt>
                <c:pt idx="4">
                  <c:v>554</c:v>
                </c:pt>
              </c:numCache>
            </c:numRef>
          </c:val>
          <c:smooth val="0"/>
        </c:ser>
        <c:ser>
          <c:idx val="1"/>
          <c:order val="1"/>
          <c:tx>
            <c:strRef>
              <c:f>'[01第一章.xlsx]土地市场分析 (城区)'!$B$15</c:f>
              <c:strCache>
                <c:ptCount val="1"/>
                <c:pt idx="0">
                  <c:v>商住用地</c:v>
                </c:pt>
              </c:strCache>
            </c:strRef>
          </c:tx>
          <c:spPr>
            <a:ln w="28575" cap="rnd">
              <a:solidFill>
                <a:schemeClr val="accent2">
                  <a:lumMod val="75000"/>
                </a:schemeClr>
              </a:solidFill>
              <a:round/>
            </a:ln>
            <a:effectLst/>
          </c:spPr>
          <c:marker>
            <c:symbol val="none"/>
          </c:marker>
          <c:dLbls>
            <c:delete val="1"/>
          </c:dLbls>
          <c:cat>
            <c:numRef>
              <c:f>'[01第一章.xlsx]土地市场分析 (城区)'!$C$13:$G$13</c:f>
              <c:numCache>
                <c:formatCode>General</c:formatCode>
                <c:ptCount val="5"/>
                <c:pt idx="0">
                  <c:v>2020</c:v>
                </c:pt>
                <c:pt idx="1">
                  <c:v>2021</c:v>
                </c:pt>
                <c:pt idx="2">
                  <c:v>2022</c:v>
                </c:pt>
                <c:pt idx="3">
                  <c:v>2023</c:v>
                </c:pt>
                <c:pt idx="4">
                  <c:v>2024</c:v>
                </c:pt>
              </c:numCache>
            </c:numRef>
          </c:cat>
          <c:val>
            <c:numRef>
              <c:f>'[01第一章.xlsx]土地市场分析 (城区)'!$C$15:$G$15</c:f>
              <c:numCache>
                <c:formatCode>General</c:formatCode>
                <c:ptCount val="5"/>
                <c:pt idx="0">
                  <c:v>1624.9</c:v>
                </c:pt>
                <c:pt idx="1">
                  <c:v>13114</c:v>
                </c:pt>
                <c:pt idx="2">
                  <c:v>7337</c:v>
                </c:pt>
                <c:pt idx="3">
                  <c:v>145</c:v>
                </c:pt>
                <c:pt idx="4">
                  <c:v>176</c:v>
                </c:pt>
              </c:numCache>
            </c:numRef>
          </c:val>
          <c:smooth val="0"/>
        </c:ser>
        <c:ser>
          <c:idx val="2"/>
          <c:order val="2"/>
          <c:tx>
            <c:strRef>
              <c:f>'[01第一章.xlsx]土地市场分析 (城区)'!$B$16</c:f>
              <c:strCache>
                <c:ptCount val="1"/>
                <c:pt idx="0">
                  <c:v>居住用地</c:v>
                </c:pt>
              </c:strCache>
            </c:strRef>
          </c:tx>
          <c:spPr>
            <a:ln w="28575" cap="rnd">
              <a:solidFill>
                <a:srgbClr val="FFC000"/>
              </a:solidFill>
              <a:round/>
            </a:ln>
            <a:effectLst/>
          </c:spPr>
          <c:marker>
            <c:symbol val="none"/>
          </c:marker>
          <c:dLbls>
            <c:delete val="1"/>
          </c:dLbls>
          <c:cat>
            <c:numRef>
              <c:f>'[01第一章.xlsx]土地市场分析 (城区)'!$C$13:$G$13</c:f>
              <c:numCache>
                <c:formatCode>General</c:formatCode>
                <c:ptCount val="5"/>
                <c:pt idx="0">
                  <c:v>2020</c:v>
                </c:pt>
                <c:pt idx="1">
                  <c:v>2021</c:v>
                </c:pt>
                <c:pt idx="2">
                  <c:v>2022</c:v>
                </c:pt>
                <c:pt idx="3">
                  <c:v>2023</c:v>
                </c:pt>
                <c:pt idx="4">
                  <c:v>2024</c:v>
                </c:pt>
              </c:numCache>
            </c:numRef>
          </c:cat>
          <c:val>
            <c:numRef>
              <c:f>'[01第一章.xlsx]土地市场分析 (城区)'!$C$16:$G$16</c:f>
              <c:numCache>
                <c:formatCode>General</c:formatCode>
                <c:ptCount val="5"/>
                <c:pt idx="0">
                  <c:v>3188</c:v>
                </c:pt>
                <c:pt idx="1">
                  <c:v>25</c:v>
                </c:pt>
                <c:pt idx="2">
                  <c:v>266</c:v>
                </c:pt>
                <c:pt idx="3">
                  <c:v>0</c:v>
                </c:pt>
                <c:pt idx="4">
                  <c:v>4024</c:v>
                </c:pt>
              </c:numCache>
            </c:numRef>
          </c:val>
          <c:smooth val="0"/>
        </c:ser>
        <c:ser>
          <c:idx val="3"/>
          <c:order val="3"/>
          <c:tx>
            <c:strRef>
              <c:f>'[01第一章.xlsx]土地市场分析 (城区)'!$B$17</c:f>
              <c:strCache>
                <c:ptCount val="1"/>
                <c:pt idx="0">
                  <c:v>工矿用地</c:v>
                </c:pt>
              </c:strCache>
            </c:strRef>
          </c:tx>
          <c:spPr>
            <a:ln w="28575" cap="rnd">
              <a:solidFill>
                <a:srgbClr val="7030A0"/>
              </a:solidFill>
              <a:round/>
            </a:ln>
            <a:effectLst/>
          </c:spPr>
          <c:marker>
            <c:symbol val="none"/>
          </c:marker>
          <c:dLbls>
            <c:delete val="1"/>
          </c:dLbls>
          <c:cat>
            <c:numRef>
              <c:f>'[01第一章.xlsx]土地市场分析 (城区)'!$C$13:$G$13</c:f>
              <c:numCache>
                <c:formatCode>General</c:formatCode>
                <c:ptCount val="5"/>
                <c:pt idx="0">
                  <c:v>2020</c:v>
                </c:pt>
                <c:pt idx="1">
                  <c:v>2021</c:v>
                </c:pt>
                <c:pt idx="2">
                  <c:v>2022</c:v>
                </c:pt>
                <c:pt idx="3">
                  <c:v>2023</c:v>
                </c:pt>
                <c:pt idx="4">
                  <c:v>2024</c:v>
                </c:pt>
              </c:numCache>
            </c:numRef>
          </c:cat>
          <c:val>
            <c:numRef>
              <c:f>'[01第一章.xlsx]土地市场分析 (城区)'!$C$17:$G$17</c:f>
              <c:numCache>
                <c:formatCode>General</c:formatCode>
                <c:ptCount val="5"/>
                <c:pt idx="0">
                  <c:v>0</c:v>
                </c:pt>
                <c:pt idx="1">
                  <c:v>0</c:v>
                </c:pt>
                <c:pt idx="2">
                  <c:v>2761</c:v>
                </c:pt>
                <c:pt idx="3">
                  <c:v>0</c:v>
                </c:pt>
                <c:pt idx="4">
                  <c:v>423</c:v>
                </c:pt>
              </c:numCache>
            </c:numRef>
          </c:val>
          <c:smooth val="0"/>
        </c:ser>
        <c:ser>
          <c:idx val="4"/>
          <c:order val="4"/>
          <c:tx>
            <c:strRef>
              <c:f>'[01第一章.xlsx]土地市场分析 (城区)'!$B$18</c:f>
              <c:strCache>
                <c:ptCount val="1"/>
                <c:pt idx="0">
                  <c:v>仓储用地</c:v>
                </c:pt>
              </c:strCache>
            </c:strRef>
          </c:tx>
          <c:spPr>
            <a:ln w="28575" cap="rnd">
              <a:solidFill>
                <a:schemeClr val="accent5"/>
              </a:solidFill>
              <a:round/>
            </a:ln>
            <a:effectLst/>
          </c:spPr>
          <c:marker>
            <c:symbol val="none"/>
          </c:marker>
          <c:dLbls>
            <c:delete val="1"/>
          </c:dLbls>
          <c:cat>
            <c:numRef>
              <c:f>'[01第一章.xlsx]土地市场分析 (城区)'!$C$13:$G$13</c:f>
              <c:numCache>
                <c:formatCode>General</c:formatCode>
                <c:ptCount val="5"/>
                <c:pt idx="0">
                  <c:v>2020</c:v>
                </c:pt>
                <c:pt idx="1">
                  <c:v>2021</c:v>
                </c:pt>
                <c:pt idx="2">
                  <c:v>2022</c:v>
                </c:pt>
                <c:pt idx="3">
                  <c:v>2023</c:v>
                </c:pt>
                <c:pt idx="4">
                  <c:v>2024</c:v>
                </c:pt>
              </c:numCache>
            </c:numRef>
          </c:cat>
          <c:val>
            <c:numRef>
              <c:f>'[01第一章.xlsx]土地市场分析 (城区)'!$C$18:$G$18</c:f>
              <c:numCache>
                <c:formatCode>General</c:formatCode>
                <c:ptCount val="5"/>
                <c:pt idx="0">
                  <c:v>0</c:v>
                </c:pt>
                <c:pt idx="1">
                  <c:v>0</c:v>
                </c:pt>
                <c:pt idx="2">
                  <c:v>0</c:v>
                </c:pt>
                <c:pt idx="3">
                  <c:v>0</c:v>
                </c:pt>
                <c:pt idx="4">
                  <c:v>1649</c:v>
                </c:pt>
              </c:numCache>
            </c:numRef>
          </c:val>
          <c:smooth val="0"/>
        </c:ser>
        <c:ser>
          <c:idx val="5"/>
          <c:order val="5"/>
          <c:tx>
            <c:strRef>
              <c:f>'[01第一章.xlsx]土地市场分析 (城区)'!$B$19</c:f>
              <c:strCache>
                <c:ptCount val="1"/>
                <c:pt idx="0">
                  <c:v>公共管理与公共服务用地</c:v>
                </c:pt>
              </c:strCache>
            </c:strRef>
          </c:tx>
          <c:spPr>
            <a:ln w="28575" cap="rnd">
              <a:solidFill>
                <a:srgbClr val="00B0F0"/>
              </a:solidFill>
              <a:round/>
            </a:ln>
            <a:effectLst/>
          </c:spPr>
          <c:marker>
            <c:symbol val="none"/>
          </c:marker>
          <c:dLbls>
            <c:delete val="1"/>
          </c:dLbls>
          <c:cat>
            <c:numRef>
              <c:f>'[01第一章.xlsx]土地市场分析 (城区)'!$C$13:$G$13</c:f>
              <c:numCache>
                <c:formatCode>General</c:formatCode>
                <c:ptCount val="5"/>
                <c:pt idx="0">
                  <c:v>2020</c:v>
                </c:pt>
                <c:pt idx="1">
                  <c:v>2021</c:v>
                </c:pt>
                <c:pt idx="2">
                  <c:v>2022</c:v>
                </c:pt>
                <c:pt idx="3">
                  <c:v>2023</c:v>
                </c:pt>
                <c:pt idx="4">
                  <c:v>2024</c:v>
                </c:pt>
              </c:numCache>
            </c:numRef>
          </c:cat>
          <c:val>
            <c:numRef>
              <c:f>'[01第一章.xlsx]土地市场分析 (城区)'!$C$19:$G$19</c:f>
              <c:numCache>
                <c:formatCode>General</c:formatCode>
                <c:ptCount val="5"/>
                <c:pt idx="0">
                  <c:v>550</c:v>
                </c:pt>
                <c:pt idx="1">
                  <c:v>0</c:v>
                </c:pt>
                <c:pt idx="2">
                  <c:v>0</c:v>
                </c:pt>
                <c:pt idx="3">
                  <c:v>0</c:v>
                </c:pt>
                <c:pt idx="4">
                  <c:v>0</c:v>
                </c:pt>
              </c:numCache>
            </c:numRef>
          </c:val>
          <c:smooth val="0"/>
        </c:ser>
        <c:ser>
          <c:idx val="6"/>
          <c:order val="6"/>
          <c:tx>
            <c:strRef>
              <c:f>'[01第一章.xlsx]土地市场分析 (城区)'!$B$20</c:f>
              <c:strCache>
                <c:ptCount val="1"/>
                <c:pt idx="0">
                  <c:v>公用设施用地</c:v>
                </c:pt>
              </c:strCache>
            </c:strRef>
          </c:tx>
          <c:spPr>
            <a:ln w="28575" cap="rnd">
              <a:solidFill>
                <a:schemeClr val="accent1">
                  <a:lumMod val="60000"/>
                </a:schemeClr>
              </a:solidFill>
              <a:round/>
            </a:ln>
            <a:effectLst/>
          </c:spPr>
          <c:marker>
            <c:symbol val="none"/>
          </c:marker>
          <c:dLbls>
            <c:delete val="1"/>
          </c:dLbls>
          <c:cat>
            <c:numRef>
              <c:f>'[01第一章.xlsx]土地市场分析 (城区)'!$C$13:$G$13</c:f>
              <c:numCache>
                <c:formatCode>General</c:formatCode>
                <c:ptCount val="5"/>
                <c:pt idx="0">
                  <c:v>2020</c:v>
                </c:pt>
                <c:pt idx="1">
                  <c:v>2021</c:v>
                </c:pt>
                <c:pt idx="2">
                  <c:v>2022</c:v>
                </c:pt>
                <c:pt idx="3">
                  <c:v>2023</c:v>
                </c:pt>
                <c:pt idx="4">
                  <c:v>2024</c:v>
                </c:pt>
              </c:numCache>
            </c:numRef>
          </c:cat>
          <c:val>
            <c:numRef>
              <c:f>'[01第一章.xlsx]土地市场分析 (城区)'!$C$20:$G$20</c:f>
              <c:numCache>
                <c:formatCode>General</c:formatCode>
                <c:ptCount val="5"/>
                <c:pt idx="0">
                  <c:v>0</c:v>
                </c:pt>
                <c:pt idx="1">
                  <c:v>0</c:v>
                </c:pt>
                <c:pt idx="2">
                  <c:v>842</c:v>
                </c:pt>
                <c:pt idx="3">
                  <c:v>190</c:v>
                </c:pt>
                <c:pt idx="4">
                  <c:v>0</c:v>
                </c:pt>
              </c:numCache>
            </c:numRef>
          </c:val>
          <c:smooth val="0"/>
        </c:ser>
        <c:ser>
          <c:idx val="7"/>
          <c:order val="7"/>
          <c:tx>
            <c:strRef>
              <c:f>'[01第一章.xlsx]土地市场分析 (城区)'!$B$21</c:f>
              <c:strCache>
                <c:ptCount val="1"/>
                <c:pt idx="0">
                  <c:v>合计</c:v>
                </c:pt>
              </c:strCache>
            </c:strRef>
          </c:tx>
          <c:spPr>
            <a:ln w="28575" cap="rnd">
              <a:solidFill>
                <a:srgbClr val="FF0000"/>
              </a:solidFill>
              <a:round/>
            </a:ln>
            <a:effectLst/>
          </c:spPr>
          <c:marker>
            <c:symbol val="none"/>
          </c:marker>
          <c:dLbls>
            <c:dLbl>
              <c:idx val="0"/>
              <c:layout>
                <c:manualLayout>
                  <c:x val="-0.0994134640295663"/>
                  <c:y val="-0.037383177570093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348012943538182"/>
                  <c:y val="-0.027955925360798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674915635545557"/>
                  <c:y val="-0.021806853582554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314267161760904"/>
                  <c:y val="-0.081012778943353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20493485151826"/>
                  <c:y val="-0.024930065484137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'[01第一章.xlsx]土地市场分析 (城区)'!$C$13:$G$13</c:f>
              <c:numCache>
                <c:formatCode>General</c:formatCode>
                <c:ptCount val="5"/>
                <c:pt idx="0">
                  <c:v>2020</c:v>
                </c:pt>
                <c:pt idx="1">
                  <c:v>2021</c:v>
                </c:pt>
                <c:pt idx="2">
                  <c:v>2022</c:v>
                </c:pt>
                <c:pt idx="3">
                  <c:v>2023</c:v>
                </c:pt>
                <c:pt idx="4">
                  <c:v>2024</c:v>
                </c:pt>
              </c:numCache>
            </c:numRef>
          </c:cat>
          <c:val>
            <c:numRef>
              <c:f>'[01第一章.xlsx]土地市场分析 (城区)'!$C$21:$G$21</c:f>
              <c:numCache>
                <c:formatCode>General</c:formatCode>
                <c:ptCount val="5"/>
                <c:pt idx="0">
                  <c:v>5512.9</c:v>
                </c:pt>
                <c:pt idx="1">
                  <c:v>13668</c:v>
                </c:pt>
                <c:pt idx="2">
                  <c:v>11206</c:v>
                </c:pt>
                <c:pt idx="3">
                  <c:v>335</c:v>
                </c:pt>
                <c:pt idx="4">
                  <c:v>6826</c:v>
                </c:pt>
              </c:numCache>
            </c:numRef>
          </c:val>
          <c:smooth val="0"/>
        </c:ser>
        <c:dLbls>
          <c:showLegendKey val="0"/>
          <c:showVal val="0"/>
          <c:showCatName val="0"/>
          <c:showSerName val="0"/>
          <c:showPercent val="0"/>
          <c:showBubbleSize val="0"/>
        </c:dLbls>
        <c:marker val="0"/>
        <c:smooth val="0"/>
        <c:axId val="277509313"/>
        <c:axId val="897781115"/>
      </c:lineChart>
      <c:catAx>
        <c:axId val="27750931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97781115"/>
        <c:crosses val="autoZero"/>
        <c:auto val="1"/>
        <c:lblAlgn val="ctr"/>
        <c:lblOffset val="100"/>
        <c:noMultiLvlLbl val="0"/>
      </c:catAx>
      <c:valAx>
        <c:axId val="897781115"/>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b="1"/>
                  <a:t>单位：万元</a:t>
                </a:r>
                <a:endParaRPr b="1"/>
              </a:p>
            </c:rich>
          </c:tx>
          <c:layout>
            <c:manualLayout>
              <c:xMode val="edge"/>
              <c:yMode val="edge"/>
              <c:x val="0.00400320256204964"/>
              <c:y val="0.0146021547248182"/>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77509313"/>
        <c:crosses val="autoZero"/>
        <c:crossBetween val="between"/>
      </c:valAx>
      <c:spPr>
        <a:noFill/>
        <a:ln>
          <a:noFill/>
        </a:ln>
        <a:effectLst/>
      </c:spPr>
    </c:plotArea>
    <c:legend>
      <c:legendPos val="b"/>
      <c:layout>
        <c:manualLayout>
          <c:xMode val="edge"/>
          <c:yMode val="edge"/>
          <c:x val="0.00361315187281705"/>
          <c:y val="0.816766733377807"/>
          <c:w val="0.992773696254366"/>
          <c:h val="0.176562152546142"/>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ff94c97-11a8-4362-9dda-b2f6f818e151}"/>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4413580246914"/>
          <c:y val="0.0376940133037694"/>
          <c:w val="0.820542740841248"/>
          <c:h val="0.674563820018365"/>
        </c:manualLayout>
      </c:layout>
      <c:lineChart>
        <c:grouping val="standard"/>
        <c:varyColors val="0"/>
        <c:ser>
          <c:idx val="0"/>
          <c:order val="0"/>
          <c:tx>
            <c:strRef>
              <c:f>'[01第一章.xlsx]土地市场分析 (城区)'!$B$3</c:f>
              <c:strCache>
                <c:ptCount val="1"/>
                <c:pt idx="0">
                  <c:v>商业服务业用地</c:v>
                </c:pt>
              </c:strCache>
            </c:strRef>
          </c:tx>
          <c:spPr>
            <a:ln w="28575" cap="rnd">
              <a:solidFill>
                <a:schemeClr val="accent1"/>
              </a:solidFill>
              <a:round/>
            </a:ln>
            <a:effectLst/>
          </c:spPr>
          <c:marker>
            <c:symbol val="none"/>
          </c:marker>
          <c:dLbls>
            <c:delete val="1"/>
          </c:dLbls>
          <c:cat>
            <c:numRef>
              <c:f>'[01第一章.xlsx]土地市场分析 (城区)'!$C$2:$G$2</c:f>
              <c:numCache>
                <c:formatCode>General</c:formatCode>
                <c:ptCount val="5"/>
                <c:pt idx="0">
                  <c:v>2020</c:v>
                </c:pt>
                <c:pt idx="1">
                  <c:v>2021</c:v>
                </c:pt>
                <c:pt idx="2">
                  <c:v>2022</c:v>
                </c:pt>
                <c:pt idx="3">
                  <c:v>2023</c:v>
                </c:pt>
                <c:pt idx="4">
                  <c:v>2024</c:v>
                </c:pt>
              </c:numCache>
            </c:numRef>
          </c:cat>
          <c:val>
            <c:numRef>
              <c:f>'[01第一章.xlsx]土地市场分析 (城区)'!$C$3:$G$3</c:f>
              <c:numCache>
                <c:formatCode>General</c:formatCode>
                <c:ptCount val="5"/>
                <c:pt idx="0">
                  <c:v>2352.68</c:v>
                </c:pt>
                <c:pt idx="1">
                  <c:v>5477.69</c:v>
                </c:pt>
                <c:pt idx="2">
                  <c:v>0</c:v>
                </c:pt>
                <c:pt idx="3">
                  <c:v>0</c:v>
                </c:pt>
                <c:pt idx="4">
                  <c:v>1509.36</c:v>
                </c:pt>
              </c:numCache>
            </c:numRef>
          </c:val>
          <c:smooth val="0"/>
        </c:ser>
        <c:ser>
          <c:idx val="1"/>
          <c:order val="1"/>
          <c:tx>
            <c:strRef>
              <c:f>'[01第一章.xlsx]土地市场分析 (城区)'!$B$4</c:f>
              <c:strCache>
                <c:ptCount val="1"/>
                <c:pt idx="0">
                  <c:v>商住用地</c:v>
                </c:pt>
              </c:strCache>
            </c:strRef>
          </c:tx>
          <c:spPr>
            <a:ln w="28575" cap="rnd">
              <a:solidFill>
                <a:schemeClr val="accent2">
                  <a:lumMod val="75000"/>
                </a:schemeClr>
              </a:solidFill>
              <a:round/>
            </a:ln>
            <a:effectLst/>
          </c:spPr>
          <c:marker>
            <c:symbol val="none"/>
          </c:marker>
          <c:dLbls>
            <c:delete val="1"/>
          </c:dLbls>
          <c:cat>
            <c:numRef>
              <c:f>'[01第一章.xlsx]土地市场分析 (城区)'!$C$2:$G$2</c:f>
              <c:numCache>
                <c:formatCode>General</c:formatCode>
                <c:ptCount val="5"/>
                <c:pt idx="0">
                  <c:v>2020</c:v>
                </c:pt>
                <c:pt idx="1">
                  <c:v>2021</c:v>
                </c:pt>
                <c:pt idx="2">
                  <c:v>2022</c:v>
                </c:pt>
                <c:pt idx="3">
                  <c:v>2023</c:v>
                </c:pt>
                <c:pt idx="4">
                  <c:v>2024</c:v>
                </c:pt>
              </c:numCache>
            </c:numRef>
          </c:cat>
          <c:val>
            <c:numRef>
              <c:f>'[01第一章.xlsx]土地市场分析 (城区)'!$C$4:$G$4</c:f>
              <c:numCache>
                <c:formatCode>General</c:formatCode>
                <c:ptCount val="5"/>
                <c:pt idx="0">
                  <c:v>12396.72</c:v>
                </c:pt>
                <c:pt idx="1">
                  <c:v>68336.07</c:v>
                </c:pt>
                <c:pt idx="2">
                  <c:v>52339.5</c:v>
                </c:pt>
                <c:pt idx="3">
                  <c:v>1080</c:v>
                </c:pt>
                <c:pt idx="4">
                  <c:v>2289.57</c:v>
                </c:pt>
              </c:numCache>
            </c:numRef>
          </c:val>
          <c:smooth val="0"/>
        </c:ser>
        <c:ser>
          <c:idx val="2"/>
          <c:order val="2"/>
          <c:tx>
            <c:strRef>
              <c:f>'[01第一章.xlsx]土地市场分析 (城区)'!$B$5</c:f>
              <c:strCache>
                <c:ptCount val="1"/>
                <c:pt idx="0">
                  <c:v>居住用地</c:v>
                </c:pt>
              </c:strCache>
            </c:strRef>
          </c:tx>
          <c:spPr>
            <a:ln w="28575" cap="rnd">
              <a:solidFill>
                <a:schemeClr val="accent3"/>
              </a:solidFill>
              <a:round/>
            </a:ln>
            <a:effectLst/>
          </c:spPr>
          <c:marker>
            <c:symbol val="none"/>
          </c:marker>
          <c:dLbls>
            <c:delete val="1"/>
          </c:dLbls>
          <c:cat>
            <c:numRef>
              <c:f>'[01第一章.xlsx]土地市场分析 (城区)'!$C$2:$G$2</c:f>
              <c:numCache>
                <c:formatCode>General</c:formatCode>
                <c:ptCount val="5"/>
                <c:pt idx="0">
                  <c:v>2020</c:v>
                </c:pt>
                <c:pt idx="1">
                  <c:v>2021</c:v>
                </c:pt>
                <c:pt idx="2">
                  <c:v>2022</c:v>
                </c:pt>
                <c:pt idx="3">
                  <c:v>2023</c:v>
                </c:pt>
                <c:pt idx="4">
                  <c:v>2024</c:v>
                </c:pt>
              </c:numCache>
            </c:numRef>
          </c:cat>
          <c:val>
            <c:numRef>
              <c:f>'[01第一章.xlsx]土地市场分析 (城区)'!$C$5:$G$5</c:f>
              <c:numCache>
                <c:formatCode>General</c:formatCode>
                <c:ptCount val="5"/>
                <c:pt idx="0">
                  <c:v>48253.9</c:v>
                </c:pt>
                <c:pt idx="1">
                  <c:v>300.77</c:v>
                </c:pt>
                <c:pt idx="2">
                  <c:v>2256.12</c:v>
                </c:pt>
                <c:pt idx="3">
                  <c:v>0</c:v>
                </c:pt>
                <c:pt idx="4">
                  <c:v>44205.17</c:v>
                </c:pt>
              </c:numCache>
            </c:numRef>
          </c:val>
          <c:smooth val="0"/>
        </c:ser>
        <c:ser>
          <c:idx val="3"/>
          <c:order val="3"/>
          <c:tx>
            <c:strRef>
              <c:f>'[01第一章.xlsx]土地市场分析 (城区)'!$B$6</c:f>
              <c:strCache>
                <c:ptCount val="1"/>
                <c:pt idx="0">
                  <c:v>工矿用地</c:v>
                </c:pt>
              </c:strCache>
            </c:strRef>
          </c:tx>
          <c:spPr>
            <a:ln w="28575" cap="rnd">
              <a:solidFill>
                <a:srgbClr val="7030A0"/>
              </a:solidFill>
              <a:round/>
            </a:ln>
            <a:effectLst/>
          </c:spPr>
          <c:marker>
            <c:symbol val="none"/>
          </c:marker>
          <c:dLbls>
            <c:delete val="1"/>
          </c:dLbls>
          <c:cat>
            <c:numRef>
              <c:f>'[01第一章.xlsx]土地市场分析 (城区)'!$C$2:$G$2</c:f>
              <c:numCache>
                <c:formatCode>General</c:formatCode>
                <c:ptCount val="5"/>
                <c:pt idx="0">
                  <c:v>2020</c:v>
                </c:pt>
                <c:pt idx="1">
                  <c:v>2021</c:v>
                </c:pt>
                <c:pt idx="2">
                  <c:v>2022</c:v>
                </c:pt>
                <c:pt idx="3">
                  <c:v>2023</c:v>
                </c:pt>
                <c:pt idx="4">
                  <c:v>2024</c:v>
                </c:pt>
              </c:numCache>
            </c:numRef>
          </c:cat>
          <c:val>
            <c:numRef>
              <c:f>'[01第一章.xlsx]土地市场分析 (城区)'!$C$6:$G$6</c:f>
              <c:numCache>
                <c:formatCode>General</c:formatCode>
                <c:ptCount val="5"/>
                <c:pt idx="0">
                  <c:v>0</c:v>
                </c:pt>
                <c:pt idx="1">
                  <c:v>0</c:v>
                </c:pt>
                <c:pt idx="2">
                  <c:v>89857.5</c:v>
                </c:pt>
                <c:pt idx="3">
                  <c:v>0</c:v>
                </c:pt>
                <c:pt idx="4">
                  <c:v>14914.88</c:v>
                </c:pt>
              </c:numCache>
            </c:numRef>
          </c:val>
          <c:smooth val="0"/>
        </c:ser>
        <c:ser>
          <c:idx val="4"/>
          <c:order val="4"/>
          <c:tx>
            <c:strRef>
              <c:f>'[01第一章.xlsx]土地市场分析 (城区)'!$B$7</c:f>
              <c:strCache>
                <c:ptCount val="1"/>
                <c:pt idx="0">
                  <c:v>仓储用地</c:v>
                </c:pt>
              </c:strCache>
            </c:strRef>
          </c:tx>
          <c:spPr>
            <a:ln w="28575" cap="rnd">
              <a:solidFill>
                <a:schemeClr val="accent4">
                  <a:lumMod val="75000"/>
                </a:schemeClr>
              </a:solidFill>
              <a:round/>
            </a:ln>
            <a:effectLst/>
          </c:spPr>
          <c:marker>
            <c:symbol val="none"/>
          </c:marker>
          <c:dLbls>
            <c:delete val="1"/>
          </c:dLbls>
          <c:cat>
            <c:numRef>
              <c:f>'[01第一章.xlsx]土地市场分析 (城区)'!$C$2:$G$2</c:f>
              <c:numCache>
                <c:formatCode>General</c:formatCode>
                <c:ptCount val="5"/>
                <c:pt idx="0">
                  <c:v>2020</c:v>
                </c:pt>
                <c:pt idx="1">
                  <c:v>2021</c:v>
                </c:pt>
                <c:pt idx="2">
                  <c:v>2022</c:v>
                </c:pt>
                <c:pt idx="3">
                  <c:v>2023</c:v>
                </c:pt>
                <c:pt idx="4">
                  <c:v>2024</c:v>
                </c:pt>
              </c:numCache>
            </c:numRef>
          </c:cat>
          <c:val>
            <c:numRef>
              <c:f>'[01第一章.xlsx]土地市场分析 (城区)'!$C$7:$G$7</c:f>
              <c:numCache>
                <c:formatCode>General</c:formatCode>
                <c:ptCount val="5"/>
                <c:pt idx="0">
                  <c:v>0</c:v>
                </c:pt>
                <c:pt idx="1">
                  <c:v>0</c:v>
                </c:pt>
                <c:pt idx="2">
                  <c:v>0</c:v>
                </c:pt>
                <c:pt idx="3">
                  <c:v>0</c:v>
                </c:pt>
                <c:pt idx="4">
                  <c:v>22102.1</c:v>
                </c:pt>
              </c:numCache>
            </c:numRef>
          </c:val>
          <c:smooth val="0"/>
        </c:ser>
        <c:ser>
          <c:idx val="5"/>
          <c:order val="5"/>
          <c:tx>
            <c:strRef>
              <c:f>'[01第一章.xlsx]土地市场分析 (城区)'!$B$8</c:f>
              <c:strCache>
                <c:ptCount val="1"/>
                <c:pt idx="0">
                  <c:v>公共管理与公共服务用地</c:v>
                </c:pt>
              </c:strCache>
            </c:strRef>
          </c:tx>
          <c:spPr>
            <a:ln w="28575" cap="rnd">
              <a:solidFill>
                <a:srgbClr val="00B0F0"/>
              </a:solidFill>
              <a:round/>
            </a:ln>
            <a:effectLst/>
          </c:spPr>
          <c:marker>
            <c:symbol val="none"/>
          </c:marker>
          <c:dLbls>
            <c:delete val="1"/>
          </c:dLbls>
          <c:cat>
            <c:numRef>
              <c:f>'[01第一章.xlsx]土地市场分析 (城区)'!$C$2:$G$2</c:f>
              <c:numCache>
                <c:formatCode>General</c:formatCode>
                <c:ptCount val="5"/>
                <c:pt idx="0">
                  <c:v>2020</c:v>
                </c:pt>
                <c:pt idx="1">
                  <c:v>2021</c:v>
                </c:pt>
                <c:pt idx="2">
                  <c:v>2022</c:v>
                </c:pt>
                <c:pt idx="3">
                  <c:v>2023</c:v>
                </c:pt>
                <c:pt idx="4">
                  <c:v>2024</c:v>
                </c:pt>
              </c:numCache>
            </c:numRef>
          </c:cat>
          <c:val>
            <c:numRef>
              <c:f>'[01第一章.xlsx]土地市场分析 (城区)'!$C$8:$G$8</c:f>
              <c:numCache>
                <c:formatCode>General</c:formatCode>
                <c:ptCount val="5"/>
                <c:pt idx="0">
                  <c:v>9350</c:v>
                </c:pt>
                <c:pt idx="1">
                  <c:v>0</c:v>
                </c:pt>
                <c:pt idx="2">
                  <c:v>0</c:v>
                </c:pt>
                <c:pt idx="3">
                  <c:v>0</c:v>
                </c:pt>
                <c:pt idx="4">
                  <c:v>0</c:v>
                </c:pt>
              </c:numCache>
            </c:numRef>
          </c:val>
          <c:smooth val="0"/>
        </c:ser>
        <c:ser>
          <c:idx val="6"/>
          <c:order val="6"/>
          <c:tx>
            <c:strRef>
              <c:f>'[01第一章.xlsx]土地市场分析 (城区)'!$B$9</c:f>
              <c:strCache>
                <c:ptCount val="1"/>
                <c:pt idx="0">
                  <c:v>公用设施用地</c:v>
                </c:pt>
              </c:strCache>
            </c:strRef>
          </c:tx>
          <c:spPr>
            <a:ln w="28575" cap="rnd">
              <a:solidFill>
                <a:schemeClr val="accent1">
                  <a:lumMod val="60000"/>
                </a:schemeClr>
              </a:solidFill>
              <a:round/>
            </a:ln>
            <a:effectLst/>
          </c:spPr>
          <c:marker>
            <c:symbol val="none"/>
          </c:marker>
          <c:dLbls>
            <c:delete val="1"/>
          </c:dLbls>
          <c:cat>
            <c:numRef>
              <c:f>'[01第一章.xlsx]土地市场分析 (城区)'!$C$2:$G$2</c:f>
              <c:numCache>
                <c:formatCode>General</c:formatCode>
                <c:ptCount val="5"/>
                <c:pt idx="0">
                  <c:v>2020</c:v>
                </c:pt>
                <c:pt idx="1">
                  <c:v>2021</c:v>
                </c:pt>
                <c:pt idx="2">
                  <c:v>2022</c:v>
                </c:pt>
                <c:pt idx="3">
                  <c:v>2023</c:v>
                </c:pt>
                <c:pt idx="4">
                  <c:v>2024</c:v>
                </c:pt>
              </c:numCache>
            </c:numRef>
          </c:cat>
          <c:val>
            <c:numRef>
              <c:f>'[01第一章.xlsx]土地市场分析 (城区)'!$C$9:$G$9</c:f>
              <c:numCache>
                <c:formatCode>General</c:formatCode>
                <c:ptCount val="5"/>
                <c:pt idx="0">
                  <c:v>0</c:v>
                </c:pt>
                <c:pt idx="1">
                  <c:v>0</c:v>
                </c:pt>
                <c:pt idx="2">
                  <c:v>19068</c:v>
                </c:pt>
                <c:pt idx="3">
                  <c:v>4251.86</c:v>
                </c:pt>
                <c:pt idx="4">
                  <c:v>0</c:v>
                </c:pt>
              </c:numCache>
            </c:numRef>
          </c:val>
          <c:smooth val="0"/>
        </c:ser>
        <c:ser>
          <c:idx val="7"/>
          <c:order val="7"/>
          <c:tx>
            <c:strRef>
              <c:f>'[01第一章.xlsx]土地市场分析 (城区)'!$B$10</c:f>
              <c:strCache>
                <c:ptCount val="1"/>
                <c:pt idx="0">
                  <c:v>合计</c:v>
                </c:pt>
              </c:strCache>
            </c:strRef>
          </c:tx>
          <c:spPr>
            <a:ln w="28575" cap="rnd">
              <a:solidFill>
                <a:srgbClr val="FF0000"/>
              </a:solidFill>
              <a:round/>
            </a:ln>
            <a:effectLst/>
          </c:spPr>
          <c:marker>
            <c:symbol val="none"/>
          </c:marker>
          <c:dLbls>
            <c:dLbl>
              <c:idx val="0"/>
              <c:layout>
                <c:manualLayout>
                  <c:x val="-0.0814242618697231"/>
                  <c:y val="-0.024917353203547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967707438327167"/>
                  <c:y val="-0.052029463843970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155532799999246"/>
                  <c:y val="-0.0224686718948952"/>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49662667016617"/>
                  <c:y val="-0.137319144474733"/>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
                  <c:y val="-0.0292164674634794"/>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'[01第一章.xlsx]土地市场分析 (城区)'!$C$2:$G$2</c:f>
              <c:numCache>
                <c:formatCode>General</c:formatCode>
                <c:ptCount val="5"/>
                <c:pt idx="0">
                  <c:v>2020</c:v>
                </c:pt>
                <c:pt idx="1">
                  <c:v>2021</c:v>
                </c:pt>
                <c:pt idx="2">
                  <c:v>2022</c:v>
                </c:pt>
                <c:pt idx="3">
                  <c:v>2023</c:v>
                </c:pt>
                <c:pt idx="4">
                  <c:v>2024</c:v>
                </c:pt>
              </c:numCache>
            </c:numRef>
          </c:cat>
          <c:val>
            <c:numRef>
              <c:f>'[01第一章.xlsx]土地市场分析 (城区)'!$C$10:$G$10</c:f>
              <c:numCache>
                <c:formatCode>General</c:formatCode>
                <c:ptCount val="5"/>
                <c:pt idx="0">
                  <c:v>72353.3</c:v>
                </c:pt>
                <c:pt idx="1">
                  <c:v>74114.53</c:v>
                </c:pt>
                <c:pt idx="2">
                  <c:v>163521.12</c:v>
                </c:pt>
                <c:pt idx="3">
                  <c:v>5331.86</c:v>
                </c:pt>
                <c:pt idx="4">
                  <c:v>85021.08</c:v>
                </c:pt>
              </c:numCache>
            </c:numRef>
          </c:val>
          <c:smooth val="0"/>
        </c:ser>
        <c:dLbls>
          <c:showLegendKey val="0"/>
          <c:showVal val="0"/>
          <c:showCatName val="0"/>
          <c:showSerName val="0"/>
          <c:showPercent val="0"/>
          <c:showBubbleSize val="0"/>
        </c:dLbls>
        <c:marker val="0"/>
        <c:smooth val="0"/>
        <c:axId val="747463220"/>
        <c:axId val="43249133"/>
      </c:lineChart>
      <c:catAx>
        <c:axId val="74746322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3249133"/>
        <c:crosses val="autoZero"/>
        <c:auto val="1"/>
        <c:lblAlgn val="ctr"/>
        <c:lblOffset val="100"/>
        <c:noMultiLvlLbl val="0"/>
      </c:catAx>
      <c:valAx>
        <c:axId val="43249133"/>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b="1"/>
                  <a:t>单位</a:t>
                </a:r>
                <a:r>
                  <a:rPr lang="en-US" altLang="zh-CN" b="1"/>
                  <a:t>:</a:t>
                </a:r>
                <a:r>
                  <a:rPr altLang="en-US" b="1"/>
                  <a:t>平方米</a:t>
                </a:r>
                <a:endParaRPr lang="en-US" altLang="zh-CN" b="1"/>
              </a:p>
            </c:rich>
          </c:tx>
          <c:layout>
            <c:manualLayout>
              <c:xMode val="edge"/>
              <c:yMode val="edge"/>
              <c:x val="0.00462962962962963"/>
              <c:y val="0.0073909830007391"/>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47463220"/>
        <c:crosses val="autoZero"/>
        <c:crossBetween val="between"/>
      </c:valAx>
      <c:spPr>
        <a:noFill/>
        <a:ln>
          <a:noFill/>
        </a:ln>
        <a:effectLst/>
      </c:spPr>
    </c:plotArea>
    <c:legend>
      <c:legendPos val="b"/>
      <c:layout>
        <c:manualLayout>
          <c:xMode val="edge"/>
          <c:yMode val="edge"/>
          <c:x val="0.00420624151967436"/>
          <c:y val="0.799127640036731"/>
          <c:w val="0.991316146540027"/>
          <c:h val="0.193985307621671"/>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aca5561-ca51-4905-8c22-1f32f6fb9a47}"/>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6706085953274"/>
          <c:y val="0.145476477683957"/>
          <c:w val="0.804355350447072"/>
          <c:h val="0.521930036188179"/>
        </c:manualLayout>
      </c:layout>
      <c:lineChart>
        <c:grouping val="standard"/>
        <c:varyColors val="0"/>
        <c:ser>
          <c:idx val="0"/>
          <c:order val="0"/>
          <c:tx>
            <c:strRef>
              <c:f>'[01第一章.xlsx]土地市场分析 (城区)'!$B$14</c:f>
              <c:strCache>
                <c:ptCount val="1"/>
                <c:pt idx="0">
                  <c:v>商业服务业用地</c:v>
                </c:pt>
              </c:strCache>
            </c:strRef>
          </c:tx>
          <c:spPr>
            <a:ln w="28575" cap="rnd">
              <a:solidFill>
                <a:schemeClr val="accent1"/>
              </a:solidFill>
              <a:round/>
            </a:ln>
            <a:effectLst/>
          </c:spPr>
          <c:marker>
            <c:symbol val="none"/>
          </c:marker>
          <c:dLbls>
            <c:delete val="1"/>
          </c:dLbls>
          <c:cat>
            <c:numRef>
              <c:f>'[01第一章.xlsx]土地市场分析 (城区)'!$C$13:$G$13</c:f>
              <c:numCache>
                <c:formatCode>General</c:formatCode>
                <c:ptCount val="5"/>
                <c:pt idx="0">
                  <c:v>2020</c:v>
                </c:pt>
                <c:pt idx="1">
                  <c:v>2021</c:v>
                </c:pt>
                <c:pt idx="2">
                  <c:v>2022</c:v>
                </c:pt>
                <c:pt idx="3">
                  <c:v>2023</c:v>
                </c:pt>
                <c:pt idx="4">
                  <c:v>2024</c:v>
                </c:pt>
              </c:numCache>
            </c:numRef>
          </c:cat>
          <c:val>
            <c:numRef>
              <c:f>'[01第一章.xlsx]土地市场分析 (城区)'!$C$14:$G$14</c:f>
              <c:numCache>
                <c:formatCode>General</c:formatCode>
                <c:ptCount val="5"/>
                <c:pt idx="0">
                  <c:v>150</c:v>
                </c:pt>
                <c:pt idx="1">
                  <c:v>529</c:v>
                </c:pt>
                <c:pt idx="2">
                  <c:v>0</c:v>
                </c:pt>
                <c:pt idx="3">
                  <c:v>0</c:v>
                </c:pt>
                <c:pt idx="4">
                  <c:v>554</c:v>
                </c:pt>
              </c:numCache>
            </c:numRef>
          </c:val>
          <c:smooth val="0"/>
        </c:ser>
        <c:ser>
          <c:idx val="1"/>
          <c:order val="1"/>
          <c:tx>
            <c:strRef>
              <c:f>'[01第一章.xlsx]土地市场分析 (城区)'!$B$15</c:f>
              <c:strCache>
                <c:ptCount val="1"/>
                <c:pt idx="0">
                  <c:v>商住用地</c:v>
                </c:pt>
              </c:strCache>
            </c:strRef>
          </c:tx>
          <c:spPr>
            <a:ln w="28575" cap="rnd">
              <a:solidFill>
                <a:schemeClr val="accent2">
                  <a:lumMod val="75000"/>
                </a:schemeClr>
              </a:solidFill>
              <a:round/>
            </a:ln>
            <a:effectLst/>
          </c:spPr>
          <c:marker>
            <c:symbol val="none"/>
          </c:marker>
          <c:dLbls>
            <c:delete val="1"/>
          </c:dLbls>
          <c:cat>
            <c:numRef>
              <c:f>'[01第一章.xlsx]土地市场分析 (城区)'!$C$13:$G$13</c:f>
              <c:numCache>
                <c:formatCode>General</c:formatCode>
                <c:ptCount val="5"/>
                <c:pt idx="0">
                  <c:v>2020</c:v>
                </c:pt>
                <c:pt idx="1">
                  <c:v>2021</c:v>
                </c:pt>
                <c:pt idx="2">
                  <c:v>2022</c:v>
                </c:pt>
                <c:pt idx="3">
                  <c:v>2023</c:v>
                </c:pt>
                <c:pt idx="4">
                  <c:v>2024</c:v>
                </c:pt>
              </c:numCache>
            </c:numRef>
          </c:cat>
          <c:val>
            <c:numRef>
              <c:f>'[01第一章.xlsx]土地市场分析 (城区)'!$C$15:$G$15</c:f>
              <c:numCache>
                <c:formatCode>General</c:formatCode>
                <c:ptCount val="5"/>
                <c:pt idx="0">
                  <c:v>1624.9</c:v>
                </c:pt>
                <c:pt idx="1">
                  <c:v>13114</c:v>
                </c:pt>
                <c:pt idx="2">
                  <c:v>7337</c:v>
                </c:pt>
                <c:pt idx="3">
                  <c:v>145</c:v>
                </c:pt>
                <c:pt idx="4">
                  <c:v>176</c:v>
                </c:pt>
              </c:numCache>
            </c:numRef>
          </c:val>
          <c:smooth val="0"/>
        </c:ser>
        <c:ser>
          <c:idx val="2"/>
          <c:order val="2"/>
          <c:tx>
            <c:strRef>
              <c:f>'[01第一章.xlsx]土地市场分析 (城区)'!$B$16</c:f>
              <c:strCache>
                <c:ptCount val="1"/>
                <c:pt idx="0">
                  <c:v>居住用地</c:v>
                </c:pt>
              </c:strCache>
            </c:strRef>
          </c:tx>
          <c:spPr>
            <a:ln w="28575" cap="rnd">
              <a:solidFill>
                <a:srgbClr val="FFC000"/>
              </a:solidFill>
              <a:round/>
            </a:ln>
            <a:effectLst/>
          </c:spPr>
          <c:marker>
            <c:symbol val="none"/>
          </c:marker>
          <c:dLbls>
            <c:delete val="1"/>
          </c:dLbls>
          <c:cat>
            <c:numRef>
              <c:f>'[01第一章.xlsx]土地市场分析 (城区)'!$C$13:$G$13</c:f>
              <c:numCache>
                <c:formatCode>General</c:formatCode>
                <c:ptCount val="5"/>
                <c:pt idx="0">
                  <c:v>2020</c:v>
                </c:pt>
                <c:pt idx="1">
                  <c:v>2021</c:v>
                </c:pt>
                <c:pt idx="2">
                  <c:v>2022</c:v>
                </c:pt>
                <c:pt idx="3">
                  <c:v>2023</c:v>
                </c:pt>
                <c:pt idx="4">
                  <c:v>2024</c:v>
                </c:pt>
              </c:numCache>
            </c:numRef>
          </c:cat>
          <c:val>
            <c:numRef>
              <c:f>'[01第一章.xlsx]土地市场分析 (城区)'!$C$16:$G$16</c:f>
              <c:numCache>
                <c:formatCode>General</c:formatCode>
                <c:ptCount val="5"/>
                <c:pt idx="0">
                  <c:v>3188</c:v>
                </c:pt>
                <c:pt idx="1">
                  <c:v>25</c:v>
                </c:pt>
                <c:pt idx="2">
                  <c:v>266</c:v>
                </c:pt>
                <c:pt idx="3">
                  <c:v>0</c:v>
                </c:pt>
                <c:pt idx="4">
                  <c:v>4024</c:v>
                </c:pt>
              </c:numCache>
            </c:numRef>
          </c:val>
          <c:smooth val="0"/>
        </c:ser>
        <c:ser>
          <c:idx val="3"/>
          <c:order val="3"/>
          <c:tx>
            <c:strRef>
              <c:f>'[01第一章.xlsx]土地市场分析 (城区)'!$B$17</c:f>
              <c:strCache>
                <c:ptCount val="1"/>
                <c:pt idx="0">
                  <c:v>工矿用地</c:v>
                </c:pt>
              </c:strCache>
            </c:strRef>
          </c:tx>
          <c:spPr>
            <a:ln w="28575" cap="rnd">
              <a:solidFill>
                <a:srgbClr val="7030A0"/>
              </a:solidFill>
              <a:round/>
            </a:ln>
            <a:effectLst/>
          </c:spPr>
          <c:marker>
            <c:symbol val="none"/>
          </c:marker>
          <c:dLbls>
            <c:delete val="1"/>
          </c:dLbls>
          <c:cat>
            <c:numRef>
              <c:f>'[01第一章.xlsx]土地市场分析 (城区)'!$C$13:$G$13</c:f>
              <c:numCache>
                <c:formatCode>General</c:formatCode>
                <c:ptCount val="5"/>
                <c:pt idx="0">
                  <c:v>2020</c:v>
                </c:pt>
                <c:pt idx="1">
                  <c:v>2021</c:v>
                </c:pt>
                <c:pt idx="2">
                  <c:v>2022</c:v>
                </c:pt>
                <c:pt idx="3">
                  <c:v>2023</c:v>
                </c:pt>
                <c:pt idx="4">
                  <c:v>2024</c:v>
                </c:pt>
              </c:numCache>
            </c:numRef>
          </c:cat>
          <c:val>
            <c:numRef>
              <c:f>'[01第一章.xlsx]土地市场分析 (城区)'!$C$17:$G$17</c:f>
              <c:numCache>
                <c:formatCode>General</c:formatCode>
                <c:ptCount val="5"/>
                <c:pt idx="0">
                  <c:v>0</c:v>
                </c:pt>
                <c:pt idx="1">
                  <c:v>0</c:v>
                </c:pt>
                <c:pt idx="2">
                  <c:v>2761</c:v>
                </c:pt>
                <c:pt idx="3">
                  <c:v>0</c:v>
                </c:pt>
                <c:pt idx="4">
                  <c:v>423</c:v>
                </c:pt>
              </c:numCache>
            </c:numRef>
          </c:val>
          <c:smooth val="0"/>
        </c:ser>
        <c:ser>
          <c:idx val="4"/>
          <c:order val="4"/>
          <c:tx>
            <c:strRef>
              <c:f>'[01第一章.xlsx]土地市场分析 (城区)'!$B$18</c:f>
              <c:strCache>
                <c:ptCount val="1"/>
                <c:pt idx="0">
                  <c:v>仓储用地</c:v>
                </c:pt>
              </c:strCache>
            </c:strRef>
          </c:tx>
          <c:spPr>
            <a:ln w="28575" cap="rnd">
              <a:solidFill>
                <a:schemeClr val="accent5"/>
              </a:solidFill>
              <a:round/>
            </a:ln>
            <a:effectLst/>
          </c:spPr>
          <c:marker>
            <c:symbol val="none"/>
          </c:marker>
          <c:dLbls>
            <c:delete val="1"/>
          </c:dLbls>
          <c:cat>
            <c:numRef>
              <c:f>'[01第一章.xlsx]土地市场分析 (城区)'!$C$13:$G$13</c:f>
              <c:numCache>
                <c:formatCode>General</c:formatCode>
                <c:ptCount val="5"/>
                <c:pt idx="0">
                  <c:v>2020</c:v>
                </c:pt>
                <c:pt idx="1">
                  <c:v>2021</c:v>
                </c:pt>
                <c:pt idx="2">
                  <c:v>2022</c:v>
                </c:pt>
                <c:pt idx="3">
                  <c:v>2023</c:v>
                </c:pt>
                <c:pt idx="4">
                  <c:v>2024</c:v>
                </c:pt>
              </c:numCache>
            </c:numRef>
          </c:cat>
          <c:val>
            <c:numRef>
              <c:f>'[01第一章.xlsx]土地市场分析 (城区)'!$C$18:$G$18</c:f>
              <c:numCache>
                <c:formatCode>General</c:formatCode>
                <c:ptCount val="5"/>
                <c:pt idx="0">
                  <c:v>0</c:v>
                </c:pt>
                <c:pt idx="1">
                  <c:v>0</c:v>
                </c:pt>
                <c:pt idx="2">
                  <c:v>0</c:v>
                </c:pt>
                <c:pt idx="3">
                  <c:v>0</c:v>
                </c:pt>
                <c:pt idx="4">
                  <c:v>1649</c:v>
                </c:pt>
              </c:numCache>
            </c:numRef>
          </c:val>
          <c:smooth val="0"/>
        </c:ser>
        <c:ser>
          <c:idx val="5"/>
          <c:order val="5"/>
          <c:tx>
            <c:strRef>
              <c:f>'[01第一章.xlsx]土地市场分析 (城区)'!$B$19</c:f>
              <c:strCache>
                <c:ptCount val="1"/>
                <c:pt idx="0">
                  <c:v>公共管理与公共服务用地</c:v>
                </c:pt>
              </c:strCache>
            </c:strRef>
          </c:tx>
          <c:spPr>
            <a:ln w="28575" cap="rnd">
              <a:solidFill>
                <a:srgbClr val="00B0F0"/>
              </a:solidFill>
              <a:round/>
            </a:ln>
            <a:effectLst/>
          </c:spPr>
          <c:marker>
            <c:symbol val="none"/>
          </c:marker>
          <c:dLbls>
            <c:delete val="1"/>
          </c:dLbls>
          <c:cat>
            <c:numRef>
              <c:f>'[01第一章.xlsx]土地市场分析 (城区)'!$C$13:$G$13</c:f>
              <c:numCache>
                <c:formatCode>General</c:formatCode>
                <c:ptCount val="5"/>
                <c:pt idx="0">
                  <c:v>2020</c:v>
                </c:pt>
                <c:pt idx="1">
                  <c:v>2021</c:v>
                </c:pt>
                <c:pt idx="2">
                  <c:v>2022</c:v>
                </c:pt>
                <c:pt idx="3">
                  <c:v>2023</c:v>
                </c:pt>
                <c:pt idx="4">
                  <c:v>2024</c:v>
                </c:pt>
              </c:numCache>
            </c:numRef>
          </c:cat>
          <c:val>
            <c:numRef>
              <c:f>'[01第一章.xlsx]土地市场分析 (城区)'!$C$19:$G$19</c:f>
              <c:numCache>
                <c:formatCode>General</c:formatCode>
                <c:ptCount val="5"/>
                <c:pt idx="0">
                  <c:v>550</c:v>
                </c:pt>
                <c:pt idx="1">
                  <c:v>0</c:v>
                </c:pt>
                <c:pt idx="2">
                  <c:v>0</c:v>
                </c:pt>
                <c:pt idx="3">
                  <c:v>0</c:v>
                </c:pt>
                <c:pt idx="4">
                  <c:v>0</c:v>
                </c:pt>
              </c:numCache>
            </c:numRef>
          </c:val>
          <c:smooth val="0"/>
        </c:ser>
        <c:ser>
          <c:idx val="6"/>
          <c:order val="6"/>
          <c:tx>
            <c:strRef>
              <c:f>'[01第一章.xlsx]土地市场分析 (城区)'!$B$20</c:f>
              <c:strCache>
                <c:ptCount val="1"/>
                <c:pt idx="0">
                  <c:v>公用设施用地</c:v>
                </c:pt>
              </c:strCache>
            </c:strRef>
          </c:tx>
          <c:spPr>
            <a:ln w="28575" cap="rnd">
              <a:solidFill>
                <a:schemeClr val="accent1">
                  <a:lumMod val="60000"/>
                </a:schemeClr>
              </a:solidFill>
              <a:round/>
            </a:ln>
            <a:effectLst/>
          </c:spPr>
          <c:marker>
            <c:symbol val="none"/>
          </c:marker>
          <c:dLbls>
            <c:delete val="1"/>
          </c:dLbls>
          <c:cat>
            <c:numRef>
              <c:f>'[01第一章.xlsx]土地市场分析 (城区)'!$C$13:$G$13</c:f>
              <c:numCache>
                <c:formatCode>General</c:formatCode>
                <c:ptCount val="5"/>
                <c:pt idx="0">
                  <c:v>2020</c:v>
                </c:pt>
                <c:pt idx="1">
                  <c:v>2021</c:v>
                </c:pt>
                <c:pt idx="2">
                  <c:v>2022</c:v>
                </c:pt>
                <c:pt idx="3">
                  <c:v>2023</c:v>
                </c:pt>
                <c:pt idx="4">
                  <c:v>2024</c:v>
                </c:pt>
              </c:numCache>
            </c:numRef>
          </c:cat>
          <c:val>
            <c:numRef>
              <c:f>'[01第一章.xlsx]土地市场分析 (城区)'!$C$20:$G$20</c:f>
              <c:numCache>
                <c:formatCode>General</c:formatCode>
                <c:ptCount val="5"/>
                <c:pt idx="0">
                  <c:v>0</c:v>
                </c:pt>
                <c:pt idx="1">
                  <c:v>0</c:v>
                </c:pt>
                <c:pt idx="2">
                  <c:v>842</c:v>
                </c:pt>
                <c:pt idx="3">
                  <c:v>190</c:v>
                </c:pt>
                <c:pt idx="4">
                  <c:v>0</c:v>
                </c:pt>
              </c:numCache>
            </c:numRef>
          </c:val>
          <c:smooth val="0"/>
        </c:ser>
        <c:ser>
          <c:idx val="7"/>
          <c:order val="7"/>
          <c:tx>
            <c:strRef>
              <c:f>'[01第一章.xlsx]土地市场分析 (城区)'!$B$21</c:f>
              <c:strCache>
                <c:ptCount val="1"/>
                <c:pt idx="0">
                  <c:v>合计</c:v>
                </c:pt>
              </c:strCache>
            </c:strRef>
          </c:tx>
          <c:spPr>
            <a:ln w="28575" cap="rnd">
              <a:solidFill>
                <a:srgbClr val="FF0000"/>
              </a:solidFill>
              <a:round/>
            </a:ln>
            <a:effectLst/>
          </c:spPr>
          <c:marker>
            <c:symbol val="none"/>
          </c:marker>
          <c:dLbls>
            <c:dLbl>
              <c:idx val="0"/>
              <c:layout>
                <c:manualLayout>
                  <c:x val="-0.0994134640295663"/>
                  <c:y val="-0.037383177570093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348012943538182"/>
                  <c:y val="-0.027955925360798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674915635545557"/>
                  <c:y val="-0.0218068535825545"/>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314267161760904"/>
                  <c:y val="-0.0810127789433531"/>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20493485151826"/>
                  <c:y val="-0.0249300654841376"/>
                </c:manualLayout>
              </c:layout>
              <c:dLblPos val="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'[01第一章.xlsx]土地市场分析 (城区)'!$C$13:$G$13</c:f>
              <c:numCache>
                <c:formatCode>General</c:formatCode>
                <c:ptCount val="5"/>
                <c:pt idx="0">
                  <c:v>2020</c:v>
                </c:pt>
                <c:pt idx="1">
                  <c:v>2021</c:v>
                </c:pt>
                <c:pt idx="2">
                  <c:v>2022</c:v>
                </c:pt>
                <c:pt idx="3">
                  <c:v>2023</c:v>
                </c:pt>
                <c:pt idx="4">
                  <c:v>2024</c:v>
                </c:pt>
              </c:numCache>
            </c:numRef>
          </c:cat>
          <c:val>
            <c:numRef>
              <c:f>'[01第一章.xlsx]土地市场分析 (城区)'!$C$21:$G$21</c:f>
              <c:numCache>
                <c:formatCode>General</c:formatCode>
                <c:ptCount val="5"/>
                <c:pt idx="0">
                  <c:v>5512.9</c:v>
                </c:pt>
                <c:pt idx="1">
                  <c:v>13668</c:v>
                </c:pt>
                <c:pt idx="2">
                  <c:v>11206</c:v>
                </c:pt>
                <c:pt idx="3">
                  <c:v>335</c:v>
                </c:pt>
                <c:pt idx="4">
                  <c:v>6826</c:v>
                </c:pt>
              </c:numCache>
            </c:numRef>
          </c:val>
          <c:smooth val="0"/>
        </c:ser>
        <c:dLbls>
          <c:showLegendKey val="0"/>
          <c:showVal val="0"/>
          <c:showCatName val="0"/>
          <c:showSerName val="0"/>
          <c:showPercent val="0"/>
          <c:showBubbleSize val="0"/>
        </c:dLbls>
        <c:marker val="0"/>
        <c:smooth val="0"/>
        <c:axId val="277509313"/>
        <c:axId val="897781115"/>
      </c:lineChart>
      <c:catAx>
        <c:axId val="27750931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97781115"/>
        <c:crosses val="autoZero"/>
        <c:auto val="1"/>
        <c:lblAlgn val="ctr"/>
        <c:lblOffset val="100"/>
        <c:noMultiLvlLbl val="0"/>
      </c:catAx>
      <c:valAx>
        <c:axId val="897781115"/>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b="1"/>
                  <a:t>单位：万元</a:t>
                </a:r>
                <a:endParaRPr b="1"/>
              </a:p>
            </c:rich>
          </c:tx>
          <c:layout>
            <c:manualLayout>
              <c:xMode val="edge"/>
              <c:yMode val="edge"/>
              <c:x val="0.00400320256204964"/>
              <c:y val="0.0146021547248182"/>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77509313"/>
        <c:crosses val="autoZero"/>
        <c:crossBetween val="between"/>
      </c:valAx>
      <c:spPr>
        <a:noFill/>
        <a:ln>
          <a:noFill/>
        </a:ln>
        <a:effectLst/>
      </c:spPr>
    </c:plotArea>
    <c:legend>
      <c:legendPos val="b"/>
      <c:layout>
        <c:manualLayout>
          <c:xMode val="edge"/>
          <c:yMode val="edge"/>
          <c:x val="0.00361315187281705"/>
          <c:y val="0.816766733377807"/>
          <c:w val="0.992773696254366"/>
          <c:h val="0.176562152546142"/>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ff94c97-11a8-4362-9dda-b2f6f818e151}"/>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116</Pages>
  <Words>21733</Words>
  <Characters>24022</Characters>
  <Lines>0</Lines>
  <Paragraphs>0</Paragraphs>
  <TotalTime>2</TotalTime>
  <ScaleCrop>false</ScaleCrop>
  <LinksUpToDate>false</LinksUpToDate>
  <CharactersWithSpaces>24254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2025-11-24T03:53:00Z</dcterms:created>
  <dc:creator>熙里处</dc:creator>
  <cp:lastModifiedBy>曾幼慧</cp:lastModifiedBy>
  <dcterms:modified xsi:type="dcterms:W3CDTF">2026-02-05T02:48:45Z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9A76C68A58E34B72A892088934FF9355_11</vt:lpwstr>
  </property>
  <property fmtid="{D5CDD505-2E9C-101B-9397-08002B2CF9AE}" pid="4" name="KSOTemplateDocerSaveRecord">
    <vt:lpwstr>eyJoZGlkIjoiYzg2ZDFhZjAxODU1NmRlODQ1YThmY2VjYmViZjg0YjgiLCJ1c2VySWQiOiIyNTc4NTE1ODcifQ==</vt:lpwstr>
  </property>
</Properties>
</file>