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emf" ContentType="image/x-emf"/>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750B0F">
      <w:pPr>
        <w:spacing w:line="520" w:lineRule="exact"/>
        <w:jc w:val="center"/>
        <w:rPr>
          <w:rFonts w:hint="eastAsia" w:asciiTheme="majorEastAsia" w:hAnsiTheme="majorEastAsia" w:eastAsiaTheme="majorEastAsia" w:cstheme="majorEastAsia"/>
          <w:b/>
          <w:bCs/>
          <w:sz w:val="44"/>
          <w:szCs w:val="44"/>
          <w:highlight w:val="none"/>
        </w:rPr>
      </w:pPr>
    </w:p>
    <w:p w14:paraId="77C3EE53">
      <w:pPr>
        <w:spacing w:line="520" w:lineRule="exact"/>
        <w:jc w:val="center"/>
        <w:rPr>
          <w:rFonts w:hint="eastAsia" w:asciiTheme="majorEastAsia" w:hAnsiTheme="majorEastAsia" w:eastAsiaTheme="majorEastAsia" w:cstheme="majorEastAsia"/>
          <w:b/>
          <w:bCs/>
          <w:sz w:val="44"/>
          <w:szCs w:val="44"/>
          <w:highlight w:val="none"/>
        </w:rPr>
      </w:pPr>
    </w:p>
    <w:p w14:paraId="0DB315FA">
      <w:pPr>
        <w:spacing w:line="520" w:lineRule="exact"/>
        <w:jc w:val="center"/>
        <w:rPr>
          <w:rFonts w:hint="eastAsia" w:asciiTheme="majorEastAsia" w:hAnsiTheme="majorEastAsia" w:eastAsiaTheme="majorEastAsia" w:cstheme="majorEastAsia"/>
          <w:b/>
          <w:bCs/>
          <w:sz w:val="44"/>
          <w:szCs w:val="44"/>
          <w:highlight w:val="none"/>
        </w:rPr>
      </w:pPr>
    </w:p>
    <w:p w14:paraId="158D3C24">
      <w:pPr>
        <w:spacing w:line="520" w:lineRule="exact"/>
        <w:jc w:val="center"/>
        <w:rPr>
          <w:rFonts w:hint="eastAsia" w:asciiTheme="majorEastAsia" w:hAnsiTheme="majorEastAsia" w:eastAsiaTheme="majorEastAsia" w:cstheme="majorEastAsia"/>
          <w:b/>
          <w:bCs/>
          <w:sz w:val="44"/>
          <w:szCs w:val="44"/>
          <w:highlight w:val="none"/>
        </w:rPr>
      </w:pPr>
    </w:p>
    <w:p w14:paraId="24F9D0B3">
      <w:pPr>
        <w:spacing w:line="520" w:lineRule="exact"/>
        <w:jc w:val="center"/>
        <w:rPr>
          <w:rFonts w:hint="eastAsia" w:asciiTheme="majorEastAsia" w:hAnsiTheme="majorEastAsia" w:eastAsiaTheme="majorEastAsia" w:cstheme="majorEastAsia"/>
          <w:b/>
          <w:bCs/>
          <w:sz w:val="44"/>
          <w:szCs w:val="44"/>
          <w:highlight w:val="none"/>
        </w:rPr>
      </w:pPr>
      <w:r>
        <w:rPr>
          <w:rFonts w:hint="eastAsia" w:asciiTheme="majorEastAsia" w:hAnsiTheme="majorEastAsia" w:eastAsiaTheme="majorEastAsia" w:cstheme="majorEastAsia"/>
          <w:b/>
          <w:bCs/>
          <w:sz w:val="44"/>
          <w:szCs w:val="44"/>
          <w:highlight w:val="none"/>
        </w:rPr>
        <w:t>土 地 估 价 报 告</w:t>
      </w:r>
    </w:p>
    <w:p w14:paraId="2E50EE65">
      <w:pPr>
        <w:spacing w:line="520" w:lineRule="exact"/>
        <w:jc w:val="center"/>
        <w:rPr>
          <w:rFonts w:hint="eastAsia" w:asciiTheme="majorEastAsia" w:hAnsiTheme="majorEastAsia" w:eastAsiaTheme="majorEastAsia" w:cstheme="majorEastAsia"/>
          <w:sz w:val="44"/>
          <w:szCs w:val="44"/>
          <w:highlight w:val="none"/>
        </w:rPr>
      </w:pPr>
    </w:p>
    <w:p w14:paraId="467E9F4E">
      <w:pPr>
        <w:spacing w:line="520" w:lineRule="exact"/>
        <w:rPr>
          <w:sz w:val="32"/>
          <w:highlight w:val="none"/>
        </w:rPr>
      </w:pPr>
    </w:p>
    <w:tbl>
      <w:tblPr>
        <w:tblStyle w:val="12"/>
        <w:tblpPr w:leftFromText="180" w:rightFromText="180" w:vertAnchor="text" w:horzAnchor="page" w:tblpX="1303" w:tblpY="1108"/>
        <w:tblOverlap w:val="never"/>
        <w:tblW w:w="9741" w:type="dxa"/>
        <w:tblInd w:w="0" w:type="dxa"/>
        <w:tblLayout w:type="fixed"/>
        <w:tblCellMar>
          <w:top w:w="0" w:type="dxa"/>
          <w:left w:w="108" w:type="dxa"/>
          <w:bottom w:w="0" w:type="dxa"/>
          <w:right w:w="108" w:type="dxa"/>
        </w:tblCellMar>
      </w:tblPr>
      <w:tblGrid>
        <w:gridCol w:w="3364"/>
        <w:gridCol w:w="6377"/>
      </w:tblGrid>
      <w:tr w14:paraId="2AECAE1C">
        <w:tblPrEx>
          <w:tblCellMar>
            <w:top w:w="0" w:type="dxa"/>
            <w:left w:w="108" w:type="dxa"/>
            <w:bottom w:w="0" w:type="dxa"/>
            <w:right w:w="108" w:type="dxa"/>
          </w:tblCellMar>
        </w:tblPrEx>
        <w:trPr>
          <w:trHeight w:val="1820" w:hRule="atLeast"/>
        </w:trPr>
        <w:tc>
          <w:tcPr>
            <w:tcW w:w="3364" w:type="dxa"/>
            <w:vAlign w:val="center"/>
          </w:tcPr>
          <w:p w14:paraId="62EE682C">
            <w:pPr>
              <w:pStyle w:val="8"/>
              <w:keepNext w:val="0"/>
              <w:keepLines w:val="0"/>
              <w:pageBreakBefore w:val="0"/>
              <w:widowControl w:val="0"/>
              <w:kinsoku/>
              <w:wordWrap/>
              <w:overflowPunct/>
              <w:topLinePunct w:val="0"/>
              <w:autoSpaceDE/>
              <w:autoSpaceDN/>
              <w:bidi w:val="0"/>
              <w:spacing w:line="480" w:lineRule="exact"/>
              <w:ind w:left="0" w:leftChars="0" w:right="0" w:rightChars="0"/>
              <w:jc w:val="both"/>
              <w:textAlignment w:val="auto"/>
              <w:rPr>
                <w:rFonts w:ascii="楷体" w:hAnsi="楷体" w:eastAsia="楷体"/>
                <w:b/>
                <w:bCs/>
                <w:spacing w:val="14"/>
                <w:sz w:val="32"/>
                <w:szCs w:val="32"/>
                <w:highlight w:val="none"/>
              </w:rPr>
            </w:pPr>
            <w:r>
              <w:rPr>
                <w:rFonts w:hint="eastAsia" w:ascii="楷体" w:hAnsi="楷体" w:eastAsia="楷体"/>
                <w:b/>
                <w:bCs/>
                <w:spacing w:val="32"/>
                <w:kern w:val="0"/>
                <w:sz w:val="32"/>
                <w:szCs w:val="32"/>
                <w:highlight w:val="none"/>
                <w:fitText w:val="3200" w:id="676294051"/>
              </w:rPr>
              <w:t>项  目  名  称</w:t>
            </w:r>
            <w:r>
              <w:rPr>
                <w:rFonts w:hint="eastAsia" w:ascii="楷体" w:hAnsi="楷体" w:eastAsia="楷体"/>
                <w:b/>
                <w:bCs/>
                <w:spacing w:val="0"/>
                <w:kern w:val="0"/>
                <w:sz w:val="32"/>
                <w:szCs w:val="32"/>
                <w:highlight w:val="none"/>
                <w:fitText w:val="3200" w:id="676294051"/>
              </w:rPr>
              <w:t>：</w:t>
            </w:r>
          </w:p>
        </w:tc>
        <w:tc>
          <w:tcPr>
            <w:tcW w:w="6377" w:type="dxa"/>
            <w:vAlign w:val="center"/>
          </w:tcPr>
          <w:p w14:paraId="42CCF805">
            <w:pPr>
              <w:pStyle w:val="8"/>
              <w:keepNext w:val="0"/>
              <w:keepLines w:val="0"/>
              <w:pageBreakBefore w:val="0"/>
              <w:widowControl w:val="0"/>
              <w:suppressLineNumbers w:val="0"/>
              <w:tabs>
                <w:tab w:val="left" w:pos="0"/>
              </w:tabs>
              <w:kinsoku/>
              <w:wordWrap/>
              <w:overflowPunct/>
              <w:topLinePunct w:val="0"/>
              <w:autoSpaceDE/>
              <w:autoSpaceDN/>
              <w:bidi w:val="0"/>
              <w:adjustRightInd w:val="0"/>
              <w:snapToGrid w:val="0"/>
              <w:spacing w:before="0" w:beforeAutospacing="0" w:after="0" w:afterAutospacing="0" w:line="480" w:lineRule="exact"/>
              <w:ind w:right="0" w:rightChars="0"/>
              <w:jc w:val="both"/>
              <w:textAlignment w:val="auto"/>
              <w:rPr>
                <w:rFonts w:hint="default" w:ascii="楷体" w:hAnsi="楷体" w:eastAsia="楷体"/>
                <w:spacing w:val="14"/>
                <w:sz w:val="32"/>
                <w:szCs w:val="32"/>
                <w:highlight w:val="none"/>
                <w:lang w:val="en-US" w:eastAsia="zh-CN"/>
              </w:rPr>
            </w:pPr>
            <w:r>
              <w:rPr>
                <w:rFonts w:hint="default" w:ascii="楷体" w:hAnsi="楷体" w:eastAsia="楷体"/>
                <w:spacing w:val="14"/>
                <w:sz w:val="32"/>
                <w:szCs w:val="32"/>
                <w:highlight w:val="none"/>
                <w:lang w:val="en-US" w:eastAsia="zh-CN"/>
              </w:rPr>
              <w:t>道县自然资源局</w:t>
            </w:r>
            <w:r>
              <w:rPr>
                <w:rFonts w:hint="eastAsia" w:ascii="楷体" w:hAnsi="楷体" w:eastAsia="楷体" w:cs="楷体"/>
                <w:bCs/>
                <w:color w:val="auto"/>
                <w:sz w:val="32"/>
                <w:szCs w:val="32"/>
                <w:highlight w:val="none"/>
                <w:lang w:val="en-US" w:eastAsia="zh-CN"/>
              </w:rPr>
              <w:t>办理土地使用权出让手续涉及</w:t>
            </w:r>
            <w:r>
              <w:rPr>
                <w:rFonts w:hint="default" w:ascii="楷体" w:hAnsi="楷体" w:eastAsia="楷体"/>
                <w:spacing w:val="14"/>
                <w:sz w:val="32"/>
                <w:szCs w:val="32"/>
                <w:highlight w:val="none"/>
                <w:lang w:val="en-US" w:eastAsia="zh-CN"/>
              </w:rPr>
              <w:t>的位于</w:t>
            </w:r>
            <w:r>
              <w:rPr>
                <w:rFonts w:hint="eastAsia" w:ascii="楷体" w:hAnsi="楷体" w:eastAsia="楷体"/>
                <w:spacing w:val="14"/>
                <w:sz w:val="32"/>
                <w:szCs w:val="32"/>
                <w:highlight w:val="none"/>
                <w:lang w:val="en-US" w:eastAsia="zh-CN"/>
              </w:rPr>
              <w:t>道县月岩西路</w:t>
            </w:r>
            <w:r>
              <w:rPr>
                <w:rFonts w:hint="default" w:ascii="楷体" w:hAnsi="楷体" w:eastAsia="楷体"/>
                <w:spacing w:val="14"/>
                <w:sz w:val="32"/>
                <w:szCs w:val="32"/>
                <w:highlight w:val="none"/>
                <w:lang w:val="en-US" w:eastAsia="zh-CN"/>
              </w:rPr>
              <w:t>的一宗住宅用途国有建设用地使用权市场价格评估</w:t>
            </w:r>
          </w:p>
        </w:tc>
      </w:tr>
      <w:tr w14:paraId="1BDC1475">
        <w:tblPrEx>
          <w:tblCellMar>
            <w:top w:w="0" w:type="dxa"/>
            <w:left w:w="108" w:type="dxa"/>
            <w:bottom w:w="0" w:type="dxa"/>
            <w:right w:w="108" w:type="dxa"/>
          </w:tblCellMar>
        </w:tblPrEx>
        <w:trPr>
          <w:trHeight w:val="1134" w:hRule="atLeast"/>
        </w:trPr>
        <w:tc>
          <w:tcPr>
            <w:tcW w:w="3364" w:type="dxa"/>
            <w:vAlign w:val="center"/>
          </w:tcPr>
          <w:p w14:paraId="522D9DA5">
            <w:pPr>
              <w:pStyle w:val="8"/>
              <w:keepNext w:val="0"/>
              <w:keepLines w:val="0"/>
              <w:pageBreakBefore w:val="0"/>
              <w:widowControl w:val="0"/>
              <w:kinsoku/>
              <w:wordWrap/>
              <w:overflowPunct/>
              <w:topLinePunct w:val="0"/>
              <w:autoSpaceDE/>
              <w:autoSpaceDN/>
              <w:bidi w:val="0"/>
              <w:spacing w:line="480" w:lineRule="exact"/>
              <w:ind w:left="0" w:leftChars="0" w:right="0" w:rightChars="0"/>
              <w:jc w:val="both"/>
              <w:textAlignment w:val="auto"/>
              <w:rPr>
                <w:rFonts w:ascii="楷体" w:hAnsi="楷体" w:eastAsia="楷体" w:cs="Times New Roman"/>
                <w:b/>
                <w:bCs/>
                <w:spacing w:val="14"/>
                <w:sz w:val="32"/>
                <w:szCs w:val="32"/>
                <w:highlight w:val="none"/>
              </w:rPr>
            </w:pPr>
            <w:r>
              <w:rPr>
                <w:rFonts w:ascii="楷体" w:hAnsi="楷体" w:eastAsia="楷体"/>
                <w:b/>
                <w:bCs/>
                <w:spacing w:val="80"/>
                <w:kern w:val="0"/>
                <w:sz w:val="32"/>
                <w:szCs w:val="32"/>
                <w:highlight w:val="none"/>
                <w:fitText w:val="3200" w:id="237595524"/>
              </w:rPr>
              <w:t>受托估价单位</w:t>
            </w:r>
            <w:r>
              <w:rPr>
                <w:rFonts w:ascii="楷体" w:hAnsi="楷体" w:eastAsia="楷体"/>
                <w:b/>
                <w:bCs/>
                <w:spacing w:val="0"/>
                <w:kern w:val="0"/>
                <w:sz w:val="32"/>
                <w:szCs w:val="32"/>
                <w:highlight w:val="none"/>
                <w:fitText w:val="3200" w:id="237595524"/>
              </w:rPr>
              <w:t>：</w:t>
            </w:r>
          </w:p>
        </w:tc>
        <w:tc>
          <w:tcPr>
            <w:tcW w:w="6377" w:type="dxa"/>
            <w:vAlign w:val="center"/>
          </w:tcPr>
          <w:p w14:paraId="212B9C1F">
            <w:pPr>
              <w:pStyle w:val="8"/>
              <w:keepNext w:val="0"/>
              <w:keepLines w:val="0"/>
              <w:pageBreakBefore w:val="0"/>
              <w:widowControl w:val="0"/>
              <w:suppressLineNumbers w:val="0"/>
              <w:tabs>
                <w:tab w:val="left" w:pos="0"/>
                <w:tab w:val="left" w:pos="2340"/>
              </w:tabs>
              <w:kinsoku/>
              <w:wordWrap/>
              <w:overflowPunct/>
              <w:topLinePunct w:val="0"/>
              <w:autoSpaceDE/>
              <w:autoSpaceDN/>
              <w:bidi w:val="0"/>
              <w:adjustRightInd w:val="0"/>
              <w:snapToGrid w:val="0"/>
              <w:spacing w:before="0" w:beforeAutospacing="0" w:after="0" w:afterAutospacing="0" w:line="480" w:lineRule="exact"/>
              <w:ind w:left="0" w:leftChars="0" w:right="0" w:rightChars="0"/>
              <w:jc w:val="both"/>
              <w:textAlignment w:val="auto"/>
              <w:rPr>
                <w:rFonts w:ascii="楷体" w:hAnsi="楷体" w:eastAsia="楷体"/>
                <w:spacing w:val="14"/>
                <w:sz w:val="32"/>
                <w:szCs w:val="32"/>
                <w:highlight w:val="none"/>
              </w:rPr>
            </w:pPr>
            <w:r>
              <w:rPr>
                <w:rFonts w:hint="eastAsia" w:ascii="楷体" w:hAnsi="楷体" w:eastAsia="楷体"/>
                <w:spacing w:val="14"/>
                <w:sz w:val="32"/>
                <w:szCs w:val="32"/>
                <w:highlight w:val="none"/>
                <w:lang w:eastAsia="zh-CN"/>
              </w:rPr>
              <w:t>湖南兆财不动产规划评估有限公司</w:t>
            </w:r>
          </w:p>
        </w:tc>
      </w:tr>
      <w:tr w14:paraId="2DB607AD">
        <w:tblPrEx>
          <w:tblCellMar>
            <w:top w:w="0" w:type="dxa"/>
            <w:left w:w="108" w:type="dxa"/>
            <w:bottom w:w="0" w:type="dxa"/>
            <w:right w:w="108" w:type="dxa"/>
          </w:tblCellMar>
        </w:tblPrEx>
        <w:trPr>
          <w:trHeight w:val="1134" w:hRule="atLeast"/>
        </w:trPr>
        <w:tc>
          <w:tcPr>
            <w:tcW w:w="3364" w:type="dxa"/>
            <w:vAlign w:val="center"/>
          </w:tcPr>
          <w:p w14:paraId="6A3C88CB">
            <w:pPr>
              <w:pStyle w:val="8"/>
              <w:keepNext w:val="0"/>
              <w:keepLines w:val="0"/>
              <w:pageBreakBefore w:val="0"/>
              <w:widowControl w:val="0"/>
              <w:kinsoku/>
              <w:wordWrap/>
              <w:overflowPunct/>
              <w:topLinePunct w:val="0"/>
              <w:autoSpaceDE/>
              <w:autoSpaceDN/>
              <w:bidi w:val="0"/>
              <w:spacing w:line="480" w:lineRule="exact"/>
              <w:ind w:left="0" w:leftChars="0" w:right="0" w:rightChars="0"/>
              <w:jc w:val="both"/>
              <w:textAlignment w:val="auto"/>
              <w:rPr>
                <w:highlight w:val="none"/>
              </w:rPr>
            </w:pPr>
            <w:r>
              <w:rPr>
                <w:rFonts w:ascii="楷体" w:hAnsi="楷体" w:eastAsia="楷体"/>
                <w:b/>
                <w:bCs/>
                <w:spacing w:val="20"/>
                <w:kern w:val="0"/>
                <w:sz w:val="32"/>
                <w:szCs w:val="32"/>
                <w:highlight w:val="none"/>
                <w:fitText w:val="3200" w:id="77156251"/>
              </w:rPr>
              <w:t>土地估价报告编号</w:t>
            </w:r>
            <w:r>
              <w:rPr>
                <w:rFonts w:ascii="楷体" w:hAnsi="楷体" w:eastAsia="楷体"/>
                <w:b/>
                <w:bCs/>
                <w:spacing w:val="0"/>
                <w:kern w:val="0"/>
                <w:sz w:val="32"/>
                <w:szCs w:val="32"/>
                <w:highlight w:val="none"/>
                <w:fitText w:val="3200" w:id="77156251"/>
              </w:rPr>
              <w:t>：</w:t>
            </w:r>
          </w:p>
        </w:tc>
        <w:tc>
          <w:tcPr>
            <w:tcW w:w="6377" w:type="dxa"/>
            <w:vAlign w:val="center"/>
          </w:tcPr>
          <w:p w14:paraId="10BB2AC7">
            <w:pPr>
              <w:pStyle w:val="8"/>
              <w:keepNext w:val="0"/>
              <w:keepLines w:val="0"/>
              <w:pageBreakBefore w:val="0"/>
              <w:widowControl w:val="0"/>
              <w:suppressLineNumbers w:val="0"/>
              <w:tabs>
                <w:tab w:val="left" w:pos="0"/>
                <w:tab w:val="left" w:pos="2340"/>
              </w:tabs>
              <w:kinsoku/>
              <w:wordWrap/>
              <w:overflowPunct/>
              <w:topLinePunct w:val="0"/>
              <w:autoSpaceDE/>
              <w:autoSpaceDN/>
              <w:bidi w:val="0"/>
              <w:adjustRightInd w:val="0"/>
              <w:snapToGrid w:val="0"/>
              <w:spacing w:before="0" w:beforeAutospacing="0" w:after="0" w:afterAutospacing="0" w:line="480" w:lineRule="exact"/>
              <w:ind w:left="0" w:leftChars="0" w:right="0" w:rightChars="0"/>
              <w:jc w:val="both"/>
              <w:textAlignment w:val="auto"/>
              <w:rPr>
                <w:rFonts w:hint="default" w:ascii="楷体" w:hAnsi="楷体" w:eastAsia="楷体"/>
                <w:spacing w:val="14"/>
                <w:sz w:val="32"/>
                <w:szCs w:val="32"/>
                <w:highlight w:val="none"/>
                <w:lang w:val="en-US" w:eastAsia="zh-CN"/>
              </w:rPr>
            </w:pPr>
            <w:r>
              <w:rPr>
                <w:rFonts w:hint="eastAsia" w:ascii="楷体" w:hAnsi="楷体" w:eastAsia="楷体"/>
                <w:spacing w:val="14"/>
                <w:sz w:val="32"/>
                <w:szCs w:val="32"/>
                <w:highlight w:val="none"/>
                <w:lang w:eastAsia="zh-CN"/>
              </w:rPr>
              <w:t>（</w:t>
            </w:r>
            <w:r>
              <w:rPr>
                <w:rFonts w:hint="eastAsia" w:ascii="楷体" w:hAnsi="楷体" w:eastAsia="楷体"/>
                <w:spacing w:val="14"/>
                <w:sz w:val="32"/>
                <w:szCs w:val="32"/>
                <w:highlight w:val="none"/>
                <w:lang w:val="en-US" w:eastAsia="zh-CN"/>
              </w:rPr>
              <w:t>湖南</w:t>
            </w:r>
            <w:r>
              <w:rPr>
                <w:rFonts w:hint="eastAsia" w:ascii="楷体" w:hAnsi="楷体" w:eastAsia="楷体"/>
                <w:spacing w:val="14"/>
                <w:sz w:val="32"/>
                <w:szCs w:val="32"/>
                <w:highlight w:val="none"/>
                <w:lang w:eastAsia="zh-CN"/>
              </w:rPr>
              <w:t>）</w:t>
            </w:r>
            <w:r>
              <w:rPr>
                <w:rFonts w:hint="eastAsia" w:ascii="楷体" w:hAnsi="楷体" w:eastAsia="楷体"/>
                <w:spacing w:val="14"/>
                <w:sz w:val="32"/>
                <w:szCs w:val="32"/>
                <w:highlight w:val="none"/>
                <w:lang w:val="en-US" w:eastAsia="zh-CN"/>
              </w:rPr>
              <w:t>湘兆财土地</w:t>
            </w:r>
            <w:r>
              <w:rPr>
                <w:rFonts w:hint="eastAsia" w:ascii="楷体" w:hAnsi="楷体" w:eastAsia="楷体"/>
                <w:color w:val="auto"/>
                <w:spacing w:val="-11"/>
                <w:sz w:val="32"/>
                <w:szCs w:val="32"/>
                <w:highlight w:val="none"/>
                <w:lang w:eastAsia="zh-CN"/>
              </w:rPr>
              <w:t>[202</w:t>
            </w:r>
            <w:r>
              <w:rPr>
                <w:rFonts w:hint="eastAsia" w:ascii="楷体" w:hAnsi="楷体" w:eastAsia="楷体"/>
                <w:color w:val="auto"/>
                <w:spacing w:val="-11"/>
                <w:sz w:val="32"/>
                <w:szCs w:val="32"/>
                <w:highlight w:val="none"/>
                <w:lang w:val="en-US" w:eastAsia="zh-CN"/>
              </w:rPr>
              <w:t>6</w:t>
            </w:r>
            <w:r>
              <w:rPr>
                <w:rFonts w:hint="eastAsia" w:ascii="楷体" w:hAnsi="楷体" w:eastAsia="楷体"/>
                <w:color w:val="auto"/>
                <w:spacing w:val="-11"/>
                <w:sz w:val="32"/>
                <w:szCs w:val="32"/>
                <w:highlight w:val="none"/>
                <w:lang w:eastAsia="zh-CN"/>
              </w:rPr>
              <w:t>]（</w:t>
            </w:r>
            <w:r>
              <w:rPr>
                <w:rFonts w:hint="eastAsia" w:ascii="楷体" w:hAnsi="楷体" w:eastAsia="楷体"/>
                <w:color w:val="auto"/>
                <w:spacing w:val="-11"/>
                <w:sz w:val="32"/>
                <w:szCs w:val="32"/>
                <w:highlight w:val="none"/>
                <w:lang w:val="en-US" w:eastAsia="zh-CN"/>
              </w:rPr>
              <w:t>估</w:t>
            </w:r>
            <w:r>
              <w:rPr>
                <w:rFonts w:hint="eastAsia" w:ascii="楷体" w:hAnsi="楷体" w:eastAsia="楷体"/>
                <w:color w:val="auto"/>
                <w:spacing w:val="-11"/>
                <w:sz w:val="32"/>
                <w:szCs w:val="32"/>
                <w:highlight w:val="none"/>
                <w:lang w:eastAsia="zh-CN"/>
              </w:rPr>
              <w:t>）字第</w:t>
            </w:r>
            <w:r>
              <w:rPr>
                <w:rFonts w:hint="eastAsia" w:ascii="楷体" w:hAnsi="楷体" w:eastAsia="楷体"/>
                <w:color w:val="auto"/>
                <w:spacing w:val="-11"/>
                <w:sz w:val="32"/>
                <w:szCs w:val="32"/>
                <w:highlight w:val="none"/>
                <w:lang w:val="en-US" w:eastAsia="zh-CN"/>
              </w:rPr>
              <w:t>ZC0007号</w:t>
            </w:r>
          </w:p>
        </w:tc>
      </w:tr>
      <w:tr w14:paraId="5FDA5F4D">
        <w:tblPrEx>
          <w:tblCellMar>
            <w:top w:w="0" w:type="dxa"/>
            <w:left w:w="108" w:type="dxa"/>
            <w:bottom w:w="0" w:type="dxa"/>
            <w:right w:w="108" w:type="dxa"/>
          </w:tblCellMar>
        </w:tblPrEx>
        <w:trPr>
          <w:trHeight w:val="1134" w:hRule="atLeast"/>
        </w:trPr>
        <w:tc>
          <w:tcPr>
            <w:tcW w:w="3364" w:type="dxa"/>
            <w:vAlign w:val="center"/>
          </w:tcPr>
          <w:p w14:paraId="79094739">
            <w:pPr>
              <w:pStyle w:val="8"/>
              <w:keepNext w:val="0"/>
              <w:keepLines w:val="0"/>
              <w:pageBreakBefore w:val="0"/>
              <w:widowControl w:val="0"/>
              <w:kinsoku/>
              <w:wordWrap/>
              <w:overflowPunct/>
              <w:topLinePunct w:val="0"/>
              <w:autoSpaceDE/>
              <w:autoSpaceDN/>
              <w:bidi w:val="0"/>
              <w:spacing w:line="480" w:lineRule="exact"/>
              <w:ind w:left="0" w:leftChars="0" w:right="0" w:rightChars="0"/>
              <w:jc w:val="both"/>
              <w:textAlignment w:val="auto"/>
              <w:rPr>
                <w:rFonts w:ascii="楷体" w:hAnsi="楷体" w:eastAsia="楷体" w:cs="Times New Roman"/>
                <w:b/>
                <w:bCs/>
                <w:spacing w:val="14"/>
                <w:sz w:val="32"/>
                <w:szCs w:val="32"/>
                <w:highlight w:val="none"/>
                <w:lang w:val="en-US" w:eastAsia="zh-CN"/>
              </w:rPr>
            </w:pPr>
            <w:r>
              <w:rPr>
                <w:rFonts w:hint="eastAsia" w:ascii="楷体" w:hAnsi="楷体" w:eastAsia="楷体"/>
                <w:b/>
                <w:bCs/>
                <w:spacing w:val="7"/>
                <w:kern w:val="0"/>
                <w:sz w:val="32"/>
                <w:szCs w:val="32"/>
                <w:highlight w:val="none"/>
                <w:fitText w:val="3200" w:id="553343314"/>
              </w:rPr>
              <w:t>电 子 备 案 编 号</w:t>
            </w:r>
            <w:r>
              <w:rPr>
                <w:rFonts w:hint="eastAsia" w:ascii="楷体" w:hAnsi="楷体" w:eastAsia="楷体"/>
                <w:b/>
                <w:bCs/>
                <w:spacing w:val="3"/>
                <w:kern w:val="0"/>
                <w:sz w:val="32"/>
                <w:szCs w:val="32"/>
                <w:highlight w:val="none"/>
                <w:fitText w:val="3200" w:id="553343314"/>
              </w:rPr>
              <w:t>：</w:t>
            </w:r>
          </w:p>
        </w:tc>
        <w:tc>
          <w:tcPr>
            <w:tcW w:w="6377" w:type="dxa"/>
            <w:vAlign w:val="center"/>
          </w:tcPr>
          <w:p w14:paraId="6090D46E">
            <w:pPr>
              <w:pStyle w:val="8"/>
              <w:keepNext w:val="0"/>
              <w:keepLines w:val="0"/>
              <w:pageBreakBefore w:val="0"/>
              <w:widowControl w:val="0"/>
              <w:suppressLineNumbers w:val="0"/>
              <w:tabs>
                <w:tab w:val="left" w:pos="0"/>
                <w:tab w:val="left" w:pos="2340"/>
                <w:tab w:val="left" w:pos="2745"/>
                <w:tab w:val="left" w:pos="3030"/>
                <w:tab w:val="left" w:pos="3180"/>
              </w:tabs>
              <w:kinsoku/>
              <w:wordWrap/>
              <w:overflowPunct/>
              <w:topLinePunct w:val="0"/>
              <w:autoSpaceDE/>
              <w:autoSpaceDN/>
              <w:bidi w:val="0"/>
              <w:adjustRightInd w:val="0"/>
              <w:snapToGrid w:val="0"/>
              <w:spacing w:before="0" w:beforeAutospacing="0" w:after="0" w:afterAutospacing="0" w:line="480" w:lineRule="exact"/>
              <w:ind w:left="0" w:leftChars="0" w:right="0" w:rightChars="0"/>
              <w:jc w:val="both"/>
              <w:textAlignment w:val="auto"/>
              <w:rPr>
                <w:rFonts w:hint="default" w:ascii="楷体" w:hAnsi="楷体" w:eastAsia="楷体" w:cs="Times New Roman"/>
                <w:color w:val="auto"/>
                <w:spacing w:val="14"/>
                <w:kern w:val="2"/>
                <w:sz w:val="32"/>
                <w:szCs w:val="32"/>
                <w:highlight w:val="none"/>
                <w:lang w:val="en-US" w:eastAsia="zh-CN" w:bidi="ar-SA"/>
              </w:rPr>
            </w:pPr>
            <w:r>
              <w:rPr>
                <w:rFonts w:hint="eastAsia" w:ascii="楷体" w:hAnsi="楷体" w:eastAsia="楷体" w:cs="Times New Roman"/>
                <w:color w:val="auto"/>
                <w:spacing w:val="14"/>
                <w:kern w:val="2"/>
                <w:sz w:val="32"/>
                <w:szCs w:val="32"/>
                <w:highlight w:val="none"/>
                <w:lang w:val="en-US" w:eastAsia="zh-CN" w:bidi="ar-SA"/>
              </w:rPr>
              <w:t>详见备案页</w:t>
            </w:r>
          </w:p>
        </w:tc>
      </w:tr>
      <w:tr w14:paraId="3D671817">
        <w:tblPrEx>
          <w:tblCellMar>
            <w:top w:w="0" w:type="dxa"/>
            <w:left w:w="108" w:type="dxa"/>
            <w:bottom w:w="0" w:type="dxa"/>
            <w:right w:w="108" w:type="dxa"/>
          </w:tblCellMar>
        </w:tblPrEx>
        <w:trPr>
          <w:trHeight w:val="1134" w:hRule="atLeast"/>
        </w:trPr>
        <w:tc>
          <w:tcPr>
            <w:tcW w:w="3364" w:type="dxa"/>
            <w:vAlign w:val="center"/>
          </w:tcPr>
          <w:p w14:paraId="43AE1BDC">
            <w:pPr>
              <w:pStyle w:val="8"/>
              <w:keepNext w:val="0"/>
              <w:keepLines w:val="0"/>
              <w:pageBreakBefore w:val="0"/>
              <w:widowControl w:val="0"/>
              <w:kinsoku/>
              <w:wordWrap/>
              <w:overflowPunct/>
              <w:topLinePunct w:val="0"/>
              <w:autoSpaceDE/>
              <w:autoSpaceDN/>
              <w:bidi w:val="0"/>
              <w:spacing w:line="480" w:lineRule="exact"/>
              <w:ind w:left="0" w:leftChars="0" w:right="0" w:rightChars="0"/>
              <w:jc w:val="both"/>
              <w:textAlignment w:val="auto"/>
              <w:rPr>
                <w:rFonts w:ascii="楷体" w:hAnsi="楷体" w:eastAsia="楷体" w:cs="Times New Roman"/>
                <w:b/>
                <w:bCs/>
                <w:spacing w:val="14"/>
                <w:sz w:val="32"/>
                <w:szCs w:val="32"/>
                <w:highlight w:val="none"/>
              </w:rPr>
            </w:pPr>
            <w:r>
              <w:rPr>
                <w:rFonts w:hint="eastAsia" w:ascii="楷体" w:hAnsi="楷体" w:eastAsia="楷体"/>
                <w:b/>
                <w:bCs/>
                <w:spacing w:val="20"/>
                <w:kern w:val="0"/>
                <w:sz w:val="32"/>
                <w:szCs w:val="32"/>
                <w:highlight w:val="none"/>
                <w:fitText w:val="3200" w:id="1022711215"/>
              </w:rPr>
              <w:t>提交估价报告日期</w:t>
            </w:r>
            <w:r>
              <w:rPr>
                <w:rFonts w:hint="eastAsia" w:ascii="楷体" w:hAnsi="楷体" w:eastAsia="楷体"/>
                <w:b/>
                <w:bCs/>
                <w:spacing w:val="0"/>
                <w:kern w:val="0"/>
                <w:sz w:val="32"/>
                <w:szCs w:val="32"/>
                <w:highlight w:val="none"/>
                <w:fitText w:val="3200" w:id="1022711215"/>
              </w:rPr>
              <w:t>：</w:t>
            </w:r>
          </w:p>
        </w:tc>
        <w:tc>
          <w:tcPr>
            <w:tcW w:w="6377" w:type="dxa"/>
            <w:vAlign w:val="center"/>
          </w:tcPr>
          <w:p w14:paraId="3534AD05">
            <w:pPr>
              <w:pStyle w:val="8"/>
              <w:keepNext w:val="0"/>
              <w:keepLines w:val="0"/>
              <w:pageBreakBefore w:val="0"/>
              <w:widowControl w:val="0"/>
              <w:suppressLineNumbers w:val="0"/>
              <w:tabs>
                <w:tab w:val="left" w:pos="0"/>
                <w:tab w:val="left" w:pos="2340"/>
                <w:tab w:val="left" w:pos="2745"/>
                <w:tab w:val="left" w:pos="3030"/>
                <w:tab w:val="left" w:pos="3180"/>
              </w:tabs>
              <w:kinsoku/>
              <w:wordWrap/>
              <w:overflowPunct/>
              <w:topLinePunct w:val="0"/>
              <w:autoSpaceDE/>
              <w:autoSpaceDN/>
              <w:bidi w:val="0"/>
              <w:adjustRightInd w:val="0"/>
              <w:snapToGrid w:val="0"/>
              <w:spacing w:before="0" w:beforeAutospacing="0" w:after="0" w:afterAutospacing="0" w:line="480" w:lineRule="exact"/>
              <w:ind w:left="0" w:leftChars="0" w:right="0" w:rightChars="0"/>
              <w:jc w:val="both"/>
              <w:textAlignment w:val="auto"/>
              <w:rPr>
                <w:rFonts w:hint="eastAsia" w:ascii="楷体" w:hAnsi="楷体" w:eastAsia="楷体" w:cs="楷体"/>
                <w:spacing w:val="-20"/>
                <w:sz w:val="32"/>
                <w:szCs w:val="32"/>
                <w:highlight w:val="none"/>
                <w:lang w:eastAsia="zh-CN"/>
              </w:rPr>
            </w:pPr>
            <w:r>
              <w:rPr>
                <w:rFonts w:hint="eastAsia" w:ascii="楷体" w:hAnsi="楷体" w:eastAsia="楷体" w:cs="楷体"/>
                <w:spacing w:val="-20"/>
                <w:sz w:val="32"/>
                <w:szCs w:val="32"/>
                <w:highlight w:val="none"/>
                <w:lang w:eastAsia="zh-CN"/>
              </w:rPr>
              <w:t>二〇二</w:t>
            </w:r>
            <w:r>
              <w:rPr>
                <w:rFonts w:hint="eastAsia" w:ascii="楷体" w:hAnsi="楷体" w:eastAsia="楷体" w:cs="楷体"/>
                <w:spacing w:val="-20"/>
                <w:sz w:val="32"/>
                <w:szCs w:val="32"/>
                <w:highlight w:val="none"/>
                <w:lang w:val="en-US" w:eastAsia="zh-CN"/>
              </w:rPr>
              <w:t>六</w:t>
            </w:r>
            <w:r>
              <w:rPr>
                <w:rFonts w:hint="eastAsia" w:ascii="楷体" w:hAnsi="楷体" w:eastAsia="楷体" w:cs="楷体"/>
                <w:spacing w:val="-20"/>
                <w:sz w:val="32"/>
                <w:szCs w:val="32"/>
                <w:highlight w:val="none"/>
                <w:lang w:eastAsia="zh-CN"/>
              </w:rPr>
              <w:t>年</w:t>
            </w:r>
            <w:r>
              <w:rPr>
                <w:rFonts w:hint="eastAsia" w:ascii="楷体" w:hAnsi="楷体" w:eastAsia="楷体" w:cs="楷体"/>
                <w:spacing w:val="-20"/>
                <w:sz w:val="32"/>
                <w:szCs w:val="32"/>
                <w:highlight w:val="none"/>
                <w:lang w:val="en-US" w:eastAsia="zh-CN"/>
              </w:rPr>
              <w:t>五</w:t>
            </w:r>
            <w:r>
              <w:rPr>
                <w:rFonts w:hint="eastAsia" w:ascii="楷体" w:hAnsi="楷体" w:eastAsia="楷体" w:cs="楷体"/>
                <w:spacing w:val="-20"/>
                <w:sz w:val="32"/>
                <w:szCs w:val="32"/>
                <w:highlight w:val="none"/>
                <w:lang w:eastAsia="zh-CN"/>
              </w:rPr>
              <w:t>月</w:t>
            </w:r>
            <w:r>
              <w:rPr>
                <w:rFonts w:hint="eastAsia" w:ascii="楷体" w:hAnsi="楷体" w:eastAsia="楷体" w:cs="楷体"/>
                <w:spacing w:val="-20"/>
                <w:sz w:val="32"/>
                <w:szCs w:val="32"/>
                <w:highlight w:val="none"/>
                <w:lang w:val="en-US" w:eastAsia="zh-CN"/>
              </w:rPr>
              <w:t>二十</w:t>
            </w:r>
            <w:r>
              <w:rPr>
                <w:rFonts w:hint="eastAsia" w:ascii="楷体" w:hAnsi="楷体" w:eastAsia="楷体" w:cs="楷体"/>
                <w:spacing w:val="-20"/>
                <w:sz w:val="32"/>
                <w:szCs w:val="32"/>
                <w:highlight w:val="none"/>
                <w:lang w:eastAsia="zh-CN"/>
              </w:rPr>
              <w:t>日</w:t>
            </w:r>
          </w:p>
        </w:tc>
      </w:tr>
    </w:tbl>
    <w:p w14:paraId="61B3D96C">
      <w:pPr>
        <w:rPr>
          <w:highlight w:val="none"/>
        </w:rPr>
      </w:pPr>
      <w:r>
        <w:rPr>
          <w:highlight w:val="none"/>
        </w:rPr>
        <w:br w:type="page"/>
      </w:r>
    </w:p>
    <w:p w14:paraId="7745CF90">
      <w:pPr>
        <w:pStyle w:val="16"/>
        <w:spacing w:line="360" w:lineRule="auto"/>
        <w:outlineLvl w:val="0"/>
        <w:rPr>
          <w:rFonts w:hint="eastAsia" w:asciiTheme="majorEastAsia" w:hAnsiTheme="majorEastAsia" w:eastAsiaTheme="majorEastAsia" w:cstheme="majorEastAsia"/>
          <w:color w:val="auto"/>
          <w:sz w:val="32"/>
          <w:szCs w:val="32"/>
          <w:highlight w:val="none"/>
        </w:rPr>
      </w:pPr>
      <w:r>
        <w:rPr>
          <w:rFonts w:hint="eastAsia" w:asciiTheme="majorEastAsia" w:hAnsiTheme="majorEastAsia" w:eastAsiaTheme="majorEastAsia" w:cstheme="majorEastAsia"/>
          <w:b/>
          <w:bCs/>
          <w:color w:val="auto"/>
          <w:sz w:val="32"/>
          <w:szCs w:val="32"/>
          <w:highlight w:val="none"/>
        </w:rPr>
        <w:t>土 地 估 价 报 告</w:t>
      </w:r>
    </w:p>
    <w:p w14:paraId="332B4298">
      <w:pPr>
        <w:pStyle w:val="17"/>
        <w:spacing w:before="120" w:beforeLines="50" w:after="240" w:afterLines="100" w:line="440" w:lineRule="exact"/>
        <w:ind w:firstLine="0" w:firstLineChars="0"/>
        <w:jc w:val="center"/>
        <w:outlineLvl w:val="0"/>
        <w:rPr>
          <w:rFonts w:ascii="宋体" w:hAnsi="宋体" w:eastAsia="宋体" w:cs="宋体"/>
          <w:b/>
          <w:color w:val="auto"/>
          <w:sz w:val="32"/>
          <w:szCs w:val="32"/>
          <w:highlight w:val="none"/>
        </w:rPr>
      </w:pPr>
      <w:r>
        <w:rPr>
          <w:rFonts w:hint="eastAsia" w:ascii="宋体" w:hAnsi="宋体" w:eastAsia="宋体" w:cs="宋体"/>
          <w:b/>
          <w:color w:val="auto"/>
          <w:sz w:val="32"/>
          <w:szCs w:val="32"/>
          <w:highlight w:val="none"/>
        </w:rPr>
        <w:t>第一部分</w:t>
      </w:r>
      <w:r>
        <w:rPr>
          <w:rFonts w:hint="eastAsia" w:ascii="宋体" w:hAnsi="宋体" w:eastAsia="宋体" w:cs="宋体"/>
          <w:b/>
          <w:color w:val="auto"/>
          <w:sz w:val="32"/>
          <w:szCs w:val="32"/>
          <w:highlight w:val="none"/>
          <w:lang w:val="en-US" w:eastAsia="zh-CN"/>
        </w:rPr>
        <w:t xml:space="preserve">  </w:t>
      </w:r>
      <w:r>
        <w:rPr>
          <w:rFonts w:hint="eastAsia" w:ascii="宋体" w:hAnsi="宋体" w:eastAsia="宋体" w:cs="宋体"/>
          <w:b/>
          <w:color w:val="auto"/>
          <w:sz w:val="32"/>
          <w:szCs w:val="32"/>
          <w:highlight w:val="none"/>
        </w:rPr>
        <w:t>摘要</w:t>
      </w:r>
    </w:p>
    <w:p w14:paraId="75208816">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GB" w:eastAsia="zh-CN"/>
        </w:rPr>
        <w:t>一、估价项目名称</w:t>
      </w:r>
    </w:p>
    <w:p w14:paraId="0E56D6DF">
      <w:pPr>
        <w:pStyle w:val="11"/>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b w:val="0"/>
          <w:bCs/>
          <w:color w:val="auto"/>
          <w:kern w:val="2"/>
          <w:sz w:val="28"/>
          <w:szCs w:val="28"/>
          <w:highlight w:val="none"/>
          <w:lang w:val="en-GB" w:eastAsia="zh-CN" w:bidi="ar-SA"/>
        </w:rPr>
      </w:pPr>
      <w:r>
        <w:rPr>
          <w:rFonts w:hint="default" w:ascii="仿宋_GB2312" w:hAnsi="仿宋_GB2312" w:eastAsia="仿宋_GB2312" w:cs="仿宋_GB2312"/>
          <w:b w:val="0"/>
          <w:bCs/>
          <w:color w:val="auto"/>
          <w:kern w:val="2"/>
          <w:sz w:val="28"/>
          <w:szCs w:val="28"/>
          <w:highlight w:val="none"/>
          <w:lang w:val="en-US" w:eastAsia="zh-CN" w:bidi="ar-SA"/>
        </w:rPr>
        <w:t>道县自然资源局办理土地使用权出让手续涉及的位于道县月岩西路的一宗住宅用途国有建设用地使用权市场价格评估</w:t>
      </w:r>
    </w:p>
    <w:p w14:paraId="6CB2082A">
      <w:pPr>
        <w:keepNext w:val="0"/>
        <w:keepLines w:val="0"/>
        <w:pageBreakBefore w:val="0"/>
        <w:widowControl w:val="0"/>
        <w:numPr>
          <w:ilvl w:val="0"/>
          <w:numId w:val="1"/>
        </w:numPr>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GB" w:eastAsia="zh-CN"/>
        </w:rPr>
        <w:t>委托估价方</w:t>
      </w:r>
    </w:p>
    <w:p w14:paraId="0E53D98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highlight w:val="none"/>
          <w:lang w:val="en-GB"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道县自然资源局</w:t>
      </w:r>
    </w:p>
    <w:p w14:paraId="14029CA1">
      <w:pPr>
        <w:keepNext w:val="0"/>
        <w:keepLines w:val="0"/>
        <w:pageBreakBefore w:val="0"/>
        <w:widowControl w:val="0"/>
        <w:numPr>
          <w:ilvl w:val="0"/>
          <w:numId w:val="1"/>
        </w:numPr>
        <w:kinsoku/>
        <w:wordWrap/>
        <w:overflowPunct/>
        <w:topLinePunct w:val="0"/>
        <w:autoSpaceDE/>
        <w:autoSpaceDN/>
        <w:bidi w:val="0"/>
        <w:adjustRightInd w:val="0"/>
        <w:snapToGrid w:val="0"/>
        <w:spacing w:line="480" w:lineRule="exact"/>
        <w:ind w:left="0" w:leftChars="0" w:firstLine="562" w:firstLineChars="200"/>
        <w:textAlignment w:val="auto"/>
        <w:outlineLvl w:val="1"/>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GB" w:eastAsia="zh-CN"/>
        </w:rPr>
        <w:t>估价目的</w:t>
      </w:r>
    </w:p>
    <w:p w14:paraId="1E81270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highlight w:val="none"/>
          <w:lang w:val="en-GB" w:eastAsia="zh-CN"/>
        </w:rPr>
      </w:pPr>
      <w:r>
        <w:rPr>
          <w:rFonts w:hint="default" w:ascii="仿宋_GB2312" w:hAnsi="仿宋_GB2312" w:eastAsia="仿宋_GB2312" w:cs="仿宋_GB2312"/>
          <w:bCs/>
          <w:color w:val="auto"/>
          <w:sz w:val="28"/>
          <w:szCs w:val="28"/>
          <w:highlight w:val="none"/>
          <w:lang w:val="en-US" w:eastAsia="zh-CN"/>
        </w:rPr>
        <w:t>根据</w:t>
      </w:r>
      <w:r>
        <w:rPr>
          <w:rFonts w:hint="default" w:ascii="仿宋_GB2312" w:hAnsi="仿宋_GB2312" w:eastAsia="仿宋_GB2312" w:cs="仿宋_GB2312"/>
          <w:bCs/>
          <w:color w:val="auto"/>
          <w:sz w:val="28"/>
          <w:szCs w:val="28"/>
          <w:highlight w:val="none"/>
          <w:lang w:val="en-GB" w:eastAsia="zh-CN"/>
        </w:rPr>
        <w:t>《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w:t>
      </w:r>
      <w:r>
        <w:rPr>
          <w:rFonts w:hint="default" w:ascii="仿宋_GB2312" w:hAnsi="仿宋_GB2312" w:eastAsia="仿宋_GB2312" w:cs="仿宋_GB2312"/>
          <w:bCs/>
          <w:color w:val="auto"/>
          <w:sz w:val="28"/>
          <w:szCs w:val="28"/>
          <w:highlight w:val="none"/>
          <w:lang w:val="en-US" w:eastAsia="zh-CN"/>
        </w:rPr>
        <w:t>委托方提供的《评估委托书》，</w:t>
      </w:r>
      <w:r>
        <w:rPr>
          <w:rFonts w:hint="eastAsia" w:ascii="仿宋_GB2312" w:hAnsi="仿宋_GB2312" w:eastAsia="仿宋_GB2312" w:cs="仿宋_GB2312"/>
          <w:bCs/>
          <w:color w:val="auto"/>
          <w:sz w:val="28"/>
          <w:szCs w:val="28"/>
          <w:highlight w:val="none"/>
          <w:lang w:val="en-US" w:eastAsia="zh-CN"/>
        </w:rPr>
        <w:t>道县自然资源局</w:t>
      </w:r>
      <w:r>
        <w:rPr>
          <w:rFonts w:hint="default" w:ascii="仿宋_GB2312" w:hAnsi="仿宋_GB2312" w:eastAsia="仿宋_GB2312" w:cs="仿宋_GB2312"/>
          <w:bCs/>
          <w:color w:val="auto"/>
          <w:sz w:val="28"/>
          <w:szCs w:val="28"/>
          <w:highlight w:val="none"/>
          <w:lang w:val="en-GB" w:eastAsia="zh-CN"/>
        </w:rPr>
        <w:t>拟了解一宗位于</w:t>
      </w:r>
      <w:r>
        <w:rPr>
          <w:rFonts w:hint="default" w:ascii="仿宋_GB2312" w:hAnsi="仿宋_GB2312" w:eastAsia="仿宋_GB2312" w:cs="仿宋_GB2312"/>
          <w:b w:val="0"/>
          <w:bCs/>
          <w:color w:val="auto"/>
          <w:kern w:val="2"/>
          <w:sz w:val="28"/>
          <w:szCs w:val="28"/>
          <w:highlight w:val="none"/>
          <w:lang w:val="en-US" w:eastAsia="zh-CN" w:bidi="ar-SA"/>
        </w:rPr>
        <w:t>道县月岩西路</w:t>
      </w:r>
      <w:r>
        <w:rPr>
          <w:rFonts w:hint="default" w:ascii="仿宋_GB2312" w:hAnsi="仿宋_GB2312" w:eastAsia="仿宋_GB2312" w:cs="仿宋_GB2312"/>
          <w:bCs/>
          <w:color w:val="auto"/>
          <w:sz w:val="28"/>
          <w:szCs w:val="28"/>
          <w:highlight w:val="none"/>
          <w:lang w:val="en-GB" w:eastAsia="zh-CN"/>
        </w:rPr>
        <w:t>的国有土地使用权价值，特委托</w:t>
      </w:r>
      <w:r>
        <w:rPr>
          <w:rFonts w:hint="eastAsia" w:ascii="仿宋_GB2312" w:hAnsi="仿宋_GB2312" w:eastAsia="仿宋_GB2312" w:cs="仿宋_GB2312"/>
          <w:bCs/>
          <w:color w:val="auto"/>
          <w:sz w:val="28"/>
          <w:szCs w:val="28"/>
          <w:highlight w:val="none"/>
          <w:lang w:val="en-GB" w:eastAsia="zh-CN"/>
        </w:rPr>
        <w:t>湖南兆财不动产规划评估有限公司</w:t>
      </w:r>
      <w:r>
        <w:rPr>
          <w:rFonts w:hint="default" w:ascii="仿宋_GB2312" w:hAnsi="仿宋_GB2312" w:eastAsia="仿宋_GB2312" w:cs="仿宋_GB2312"/>
          <w:bCs/>
          <w:color w:val="auto"/>
          <w:sz w:val="28"/>
          <w:szCs w:val="28"/>
          <w:highlight w:val="none"/>
          <w:lang w:val="en-GB" w:eastAsia="zh-CN"/>
        </w:rPr>
        <w:t>对</w:t>
      </w:r>
      <w:r>
        <w:rPr>
          <w:rFonts w:hint="eastAsia" w:ascii="仿宋_GB2312" w:hAnsi="仿宋_GB2312" w:eastAsia="仿宋_GB2312" w:cs="仿宋_GB2312"/>
          <w:bCs/>
          <w:color w:val="auto"/>
          <w:sz w:val="28"/>
          <w:szCs w:val="28"/>
          <w:highlight w:val="none"/>
          <w:lang w:val="en-US" w:eastAsia="zh-CN"/>
        </w:rPr>
        <w:t>估价对象</w:t>
      </w:r>
      <w:r>
        <w:rPr>
          <w:rFonts w:hint="default" w:ascii="仿宋_GB2312" w:hAnsi="仿宋_GB2312" w:eastAsia="仿宋_GB2312" w:cs="仿宋_GB2312"/>
          <w:bCs/>
          <w:color w:val="auto"/>
          <w:sz w:val="28"/>
          <w:szCs w:val="28"/>
          <w:highlight w:val="none"/>
          <w:lang w:val="en-GB" w:eastAsia="zh-CN"/>
        </w:rPr>
        <w:t>在现状利用条件下的</w:t>
      </w:r>
      <w:r>
        <w:rPr>
          <w:rFonts w:hint="eastAsia" w:ascii="仿宋_GB2312" w:hAnsi="仿宋_GB2312" w:eastAsia="仿宋_GB2312" w:cs="仿宋_GB2312"/>
          <w:bCs/>
          <w:color w:val="auto"/>
          <w:sz w:val="28"/>
          <w:szCs w:val="28"/>
          <w:highlight w:val="none"/>
          <w:lang w:val="en-US" w:eastAsia="zh-CN"/>
        </w:rPr>
        <w:t>国有土地使用权出让</w:t>
      </w:r>
      <w:r>
        <w:rPr>
          <w:rFonts w:hint="default" w:ascii="仿宋_GB2312" w:hAnsi="仿宋_GB2312" w:eastAsia="仿宋_GB2312" w:cs="仿宋_GB2312"/>
          <w:bCs/>
          <w:color w:val="auto"/>
          <w:sz w:val="28"/>
          <w:szCs w:val="28"/>
          <w:highlight w:val="none"/>
          <w:lang w:val="en-GB" w:eastAsia="zh-CN"/>
        </w:rPr>
        <w:t>土地使用权价格进行评估，为其办理土地使用权出让手续提供</w:t>
      </w:r>
      <w:r>
        <w:rPr>
          <w:rFonts w:hint="eastAsia" w:ascii="仿宋_GB2312" w:hAnsi="仿宋_GB2312" w:eastAsia="仿宋_GB2312" w:cs="仿宋_GB2312"/>
          <w:bCs/>
          <w:color w:val="auto"/>
          <w:sz w:val="28"/>
          <w:szCs w:val="28"/>
          <w:highlight w:val="none"/>
          <w:lang w:val="en-US" w:eastAsia="zh-CN"/>
        </w:rPr>
        <w:t>客观、公正、合理的</w:t>
      </w:r>
      <w:r>
        <w:rPr>
          <w:rFonts w:hint="default" w:ascii="仿宋_GB2312" w:hAnsi="仿宋_GB2312" w:eastAsia="仿宋_GB2312" w:cs="仿宋_GB2312"/>
          <w:bCs/>
          <w:color w:val="auto"/>
          <w:sz w:val="28"/>
          <w:szCs w:val="28"/>
          <w:highlight w:val="none"/>
          <w:lang w:val="en-GB" w:eastAsia="zh-CN"/>
        </w:rPr>
        <w:t>价格参考</w:t>
      </w:r>
      <w:r>
        <w:rPr>
          <w:rFonts w:hint="eastAsia" w:ascii="仿宋_GB2312" w:hAnsi="仿宋_GB2312" w:eastAsia="仿宋_GB2312" w:cs="仿宋_GB2312"/>
          <w:bCs/>
          <w:color w:val="auto"/>
          <w:sz w:val="28"/>
          <w:szCs w:val="28"/>
          <w:highlight w:val="none"/>
          <w:lang w:val="en-US" w:eastAsia="zh-CN"/>
        </w:rPr>
        <w:t>依据</w:t>
      </w:r>
      <w:r>
        <w:rPr>
          <w:rFonts w:hint="eastAsia" w:ascii="仿宋_GB2312" w:eastAsia="仿宋_GB2312"/>
          <w:color w:val="000000" w:themeColor="text1"/>
          <w:sz w:val="28"/>
          <w:szCs w:val="30"/>
          <w:highlight w:val="none"/>
          <w:lang w:eastAsia="zh-CN"/>
          <w14:textFill>
            <w14:solidFill>
              <w14:schemeClr w14:val="tx1"/>
            </w14:solidFill>
          </w14:textFill>
        </w:rPr>
        <w:t>。</w:t>
      </w:r>
    </w:p>
    <w:p w14:paraId="5B9409D7">
      <w:pPr>
        <w:keepNext w:val="0"/>
        <w:keepLines w:val="0"/>
        <w:pageBreakBefore w:val="0"/>
        <w:widowControl w:val="0"/>
        <w:numPr>
          <w:ilvl w:val="0"/>
          <w:numId w:val="1"/>
        </w:numPr>
        <w:kinsoku/>
        <w:wordWrap/>
        <w:overflowPunct/>
        <w:topLinePunct w:val="0"/>
        <w:autoSpaceDE/>
        <w:autoSpaceDN/>
        <w:bidi w:val="0"/>
        <w:adjustRightInd w:val="0"/>
        <w:snapToGrid w:val="0"/>
        <w:spacing w:line="480" w:lineRule="exact"/>
        <w:ind w:left="0" w:leftChars="0" w:firstLine="562" w:firstLineChars="200"/>
        <w:textAlignment w:val="auto"/>
        <w:outlineLvl w:val="1"/>
        <w:rPr>
          <w:rFonts w:hint="eastAsia"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t>估价期日</w:t>
      </w:r>
    </w:p>
    <w:p w14:paraId="0AF12F2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本次土地估价师现场勘查日期为202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日，结合本次估价目的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委托估价方提供的《评估委托书》，</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本次估价设定</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估价期日为2026年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月1</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w:t>
      </w:r>
    </w:p>
    <w:p w14:paraId="67043E5A">
      <w:pPr>
        <w:keepNext w:val="0"/>
        <w:keepLines w:val="0"/>
        <w:pageBreakBefore w:val="0"/>
        <w:widowControl w:val="0"/>
        <w:numPr>
          <w:ilvl w:val="0"/>
          <w:numId w:val="1"/>
        </w:numPr>
        <w:kinsoku/>
        <w:wordWrap/>
        <w:overflowPunct/>
        <w:topLinePunct w:val="0"/>
        <w:autoSpaceDE/>
        <w:autoSpaceDN/>
        <w:bidi w:val="0"/>
        <w:adjustRightInd w:val="0"/>
        <w:snapToGrid w:val="0"/>
        <w:spacing w:line="480" w:lineRule="exact"/>
        <w:ind w:left="0" w:leftChars="0" w:firstLine="562" w:firstLineChars="200"/>
        <w:textAlignment w:val="auto"/>
        <w:outlineLvl w:val="1"/>
        <w:rPr>
          <w:rFonts w:hint="eastAsia"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t>估价日期</w:t>
      </w:r>
    </w:p>
    <w:p w14:paraId="40E3E99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28"/>
          <w:highlight w:val="none"/>
          <w:lang w:eastAsia="zh-CN"/>
          <w14:textFill>
            <w14:solidFill>
              <w14:schemeClr w14:val="tx1"/>
            </w14:solidFill>
          </w14:textFill>
        </w:rPr>
      </w:pPr>
      <w:r>
        <w:rPr>
          <w:rFonts w:hint="eastAsia" w:ascii="仿宋_GB2312" w:eastAsia="仿宋_GB2312"/>
          <w:color w:val="000000" w:themeColor="text1"/>
          <w:sz w:val="28"/>
          <w:szCs w:val="28"/>
          <w:highlight w:val="none"/>
          <w:lang w:eastAsia="zh-CN"/>
          <w14:textFill>
            <w14:solidFill>
              <w14:schemeClr w14:val="tx1"/>
            </w14:solidFill>
          </w14:textFill>
        </w:rPr>
        <w:t>2026年</w:t>
      </w:r>
      <w:r>
        <w:rPr>
          <w:rFonts w:hint="eastAsia" w:ascii="仿宋_GB2312" w:eastAsia="仿宋_GB2312"/>
          <w:color w:val="000000" w:themeColor="text1"/>
          <w:sz w:val="28"/>
          <w:szCs w:val="28"/>
          <w:highlight w:val="none"/>
          <w:lang w:val="en-US" w:eastAsia="zh-CN"/>
          <w14:textFill>
            <w14:solidFill>
              <w14:schemeClr w14:val="tx1"/>
            </w14:solidFill>
          </w14:textFill>
        </w:rPr>
        <w:t>5</w:t>
      </w:r>
      <w:r>
        <w:rPr>
          <w:rFonts w:hint="eastAsia" w:ascii="仿宋_GB2312" w:eastAsia="仿宋_GB2312"/>
          <w:color w:val="000000" w:themeColor="text1"/>
          <w:sz w:val="28"/>
          <w:szCs w:val="28"/>
          <w:highlight w:val="none"/>
          <w:lang w:eastAsia="zh-CN"/>
          <w14:textFill>
            <w14:solidFill>
              <w14:schemeClr w14:val="tx1"/>
            </w14:solidFill>
          </w14:textFill>
        </w:rPr>
        <w:t>月</w:t>
      </w:r>
      <w:r>
        <w:rPr>
          <w:rFonts w:hint="eastAsia" w:ascii="仿宋_GB2312" w:eastAsia="仿宋_GB2312"/>
          <w:color w:val="000000" w:themeColor="text1"/>
          <w:sz w:val="28"/>
          <w:szCs w:val="28"/>
          <w:highlight w:val="none"/>
          <w:lang w:val="en-US" w:eastAsia="zh-CN"/>
          <w14:textFill>
            <w14:solidFill>
              <w14:schemeClr w14:val="tx1"/>
            </w14:solidFill>
          </w14:textFill>
        </w:rPr>
        <w:t>18</w:t>
      </w:r>
      <w:r>
        <w:rPr>
          <w:rFonts w:hint="eastAsia" w:ascii="仿宋_GB2312" w:eastAsia="仿宋_GB2312"/>
          <w:color w:val="000000" w:themeColor="text1"/>
          <w:sz w:val="28"/>
          <w:szCs w:val="28"/>
          <w:highlight w:val="none"/>
          <w:lang w:eastAsia="zh-CN"/>
          <w14:textFill>
            <w14:solidFill>
              <w14:schemeClr w14:val="tx1"/>
            </w14:solidFill>
          </w14:textFill>
        </w:rPr>
        <w:t>日至202</w:t>
      </w:r>
      <w:r>
        <w:rPr>
          <w:rFonts w:hint="eastAsia" w:ascii="仿宋_GB2312" w:eastAsia="仿宋_GB2312"/>
          <w:color w:val="000000" w:themeColor="text1"/>
          <w:sz w:val="28"/>
          <w:szCs w:val="28"/>
          <w:highlight w:val="none"/>
          <w:lang w:val="en-US" w:eastAsia="zh-CN"/>
          <w14:textFill>
            <w14:solidFill>
              <w14:schemeClr w14:val="tx1"/>
            </w14:solidFill>
          </w14:textFill>
        </w:rPr>
        <w:t>6</w:t>
      </w:r>
      <w:r>
        <w:rPr>
          <w:rFonts w:hint="eastAsia" w:ascii="仿宋_GB2312" w:eastAsia="仿宋_GB2312"/>
          <w:color w:val="000000" w:themeColor="text1"/>
          <w:sz w:val="28"/>
          <w:szCs w:val="28"/>
          <w:highlight w:val="none"/>
          <w:lang w:eastAsia="zh-CN"/>
          <w14:textFill>
            <w14:solidFill>
              <w14:schemeClr w14:val="tx1"/>
            </w14:solidFill>
          </w14:textFill>
        </w:rPr>
        <w:t>年</w:t>
      </w:r>
      <w:r>
        <w:rPr>
          <w:rFonts w:hint="eastAsia" w:ascii="仿宋_GB2312" w:eastAsia="仿宋_GB2312"/>
          <w:color w:val="000000" w:themeColor="text1"/>
          <w:sz w:val="28"/>
          <w:szCs w:val="28"/>
          <w:highlight w:val="none"/>
          <w:lang w:val="en-US" w:eastAsia="zh-CN"/>
          <w14:textFill>
            <w14:solidFill>
              <w14:schemeClr w14:val="tx1"/>
            </w14:solidFill>
          </w14:textFill>
        </w:rPr>
        <w:t>5</w:t>
      </w:r>
      <w:r>
        <w:rPr>
          <w:rFonts w:hint="eastAsia" w:ascii="仿宋_GB2312" w:eastAsia="仿宋_GB2312"/>
          <w:color w:val="000000" w:themeColor="text1"/>
          <w:sz w:val="28"/>
          <w:szCs w:val="28"/>
          <w:highlight w:val="none"/>
          <w:lang w:eastAsia="zh-CN"/>
          <w14:textFill>
            <w14:solidFill>
              <w14:schemeClr w14:val="tx1"/>
            </w14:solidFill>
          </w14:textFill>
        </w:rPr>
        <w:t>月</w:t>
      </w:r>
      <w:r>
        <w:rPr>
          <w:rFonts w:hint="eastAsia" w:ascii="仿宋_GB2312" w:eastAsia="仿宋_GB2312"/>
          <w:color w:val="000000" w:themeColor="text1"/>
          <w:sz w:val="28"/>
          <w:szCs w:val="28"/>
          <w:highlight w:val="none"/>
          <w:lang w:val="en-US" w:eastAsia="zh-CN"/>
          <w14:textFill>
            <w14:solidFill>
              <w14:schemeClr w14:val="tx1"/>
            </w14:solidFill>
          </w14:textFill>
        </w:rPr>
        <w:t>20</w:t>
      </w:r>
      <w:r>
        <w:rPr>
          <w:rFonts w:hint="eastAsia" w:ascii="仿宋_GB2312" w:eastAsia="仿宋_GB2312"/>
          <w:color w:val="000000" w:themeColor="text1"/>
          <w:sz w:val="28"/>
          <w:szCs w:val="28"/>
          <w:highlight w:val="none"/>
          <w:lang w:eastAsia="zh-CN"/>
          <w14:textFill>
            <w14:solidFill>
              <w14:schemeClr w14:val="tx1"/>
            </w14:solidFill>
          </w14:textFill>
        </w:rPr>
        <w:t>日</w:t>
      </w:r>
    </w:p>
    <w:p w14:paraId="0CE0776C">
      <w:pPr>
        <w:keepNext w:val="0"/>
        <w:keepLines w:val="0"/>
        <w:pageBreakBefore w:val="0"/>
        <w:widowControl w:val="0"/>
        <w:numPr>
          <w:ilvl w:val="0"/>
          <w:numId w:val="1"/>
        </w:numPr>
        <w:kinsoku/>
        <w:wordWrap/>
        <w:overflowPunct/>
        <w:topLinePunct w:val="0"/>
        <w:autoSpaceDE/>
        <w:autoSpaceDN/>
        <w:bidi w:val="0"/>
        <w:adjustRightInd w:val="0"/>
        <w:snapToGrid w:val="0"/>
        <w:spacing w:line="460" w:lineRule="exact"/>
        <w:ind w:left="0" w:leftChars="0" w:firstLine="562" w:firstLineChars="200"/>
        <w:textAlignment w:val="auto"/>
        <w:outlineLvl w:val="1"/>
        <w:rPr>
          <w:rFonts w:hint="eastAsia"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t>地价定义</w:t>
      </w:r>
    </w:p>
    <w:p w14:paraId="73AEC22F">
      <w:pPr>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sz w:val="28"/>
          <w:highlight w:val="none"/>
          <w:lang w:val="en-US" w:eastAsia="zh-CN"/>
        </w:rPr>
      </w:pPr>
      <w:r>
        <w:rPr>
          <w:rFonts w:hint="eastAsia" w:ascii="仿宋_GB2312" w:hAnsi="仿宋_GB2312" w:eastAsia="仿宋_GB2312" w:cs="仿宋_GB2312"/>
          <w:bCs/>
          <w:sz w:val="28"/>
          <w:szCs w:val="28"/>
          <w:highlight w:val="none"/>
          <w:lang w:eastAsia="zh-CN"/>
        </w:rPr>
        <w:t>根据</w:t>
      </w:r>
      <w:r>
        <w:rPr>
          <w:rFonts w:hint="eastAsia" w:ascii="仿宋_GB2312" w:hAnsi="仿宋_GB2312" w:eastAsia="仿宋_GB2312" w:cs="仿宋_GB2312"/>
          <w:bCs/>
          <w:sz w:val="28"/>
          <w:szCs w:val="28"/>
          <w:highlight w:val="none"/>
          <w:lang w:val="en-US" w:eastAsia="zh-CN"/>
        </w:rPr>
        <w:t>委托方</w:t>
      </w:r>
      <w:r>
        <w:rPr>
          <w:rFonts w:hint="eastAsia" w:ascii="仿宋_GB2312" w:hAnsi="仿宋_GB2312" w:eastAsia="仿宋_GB2312" w:cs="仿宋_GB2312"/>
          <w:bCs/>
          <w:sz w:val="28"/>
          <w:szCs w:val="28"/>
          <w:highlight w:val="none"/>
          <w:lang w:eastAsia="zh-CN"/>
        </w:rPr>
        <w:t>出具的</w:t>
      </w:r>
      <w:r>
        <w:rPr>
          <w:rFonts w:hint="eastAsia" w:ascii="仿宋_GB2312" w:hAnsi="仿宋_GB2312" w:eastAsia="仿宋_GB2312" w:cs="仿宋_GB2312"/>
          <w:bCs/>
          <w:sz w:val="28"/>
          <w:szCs w:val="28"/>
          <w:highlight w:val="none"/>
          <w:lang w:val="en-US" w:eastAsia="zh-CN"/>
        </w:rPr>
        <w:t>《评估委托书》</w:t>
      </w:r>
      <w:r>
        <w:rPr>
          <w:rFonts w:hint="eastAsia" w:ascii="仿宋_GB2312" w:hAnsi="仿宋_GB2312" w:eastAsia="仿宋_GB2312" w:cs="仿宋_GB2312"/>
          <w:bCs/>
          <w:sz w:val="28"/>
          <w:szCs w:val="28"/>
          <w:highlight w:val="none"/>
          <w:lang w:eastAsia="zh-CN"/>
        </w:rPr>
        <w:t>及现场勘查状况，估价对象</w:t>
      </w:r>
      <w:r>
        <w:rPr>
          <w:rFonts w:hint="eastAsia" w:ascii="仿宋_GB2312" w:hAnsi="仿宋_GB2312" w:eastAsia="仿宋_GB2312" w:cs="仿宋_GB2312"/>
          <w:bCs/>
          <w:sz w:val="28"/>
          <w:szCs w:val="28"/>
          <w:highlight w:val="none"/>
          <w:lang w:val="en-US" w:eastAsia="zh-CN"/>
        </w:rPr>
        <w:t>总土地面积为15.2平方米，</w:t>
      </w:r>
      <w:r>
        <w:rPr>
          <w:rFonts w:hint="eastAsia" w:ascii="仿宋_GB2312" w:hAnsi="仿宋_GB2312" w:eastAsia="仿宋_GB2312" w:cs="仿宋_GB2312"/>
          <w:bCs/>
          <w:sz w:val="28"/>
          <w:szCs w:val="28"/>
          <w:highlight w:val="none"/>
          <w:lang w:eastAsia="zh-CN"/>
        </w:rPr>
        <w:t>估价对象</w:t>
      </w:r>
      <w:r>
        <w:rPr>
          <w:rFonts w:hint="eastAsia" w:ascii="仿宋_GB2312" w:hAnsi="仿宋_GB2312" w:eastAsia="仿宋_GB2312" w:cs="仿宋_GB2312"/>
          <w:bCs/>
          <w:sz w:val="28"/>
          <w:szCs w:val="28"/>
          <w:highlight w:val="none"/>
          <w:lang w:val="en-US" w:eastAsia="zh-CN"/>
        </w:rPr>
        <w:t>设定</w:t>
      </w:r>
      <w:r>
        <w:rPr>
          <w:rFonts w:hint="eastAsia" w:ascii="仿宋_GB2312" w:hAnsi="仿宋_GB2312" w:eastAsia="仿宋_GB2312" w:cs="仿宋_GB2312"/>
          <w:bCs/>
          <w:sz w:val="28"/>
          <w:szCs w:val="28"/>
          <w:highlight w:val="none"/>
          <w:lang w:eastAsia="zh-CN"/>
        </w:rPr>
        <w:t>用途为</w:t>
      </w:r>
      <w:r>
        <w:rPr>
          <w:rFonts w:hint="eastAsia" w:ascii="仿宋_GB2312" w:hAnsi="仿宋_GB2312" w:eastAsia="仿宋_GB2312" w:cs="仿宋_GB2312"/>
          <w:bCs/>
          <w:sz w:val="28"/>
          <w:szCs w:val="28"/>
          <w:highlight w:val="none"/>
          <w:lang w:val="en-US" w:eastAsia="zh-CN"/>
        </w:rPr>
        <w:t>住宅用地</w:t>
      </w:r>
      <w:r>
        <w:rPr>
          <w:rFonts w:hint="eastAsia" w:ascii="仿宋_GB2312" w:hAnsi="仿宋_GB2312" w:eastAsia="仿宋_GB2312" w:cs="仿宋_GB2312"/>
          <w:bCs/>
          <w:sz w:val="28"/>
          <w:szCs w:val="28"/>
          <w:highlight w:val="none"/>
          <w:lang w:eastAsia="zh-CN"/>
        </w:rPr>
        <w:t>，至估价期日，估价对象现状为</w:t>
      </w:r>
      <w:r>
        <w:rPr>
          <w:rFonts w:hint="eastAsia" w:ascii="仿宋_GB2312" w:hAnsi="仿宋_GB2312" w:eastAsia="仿宋_GB2312" w:cs="仿宋_GB2312"/>
          <w:bCs/>
          <w:sz w:val="28"/>
          <w:szCs w:val="28"/>
          <w:highlight w:val="none"/>
          <w:lang w:val="en-US" w:eastAsia="zh-CN"/>
        </w:rPr>
        <w:t>已开发</w:t>
      </w:r>
      <w:r>
        <w:rPr>
          <w:rFonts w:hint="eastAsia" w:ascii="仿宋_GB2312" w:hAnsi="仿宋_GB2312" w:eastAsia="仿宋_GB2312" w:cs="仿宋_GB2312"/>
          <w:bCs/>
          <w:sz w:val="28"/>
          <w:szCs w:val="28"/>
          <w:highlight w:val="none"/>
          <w:lang w:eastAsia="zh-CN"/>
        </w:rPr>
        <w:t>建设用地，土地开发程度为宗地红线外“五通”（即通路、通电、供水、排水、通讯），宗地红线内场地平整</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43F46040">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1.估价期日的设定</w:t>
      </w:r>
    </w:p>
    <w:p w14:paraId="0348CE3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本次土地估价师现场勘查日期为2026年</w:t>
      </w:r>
      <w:r>
        <w:rPr>
          <w:rFonts w:hint="eastAsia" w:ascii="仿宋_GB2312" w:hAnsi="仿宋_GB2312" w:eastAsia="仿宋_GB2312" w:cs="仿宋_GB2312"/>
          <w:bCs/>
          <w:sz w:val="28"/>
          <w:szCs w:val="28"/>
          <w:highlight w:val="none"/>
          <w:lang w:val="en-US" w:eastAsia="zh-CN"/>
        </w:rPr>
        <w:t>5</w:t>
      </w:r>
      <w:r>
        <w:rPr>
          <w:rFonts w:hint="eastAsia" w:ascii="仿宋_GB2312" w:hAnsi="仿宋_GB2312" w:eastAsia="仿宋_GB2312" w:cs="仿宋_GB2312"/>
          <w:bCs/>
          <w:sz w:val="28"/>
          <w:szCs w:val="28"/>
          <w:highlight w:val="none"/>
          <w:lang w:eastAsia="zh-CN"/>
        </w:rPr>
        <w:t>月</w:t>
      </w:r>
      <w:r>
        <w:rPr>
          <w:rFonts w:hint="eastAsia" w:ascii="仿宋_GB2312" w:hAnsi="仿宋_GB2312" w:eastAsia="仿宋_GB2312" w:cs="仿宋_GB2312"/>
          <w:bCs/>
          <w:sz w:val="28"/>
          <w:szCs w:val="28"/>
          <w:highlight w:val="none"/>
          <w:lang w:val="en-US" w:eastAsia="zh-CN"/>
        </w:rPr>
        <w:t>18</w:t>
      </w:r>
      <w:r>
        <w:rPr>
          <w:rFonts w:hint="eastAsia" w:ascii="仿宋_GB2312" w:hAnsi="仿宋_GB2312" w:eastAsia="仿宋_GB2312" w:cs="仿宋_GB2312"/>
          <w:bCs/>
          <w:sz w:val="28"/>
          <w:szCs w:val="28"/>
          <w:highlight w:val="none"/>
          <w:lang w:eastAsia="zh-CN"/>
        </w:rPr>
        <w:t>日，</w:t>
      </w:r>
      <w:r>
        <w:rPr>
          <w:rFonts w:hint="eastAsia" w:ascii="仿宋_GB2312" w:hAnsi="仿宋_GB2312" w:eastAsia="仿宋_GB2312" w:cs="仿宋_GB2312"/>
          <w:bCs/>
          <w:sz w:val="28"/>
          <w:szCs w:val="28"/>
          <w:highlight w:val="none"/>
          <w:lang w:val="en-US" w:eastAsia="zh-CN"/>
        </w:rPr>
        <w:t>根据《评估委托书》本次估价设定</w:t>
      </w:r>
      <w:r>
        <w:rPr>
          <w:rFonts w:hint="eastAsia" w:ascii="仿宋_GB2312" w:hAnsi="仿宋_GB2312" w:eastAsia="仿宋_GB2312" w:cs="仿宋_GB2312"/>
          <w:bCs/>
          <w:sz w:val="28"/>
          <w:szCs w:val="28"/>
          <w:highlight w:val="none"/>
          <w:lang w:eastAsia="zh-CN"/>
        </w:rPr>
        <w:t>估价期日为2026年</w:t>
      </w:r>
      <w:r>
        <w:rPr>
          <w:rFonts w:hint="eastAsia" w:ascii="仿宋_GB2312" w:hAnsi="仿宋_GB2312" w:eastAsia="仿宋_GB2312" w:cs="仿宋_GB2312"/>
          <w:bCs/>
          <w:sz w:val="28"/>
          <w:szCs w:val="28"/>
          <w:highlight w:val="none"/>
          <w:lang w:val="en-US" w:eastAsia="zh-CN"/>
        </w:rPr>
        <w:t>5</w:t>
      </w:r>
      <w:r>
        <w:rPr>
          <w:rFonts w:hint="eastAsia" w:ascii="仿宋_GB2312" w:hAnsi="仿宋_GB2312" w:eastAsia="仿宋_GB2312" w:cs="仿宋_GB2312"/>
          <w:bCs/>
          <w:sz w:val="28"/>
          <w:szCs w:val="28"/>
          <w:highlight w:val="none"/>
          <w:lang w:eastAsia="zh-CN"/>
        </w:rPr>
        <w:t>月1</w:t>
      </w:r>
      <w:r>
        <w:rPr>
          <w:rFonts w:hint="eastAsia" w:ascii="仿宋_GB2312" w:hAnsi="仿宋_GB2312" w:eastAsia="仿宋_GB2312" w:cs="仿宋_GB2312"/>
          <w:bCs/>
          <w:sz w:val="28"/>
          <w:szCs w:val="28"/>
          <w:highlight w:val="none"/>
          <w:lang w:val="en-US" w:eastAsia="zh-CN"/>
        </w:rPr>
        <w:t>8</w:t>
      </w:r>
      <w:r>
        <w:rPr>
          <w:rFonts w:hint="eastAsia" w:ascii="仿宋_GB2312" w:hAnsi="仿宋_GB2312" w:eastAsia="仿宋_GB2312" w:cs="仿宋_GB2312"/>
          <w:bCs/>
          <w:sz w:val="28"/>
          <w:szCs w:val="28"/>
          <w:highlight w:val="none"/>
          <w:lang w:eastAsia="zh-CN"/>
        </w:rPr>
        <w:t>日。</w:t>
      </w:r>
    </w:p>
    <w:p w14:paraId="58046563">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2.土地用途的设定</w:t>
      </w:r>
    </w:p>
    <w:p w14:paraId="33E3160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auto"/>
          <w:sz w:val="28"/>
          <w:szCs w:val="28"/>
          <w:highlight w:val="none"/>
          <w:lang w:val="en-US" w:eastAsia="zh-CN"/>
        </w:rPr>
        <w:t>土地用途的设定：</w:t>
      </w:r>
      <w:r>
        <w:rPr>
          <w:rFonts w:hint="default" w:ascii="仿宋_GB2312" w:hAnsi="仿宋_GB2312" w:eastAsia="仿宋_GB2312" w:cs="仿宋_GB2312"/>
          <w:bCs/>
          <w:color w:val="auto"/>
          <w:sz w:val="28"/>
          <w:szCs w:val="28"/>
          <w:highlight w:val="none"/>
          <w:lang w:val="en-GB" w:eastAsia="zh-CN"/>
        </w:rPr>
        <w:t>根据</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评估委托书</w:t>
      </w:r>
      <w:r>
        <w:rPr>
          <w:rFonts w:hint="eastAsia" w:ascii="仿宋_GB2312" w:hAnsi="仿宋_GB2312" w:eastAsia="仿宋_GB2312" w:cs="仿宋_GB2312"/>
          <w:bCs/>
          <w:color w:val="auto"/>
          <w:sz w:val="28"/>
          <w:szCs w:val="28"/>
          <w:highlight w:val="none"/>
          <w:lang w:val="en-GB" w:eastAsia="zh-CN"/>
        </w:rPr>
        <w:t>》</w:t>
      </w:r>
      <w:r>
        <w:rPr>
          <w:rFonts w:hint="default" w:ascii="仿宋_GB2312" w:hAnsi="仿宋_GB2312" w:eastAsia="仿宋_GB2312" w:cs="仿宋_GB2312"/>
          <w:bCs/>
          <w:color w:val="auto"/>
          <w:sz w:val="28"/>
          <w:szCs w:val="28"/>
          <w:highlight w:val="none"/>
          <w:lang w:val="en-GB" w:eastAsia="zh-CN"/>
        </w:rPr>
        <w:t>，估价对象</w:t>
      </w:r>
      <w:r>
        <w:rPr>
          <w:rFonts w:hint="eastAsia" w:ascii="仿宋_GB2312" w:hAnsi="仿宋_GB2312" w:eastAsia="仿宋_GB2312" w:cs="仿宋_GB2312"/>
          <w:bCs/>
          <w:color w:val="auto"/>
          <w:sz w:val="28"/>
          <w:szCs w:val="28"/>
          <w:highlight w:val="none"/>
          <w:lang w:val="en-GB" w:eastAsia="zh-CN"/>
        </w:rPr>
        <w:t>土地用途为</w:t>
      </w:r>
      <w:r>
        <w:rPr>
          <w:rFonts w:hint="eastAsia" w:ascii="仿宋_GB2312" w:hAnsi="仿宋_GB2312" w:eastAsia="仿宋_GB2312" w:cs="仿宋_GB2312"/>
          <w:bCs/>
          <w:color w:val="auto"/>
          <w:sz w:val="28"/>
          <w:szCs w:val="28"/>
          <w:highlight w:val="none"/>
          <w:lang w:val="en-US" w:eastAsia="zh-CN"/>
        </w:rPr>
        <w:t>住宅用地</w:t>
      </w:r>
      <w:r>
        <w:rPr>
          <w:rFonts w:hint="default" w:ascii="仿宋_GB2312" w:hAnsi="仿宋_GB2312" w:eastAsia="仿宋_GB2312" w:cs="仿宋_GB2312"/>
          <w:bCs/>
          <w:color w:val="auto"/>
          <w:sz w:val="28"/>
          <w:szCs w:val="28"/>
          <w:highlight w:val="none"/>
          <w:lang w:val="en-GB" w:eastAsia="zh-CN"/>
        </w:rPr>
        <w:t>。估价对象现状用途为住宅</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所处宗地有一栋混合结构住宅，</w:t>
      </w:r>
      <w:r>
        <w:rPr>
          <w:rFonts w:hint="eastAsia" w:ascii="仿宋_GB2312" w:hAnsi="仿宋_GB2312" w:eastAsia="仿宋_GB2312" w:cs="仿宋_GB2312"/>
          <w:bCs/>
          <w:color w:val="auto"/>
          <w:sz w:val="28"/>
          <w:szCs w:val="28"/>
          <w:highlight w:val="none"/>
          <w:lang w:val="en-GB" w:eastAsia="zh-CN"/>
        </w:rPr>
        <w:t>对照《城市用地分类与规划建设用地标准》（GB50137-2011），结合《土地利用现状分类》（GB/T 21010-2017），此次评估设定估价对象土地用途为住宅用地</w:t>
      </w:r>
      <w:r>
        <w:rPr>
          <w:rFonts w:hint="eastAsia" w:ascii="仿宋_GB2312" w:hAnsi="仿宋_GB2312" w:eastAsia="仿宋_GB2312" w:cs="仿宋_GB2312"/>
          <w:bCs/>
          <w:sz w:val="28"/>
          <w:szCs w:val="28"/>
          <w:highlight w:val="none"/>
          <w:lang w:eastAsia="zh-CN"/>
        </w:rPr>
        <w:t>。</w:t>
      </w:r>
    </w:p>
    <w:p w14:paraId="7829BA34">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3.土地使用权类型</w:t>
      </w:r>
      <w:r>
        <w:rPr>
          <w:rFonts w:hint="eastAsia" w:ascii="仿宋_GB2312" w:hAnsi="仿宋_GB2312" w:eastAsia="仿宋_GB2312" w:cs="仿宋_GB2312"/>
          <w:bCs/>
          <w:sz w:val="28"/>
          <w:szCs w:val="28"/>
          <w:highlight w:val="none"/>
          <w:lang w:val="en-US" w:eastAsia="zh-CN"/>
        </w:rPr>
        <w:t>的</w:t>
      </w:r>
      <w:r>
        <w:rPr>
          <w:rFonts w:hint="eastAsia" w:ascii="仿宋_GB2312" w:hAnsi="仿宋_GB2312" w:eastAsia="仿宋_GB2312" w:cs="仿宋_GB2312"/>
          <w:bCs/>
          <w:sz w:val="28"/>
          <w:szCs w:val="28"/>
          <w:highlight w:val="none"/>
          <w:lang w:eastAsia="zh-CN"/>
        </w:rPr>
        <w:t>设定</w:t>
      </w:r>
    </w:p>
    <w:p w14:paraId="1A331AA1">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default" w:ascii="仿宋_GB2312" w:hAnsi="仿宋_GB2312" w:eastAsia="仿宋_GB2312" w:cs="仿宋_GB2312"/>
          <w:bCs/>
          <w:color w:val="auto"/>
          <w:sz w:val="28"/>
          <w:szCs w:val="28"/>
          <w:highlight w:val="none"/>
          <w:lang w:val="en-US" w:eastAsia="zh-CN"/>
        </w:rPr>
        <w:t>根据委托方提供的估价对象</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评估委托书</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和道县集中化解房地产办证信访突出问题工作领导小组办公室出具的《土地权属及性质证明》（2026年5月19日）</w:t>
      </w:r>
      <w:r>
        <w:rPr>
          <w:rFonts w:hint="default" w:ascii="仿宋_GB2312" w:hAnsi="仿宋_GB2312" w:eastAsia="仿宋_GB2312" w:cs="仿宋_GB2312"/>
          <w:bCs/>
          <w:color w:val="auto"/>
          <w:sz w:val="28"/>
          <w:szCs w:val="28"/>
          <w:highlight w:val="none"/>
          <w:lang w:val="en-US" w:eastAsia="zh-CN"/>
        </w:rPr>
        <w:t>，估价对象土地使用权类型为</w:t>
      </w:r>
      <w:r>
        <w:rPr>
          <w:rFonts w:hint="eastAsia" w:ascii="仿宋_GB2312" w:hAnsi="仿宋_GB2312" w:eastAsia="仿宋_GB2312" w:cs="仿宋_GB2312"/>
          <w:bCs/>
          <w:color w:val="auto"/>
          <w:sz w:val="28"/>
          <w:szCs w:val="28"/>
          <w:highlight w:val="none"/>
          <w:lang w:val="en-US" w:eastAsia="zh-CN"/>
        </w:rPr>
        <w:t>国有划拨</w:t>
      </w:r>
      <w:r>
        <w:rPr>
          <w:rFonts w:hint="default" w:ascii="仿宋_GB2312" w:hAnsi="仿宋_GB2312" w:eastAsia="仿宋_GB2312" w:cs="仿宋_GB2312"/>
          <w:bCs/>
          <w:color w:val="auto"/>
          <w:sz w:val="28"/>
          <w:szCs w:val="28"/>
          <w:highlight w:val="none"/>
          <w:lang w:val="en-US" w:eastAsia="zh-CN"/>
        </w:rPr>
        <w:t>，委托方拟按现状利用条件为其办理土地使用权出让手续，根据此次评估目的，设定估价对象土地使用权类型为出让</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59E136C6">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4.土地使用年期的设定</w:t>
      </w:r>
    </w:p>
    <w:p w14:paraId="0949C9EB">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sz w:val="28"/>
          <w:szCs w:val="28"/>
          <w:highlight w:val="none"/>
          <w:lang w:val="en-US" w:eastAsia="zh-CN"/>
        </w:rPr>
        <w:t>根据《中华人民共和国城镇国有土地使用权出让和转让暂行条例》（1990年5月19日国务院令第55号）规定，</w:t>
      </w:r>
      <w:r>
        <w:rPr>
          <w:rFonts w:hint="eastAsia" w:ascii="仿宋_GB2312" w:hAnsi="仿宋_GB2312" w:eastAsia="仿宋_GB2312" w:cs="仿宋_GB2312"/>
          <w:bCs/>
          <w:sz w:val="28"/>
          <w:szCs w:val="28"/>
          <w:highlight w:val="none"/>
          <w:lang w:eastAsia="zh-CN"/>
        </w:rPr>
        <w:t>土地使用权出让最高年限为</w:t>
      </w:r>
      <w:r>
        <w:rPr>
          <w:rFonts w:hint="eastAsia" w:ascii="仿宋_GB2312" w:hAnsi="仿宋_GB2312" w:eastAsia="仿宋_GB2312" w:cs="仿宋_GB2312"/>
          <w:bCs/>
          <w:sz w:val="28"/>
          <w:szCs w:val="28"/>
          <w:highlight w:val="none"/>
          <w:lang w:val="en-US" w:eastAsia="zh-CN"/>
        </w:rPr>
        <w:t>住宅</w:t>
      </w:r>
      <w:r>
        <w:rPr>
          <w:rFonts w:hint="eastAsia" w:ascii="仿宋_GB2312" w:hAnsi="仿宋_GB2312" w:eastAsia="仿宋_GB2312" w:cs="仿宋_GB2312"/>
          <w:bCs/>
          <w:sz w:val="28"/>
          <w:szCs w:val="28"/>
          <w:highlight w:val="none"/>
          <w:lang w:eastAsia="zh-CN"/>
        </w:rPr>
        <w:t>用地</w:t>
      </w:r>
      <w:r>
        <w:rPr>
          <w:rFonts w:hint="eastAsia" w:ascii="仿宋_GB2312" w:hAnsi="仿宋_GB2312" w:eastAsia="仿宋_GB2312" w:cs="仿宋_GB2312"/>
          <w:bCs/>
          <w:sz w:val="28"/>
          <w:szCs w:val="28"/>
          <w:highlight w:val="none"/>
          <w:lang w:val="en-US" w:eastAsia="zh-CN"/>
        </w:rPr>
        <w:t>70</w:t>
      </w:r>
      <w:r>
        <w:rPr>
          <w:rFonts w:hint="eastAsia" w:ascii="仿宋_GB2312" w:hAnsi="仿宋_GB2312" w:eastAsia="仿宋_GB2312" w:cs="仿宋_GB2312"/>
          <w:bCs/>
          <w:sz w:val="28"/>
          <w:szCs w:val="28"/>
          <w:highlight w:val="none"/>
          <w:lang w:eastAsia="zh-CN"/>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本次评估根据《评估委托书》约定和估价目的，设定土地使用权年限为住宅用地70年。</w:t>
      </w:r>
    </w:p>
    <w:p w14:paraId="4AD950FE">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5.土地开发程度的设定</w:t>
      </w:r>
    </w:p>
    <w:p w14:paraId="1A4664D3">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根据土地估价师实地勘查，估价对象于估价期日2026年</w:t>
      </w:r>
      <w:r>
        <w:rPr>
          <w:rFonts w:hint="eastAsia" w:ascii="仿宋_GB2312" w:hAnsi="仿宋_GB2312" w:eastAsia="仿宋_GB2312" w:cs="仿宋_GB2312"/>
          <w:bCs/>
          <w:sz w:val="28"/>
          <w:szCs w:val="28"/>
          <w:highlight w:val="none"/>
          <w:lang w:val="en-US" w:eastAsia="zh-CN"/>
        </w:rPr>
        <w:t>5</w:t>
      </w:r>
      <w:r>
        <w:rPr>
          <w:rFonts w:hint="eastAsia" w:ascii="仿宋_GB2312" w:hAnsi="仿宋_GB2312" w:eastAsia="仿宋_GB2312" w:cs="仿宋_GB2312"/>
          <w:bCs/>
          <w:sz w:val="28"/>
          <w:szCs w:val="28"/>
          <w:highlight w:val="none"/>
          <w:lang w:eastAsia="zh-CN"/>
        </w:rPr>
        <w:t>月1</w:t>
      </w:r>
      <w:r>
        <w:rPr>
          <w:rFonts w:hint="eastAsia" w:ascii="仿宋_GB2312" w:hAnsi="仿宋_GB2312" w:eastAsia="仿宋_GB2312" w:cs="仿宋_GB2312"/>
          <w:bCs/>
          <w:sz w:val="28"/>
          <w:szCs w:val="28"/>
          <w:highlight w:val="none"/>
          <w:lang w:val="en-US" w:eastAsia="zh-CN"/>
        </w:rPr>
        <w:t>8</w:t>
      </w:r>
      <w:r>
        <w:rPr>
          <w:rFonts w:hint="eastAsia" w:ascii="仿宋_GB2312" w:hAnsi="仿宋_GB2312" w:eastAsia="仿宋_GB2312" w:cs="仿宋_GB2312"/>
          <w:bCs/>
          <w:sz w:val="28"/>
          <w:szCs w:val="28"/>
          <w:highlight w:val="none"/>
          <w:lang w:eastAsia="zh-CN"/>
        </w:rPr>
        <w:t>日实际开发程度为宗地红线外“五通”（即通路、通电、供水、排水、通讯），宗地红线内场地平整。结合估价目的及实际情况，本次评估设定土地开发程度为宗地红线外“五通”（即通路、通电、供水、排水、通讯），宗地红线内场地平整。</w:t>
      </w:r>
    </w:p>
    <w:p w14:paraId="7EED22E6">
      <w:pPr>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val="en-US" w:eastAsia="zh-CN"/>
        </w:rPr>
        <w:t>6.土地</w:t>
      </w:r>
      <w:r>
        <w:rPr>
          <w:rFonts w:hint="eastAsia" w:ascii="仿宋_GB2312" w:hAnsi="仿宋_GB2312" w:eastAsia="仿宋_GB2312" w:cs="仿宋_GB2312"/>
          <w:bCs/>
          <w:sz w:val="28"/>
          <w:szCs w:val="28"/>
          <w:highlight w:val="none"/>
          <w:lang w:eastAsia="zh-CN"/>
        </w:rPr>
        <w:t>利用条件的设定</w:t>
      </w:r>
    </w:p>
    <w:p w14:paraId="14F7919A">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highlight w:val="none"/>
          <w:lang w:eastAsia="zh-CN"/>
        </w:rPr>
      </w:pPr>
      <w:r>
        <w:rPr>
          <w:rFonts w:hint="eastAsia" w:ascii="仿宋_GB2312" w:hAnsi="仿宋_GB2312" w:eastAsia="仿宋_GB2312" w:cs="仿宋_GB2312"/>
          <w:bCs/>
          <w:color w:val="auto"/>
          <w:sz w:val="28"/>
          <w:szCs w:val="28"/>
          <w:highlight w:val="none"/>
          <w:lang w:val="en-GB" w:eastAsia="zh-CN"/>
        </w:rPr>
        <w:t>经估价人员现场查勘，估价对象为已建成用地，地上有一栋</w:t>
      </w:r>
      <w:r>
        <w:rPr>
          <w:rFonts w:hint="eastAsia" w:ascii="仿宋_GB2312" w:hAnsi="仿宋_GB2312" w:eastAsia="仿宋_GB2312" w:cs="仿宋_GB2312"/>
          <w:bCs/>
          <w:color w:val="auto"/>
          <w:sz w:val="28"/>
          <w:szCs w:val="28"/>
          <w:highlight w:val="none"/>
          <w:lang w:val="en-US" w:eastAsia="zh-CN"/>
        </w:rPr>
        <w:t>5层</w:t>
      </w:r>
      <w:r>
        <w:rPr>
          <w:rFonts w:hint="eastAsia" w:ascii="仿宋_GB2312" w:hAnsi="仿宋_GB2312" w:eastAsia="仿宋_GB2312" w:cs="仿宋_GB2312"/>
          <w:bCs/>
          <w:color w:val="auto"/>
          <w:sz w:val="28"/>
          <w:szCs w:val="28"/>
          <w:highlight w:val="none"/>
          <w:lang w:val="en-GB" w:eastAsia="zh-CN"/>
        </w:rPr>
        <w:t>住宅楼。</w:t>
      </w:r>
      <w:r>
        <w:rPr>
          <w:rFonts w:hint="default" w:ascii="仿宋_GB2312" w:hAnsi="仿宋_GB2312" w:eastAsia="仿宋_GB2312" w:cs="仿宋_GB2312"/>
          <w:bCs/>
          <w:color w:val="auto"/>
          <w:sz w:val="28"/>
          <w:szCs w:val="28"/>
          <w:highlight w:val="none"/>
          <w:lang w:val="en-GB" w:eastAsia="zh-CN"/>
        </w:rPr>
        <w:t>根据</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评估委托书</w:t>
      </w:r>
      <w:r>
        <w:rPr>
          <w:rFonts w:hint="eastAsia" w:ascii="仿宋_GB2312" w:hAnsi="仿宋_GB2312" w:eastAsia="仿宋_GB2312" w:cs="仿宋_GB2312"/>
          <w:bCs/>
          <w:color w:val="auto"/>
          <w:sz w:val="28"/>
          <w:szCs w:val="28"/>
          <w:highlight w:val="none"/>
          <w:lang w:val="en-GB" w:eastAsia="zh-CN"/>
        </w:rPr>
        <w:t>》</w:t>
      </w:r>
      <w:r>
        <w:rPr>
          <w:rFonts w:hint="default" w:ascii="仿宋_GB2312" w:hAnsi="仿宋_GB2312" w:eastAsia="仿宋_GB2312" w:cs="仿宋_GB2312"/>
          <w:bCs/>
          <w:color w:val="auto"/>
          <w:sz w:val="28"/>
          <w:szCs w:val="28"/>
          <w:highlight w:val="none"/>
          <w:lang w:val="en-GB" w:eastAsia="zh-CN"/>
        </w:rPr>
        <w:t>，委托方拟按估价对象现状使用条件进行出让</w:t>
      </w:r>
      <w:r>
        <w:rPr>
          <w:rFonts w:hint="eastAsia" w:ascii="仿宋_GB2312" w:hAnsi="仿宋_GB2312" w:eastAsia="仿宋_GB2312" w:cs="仿宋_GB2312"/>
          <w:bCs/>
          <w:color w:val="auto"/>
          <w:sz w:val="28"/>
          <w:szCs w:val="28"/>
          <w:highlight w:val="none"/>
          <w:lang w:val="en-GB" w:eastAsia="zh-CN"/>
        </w:rPr>
        <w:t>。</w:t>
      </w:r>
      <w:r>
        <w:rPr>
          <w:rFonts w:hint="default" w:ascii="仿宋_GB2312" w:hAnsi="仿宋_GB2312" w:eastAsia="仿宋_GB2312" w:cs="仿宋_GB2312"/>
          <w:bCs/>
          <w:color w:val="auto"/>
          <w:sz w:val="28"/>
          <w:szCs w:val="28"/>
          <w:highlight w:val="none"/>
          <w:lang w:val="en-GB" w:eastAsia="zh-CN"/>
        </w:rPr>
        <w:t>根据委托方提供的估价对象</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户室面积对照表</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和</w:t>
      </w:r>
      <w:r>
        <w:rPr>
          <w:rFonts w:hint="eastAsia" w:ascii="仿宋_GB2312" w:hAnsi="仿宋_GB2312" w:eastAsia="仿宋_GB2312" w:cs="仿宋_GB2312"/>
          <w:bCs/>
          <w:color w:val="auto"/>
          <w:sz w:val="28"/>
          <w:szCs w:val="28"/>
          <w:highlight w:val="none"/>
          <w:lang w:val="en-GB" w:eastAsia="zh-CN"/>
        </w:rPr>
        <w:t>《土地分摊表》，</w:t>
      </w:r>
      <w:r>
        <w:rPr>
          <w:rFonts w:hint="default" w:ascii="仿宋_GB2312" w:hAnsi="仿宋_GB2312" w:eastAsia="仿宋_GB2312" w:cs="仿宋_GB2312"/>
          <w:bCs/>
          <w:color w:val="auto"/>
          <w:sz w:val="28"/>
          <w:szCs w:val="28"/>
          <w:highlight w:val="none"/>
          <w:lang w:val="en-GB" w:eastAsia="zh-CN"/>
        </w:rPr>
        <w:t>估价对象建筑</w:t>
      </w:r>
      <w:r>
        <w:rPr>
          <w:rFonts w:hint="eastAsia" w:ascii="仿宋_GB2312" w:hAnsi="仿宋_GB2312" w:eastAsia="仿宋_GB2312" w:cs="仿宋_GB2312"/>
          <w:bCs/>
          <w:color w:val="auto"/>
          <w:sz w:val="28"/>
          <w:szCs w:val="28"/>
          <w:highlight w:val="none"/>
          <w:lang w:val="en-US" w:eastAsia="zh-CN"/>
        </w:rPr>
        <w:t>总</w:t>
      </w:r>
      <w:r>
        <w:rPr>
          <w:rFonts w:hint="default" w:ascii="仿宋_GB2312" w:hAnsi="仿宋_GB2312" w:eastAsia="仿宋_GB2312" w:cs="仿宋_GB2312"/>
          <w:bCs/>
          <w:color w:val="auto"/>
          <w:sz w:val="28"/>
          <w:szCs w:val="28"/>
          <w:highlight w:val="none"/>
          <w:lang w:val="en-GB" w:eastAsia="zh-CN"/>
        </w:rPr>
        <w:t>面积为</w:t>
      </w:r>
      <w:r>
        <w:rPr>
          <w:rFonts w:hint="eastAsia" w:ascii="仿宋_GB2312" w:hAnsi="仿宋_GB2312" w:eastAsia="仿宋_GB2312" w:cs="仿宋_GB2312"/>
          <w:bCs/>
          <w:color w:val="auto"/>
          <w:sz w:val="28"/>
          <w:szCs w:val="28"/>
          <w:highlight w:val="none"/>
          <w:lang w:val="en-US" w:eastAsia="zh-CN"/>
        </w:rPr>
        <w:t>73.415平方米</w:t>
      </w:r>
      <w:r>
        <w:rPr>
          <w:rFonts w:hint="default" w:ascii="仿宋_GB2312" w:hAnsi="仿宋_GB2312" w:eastAsia="仿宋_GB2312" w:cs="仿宋_GB2312"/>
          <w:bCs/>
          <w:color w:val="auto"/>
          <w:sz w:val="28"/>
          <w:szCs w:val="28"/>
          <w:highlight w:val="none"/>
          <w:lang w:val="en-GB" w:eastAsia="zh-CN"/>
        </w:rPr>
        <w:t>，估价对象分摊土地面积为</w:t>
      </w:r>
      <w:r>
        <w:rPr>
          <w:rFonts w:hint="eastAsia" w:ascii="仿宋_GB2312" w:hAnsi="仿宋_GB2312" w:eastAsia="仿宋_GB2312" w:cs="仿宋_GB2312"/>
          <w:bCs/>
          <w:color w:val="auto"/>
          <w:sz w:val="28"/>
          <w:szCs w:val="28"/>
          <w:highlight w:val="none"/>
          <w:lang w:val="en-US" w:eastAsia="zh-CN"/>
        </w:rPr>
        <w:t>15.2平方米</w:t>
      </w:r>
      <w:r>
        <w:rPr>
          <w:rFonts w:hint="default" w:ascii="仿宋_GB2312" w:hAnsi="仿宋_GB2312" w:eastAsia="仿宋_GB2312" w:cs="仿宋_GB2312"/>
          <w:bCs/>
          <w:color w:val="auto"/>
          <w:sz w:val="28"/>
          <w:szCs w:val="28"/>
          <w:highlight w:val="none"/>
          <w:lang w:val="en-GB" w:eastAsia="zh-CN"/>
        </w:rPr>
        <w:t>，则估价对象现状容积率</w:t>
      </w:r>
      <w:r>
        <w:rPr>
          <w:rFonts w:hint="eastAsia" w:ascii="仿宋_GB2312" w:hAnsi="仿宋_GB2312" w:eastAsia="仿宋_GB2312" w:cs="仿宋_GB2312"/>
          <w:bCs/>
          <w:color w:val="auto"/>
          <w:sz w:val="28"/>
          <w:szCs w:val="28"/>
          <w:highlight w:val="none"/>
          <w:lang w:val="en-GB" w:eastAsia="zh-CN"/>
        </w:rPr>
        <w:t>为</w:t>
      </w:r>
      <w:r>
        <w:rPr>
          <w:rFonts w:hint="eastAsia" w:ascii="仿宋_GB2312" w:hAnsi="仿宋_GB2312" w:eastAsia="仿宋_GB2312" w:cs="仿宋_GB2312"/>
          <w:bCs/>
          <w:color w:val="auto"/>
          <w:sz w:val="28"/>
          <w:szCs w:val="28"/>
          <w:highlight w:val="none"/>
          <w:lang w:val="en-US" w:eastAsia="zh-CN"/>
        </w:rPr>
        <w:t>4.83</w:t>
      </w:r>
      <w:r>
        <w:rPr>
          <w:rFonts w:hint="default" w:ascii="仿宋_GB2312" w:hAnsi="仿宋_GB2312" w:eastAsia="仿宋_GB2312" w:cs="仿宋_GB2312"/>
          <w:bCs/>
          <w:color w:val="auto"/>
          <w:sz w:val="28"/>
          <w:szCs w:val="28"/>
          <w:highlight w:val="none"/>
          <w:lang w:val="en-GB" w:eastAsia="zh-CN"/>
        </w:rPr>
        <w:t>。本次评估设定土地容积率</w:t>
      </w:r>
      <w:r>
        <w:rPr>
          <w:rFonts w:hint="eastAsia" w:ascii="仿宋_GB2312" w:hAnsi="仿宋_GB2312" w:eastAsia="仿宋_GB2312" w:cs="仿宋_GB2312"/>
          <w:bCs/>
          <w:color w:val="auto"/>
          <w:sz w:val="28"/>
          <w:szCs w:val="28"/>
          <w:highlight w:val="none"/>
          <w:lang w:val="en-GB" w:eastAsia="zh-CN"/>
        </w:rPr>
        <w:t>为</w:t>
      </w:r>
      <w:r>
        <w:rPr>
          <w:rFonts w:hint="eastAsia" w:ascii="仿宋_GB2312" w:hAnsi="仿宋_GB2312" w:eastAsia="仿宋_GB2312" w:cs="仿宋_GB2312"/>
          <w:bCs/>
          <w:color w:val="auto"/>
          <w:sz w:val="28"/>
          <w:szCs w:val="28"/>
          <w:highlight w:val="none"/>
          <w:lang w:val="en-US" w:eastAsia="zh-CN"/>
        </w:rPr>
        <w:t>4.83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345A06A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7.价格类型的设定</w:t>
      </w:r>
    </w:p>
    <w:p w14:paraId="495CD953">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根据委托方提供的资料及估价人员调查所获取的资料，估价对象为国有出让建设用地使用权，未设立抵押权、租赁权、地役权、地上权等附加权利。本次评估设定估价对象为未设立抵押权、租赁权、地役权、地上权等附加权利下的国有建设用地使用权。</w:t>
      </w:r>
    </w:p>
    <w:p w14:paraId="356927CE">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Cs/>
          <w:sz w:val="28"/>
          <w:szCs w:val="28"/>
          <w:highlight w:val="none"/>
          <w:lang w:eastAsia="zh-CN"/>
        </w:rPr>
        <w:t>综上所述，</w:t>
      </w:r>
      <w:r>
        <w:rPr>
          <w:rFonts w:hint="eastAsia" w:ascii="仿宋_GB2312" w:hAnsi="仿宋_GB2312" w:eastAsia="仿宋_GB2312" w:cs="仿宋_GB2312"/>
          <w:color w:val="auto"/>
          <w:sz w:val="28"/>
          <w:highlight w:val="none"/>
          <w:lang w:val="en-US" w:eastAsia="zh-CN"/>
        </w:rPr>
        <w:t>本次估价的地价内涵是指：估价对象在公开市场条件下，于估价期日2026年5月18日，土地面积</w:t>
      </w:r>
      <w:r>
        <w:rPr>
          <w:rFonts w:hint="eastAsia" w:ascii="仿宋_GB2312" w:hAnsi="仿宋_GB2312" w:eastAsia="仿宋_GB2312" w:cs="仿宋_GB2312"/>
          <w:bCs/>
          <w:sz w:val="28"/>
          <w:szCs w:val="28"/>
          <w:highlight w:val="none"/>
          <w:lang w:val="en-US" w:eastAsia="zh-CN"/>
        </w:rPr>
        <w:t>15.2平方米，</w:t>
      </w:r>
      <w:r>
        <w:rPr>
          <w:rFonts w:hint="eastAsia" w:ascii="仿宋_GB2312" w:hAnsi="仿宋_GB2312" w:eastAsia="仿宋_GB2312" w:cs="仿宋_GB2312"/>
          <w:color w:val="auto"/>
          <w:sz w:val="28"/>
          <w:highlight w:val="none"/>
          <w:lang w:val="en-US" w:eastAsia="zh-CN"/>
        </w:rPr>
        <w:t>土地用途设定为住宅用地，出让使用年期为</w:t>
      </w:r>
      <w:r>
        <w:rPr>
          <w:rFonts w:hint="eastAsia" w:ascii="仿宋_GB2312" w:hAnsi="仿宋_GB2312" w:eastAsia="仿宋_GB2312" w:cs="仿宋_GB2312"/>
          <w:bCs/>
          <w:sz w:val="28"/>
          <w:szCs w:val="28"/>
          <w:highlight w:val="none"/>
          <w:lang w:val="en-US" w:eastAsia="zh-CN"/>
        </w:rPr>
        <w:t>住宅</w:t>
      </w:r>
      <w:r>
        <w:rPr>
          <w:rFonts w:hint="eastAsia" w:ascii="仿宋_GB2312" w:hAnsi="仿宋_GB2312" w:eastAsia="仿宋_GB2312" w:cs="仿宋_GB2312"/>
          <w:bCs/>
          <w:sz w:val="28"/>
          <w:szCs w:val="28"/>
          <w:highlight w:val="none"/>
          <w:lang w:eastAsia="zh-CN"/>
        </w:rPr>
        <w:t>用地</w:t>
      </w:r>
      <w:r>
        <w:rPr>
          <w:rFonts w:hint="eastAsia" w:ascii="仿宋_GB2312" w:hAnsi="仿宋_GB2312" w:eastAsia="仿宋_GB2312" w:cs="仿宋_GB2312"/>
          <w:bCs/>
          <w:sz w:val="28"/>
          <w:szCs w:val="28"/>
          <w:highlight w:val="none"/>
          <w:lang w:val="en-US" w:eastAsia="zh-CN"/>
        </w:rPr>
        <w:t>70</w:t>
      </w:r>
      <w:r>
        <w:rPr>
          <w:rFonts w:hint="eastAsia" w:ascii="仿宋_GB2312" w:hAnsi="仿宋_GB2312" w:eastAsia="仿宋_GB2312" w:cs="仿宋_GB2312"/>
          <w:bCs/>
          <w:sz w:val="28"/>
          <w:szCs w:val="28"/>
          <w:highlight w:val="none"/>
          <w:lang w:eastAsia="zh-CN"/>
        </w:rPr>
        <w:t>年</w:t>
      </w:r>
      <w:r>
        <w:rPr>
          <w:rFonts w:hint="eastAsia" w:ascii="仿宋_GB2312" w:hAnsi="仿宋_GB2312" w:eastAsia="仿宋_GB2312" w:cs="仿宋_GB2312"/>
          <w:color w:val="auto"/>
          <w:sz w:val="28"/>
          <w:highlight w:val="none"/>
          <w:lang w:val="en-US" w:eastAsia="zh-CN"/>
        </w:rPr>
        <w:t>，容积率为4.83，土地开发程度设定为</w:t>
      </w:r>
      <w:r>
        <w:rPr>
          <w:rFonts w:hint="eastAsia" w:ascii="仿宋_GB2312" w:hAnsi="仿宋_GB2312" w:eastAsia="仿宋_GB2312" w:cs="仿宋_GB2312"/>
          <w:bCs/>
          <w:sz w:val="28"/>
          <w:szCs w:val="28"/>
          <w:highlight w:val="none"/>
          <w:lang w:eastAsia="zh-CN"/>
        </w:rPr>
        <w:t>宗地红线外“五通”（即通路、通电、供水、排水、通讯），宗地红线内场地平整</w:t>
      </w:r>
      <w:r>
        <w:rPr>
          <w:rFonts w:hint="eastAsia" w:ascii="仿宋_GB2312" w:hAnsi="仿宋_GB2312" w:eastAsia="仿宋_GB2312" w:cs="仿宋_GB2312"/>
          <w:color w:val="auto"/>
          <w:sz w:val="28"/>
          <w:highlight w:val="none"/>
          <w:lang w:val="en-US" w:eastAsia="zh-CN"/>
        </w:rPr>
        <w:t>下的土地使用权市场价格。</w:t>
      </w:r>
    </w:p>
    <w:p w14:paraId="3AE09B90">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outlineLvl w:val="9"/>
        <w:rPr>
          <w:rFonts w:hint="eastAsia"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br w:type="page"/>
      </w:r>
    </w:p>
    <w:p w14:paraId="5EF160B7">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t>七、估价结果</w:t>
      </w:r>
    </w:p>
    <w:p w14:paraId="354B2AD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估价结论</w:t>
      </w:r>
    </w:p>
    <w:p w14:paraId="1E764E5D">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自然资源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委托评估的，位于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道县月岩西路</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的一宗国有土地，土地面积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15.2平方米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，于估价期日2026年5月18日，评估设定土地用途为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auto"/>
          <w:sz w:val="28"/>
          <w:szCs w:val="30"/>
          <w:highlight w:val="none"/>
          <w:lang w:val="en-US" w:eastAsia="zh-CN"/>
        </w:rPr>
        <w:t>土地使用权出让年期为住宅用地70年</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设定土地开发程度为宗地红线外“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”（即通路、通电、供水、排水、通讯）及红线内场地平整，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现状</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利用条件下的土地使用权出让价格如下（币种：人民币）：</w:t>
      </w:r>
    </w:p>
    <w:p w14:paraId="35F9A0ED">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宗地数量：共一宗</w:t>
      </w:r>
    </w:p>
    <w:p w14:paraId="7958C84D">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w:t>
      </w:r>
      <w:r>
        <w:rPr>
          <w:rFonts w:hint="eastAsia" w:ascii="仿宋_GB2312" w:eastAsia="仿宋_GB2312"/>
          <w:b/>
          <w:bCs/>
          <w:color w:val="000000" w:themeColor="text1"/>
          <w:sz w:val="28"/>
          <w:szCs w:val="22"/>
          <w:highlight w:val="none"/>
          <w14:textFill>
            <w14:solidFill>
              <w14:schemeClr w14:val="tx1"/>
            </w14:solidFill>
          </w14:textFill>
        </w:rPr>
        <w:t>土地</w:t>
      </w:r>
      <w:r>
        <w:rPr>
          <w:rFonts w:hint="eastAsia" w:ascii="仿宋_GB2312" w:eastAsia="仿宋_GB2312"/>
          <w:b/>
          <w:bCs/>
          <w:color w:val="000000" w:themeColor="text1"/>
          <w:sz w:val="28"/>
          <w:szCs w:val="22"/>
          <w:highlight w:val="none"/>
          <w:lang w:val="en-US" w:eastAsia="zh-CN"/>
          <w14:textFill>
            <w14:solidFill>
              <w14:schemeClr w14:val="tx1"/>
            </w14:solidFill>
          </w14:textFill>
        </w:rPr>
        <w:t>总</w:t>
      </w:r>
      <w:r>
        <w:rPr>
          <w:rFonts w:hint="eastAsia" w:ascii="仿宋_GB2312" w:eastAsia="仿宋_GB2312"/>
          <w:b/>
          <w:bCs/>
          <w:color w:val="000000" w:themeColor="text1"/>
          <w:sz w:val="28"/>
          <w:szCs w:val="22"/>
          <w:highlight w:val="none"/>
          <w14:textFill>
            <w14:solidFill>
              <w14:schemeClr w14:val="tx1"/>
            </w14:solidFill>
          </w14:textFill>
        </w:rPr>
        <w:t>面积：</w:t>
      </w:r>
      <w:r>
        <w:rPr>
          <w:rFonts w:hint="eastAsia" w:ascii="仿宋_GB2312" w:eastAsia="仿宋_GB2312"/>
          <w:b/>
          <w:bCs/>
          <w:color w:val="000000" w:themeColor="text1"/>
          <w:sz w:val="28"/>
          <w:szCs w:val="22"/>
          <w:highlight w:val="none"/>
          <w:lang w:val="en-US" w:eastAsia="zh-CN"/>
          <w14:textFill>
            <w14:solidFill>
              <w14:schemeClr w14:val="tx1"/>
            </w14:solidFill>
          </w14:textFill>
        </w:rPr>
        <w:t>15.2平方米</w:t>
      </w:r>
    </w:p>
    <w:p w14:paraId="34045D9F">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lang w:val="en-US"/>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估价对象土地单价：2511.0元/平方米</w:t>
      </w:r>
      <w:r>
        <w:rPr>
          <w:rFonts w:hint="eastAsia" w:ascii="仿宋" w:hAnsi="仿宋" w:eastAsia="仿宋"/>
          <w:b/>
          <w:bCs/>
          <w:sz w:val="28"/>
          <w:szCs w:val="28"/>
          <w:highlight w:val="none"/>
        </w:rPr>
        <w:t>（折合</w:t>
      </w:r>
      <w:r>
        <w:rPr>
          <w:rFonts w:hint="eastAsia" w:ascii="仿宋" w:hAnsi="仿宋" w:eastAsia="仿宋"/>
          <w:b/>
          <w:bCs/>
          <w:sz w:val="28"/>
          <w:szCs w:val="28"/>
          <w:highlight w:val="none"/>
          <w:lang w:val="en-US" w:eastAsia="zh-CN"/>
        </w:rPr>
        <w:t>167.4</w:t>
      </w:r>
      <w:r>
        <w:rPr>
          <w:rFonts w:hint="eastAsia" w:ascii="仿宋" w:hAnsi="仿宋" w:eastAsia="仿宋"/>
          <w:b/>
          <w:bCs/>
          <w:sz w:val="28"/>
          <w:szCs w:val="28"/>
          <w:highlight w:val="none"/>
        </w:rPr>
        <w:t>万元/亩）</w:t>
      </w:r>
    </w:p>
    <w:p w14:paraId="3E4E6D29">
      <w:pPr>
        <w:keepNext w:val="0"/>
        <w:keepLines w:val="0"/>
        <w:pageBreakBefore w:val="0"/>
        <w:widowControl w:val="0"/>
        <w:kinsoku/>
        <w:wordWrap/>
        <w:overflowPunct/>
        <w:topLinePunct w:val="0"/>
        <w:autoSpaceDE w:val="0"/>
        <w:autoSpaceDN w:val="0"/>
        <w:bidi w:val="0"/>
        <w:adjustRightInd w:val="0"/>
        <w:snapToGrid w:val="0"/>
        <w:spacing w:line="480" w:lineRule="exact"/>
        <w:ind w:left="0" w:leftChars="0" w:firstLine="562" w:firstLineChars="200"/>
        <w:textAlignment w:val="auto"/>
        <w:rPr>
          <w:rFonts w:hint="default"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估价对象楼面地价：519.88元/平方米</w:t>
      </w:r>
    </w:p>
    <w:p w14:paraId="659ED78B">
      <w:pPr>
        <w:keepNext w:val="0"/>
        <w:keepLines w:val="0"/>
        <w:pageBreakBefore w:val="0"/>
        <w:widowControl w:val="0"/>
        <w:kinsoku/>
        <w:wordWrap/>
        <w:overflowPunct/>
        <w:topLinePunct w:val="0"/>
        <w:autoSpaceDE w:val="0"/>
        <w:autoSpaceDN w:val="0"/>
        <w:bidi w:val="0"/>
        <w:adjustRightInd w:val="0"/>
        <w:snapToGrid w:val="0"/>
        <w:spacing w:line="480" w:lineRule="exact"/>
        <w:ind w:left="0" w:leftChars="0" w:firstLine="562" w:firstLineChars="200"/>
        <w:textAlignment w:val="auto"/>
        <w:rPr>
          <w:rFonts w:hint="eastAsia" w:ascii="仿宋_GB2312" w:eastAsia="仿宋_GB2312"/>
          <w:b/>
          <w:bCs/>
          <w:color w:val="000000" w:themeColor="text1"/>
          <w:sz w:val="28"/>
          <w:szCs w:val="22"/>
          <w:highlight w:val="none"/>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估计对象土地</w:t>
      </w:r>
      <w:r>
        <w:rPr>
          <w:rFonts w:hint="eastAsia" w:ascii="仿宋_GB2312" w:eastAsia="仿宋_GB2312"/>
          <w:b/>
          <w:bCs/>
          <w:color w:val="000000" w:themeColor="text1"/>
          <w:sz w:val="28"/>
          <w:szCs w:val="22"/>
          <w:highlight w:val="none"/>
          <w14:textFill>
            <w14:solidFill>
              <w14:schemeClr w14:val="tx1"/>
            </w14:solidFill>
          </w14:textFill>
        </w:rPr>
        <w:t>总价：</w:t>
      </w:r>
      <w:r>
        <w:rPr>
          <w:rFonts w:hint="eastAsia" w:ascii="仿宋_GB2312" w:eastAsia="仿宋_GB2312"/>
          <w:b/>
          <w:bCs/>
          <w:color w:val="000000" w:themeColor="text1"/>
          <w:sz w:val="28"/>
          <w:szCs w:val="22"/>
          <w:highlight w:val="none"/>
          <w:lang w:val="en-US" w:eastAsia="zh-CN"/>
          <w14:textFill>
            <w14:solidFill>
              <w14:schemeClr w14:val="tx1"/>
            </w14:solidFill>
          </w14:textFill>
        </w:rPr>
        <w:t>3.82</w:t>
      </w:r>
      <w:r>
        <w:rPr>
          <w:rFonts w:hint="eastAsia" w:ascii="仿宋_GB2312" w:eastAsia="仿宋_GB2312"/>
          <w:b/>
          <w:bCs/>
          <w:color w:val="000000" w:themeColor="text1"/>
          <w:sz w:val="28"/>
          <w:szCs w:val="22"/>
          <w:highlight w:val="none"/>
          <w14:textFill>
            <w14:solidFill>
              <w14:schemeClr w14:val="tx1"/>
            </w14:solidFill>
          </w14:textFill>
        </w:rPr>
        <w:t>万元</w:t>
      </w:r>
    </w:p>
    <w:p w14:paraId="4C32D361">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14:textFill>
            <w14:solidFill>
              <w14:schemeClr w14:val="tx1"/>
            </w14:solidFill>
          </w14:textFill>
        </w:rPr>
      </w:pPr>
      <w:r>
        <w:rPr>
          <w:rFonts w:hint="eastAsia" w:ascii="仿宋_GB2312" w:eastAsia="仿宋_GB2312"/>
          <w:b/>
          <w:bCs/>
          <w:color w:val="000000" w:themeColor="text1"/>
          <w:sz w:val="28"/>
          <w:szCs w:val="22"/>
          <w:highlight w:val="none"/>
          <w14:textFill>
            <w14:solidFill>
              <w14:schemeClr w14:val="tx1"/>
            </w14:solidFill>
          </w14:textFill>
        </w:rPr>
        <w:t>大写：人民币</w:t>
      </w:r>
      <w:r>
        <w:rPr>
          <w:rFonts w:hint="eastAsia" w:ascii="仿宋_GB2312" w:eastAsia="仿宋_GB2312"/>
          <w:b/>
          <w:bCs/>
          <w:color w:val="000000" w:themeColor="text1"/>
          <w:sz w:val="28"/>
          <w:szCs w:val="22"/>
          <w:highlight w:val="none"/>
          <w:lang w:val="en-US" w:eastAsia="zh-CN"/>
          <w14:textFill>
            <w14:solidFill>
              <w14:schemeClr w14:val="tx1"/>
            </w14:solidFill>
          </w14:textFill>
        </w:rPr>
        <w:t>叁万捌仟贰佰</w:t>
      </w:r>
      <w:r>
        <w:rPr>
          <w:rFonts w:hint="eastAsia" w:ascii="仿宋_GB2312" w:eastAsia="仿宋_GB2312"/>
          <w:b/>
          <w:bCs/>
          <w:color w:val="000000" w:themeColor="text1"/>
          <w:sz w:val="28"/>
          <w:szCs w:val="22"/>
          <w:highlight w:val="none"/>
          <w14:textFill>
            <w14:solidFill>
              <w14:schemeClr w14:val="tx1"/>
            </w14:solidFill>
          </w14:textFill>
        </w:rPr>
        <w:t>元整</w:t>
      </w:r>
    </w:p>
    <w:p w14:paraId="3474F6AC">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outlineLvl w:val="9"/>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pPr>
      <w:r>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t>详见《土地估价结果一览表》。</w:t>
      </w:r>
    </w:p>
    <w:p w14:paraId="5E5DA2E9">
      <w:pPr>
        <w:keepNext w:val="0"/>
        <w:keepLines w:val="0"/>
        <w:pageBreakBefore w:val="0"/>
        <w:widowControl w:val="0"/>
        <w:kinsoku/>
        <w:wordWrap/>
        <w:overflowPunct/>
        <w:topLinePunct w:val="0"/>
        <w:autoSpaceDE w:val="0"/>
        <w:autoSpaceDN w:val="0"/>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（二）出让底价建议</w:t>
      </w:r>
    </w:p>
    <w:p w14:paraId="56C99E79">
      <w:pPr>
        <w:keepNext w:val="0"/>
        <w:keepLines w:val="0"/>
        <w:pageBreakBefore w:val="0"/>
        <w:widowControl w:val="0"/>
        <w:kinsoku/>
        <w:wordWrap/>
        <w:overflowPunct/>
        <w:topLinePunct w:val="0"/>
        <w:autoSpaceDE w:val="0"/>
        <w:autoSpaceDN w:val="0"/>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auto"/>
          <w:sz w:val="28"/>
          <w:szCs w:val="28"/>
          <w:highlight w:val="none"/>
          <w:lang w:val="en-US" w:eastAsia="zh-CN"/>
        </w:rPr>
        <w:t>根据《国土资源部办公厅关于印发&lt;国有建设用地使用权出让地价评估技术规范&gt;的通知》（国土资厅发[2018]4号），“协议出让评估需在土地估价报告中测算并对比说明该建议出让底价是否符合当地的协议出让最低价标准。当地未公布协议出让最低价标准的，按拟出让土地所在级别基准地价的70％测算对比”，道县未公布协议出让最低价标准，</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道县城镇基准地价估价期日为2019年5月1日，本次估价期日为2026年5月18日，距估价期日超过六年，其基准地价已不具有现势性。</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土地市场情况及有关法律法规和政策规定，该地区土地出让底价由选定的估价机构的估价结果水平及具体宗地的实际情况综合确定。建议估价对象出让底价与本次估价结果相一致，具体由出让方根据出让土地的实际情况综合确定。</w:t>
      </w:r>
    </w:p>
    <w:p w14:paraId="55F52877">
      <w:pPr>
        <w:keepNext w:val="0"/>
        <w:keepLines w:val="0"/>
        <w:pageBreakBefore w:val="0"/>
        <w:widowControl w:val="0"/>
        <w:kinsoku/>
        <w:wordWrap/>
        <w:overflowPunct/>
        <w:topLinePunct w:val="0"/>
        <w:autoSpaceDE w:val="0"/>
        <w:autoSpaceDN w:val="0"/>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建议出让地价的理由：</w:t>
      </w:r>
    </w:p>
    <w:p w14:paraId="60E9A691">
      <w:pPr>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color w:val="auto"/>
          <w:sz w:val="28"/>
          <w:szCs w:val="30"/>
          <w:highlight w:val="none"/>
          <w:lang w:eastAsia="zh-CN"/>
        </w:rPr>
      </w:pPr>
      <w:r>
        <w:rPr>
          <w:rFonts w:hint="eastAsia" w:ascii="仿宋_GB2312" w:hAnsi="仿宋_GB2312" w:eastAsia="仿宋_GB2312" w:cs="仿宋_GB2312"/>
          <w:color w:val="auto"/>
          <w:sz w:val="28"/>
          <w:szCs w:val="30"/>
          <w:highlight w:val="none"/>
          <w:lang w:val="en-US" w:eastAsia="zh-CN"/>
        </w:rPr>
        <w:t>1.</w:t>
      </w:r>
      <w:r>
        <w:rPr>
          <w:rFonts w:hint="eastAsia" w:ascii="仿宋_GB2312" w:hAnsi="仿宋_GB2312" w:eastAsia="仿宋_GB2312" w:cs="仿宋_GB2312"/>
          <w:color w:val="auto"/>
          <w:sz w:val="28"/>
          <w:szCs w:val="30"/>
          <w:highlight w:val="none"/>
          <w:lang w:eastAsia="zh-CN"/>
        </w:rPr>
        <w:t>评估操作过程技术合理，本次评估技术操作方面严格参照《城镇土地估价规程》(GB／T18508-2014)及《关于印发&lt;国有建设用地使用权出让地价评估技术规范&gt;的通知》（国土资厅发〔2018〕4号，2018年3月9日）要求，本次评估采用</w:t>
      </w:r>
      <w:r>
        <w:rPr>
          <w:rFonts w:hint="eastAsia" w:ascii="仿宋_GB2312" w:hAnsi="仿宋_GB2312" w:eastAsia="仿宋_GB2312" w:cs="仿宋_GB2312"/>
          <w:color w:val="auto"/>
          <w:sz w:val="28"/>
          <w:szCs w:val="30"/>
          <w:highlight w:val="none"/>
          <w:lang w:val="en-US" w:eastAsia="zh-CN"/>
        </w:rPr>
        <w:t>成本逼近法</w:t>
      </w:r>
      <w:r>
        <w:rPr>
          <w:rFonts w:hint="eastAsia" w:ascii="仿宋_GB2312" w:hAnsi="仿宋_GB2312" w:eastAsia="仿宋_GB2312" w:cs="仿宋_GB2312"/>
          <w:color w:val="auto"/>
          <w:sz w:val="28"/>
          <w:szCs w:val="30"/>
          <w:highlight w:val="none"/>
          <w:lang w:eastAsia="zh-CN"/>
        </w:rPr>
        <w:t>、</w:t>
      </w:r>
      <w:r>
        <w:rPr>
          <w:rFonts w:hint="eastAsia" w:ascii="仿宋_GB2312" w:hAnsi="仿宋_GB2312" w:eastAsia="仿宋_GB2312" w:cs="仿宋_GB2312"/>
          <w:color w:val="auto"/>
          <w:sz w:val="28"/>
          <w:szCs w:val="30"/>
          <w:highlight w:val="none"/>
          <w:lang w:val="en-US" w:eastAsia="zh-CN"/>
        </w:rPr>
        <w:t>收益还原法</w:t>
      </w:r>
      <w:r>
        <w:rPr>
          <w:rFonts w:hint="eastAsia" w:ascii="仿宋_GB2312" w:hAnsi="仿宋_GB2312" w:eastAsia="仿宋_GB2312" w:cs="仿宋_GB2312"/>
          <w:color w:val="auto"/>
          <w:sz w:val="28"/>
          <w:szCs w:val="30"/>
          <w:highlight w:val="none"/>
          <w:lang w:eastAsia="zh-CN"/>
        </w:rPr>
        <w:t>分别进行测算，综合考虑评估宗地所在区域的地价水平，</w:t>
      </w:r>
      <w:r>
        <w:rPr>
          <w:rFonts w:hint="default" w:ascii="仿宋_GB2312" w:hAnsi="仿宋_GB2312" w:eastAsia="仿宋_GB2312" w:cs="仿宋_GB2312"/>
          <w:color w:val="auto"/>
          <w:sz w:val="28"/>
          <w:szCs w:val="30"/>
          <w:highlight w:val="none"/>
          <w:lang w:eastAsia="zh-CN"/>
        </w:rPr>
        <w:t>成本逼近法是以土地开发所耗费的成本构成来推算土地价格的方法</w:t>
      </w:r>
      <w:r>
        <w:rPr>
          <w:rFonts w:hint="eastAsia" w:ascii="仿宋_GB2312" w:hAnsi="仿宋_GB2312" w:eastAsia="仿宋_GB2312" w:cs="仿宋_GB2312"/>
          <w:color w:val="auto"/>
          <w:sz w:val="28"/>
          <w:szCs w:val="30"/>
          <w:highlight w:val="none"/>
          <w:lang w:eastAsia="zh-CN"/>
        </w:rPr>
        <w:t>;</w:t>
      </w:r>
      <w:r>
        <w:rPr>
          <w:rFonts w:hint="eastAsia" w:ascii="仿宋_GB2312" w:hAnsi="仿宋_GB2312" w:eastAsia="仿宋_GB2312" w:cs="仿宋_GB2312"/>
          <w:color w:val="auto"/>
          <w:sz w:val="28"/>
          <w:szCs w:val="30"/>
          <w:highlight w:val="none"/>
          <w:lang w:val="en-US" w:eastAsia="zh-CN"/>
        </w:rPr>
        <w:t>收益还原法是在估算估价对象在未来每年预期纯收益（正常年纯收益）的基础上，以一定的土地还原率，将评估对象在未来每年的纯收益折算为估价期日收益总和的一种方法</w:t>
      </w:r>
      <w:r>
        <w:rPr>
          <w:rFonts w:hint="eastAsia" w:ascii="仿宋_GB2312" w:hAnsi="仿宋_GB2312" w:eastAsia="仿宋_GB2312" w:cs="仿宋_GB2312"/>
          <w:color w:val="auto"/>
          <w:sz w:val="28"/>
          <w:szCs w:val="30"/>
          <w:highlight w:val="none"/>
          <w:lang w:eastAsia="zh-CN"/>
        </w:rPr>
        <w:t>，能够比较真实的反映估价对象的客观合理的市场价格；</w:t>
      </w:r>
      <w:r>
        <w:rPr>
          <w:rFonts w:hint="eastAsia" w:ascii="仿宋_GB2312" w:hAnsi="仿宋_GB2312" w:eastAsia="仿宋_GB2312" w:cs="仿宋_GB2312"/>
          <w:color w:val="auto"/>
          <w:sz w:val="28"/>
          <w:szCs w:val="30"/>
          <w:highlight w:val="none"/>
          <w:lang w:val="en-US" w:eastAsia="zh-CN"/>
        </w:rPr>
        <w:t>收益还原法</w:t>
      </w:r>
      <w:r>
        <w:rPr>
          <w:rFonts w:hint="eastAsia" w:ascii="仿宋_GB2312" w:hAnsi="仿宋_GB2312" w:eastAsia="仿宋_GB2312" w:cs="仿宋_GB2312"/>
          <w:color w:val="auto"/>
          <w:sz w:val="28"/>
          <w:szCs w:val="30"/>
          <w:highlight w:val="none"/>
          <w:lang w:eastAsia="zh-CN"/>
        </w:rPr>
        <w:t>可信度高，因此</w:t>
      </w:r>
      <w:r>
        <w:rPr>
          <w:rFonts w:hint="eastAsia" w:ascii="仿宋_GB2312" w:hAnsi="仿宋_GB2312" w:eastAsia="仿宋_GB2312" w:cs="仿宋_GB2312"/>
          <w:color w:val="auto"/>
          <w:sz w:val="28"/>
          <w:szCs w:val="30"/>
          <w:highlight w:val="none"/>
          <w:lang w:val="en-US" w:eastAsia="zh-CN"/>
        </w:rPr>
        <w:t>取收益还原法</w:t>
      </w:r>
      <w:r>
        <w:rPr>
          <w:rFonts w:hint="eastAsia" w:ascii="仿宋_GB2312" w:hAnsi="仿宋_GB2312" w:eastAsia="仿宋_GB2312" w:cs="仿宋_GB2312"/>
          <w:color w:val="auto"/>
          <w:sz w:val="28"/>
          <w:szCs w:val="30"/>
          <w:highlight w:val="none"/>
          <w:lang w:eastAsia="zh-CN"/>
        </w:rPr>
        <w:t>估价结果为最终结果。</w:t>
      </w:r>
    </w:p>
    <w:p w14:paraId="38E2EB94">
      <w:pPr>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2</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.通过湖南省国土资源网上交易系统、中国土地交易市场网查询，</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近期通过“招拍挂”途径出让的估价对象周边土地单位面积地价与估价结果较为接近，估价结果符合该区域规划发展的趋势。</w:t>
      </w:r>
    </w:p>
    <w:p w14:paraId="5B77391C">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依据财政部、自然资源部、中国人民银行《关于加强土地成交价款管理规范资金缴库行为的通知》（财综[2009]89号，2009年12月31日），与土地出让有关的评估费、交易服务费等经营服务性成本费用应纳入土地出让底价。前述建议底价未包含契税、评估费及交易服务费等价外税费及经营服务性费用。</w:t>
      </w:r>
    </w:p>
    <w:p w14:paraId="23FD04FA">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pPr>
    </w:p>
    <w:p w14:paraId="55467371">
      <w:pPr>
        <w:rPr>
          <w:rFonts w:hint="eastAsia" w:cs="仿宋_GB2312"/>
          <w:b/>
          <w:bCs w:val="0"/>
          <w:color w:val="auto"/>
          <w:kern w:val="2"/>
          <w:sz w:val="28"/>
          <w:szCs w:val="28"/>
          <w:highlight w:val="none"/>
          <w:lang w:val="en-US" w:eastAsia="zh-CN" w:bidi="ar-SA"/>
        </w:rPr>
      </w:pPr>
      <w:r>
        <w:rPr>
          <w:rFonts w:hint="eastAsia" w:cs="仿宋_GB2312"/>
          <w:b/>
          <w:bCs w:val="0"/>
          <w:color w:val="auto"/>
          <w:kern w:val="2"/>
          <w:sz w:val="28"/>
          <w:szCs w:val="28"/>
          <w:highlight w:val="none"/>
          <w:lang w:val="en-US" w:eastAsia="zh-CN" w:bidi="ar-SA"/>
        </w:rPr>
        <w:br w:type="page"/>
      </w:r>
    </w:p>
    <w:p w14:paraId="51D26560">
      <w:pPr>
        <w:pStyle w:val="3"/>
        <w:keepLines w:val="0"/>
        <w:pageBreakBefore w:val="0"/>
        <w:widowControl w:val="0"/>
        <w:kinsoku/>
        <w:wordWrap/>
        <w:overflowPunct/>
        <w:topLinePunct w:val="0"/>
        <w:autoSpaceDE/>
        <w:autoSpaceDN/>
        <w:bidi w:val="0"/>
        <w:spacing w:line="480" w:lineRule="exact"/>
        <w:ind w:left="0" w:right="0" w:firstLine="562" w:firstLineChars="200"/>
        <w:jc w:val="left"/>
        <w:textAlignment w:val="auto"/>
        <w:rPr>
          <w:rFonts w:hint="default" w:ascii="仿宋_GB2312" w:hAnsi="仿宋_GB2312" w:eastAsia="仿宋_GB2312" w:cs="仿宋_GB2312"/>
          <w:bCs/>
          <w:color w:val="auto"/>
          <w:kern w:val="2"/>
          <w:sz w:val="28"/>
          <w:szCs w:val="28"/>
          <w:highlight w:val="none"/>
          <w:lang w:val="en-GB" w:eastAsia="zh-CN" w:bidi="ar-SA"/>
        </w:rPr>
      </w:pPr>
      <w:r>
        <w:rPr>
          <w:rFonts w:hint="eastAsia" w:cs="仿宋_GB2312"/>
          <w:b/>
          <w:bCs w:val="0"/>
          <w:color w:val="auto"/>
          <w:kern w:val="2"/>
          <w:sz w:val="28"/>
          <w:szCs w:val="28"/>
          <w:highlight w:val="none"/>
          <w:lang w:val="en-US" w:eastAsia="zh-CN" w:bidi="ar-SA"/>
        </w:rPr>
        <w:t>八</w:t>
      </w:r>
      <w:r>
        <w:rPr>
          <w:rFonts w:hint="default" w:ascii="仿宋_GB2312" w:hAnsi="仿宋_GB2312" w:eastAsia="仿宋_GB2312" w:cs="仿宋_GB2312"/>
          <w:b/>
          <w:bCs w:val="0"/>
          <w:color w:val="auto"/>
          <w:kern w:val="2"/>
          <w:sz w:val="28"/>
          <w:szCs w:val="28"/>
          <w:highlight w:val="none"/>
          <w:lang w:val="en-GB" w:eastAsia="zh-CN" w:bidi="ar-SA"/>
        </w:rPr>
        <w:t>、土地估价师签字</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671F22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1641" w:type="pct"/>
            <w:tcBorders>
              <w:tl2br w:val="nil"/>
              <w:tr2bl w:val="nil"/>
            </w:tcBorders>
            <w:vAlign w:val="center"/>
          </w:tcPr>
          <w:p w14:paraId="29BA3D60">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sz w:val="28"/>
                <w:szCs w:val="18"/>
                <w:highlight w:val="none"/>
              </w:rPr>
            </w:pPr>
            <w:r>
              <w:rPr>
                <w:rFonts w:hint="eastAsia" w:ascii="仿宋_GB2312" w:hAnsi="仿宋_GB2312" w:eastAsia="仿宋_GB2312" w:cs="仿宋_GB2312"/>
                <w:sz w:val="28"/>
                <w:szCs w:val="18"/>
                <w:highlight w:val="none"/>
              </w:rPr>
              <w:t>估价师姓名</w:t>
            </w:r>
          </w:p>
        </w:tc>
        <w:tc>
          <w:tcPr>
            <w:tcW w:w="1716" w:type="pct"/>
            <w:tcBorders>
              <w:tl2br w:val="nil"/>
              <w:tr2bl w:val="nil"/>
            </w:tcBorders>
            <w:vAlign w:val="center"/>
          </w:tcPr>
          <w:p w14:paraId="00530503">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sz w:val="28"/>
                <w:szCs w:val="18"/>
                <w:highlight w:val="none"/>
              </w:rPr>
            </w:pPr>
            <w:r>
              <w:rPr>
                <w:rFonts w:hint="eastAsia" w:ascii="仿宋_GB2312" w:hAnsi="仿宋_GB2312" w:eastAsia="仿宋_GB2312" w:cs="仿宋_GB2312"/>
                <w:sz w:val="28"/>
                <w:szCs w:val="18"/>
                <w:highlight w:val="none"/>
              </w:rPr>
              <w:t>土地估价师资格证号</w:t>
            </w:r>
          </w:p>
        </w:tc>
        <w:tc>
          <w:tcPr>
            <w:tcW w:w="1642" w:type="pct"/>
            <w:tcBorders>
              <w:tl2br w:val="nil"/>
              <w:tr2bl w:val="nil"/>
            </w:tcBorders>
            <w:vAlign w:val="center"/>
          </w:tcPr>
          <w:p w14:paraId="75BDF0C0">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sz w:val="28"/>
                <w:szCs w:val="18"/>
                <w:highlight w:val="none"/>
              </w:rPr>
            </w:pPr>
            <w:r>
              <w:rPr>
                <w:rFonts w:hint="eastAsia" w:ascii="仿宋_GB2312" w:hAnsi="仿宋_GB2312" w:eastAsia="仿宋_GB2312" w:cs="仿宋_GB2312"/>
                <w:sz w:val="28"/>
                <w:szCs w:val="18"/>
                <w:highlight w:val="none"/>
              </w:rPr>
              <w:t>签    字</w:t>
            </w:r>
          </w:p>
        </w:tc>
      </w:tr>
      <w:tr w14:paraId="65A10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1641" w:type="pct"/>
            <w:tcBorders>
              <w:tl2br w:val="nil"/>
              <w:tr2bl w:val="nil"/>
            </w:tcBorders>
            <w:vAlign w:val="center"/>
          </w:tcPr>
          <w:p w14:paraId="0D7C2204">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sz w:val="28"/>
                <w:szCs w:val="18"/>
                <w:highlight w:val="none"/>
                <w:lang w:val="en-US" w:eastAsia="zh-CN"/>
              </w:rPr>
            </w:pPr>
            <w:r>
              <w:rPr>
                <w:rFonts w:hint="eastAsia" w:ascii="仿宋_GB2312" w:hAnsi="仿宋_GB2312" w:eastAsia="仿宋_GB2312" w:cs="仿宋_GB2312"/>
                <w:sz w:val="28"/>
                <w:szCs w:val="18"/>
                <w:highlight w:val="none"/>
                <w:lang w:val="en-US" w:eastAsia="zh-CN"/>
              </w:rPr>
              <w:t>谢良元</w:t>
            </w:r>
          </w:p>
        </w:tc>
        <w:tc>
          <w:tcPr>
            <w:tcW w:w="1716" w:type="pct"/>
            <w:tcBorders>
              <w:tl2br w:val="nil"/>
              <w:tr2bl w:val="nil"/>
            </w:tcBorders>
            <w:vAlign w:val="center"/>
          </w:tcPr>
          <w:p w14:paraId="57976F1A">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sz w:val="28"/>
                <w:szCs w:val="18"/>
                <w:highlight w:val="none"/>
                <w:lang w:eastAsia="zh-CN"/>
              </w:rPr>
            </w:pPr>
            <w:r>
              <w:rPr>
                <w:rFonts w:hint="eastAsia" w:ascii="仿宋_GB2312" w:hAnsi="仿宋_GB2312" w:eastAsia="仿宋_GB2312" w:cs="仿宋_GB2312"/>
                <w:sz w:val="28"/>
                <w:szCs w:val="18"/>
                <w:highlight w:val="none"/>
                <w:lang w:val="en-US" w:eastAsia="zh-CN"/>
              </w:rPr>
              <w:t>2019430003</w:t>
            </w:r>
          </w:p>
        </w:tc>
        <w:tc>
          <w:tcPr>
            <w:tcW w:w="1642" w:type="pct"/>
            <w:tcBorders>
              <w:tl2br w:val="nil"/>
              <w:tr2bl w:val="nil"/>
            </w:tcBorders>
          </w:tcPr>
          <w:p w14:paraId="50C186C9">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sz w:val="28"/>
                <w:szCs w:val="18"/>
                <w:highlight w:val="none"/>
              </w:rPr>
            </w:pPr>
          </w:p>
        </w:tc>
      </w:tr>
      <w:tr w14:paraId="5BF1B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1641" w:type="pct"/>
            <w:tcBorders>
              <w:tl2br w:val="nil"/>
              <w:tr2bl w:val="nil"/>
            </w:tcBorders>
            <w:vAlign w:val="center"/>
          </w:tcPr>
          <w:p w14:paraId="24DAFAA8">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sz w:val="28"/>
                <w:szCs w:val="18"/>
                <w:highlight w:val="none"/>
                <w:lang w:val="en-US" w:eastAsia="zh-CN"/>
              </w:rPr>
            </w:pPr>
            <w:r>
              <w:rPr>
                <w:rFonts w:hint="eastAsia" w:ascii="仿宋_GB2312" w:hAnsi="仿宋_GB2312" w:eastAsia="仿宋_GB2312" w:cs="仿宋_GB2312"/>
                <w:sz w:val="28"/>
                <w:szCs w:val="18"/>
                <w:highlight w:val="none"/>
                <w:lang w:val="en-US" w:eastAsia="zh-CN"/>
              </w:rPr>
              <w:t>彭翀</w:t>
            </w:r>
          </w:p>
        </w:tc>
        <w:tc>
          <w:tcPr>
            <w:tcW w:w="1716" w:type="pct"/>
            <w:tcBorders>
              <w:tl2br w:val="nil"/>
              <w:tr2bl w:val="nil"/>
            </w:tcBorders>
            <w:vAlign w:val="center"/>
          </w:tcPr>
          <w:p w14:paraId="5EEEC8D7">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sz w:val="28"/>
                <w:szCs w:val="18"/>
                <w:highlight w:val="none"/>
                <w:lang w:eastAsia="zh-CN"/>
              </w:rPr>
            </w:pPr>
            <w:r>
              <w:rPr>
                <w:rFonts w:hint="eastAsia" w:ascii="仿宋_GB2312" w:hAnsi="仿宋_GB2312" w:eastAsia="仿宋_GB2312" w:cs="仿宋_GB2312"/>
                <w:sz w:val="28"/>
                <w:szCs w:val="18"/>
                <w:highlight w:val="none"/>
                <w:lang w:val="en-US" w:eastAsia="zh-CN"/>
              </w:rPr>
              <w:t>2004450008</w:t>
            </w:r>
          </w:p>
        </w:tc>
        <w:tc>
          <w:tcPr>
            <w:tcW w:w="1642" w:type="pct"/>
            <w:tcBorders>
              <w:tl2br w:val="nil"/>
              <w:tr2bl w:val="nil"/>
            </w:tcBorders>
          </w:tcPr>
          <w:p w14:paraId="48B969D1">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sz w:val="28"/>
                <w:szCs w:val="18"/>
                <w:highlight w:val="none"/>
              </w:rPr>
            </w:pPr>
          </w:p>
        </w:tc>
      </w:tr>
    </w:tbl>
    <w:p w14:paraId="10B609FD">
      <w:pPr>
        <w:keepLines w:val="0"/>
        <w:pageBreakBefore w:val="0"/>
        <w:widowControl w:val="0"/>
        <w:kinsoku/>
        <w:wordWrap/>
        <w:overflowPunct/>
        <w:topLinePunct w:val="0"/>
        <w:autoSpaceDE/>
        <w:autoSpaceDN/>
        <w:bidi w:val="0"/>
        <w:spacing w:line="480" w:lineRule="exact"/>
        <w:ind w:right="0"/>
        <w:textAlignment w:val="auto"/>
        <w:rPr>
          <w:rFonts w:hint="eastAsia" w:ascii="仿宋_GB2312" w:hAnsi="仿宋_GB2312" w:eastAsia="仿宋_GB2312" w:cs="仿宋_GB2312"/>
          <w:b/>
          <w:bCs w:val="0"/>
          <w:color w:val="auto"/>
          <w:kern w:val="2"/>
          <w:sz w:val="28"/>
          <w:szCs w:val="28"/>
          <w:highlight w:val="none"/>
          <w:lang w:val="en-US" w:eastAsia="zh-CN" w:bidi="ar-SA"/>
        </w:rPr>
      </w:pPr>
    </w:p>
    <w:p w14:paraId="71CD56EB">
      <w:pPr>
        <w:keepLines w:val="0"/>
        <w:pageBreakBefore w:val="0"/>
        <w:widowControl w:val="0"/>
        <w:numPr>
          <w:ilvl w:val="0"/>
          <w:numId w:val="0"/>
        </w:numPr>
        <w:kinsoku/>
        <w:wordWrap/>
        <w:overflowPunct/>
        <w:topLinePunct w:val="0"/>
        <w:autoSpaceDE/>
        <w:autoSpaceDN/>
        <w:bidi w:val="0"/>
        <w:spacing w:line="480" w:lineRule="exact"/>
        <w:ind w:left="420" w:leftChars="0" w:right="0" w:rightChars="0" w:firstLine="0" w:firstLineChars="0"/>
        <w:textAlignment w:val="auto"/>
        <w:outlineLvl w:val="1"/>
        <w:rPr>
          <w:rFonts w:hint="default" w:ascii="仿宋_GB2312" w:hAnsi="仿宋_GB2312" w:eastAsia="仿宋_GB2312" w:cs="仿宋_GB2312"/>
          <w:bCs/>
          <w:color w:val="auto"/>
          <w:kern w:val="2"/>
          <w:sz w:val="28"/>
          <w:szCs w:val="28"/>
          <w:highlight w:val="none"/>
          <w:lang w:val="en-GB" w:eastAsia="zh-CN" w:bidi="ar-SA"/>
        </w:rPr>
      </w:pPr>
      <w:r>
        <w:rPr>
          <w:rFonts w:hint="eastAsia" w:ascii="仿宋_GB2312" w:hAnsi="仿宋_GB2312" w:eastAsia="仿宋_GB2312" w:cs="仿宋_GB2312"/>
          <w:b/>
          <w:bCs w:val="0"/>
          <w:color w:val="auto"/>
          <w:kern w:val="2"/>
          <w:sz w:val="28"/>
          <w:szCs w:val="28"/>
          <w:highlight w:val="none"/>
          <w:lang w:val="en-GB" w:eastAsia="zh-CN" w:bidi="ar-SA"/>
        </w:rPr>
        <w:t>九、</w:t>
      </w:r>
      <w:r>
        <w:rPr>
          <w:rFonts w:hint="default" w:ascii="仿宋_GB2312" w:hAnsi="仿宋_GB2312" w:eastAsia="仿宋_GB2312" w:cs="仿宋_GB2312"/>
          <w:b/>
          <w:bCs w:val="0"/>
          <w:color w:val="auto"/>
          <w:kern w:val="2"/>
          <w:sz w:val="28"/>
          <w:szCs w:val="28"/>
          <w:highlight w:val="none"/>
          <w:lang w:val="en-GB" w:eastAsia="zh-CN" w:bidi="ar-SA"/>
        </w:rPr>
        <w:t xml:space="preserve">土地估价机构 </w:t>
      </w:r>
      <w:r>
        <w:rPr>
          <w:rFonts w:hint="default" w:ascii="仿宋_GB2312" w:hAnsi="仿宋_GB2312" w:eastAsia="仿宋_GB2312" w:cs="仿宋_GB2312"/>
          <w:bCs/>
          <w:color w:val="auto"/>
          <w:kern w:val="2"/>
          <w:sz w:val="28"/>
          <w:szCs w:val="28"/>
          <w:highlight w:val="none"/>
          <w:lang w:val="en-GB" w:eastAsia="zh-CN" w:bidi="ar-SA"/>
        </w:rPr>
        <w:t xml:space="preserve">               </w:t>
      </w:r>
    </w:p>
    <w:p w14:paraId="6A92D85F">
      <w:pPr>
        <w:keepLines w:val="0"/>
        <w:pageBreakBefore w:val="0"/>
        <w:widowControl w:val="0"/>
        <w:numPr>
          <w:ilvl w:val="0"/>
          <w:numId w:val="0"/>
        </w:numPr>
        <w:kinsoku/>
        <w:wordWrap/>
        <w:overflowPunct/>
        <w:topLinePunct w:val="0"/>
        <w:autoSpaceDE/>
        <w:autoSpaceDN/>
        <w:bidi w:val="0"/>
        <w:spacing w:line="480" w:lineRule="exact"/>
        <w:ind w:right="0" w:rightChars="0"/>
        <w:textAlignment w:val="auto"/>
        <w:rPr>
          <w:rFonts w:ascii="仿宋_GB2312" w:eastAsia="仿宋_GB2312"/>
          <w:sz w:val="28"/>
          <w:highlight w:val="none"/>
        </w:rPr>
      </w:pPr>
      <w:r>
        <w:rPr>
          <w:rFonts w:hint="eastAsia" w:ascii="仿宋_GB2312" w:eastAsia="仿宋_GB2312"/>
          <w:sz w:val="28"/>
          <w:highlight w:val="none"/>
        </w:rPr>
        <w:t>估价机构法定代表人签字：</w:t>
      </w:r>
    </w:p>
    <w:p w14:paraId="7FFF3DE8">
      <w:pPr>
        <w:keepNext w:val="0"/>
        <w:keepLines w:val="0"/>
        <w:pageBreakBefore w:val="0"/>
        <w:widowControl w:val="0"/>
        <w:kinsoku/>
        <w:wordWrap/>
        <w:overflowPunct/>
        <w:topLinePunct w:val="0"/>
        <w:autoSpaceDE/>
        <w:autoSpaceDN/>
        <w:bidi w:val="0"/>
        <w:adjustRightInd/>
        <w:snapToGrid/>
        <w:spacing w:line="480" w:lineRule="exact"/>
        <w:ind w:right="140"/>
        <w:jc w:val="right"/>
        <w:textAlignment w:val="auto"/>
        <w:rPr>
          <w:rFonts w:ascii="仿宋_GB2312" w:eastAsia="仿宋_GB2312"/>
          <w:sz w:val="28"/>
          <w:highlight w:val="none"/>
        </w:rPr>
      </w:pPr>
    </w:p>
    <w:p w14:paraId="250D1A78">
      <w:pPr>
        <w:keepNext w:val="0"/>
        <w:keepLines w:val="0"/>
        <w:pageBreakBefore w:val="0"/>
        <w:widowControl w:val="0"/>
        <w:kinsoku/>
        <w:wordWrap/>
        <w:overflowPunct/>
        <w:topLinePunct w:val="0"/>
        <w:autoSpaceDE/>
        <w:autoSpaceDN/>
        <w:bidi w:val="0"/>
        <w:adjustRightInd/>
        <w:snapToGrid/>
        <w:spacing w:line="480" w:lineRule="exact"/>
        <w:ind w:right="140"/>
        <w:jc w:val="right"/>
        <w:textAlignment w:val="auto"/>
        <w:rPr>
          <w:rFonts w:ascii="仿宋_GB2312" w:eastAsia="仿宋_GB2312"/>
          <w:sz w:val="28"/>
          <w:highlight w:val="none"/>
        </w:rPr>
      </w:pPr>
    </w:p>
    <w:p w14:paraId="4C2F53E9">
      <w:pPr>
        <w:keepNext w:val="0"/>
        <w:keepLines w:val="0"/>
        <w:pageBreakBefore w:val="0"/>
        <w:widowControl w:val="0"/>
        <w:kinsoku/>
        <w:wordWrap/>
        <w:overflowPunct/>
        <w:topLinePunct w:val="0"/>
        <w:autoSpaceDE/>
        <w:autoSpaceDN/>
        <w:bidi w:val="0"/>
        <w:adjustRightInd/>
        <w:snapToGrid/>
        <w:spacing w:line="480" w:lineRule="exact"/>
        <w:ind w:right="140"/>
        <w:jc w:val="right"/>
        <w:textAlignment w:val="auto"/>
        <w:rPr>
          <w:rFonts w:ascii="仿宋_GB2312" w:eastAsia="仿宋_GB2312"/>
          <w:sz w:val="28"/>
          <w:highlight w:val="none"/>
        </w:rPr>
      </w:pPr>
    </w:p>
    <w:p w14:paraId="1AB0E3CD">
      <w:pPr>
        <w:keepNext w:val="0"/>
        <w:keepLines w:val="0"/>
        <w:pageBreakBefore w:val="0"/>
        <w:widowControl w:val="0"/>
        <w:kinsoku/>
        <w:wordWrap/>
        <w:overflowPunct/>
        <w:topLinePunct w:val="0"/>
        <w:autoSpaceDE/>
        <w:autoSpaceDN/>
        <w:bidi w:val="0"/>
        <w:adjustRightInd/>
        <w:snapToGrid/>
        <w:spacing w:line="480" w:lineRule="exact"/>
        <w:ind w:right="140"/>
        <w:jc w:val="right"/>
        <w:textAlignment w:val="auto"/>
        <w:outlineLvl w:val="9"/>
        <w:rPr>
          <w:rFonts w:hint="eastAsia" w:ascii="仿宋_GB2312" w:eastAsia="仿宋_GB2312"/>
          <w:sz w:val="28"/>
          <w:highlight w:val="none"/>
          <w:lang w:eastAsia="zh-CN"/>
        </w:rPr>
      </w:pPr>
      <w:r>
        <w:rPr>
          <w:rFonts w:hint="eastAsia" w:ascii="仿宋_GB2312" w:eastAsia="仿宋_GB2312"/>
          <w:sz w:val="28"/>
          <w:highlight w:val="none"/>
          <w:lang w:eastAsia="zh-CN"/>
        </w:rPr>
        <w:t>湖南兆财不动产规划评估有限公司</w:t>
      </w:r>
    </w:p>
    <w:p w14:paraId="1415DA4E">
      <w:pPr>
        <w:pStyle w:val="11"/>
        <w:jc w:val="right"/>
        <w:rPr>
          <w:highlight w:val="none"/>
        </w:rPr>
      </w:pPr>
      <w:r>
        <w:rPr>
          <w:rFonts w:hint="eastAsia"/>
          <w:highlight w:val="none"/>
        </w:rPr>
        <w:t xml:space="preserve">                              </w:t>
      </w:r>
      <w:r>
        <w:rPr>
          <w:rFonts w:hint="eastAsia"/>
          <w:highlight w:val="none"/>
          <w:lang w:val="en-US" w:eastAsia="zh-CN"/>
        </w:rPr>
        <w:t xml:space="preserve"> </w:t>
      </w:r>
      <w:r>
        <w:rPr>
          <w:rFonts w:hint="eastAsia" w:ascii="仿宋_GB2312" w:hAnsi="仿宋_GB2312" w:eastAsia="仿宋_GB2312" w:cs="仿宋_GB2312"/>
          <w:bCs/>
          <w:color w:val="auto"/>
          <w:kern w:val="2"/>
          <w:sz w:val="28"/>
          <w:szCs w:val="28"/>
          <w:highlight w:val="none"/>
          <w:lang w:val="en-US" w:eastAsia="zh-CN" w:bidi="ar-SA"/>
        </w:rPr>
        <w:t>二〇二</w:t>
      </w:r>
      <w:r>
        <w:rPr>
          <w:rFonts w:hint="eastAsia" w:ascii="仿宋_GB2312" w:hAnsi="仿宋_GB2312" w:cs="仿宋_GB2312"/>
          <w:bCs/>
          <w:color w:val="auto"/>
          <w:kern w:val="2"/>
          <w:sz w:val="28"/>
          <w:szCs w:val="28"/>
          <w:highlight w:val="none"/>
          <w:lang w:val="en-US" w:eastAsia="zh-CN" w:bidi="ar-SA"/>
        </w:rPr>
        <w:t>六</w:t>
      </w:r>
      <w:r>
        <w:rPr>
          <w:rFonts w:hint="eastAsia" w:ascii="仿宋_GB2312" w:hAnsi="仿宋_GB2312" w:eastAsia="仿宋_GB2312" w:cs="仿宋_GB2312"/>
          <w:bCs/>
          <w:color w:val="auto"/>
          <w:kern w:val="2"/>
          <w:sz w:val="28"/>
          <w:szCs w:val="28"/>
          <w:highlight w:val="none"/>
          <w:lang w:val="en-US" w:eastAsia="zh-CN" w:bidi="ar-SA"/>
        </w:rPr>
        <w:t>年</w:t>
      </w:r>
      <w:r>
        <w:rPr>
          <w:rFonts w:hint="eastAsia" w:ascii="仿宋_GB2312" w:hAnsi="仿宋_GB2312" w:cs="仿宋_GB2312"/>
          <w:bCs/>
          <w:color w:val="auto"/>
          <w:kern w:val="2"/>
          <w:sz w:val="28"/>
          <w:szCs w:val="28"/>
          <w:highlight w:val="none"/>
          <w:lang w:val="en-US" w:eastAsia="zh-CN" w:bidi="ar-SA"/>
        </w:rPr>
        <w:t>五</w:t>
      </w:r>
      <w:r>
        <w:rPr>
          <w:rFonts w:hint="eastAsia" w:ascii="仿宋_GB2312" w:hAnsi="仿宋_GB2312" w:eastAsia="仿宋_GB2312" w:cs="仿宋_GB2312"/>
          <w:bCs/>
          <w:color w:val="auto"/>
          <w:kern w:val="2"/>
          <w:sz w:val="28"/>
          <w:szCs w:val="28"/>
          <w:highlight w:val="none"/>
          <w:lang w:val="en-US" w:eastAsia="zh-CN" w:bidi="ar-SA"/>
        </w:rPr>
        <w:t>月</w:t>
      </w:r>
      <w:r>
        <w:rPr>
          <w:rFonts w:hint="eastAsia" w:ascii="仿宋_GB2312" w:hAnsi="仿宋_GB2312" w:cs="仿宋_GB2312"/>
          <w:bCs/>
          <w:color w:val="auto"/>
          <w:kern w:val="2"/>
          <w:sz w:val="28"/>
          <w:szCs w:val="28"/>
          <w:highlight w:val="none"/>
          <w:lang w:val="en-US" w:eastAsia="zh-CN" w:bidi="ar-SA"/>
        </w:rPr>
        <w:t>二十</w:t>
      </w:r>
      <w:r>
        <w:rPr>
          <w:rFonts w:hint="eastAsia" w:ascii="仿宋_GB2312" w:hAnsi="仿宋_GB2312" w:eastAsia="仿宋_GB2312" w:cs="仿宋_GB2312"/>
          <w:bCs/>
          <w:color w:val="auto"/>
          <w:kern w:val="2"/>
          <w:sz w:val="28"/>
          <w:szCs w:val="28"/>
          <w:highlight w:val="none"/>
          <w:lang w:val="en-US" w:eastAsia="zh-CN" w:bidi="ar-SA"/>
        </w:rPr>
        <w:t>日</w:t>
      </w:r>
    </w:p>
    <w:p w14:paraId="1C5C89C7">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仿宋_GB2312" w:eastAsia="仿宋_GB2312" w:cs="仿宋_GB2312"/>
          <w:b/>
          <w:bCs w:val="0"/>
          <w:color w:val="auto"/>
          <w:sz w:val="28"/>
          <w:szCs w:val="28"/>
          <w:highlight w:val="none"/>
          <w:lang w:val="en-GB" w:eastAsia="zh-CN"/>
        </w:rPr>
      </w:pPr>
    </w:p>
    <w:p w14:paraId="50F0D111">
      <w:pPr>
        <w:pStyle w:val="18"/>
        <w:rPr>
          <w:rFonts w:hint="eastAsia" w:ascii="仿宋_GB2312" w:hAnsi="仿宋_GB2312" w:eastAsia="仿宋_GB2312" w:cs="仿宋_GB2312"/>
          <w:b/>
          <w:bCs w:val="0"/>
          <w:color w:val="auto"/>
          <w:sz w:val="28"/>
          <w:szCs w:val="28"/>
          <w:highlight w:val="none"/>
          <w:lang w:val="en-GB" w:eastAsia="zh-CN"/>
        </w:rPr>
      </w:pPr>
    </w:p>
    <w:p w14:paraId="20B646EF">
      <w:pPr>
        <w:keepNext w:val="0"/>
        <w:keepLines w:val="0"/>
        <w:pageBreakBefore w:val="0"/>
        <w:widowControl w:val="0"/>
        <w:kinsoku/>
        <w:wordWrap/>
        <w:overflowPunct/>
        <w:topLinePunct w:val="0"/>
        <w:autoSpaceDE/>
        <w:autoSpaceDN/>
        <w:bidi w:val="0"/>
        <w:adjustRightInd w:val="0"/>
        <w:snapToGrid w:val="0"/>
        <w:spacing w:line="480" w:lineRule="exact"/>
        <w:jc w:val="both"/>
        <w:textAlignment w:val="auto"/>
        <w:rPr>
          <w:rFonts w:hint="eastAsia" w:ascii="仿宋_GB2312" w:hAnsi="仿宋_GB2312" w:eastAsia="仿宋_GB2312" w:cs="仿宋_GB2312"/>
          <w:bCs/>
          <w:color w:val="auto"/>
          <w:sz w:val="21"/>
          <w:szCs w:val="21"/>
          <w:highlight w:val="none"/>
          <w:lang w:val="en-US" w:eastAsia="zh-CN"/>
        </w:rPr>
      </w:pPr>
    </w:p>
    <w:p w14:paraId="1A1A35EF">
      <w:pPr>
        <w:rPr>
          <w:rFonts w:hint="eastAsia" w:ascii="仿宋_GB2312" w:hAnsi="仿宋_GB2312" w:eastAsia="仿宋_GB2312" w:cs="仿宋_GB2312"/>
          <w:bCs/>
          <w:color w:val="auto"/>
          <w:sz w:val="21"/>
          <w:szCs w:val="21"/>
          <w:highlight w:val="none"/>
          <w:lang w:val="en-US" w:eastAsia="zh-CN"/>
        </w:rPr>
        <w:sectPr>
          <w:headerReference r:id="rId4" w:type="first"/>
          <w:footerReference r:id="rId6" w:type="first"/>
          <w:headerReference r:id="rId3" w:type="default"/>
          <w:footerReference r:id="rId5" w:type="default"/>
          <w:pgSz w:w="11906" w:h="16838"/>
          <w:pgMar w:top="1440" w:right="1800" w:bottom="1440" w:left="1800" w:header="851" w:footer="992" w:gutter="0"/>
          <w:pgNumType w:fmt="decimal"/>
          <w:cols w:space="0" w:num="1"/>
          <w:titlePg/>
          <w:rtlGutter w:val="0"/>
          <w:docGrid w:type="lines" w:linePitch="312" w:charSpace="0"/>
        </w:sectPr>
      </w:pPr>
    </w:p>
    <w:p w14:paraId="0CF0DCC1">
      <w:pPr>
        <w:keepNext w:val="0"/>
        <w:keepLines w:val="0"/>
        <w:pageBreakBefore w:val="0"/>
        <w:widowControl w:val="0"/>
        <w:kinsoku/>
        <w:wordWrap/>
        <w:overflowPunct/>
        <w:topLinePunct w:val="0"/>
        <w:autoSpaceDE/>
        <w:autoSpaceDN/>
        <w:bidi w:val="0"/>
        <w:adjustRightInd w:val="0"/>
        <w:snapToGrid w:val="0"/>
        <w:spacing w:line="360" w:lineRule="auto"/>
        <w:ind w:left="0" w:hanging="537" w:hangingChars="192"/>
        <w:jc w:val="center"/>
        <w:textAlignment w:val="auto"/>
        <w:outlineLvl w:val="2"/>
        <w:rPr>
          <w:rFonts w:hint="default" w:ascii="仿宋_GB2312" w:eastAsia="仿宋_GB2312"/>
          <w:b/>
          <w:bCs/>
          <w:sz w:val="28"/>
          <w:highlight w:val="none"/>
          <w:lang w:val="en-US" w:eastAsia="zh-CN"/>
        </w:rPr>
      </w:pPr>
      <w:r>
        <w:rPr>
          <w:rFonts w:hint="eastAsia" w:ascii="仿宋_GB2312" w:eastAsia="仿宋_GB2312"/>
          <w:sz w:val="28"/>
          <w:highlight w:val="none"/>
        </w:rPr>
        <w:t xml:space="preserve"> </w:t>
      </w:r>
      <w:r>
        <w:rPr>
          <w:rFonts w:hint="eastAsia" w:ascii="仿宋_GB2312" w:eastAsia="仿宋_GB2312"/>
          <w:b/>
          <w:bCs/>
          <w:sz w:val="28"/>
          <w:highlight w:val="none"/>
        </w:rPr>
        <w:t xml:space="preserve">  土地估价结果一览表</w:t>
      </w:r>
      <w:r>
        <w:rPr>
          <w:rFonts w:hint="eastAsia" w:ascii="仿宋_GB2312" w:eastAsia="仿宋_GB2312"/>
          <w:b/>
          <w:bCs/>
          <w:sz w:val="28"/>
          <w:highlight w:val="none"/>
          <w:lang w:val="en-US" w:eastAsia="zh-CN"/>
        </w:rPr>
        <w:t xml:space="preserve">  </w:t>
      </w:r>
    </w:p>
    <w:p w14:paraId="170F58C6">
      <w:pPr>
        <w:spacing w:line="240" w:lineRule="exact"/>
        <w:ind w:left="-2478" w:leftChars="-1180" w:right="-227" w:firstLine="2625" w:firstLineChars="1250"/>
        <w:rPr>
          <w:rFonts w:hint="eastAsia" w:ascii="仿宋_GB2312" w:hAnsi="仿宋_GB2312" w:eastAsia="仿宋_GB2312" w:cs="仿宋_GB2312"/>
          <w:szCs w:val="21"/>
          <w:highlight w:val="none"/>
          <w:lang w:eastAsia="zh-CN"/>
        </w:rPr>
      </w:pPr>
      <w:r>
        <w:rPr>
          <w:rFonts w:hint="eastAsia" w:ascii="仿宋_GB2312" w:hAnsi="仿宋_GB2312" w:eastAsia="仿宋_GB2312" w:cs="仿宋_GB2312"/>
          <w:szCs w:val="21"/>
          <w:highlight w:val="none"/>
        </w:rPr>
        <w:t>估价机构：湖南兆财不动产规划评估有限公司                                                          估价期日：</w:t>
      </w:r>
      <w:r>
        <w:rPr>
          <w:rFonts w:hint="eastAsia" w:ascii="仿宋_GB2312" w:hAnsi="仿宋_GB2312" w:eastAsia="仿宋_GB2312" w:cs="仿宋_GB2312"/>
          <w:szCs w:val="21"/>
          <w:highlight w:val="none"/>
          <w:lang w:eastAsia="zh-CN"/>
        </w:rPr>
        <w:t>2026年5月18日</w:t>
      </w:r>
    </w:p>
    <w:p w14:paraId="44C42AC6">
      <w:pPr>
        <w:spacing w:line="240" w:lineRule="exact"/>
        <w:ind w:right="-227" w:firstLine="105" w:firstLineChars="50"/>
        <w:rPr>
          <w:rFonts w:hint="default" w:ascii="仿宋_GB2312" w:hAnsi="仿宋_GB2312" w:eastAsia="仿宋_GB2312" w:cs="仿宋_GB2312"/>
          <w:szCs w:val="21"/>
          <w:highlight w:val="none"/>
          <w:lang w:val="en-US" w:eastAsia="zh-CN"/>
        </w:rPr>
      </w:pPr>
      <w:r>
        <w:rPr>
          <w:rFonts w:hint="eastAsia" w:ascii="仿宋_GB2312" w:hAnsi="仿宋_GB2312" w:eastAsia="仿宋_GB2312" w:cs="仿宋_GB2312"/>
          <w:szCs w:val="21"/>
          <w:highlight w:val="none"/>
        </w:rPr>
        <w:t>估价报告编号：</w:t>
      </w:r>
      <w:r>
        <w:rPr>
          <w:rFonts w:hint="eastAsia" w:ascii="仿宋_GB2312" w:eastAsia="仿宋_GB2312"/>
          <w:spacing w:val="-6"/>
          <w:highlight w:val="none"/>
          <w:lang w:eastAsia="zh-CN"/>
        </w:rPr>
        <w:t>（湖南）湘兆财土地[202</w:t>
      </w:r>
      <w:r>
        <w:rPr>
          <w:rFonts w:hint="eastAsia" w:ascii="仿宋_GB2312" w:eastAsia="仿宋_GB2312"/>
          <w:spacing w:val="-6"/>
          <w:highlight w:val="none"/>
          <w:lang w:val="en-US" w:eastAsia="zh-CN"/>
        </w:rPr>
        <w:t>6</w:t>
      </w:r>
      <w:r>
        <w:rPr>
          <w:rFonts w:hint="eastAsia" w:ascii="仿宋_GB2312" w:eastAsia="仿宋_GB2312"/>
          <w:spacing w:val="-6"/>
          <w:highlight w:val="none"/>
          <w:lang w:eastAsia="zh-CN"/>
        </w:rPr>
        <w:t>]（</w:t>
      </w:r>
      <w:r>
        <w:rPr>
          <w:rFonts w:hint="eastAsia" w:ascii="仿宋_GB2312" w:eastAsia="仿宋_GB2312"/>
          <w:spacing w:val="-6"/>
          <w:highlight w:val="none"/>
          <w:lang w:val="en-US" w:eastAsia="zh-CN"/>
        </w:rPr>
        <w:t>估</w:t>
      </w:r>
      <w:r>
        <w:rPr>
          <w:rFonts w:hint="eastAsia" w:ascii="仿宋_GB2312" w:eastAsia="仿宋_GB2312"/>
          <w:spacing w:val="-6"/>
          <w:highlight w:val="none"/>
          <w:lang w:eastAsia="zh-CN"/>
        </w:rPr>
        <w:t>）字第ZC0007号</w:t>
      </w:r>
      <w:r>
        <w:rPr>
          <w:rFonts w:hint="eastAsia" w:ascii="仿宋_GB2312" w:eastAsia="仿宋_GB2312"/>
          <w:szCs w:val="21"/>
          <w:highlight w:val="none"/>
        </w:rPr>
        <w:t xml:space="preserve"> </w:t>
      </w:r>
      <w:r>
        <w:rPr>
          <w:rFonts w:hint="eastAsia" w:ascii="仿宋_GB2312" w:hAnsi="仿宋_GB2312" w:eastAsia="仿宋_GB2312" w:cs="仿宋_GB2312"/>
          <w:szCs w:val="21"/>
          <w:highlight w:val="none"/>
        </w:rPr>
        <w:t xml:space="preserve">          估价目的：</w:t>
      </w:r>
      <w:r>
        <w:rPr>
          <w:rFonts w:hint="eastAsia" w:ascii="仿宋_GB2312" w:hAnsi="仿宋_GB2312" w:eastAsia="仿宋_GB2312" w:cs="仿宋_GB2312"/>
          <w:szCs w:val="21"/>
          <w:highlight w:val="none"/>
          <w:lang w:val="en-US" w:eastAsia="zh-CN"/>
        </w:rPr>
        <w:t>出让</w:t>
      </w:r>
      <w:r>
        <w:rPr>
          <w:rFonts w:hint="eastAsia" w:ascii="仿宋_GB2312" w:hAnsi="仿宋_GB2312" w:eastAsia="仿宋_GB2312" w:cs="仿宋_GB2312"/>
          <w:szCs w:val="21"/>
          <w:highlight w:val="none"/>
        </w:rPr>
        <w:t xml:space="preserve">                  估价期日的土地使用权性质：</w:t>
      </w:r>
      <w:r>
        <w:rPr>
          <w:rFonts w:hint="eastAsia" w:ascii="仿宋_GB2312" w:hAnsi="仿宋_GB2312" w:eastAsia="仿宋_GB2312" w:cs="仿宋_GB2312"/>
          <w:szCs w:val="21"/>
          <w:highlight w:val="none"/>
          <w:lang w:val="en-US" w:eastAsia="zh-CN"/>
        </w:rPr>
        <w:t>划拨</w:t>
      </w:r>
    </w:p>
    <w:tbl>
      <w:tblPr>
        <w:tblStyle w:val="12"/>
        <w:tblW w:w="509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4"/>
        <w:gridCol w:w="642"/>
        <w:gridCol w:w="868"/>
        <w:gridCol w:w="676"/>
        <w:gridCol w:w="794"/>
        <w:gridCol w:w="648"/>
        <w:gridCol w:w="588"/>
        <w:gridCol w:w="426"/>
        <w:gridCol w:w="559"/>
        <w:gridCol w:w="574"/>
        <w:gridCol w:w="1250"/>
        <w:gridCol w:w="1264"/>
        <w:gridCol w:w="899"/>
        <w:gridCol w:w="838"/>
        <w:gridCol w:w="946"/>
        <w:gridCol w:w="892"/>
        <w:gridCol w:w="811"/>
        <w:gridCol w:w="1120"/>
      </w:tblGrid>
      <w:tr w14:paraId="5C06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223" w:type="pct"/>
            <w:vMerge w:val="restart"/>
            <w:vAlign w:val="center"/>
          </w:tcPr>
          <w:p w14:paraId="4DFF3B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估价期日土地使用者</w:t>
            </w:r>
          </w:p>
        </w:tc>
        <w:tc>
          <w:tcPr>
            <w:tcW w:w="222" w:type="pct"/>
            <w:vMerge w:val="restart"/>
            <w:vAlign w:val="center"/>
          </w:tcPr>
          <w:p w14:paraId="1B4172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宗地</w:t>
            </w:r>
          </w:p>
          <w:p w14:paraId="5AE49D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编号</w:t>
            </w:r>
          </w:p>
        </w:tc>
        <w:tc>
          <w:tcPr>
            <w:tcW w:w="300" w:type="pct"/>
            <w:vMerge w:val="restart"/>
            <w:vAlign w:val="center"/>
          </w:tcPr>
          <w:p w14:paraId="6E40A4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宗地</w:t>
            </w:r>
          </w:p>
          <w:p w14:paraId="52AEE5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名称</w:t>
            </w:r>
          </w:p>
        </w:tc>
        <w:tc>
          <w:tcPr>
            <w:tcW w:w="234" w:type="pct"/>
            <w:vMerge w:val="restart"/>
            <w:vAlign w:val="center"/>
          </w:tcPr>
          <w:p w14:paraId="561DE0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土地使用证编号</w:t>
            </w:r>
          </w:p>
        </w:tc>
        <w:tc>
          <w:tcPr>
            <w:tcW w:w="702" w:type="pct"/>
            <w:gridSpan w:val="3"/>
            <w:vAlign w:val="center"/>
          </w:tcPr>
          <w:p w14:paraId="0B8DB7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估价期日的用途</w:t>
            </w:r>
          </w:p>
        </w:tc>
        <w:tc>
          <w:tcPr>
            <w:tcW w:w="539" w:type="pct"/>
            <w:gridSpan w:val="3"/>
            <w:vAlign w:val="center"/>
          </w:tcPr>
          <w:p w14:paraId="6574021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容积率</w:t>
            </w:r>
          </w:p>
        </w:tc>
        <w:tc>
          <w:tcPr>
            <w:tcW w:w="432" w:type="pct"/>
            <w:vMerge w:val="restart"/>
            <w:vAlign w:val="center"/>
          </w:tcPr>
          <w:p w14:paraId="3E9CF4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估价期日实际土地开发程度</w:t>
            </w:r>
          </w:p>
        </w:tc>
        <w:tc>
          <w:tcPr>
            <w:tcW w:w="437" w:type="pct"/>
            <w:vMerge w:val="restart"/>
            <w:vAlign w:val="center"/>
          </w:tcPr>
          <w:p w14:paraId="60931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估价设定土地开发程度</w:t>
            </w:r>
          </w:p>
        </w:tc>
        <w:tc>
          <w:tcPr>
            <w:tcW w:w="311" w:type="pct"/>
            <w:vMerge w:val="restart"/>
            <w:vAlign w:val="center"/>
          </w:tcPr>
          <w:p w14:paraId="45052E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剩余土地使用权年期（年）</w:t>
            </w:r>
          </w:p>
        </w:tc>
        <w:tc>
          <w:tcPr>
            <w:tcW w:w="290" w:type="pct"/>
            <w:vMerge w:val="restart"/>
            <w:vAlign w:val="center"/>
          </w:tcPr>
          <w:p w14:paraId="7E5885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面积(㎡)</w:t>
            </w:r>
          </w:p>
        </w:tc>
        <w:tc>
          <w:tcPr>
            <w:tcW w:w="327" w:type="pct"/>
            <w:vMerge w:val="restart"/>
            <w:vAlign w:val="center"/>
          </w:tcPr>
          <w:p w14:paraId="3DF9A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地面地价(元/㎡)</w:t>
            </w:r>
          </w:p>
        </w:tc>
        <w:tc>
          <w:tcPr>
            <w:tcW w:w="308" w:type="pct"/>
            <w:vMerge w:val="restart"/>
            <w:vAlign w:val="center"/>
          </w:tcPr>
          <w:p w14:paraId="3CDEE8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楼面地价(元/㎡)</w:t>
            </w:r>
          </w:p>
        </w:tc>
        <w:tc>
          <w:tcPr>
            <w:tcW w:w="280" w:type="pct"/>
            <w:vMerge w:val="restart"/>
            <w:vAlign w:val="center"/>
          </w:tcPr>
          <w:p w14:paraId="2FA94C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总价</w:t>
            </w:r>
          </w:p>
          <w:p w14:paraId="2673F6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(万元)</w:t>
            </w:r>
          </w:p>
        </w:tc>
        <w:tc>
          <w:tcPr>
            <w:tcW w:w="387" w:type="pct"/>
            <w:vMerge w:val="restart"/>
            <w:vAlign w:val="center"/>
          </w:tcPr>
          <w:p w14:paraId="033E87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备注</w:t>
            </w:r>
          </w:p>
        </w:tc>
      </w:tr>
      <w:tr w14:paraId="6CC7E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23" w:type="pct"/>
            <w:vMerge w:val="continue"/>
            <w:vAlign w:val="center"/>
          </w:tcPr>
          <w:p w14:paraId="24FAB2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222" w:type="pct"/>
            <w:vMerge w:val="continue"/>
            <w:vAlign w:val="center"/>
          </w:tcPr>
          <w:p w14:paraId="0A4C36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300" w:type="pct"/>
            <w:vMerge w:val="continue"/>
            <w:vAlign w:val="center"/>
          </w:tcPr>
          <w:p w14:paraId="05055C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234" w:type="pct"/>
            <w:vMerge w:val="continue"/>
            <w:vAlign w:val="center"/>
          </w:tcPr>
          <w:p w14:paraId="0140DF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274" w:type="pct"/>
            <w:vAlign w:val="center"/>
          </w:tcPr>
          <w:p w14:paraId="285EC9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证载（或批准）</w:t>
            </w:r>
          </w:p>
        </w:tc>
        <w:tc>
          <w:tcPr>
            <w:tcW w:w="224" w:type="pct"/>
            <w:vAlign w:val="center"/>
          </w:tcPr>
          <w:p w14:paraId="0D225E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实际</w:t>
            </w:r>
          </w:p>
        </w:tc>
        <w:tc>
          <w:tcPr>
            <w:tcW w:w="203" w:type="pct"/>
            <w:vAlign w:val="center"/>
          </w:tcPr>
          <w:p w14:paraId="4F974C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设定</w:t>
            </w:r>
          </w:p>
        </w:tc>
        <w:tc>
          <w:tcPr>
            <w:tcW w:w="147" w:type="pct"/>
            <w:vAlign w:val="center"/>
          </w:tcPr>
          <w:p w14:paraId="2E6AEB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规划</w:t>
            </w:r>
          </w:p>
        </w:tc>
        <w:tc>
          <w:tcPr>
            <w:tcW w:w="193" w:type="pct"/>
            <w:vAlign w:val="center"/>
          </w:tcPr>
          <w:p w14:paraId="4961F4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实际</w:t>
            </w:r>
          </w:p>
        </w:tc>
        <w:tc>
          <w:tcPr>
            <w:tcW w:w="198" w:type="pct"/>
            <w:vAlign w:val="center"/>
          </w:tcPr>
          <w:p w14:paraId="3A47FA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设定</w:t>
            </w:r>
          </w:p>
        </w:tc>
        <w:tc>
          <w:tcPr>
            <w:tcW w:w="432" w:type="pct"/>
            <w:vMerge w:val="continue"/>
            <w:vAlign w:val="center"/>
          </w:tcPr>
          <w:p w14:paraId="10C4B6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437" w:type="pct"/>
            <w:vMerge w:val="continue"/>
            <w:vAlign w:val="center"/>
          </w:tcPr>
          <w:p w14:paraId="6092D3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311" w:type="pct"/>
            <w:vMerge w:val="continue"/>
            <w:vAlign w:val="center"/>
          </w:tcPr>
          <w:p w14:paraId="05E18C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290" w:type="pct"/>
            <w:vMerge w:val="continue"/>
            <w:vAlign w:val="center"/>
          </w:tcPr>
          <w:p w14:paraId="7B2B2A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327" w:type="pct"/>
            <w:vMerge w:val="continue"/>
            <w:vAlign w:val="center"/>
          </w:tcPr>
          <w:p w14:paraId="2FDEA4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308" w:type="pct"/>
            <w:vMerge w:val="continue"/>
            <w:vAlign w:val="center"/>
          </w:tcPr>
          <w:p w14:paraId="29F8A1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280" w:type="pct"/>
            <w:vMerge w:val="continue"/>
            <w:vAlign w:val="center"/>
          </w:tcPr>
          <w:p w14:paraId="58823D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387" w:type="pct"/>
            <w:vMerge w:val="continue"/>
            <w:vAlign w:val="center"/>
          </w:tcPr>
          <w:p w14:paraId="7BAF88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r>
      <w:tr w14:paraId="3CD8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9" w:hRule="atLeast"/>
          <w:jc w:val="center"/>
        </w:trPr>
        <w:tc>
          <w:tcPr>
            <w:tcW w:w="223" w:type="pct"/>
            <w:vAlign w:val="center"/>
          </w:tcPr>
          <w:p w14:paraId="683A53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王汝冲</w:t>
            </w:r>
          </w:p>
        </w:tc>
        <w:tc>
          <w:tcPr>
            <w:tcW w:w="222" w:type="pct"/>
            <w:vAlign w:val="center"/>
          </w:tcPr>
          <w:p w14:paraId="75AC02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w:t>
            </w:r>
          </w:p>
        </w:tc>
        <w:tc>
          <w:tcPr>
            <w:tcW w:w="300" w:type="pct"/>
            <w:vAlign w:val="center"/>
          </w:tcPr>
          <w:p w14:paraId="0A0D7F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道县月岩西路</w:t>
            </w: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w:t>
            </w:r>
          </w:p>
        </w:tc>
        <w:tc>
          <w:tcPr>
            <w:tcW w:w="234" w:type="pct"/>
            <w:vAlign w:val="center"/>
          </w:tcPr>
          <w:p w14:paraId="695D09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w:t>
            </w:r>
          </w:p>
        </w:tc>
        <w:tc>
          <w:tcPr>
            <w:tcW w:w="274" w:type="pct"/>
            <w:vAlign w:val="center"/>
          </w:tcPr>
          <w:p w14:paraId="178012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w:t>
            </w:r>
          </w:p>
        </w:tc>
        <w:tc>
          <w:tcPr>
            <w:tcW w:w="224" w:type="pct"/>
            <w:vAlign w:val="center"/>
          </w:tcPr>
          <w:p w14:paraId="0B3E8E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住宅用地</w:t>
            </w:r>
          </w:p>
        </w:tc>
        <w:tc>
          <w:tcPr>
            <w:tcW w:w="203" w:type="pct"/>
            <w:vAlign w:val="center"/>
          </w:tcPr>
          <w:p w14:paraId="3B503D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住宅用地</w:t>
            </w:r>
          </w:p>
        </w:tc>
        <w:tc>
          <w:tcPr>
            <w:tcW w:w="147" w:type="pct"/>
            <w:vAlign w:val="center"/>
          </w:tcPr>
          <w:p w14:paraId="7695DB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w:t>
            </w:r>
          </w:p>
        </w:tc>
        <w:tc>
          <w:tcPr>
            <w:tcW w:w="193" w:type="pct"/>
            <w:vAlign w:val="center"/>
          </w:tcPr>
          <w:p w14:paraId="46C1A9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4.83</w:t>
            </w:r>
          </w:p>
        </w:tc>
        <w:tc>
          <w:tcPr>
            <w:tcW w:w="198" w:type="pct"/>
            <w:vAlign w:val="center"/>
          </w:tcPr>
          <w:p w14:paraId="35A8B9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4.83</w:t>
            </w:r>
          </w:p>
        </w:tc>
        <w:tc>
          <w:tcPr>
            <w:tcW w:w="432" w:type="pct"/>
            <w:vAlign w:val="center"/>
          </w:tcPr>
          <w:p w14:paraId="0DF97B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宗地红线外“五通”，红线内场地平整</w:t>
            </w:r>
          </w:p>
        </w:tc>
        <w:tc>
          <w:tcPr>
            <w:tcW w:w="437" w:type="pct"/>
            <w:vAlign w:val="center"/>
          </w:tcPr>
          <w:p w14:paraId="44D12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宗地红线外“五通”，红线内场地平整</w:t>
            </w:r>
          </w:p>
        </w:tc>
        <w:tc>
          <w:tcPr>
            <w:tcW w:w="311" w:type="pct"/>
            <w:vAlign w:val="center"/>
          </w:tcPr>
          <w:p w14:paraId="15C70B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70</w:t>
            </w:r>
          </w:p>
        </w:tc>
        <w:tc>
          <w:tcPr>
            <w:tcW w:w="290" w:type="pct"/>
            <w:vAlign w:val="center"/>
          </w:tcPr>
          <w:p w14:paraId="0A0EBD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15.2</w:t>
            </w:r>
          </w:p>
        </w:tc>
        <w:tc>
          <w:tcPr>
            <w:tcW w:w="327" w:type="pct"/>
            <w:vAlign w:val="center"/>
          </w:tcPr>
          <w:p w14:paraId="4EF124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2511</w:t>
            </w:r>
          </w:p>
        </w:tc>
        <w:tc>
          <w:tcPr>
            <w:tcW w:w="308" w:type="pct"/>
            <w:vAlign w:val="center"/>
          </w:tcPr>
          <w:p w14:paraId="6B11CD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519.88</w:t>
            </w:r>
          </w:p>
        </w:tc>
        <w:tc>
          <w:tcPr>
            <w:tcW w:w="280" w:type="pct"/>
            <w:shd w:val="clear" w:color="auto" w:fill="auto"/>
            <w:vAlign w:val="center"/>
          </w:tcPr>
          <w:p w14:paraId="3C51DF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3.82</w:t>
            </w:r>
          </w:p>
        </w:tc>
        <w:tc>
          <w:tcPr>
            <w:tcW w:w="387" w:type="pct"/>
            <w:vAlign w:val="center"/>
          </w:tcPr>
          <w:p w14:paraId="02E196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pacing w:val="-20"/>
                <w:szCs w:val="21"/>
                <w:highlight w:val="none"/>
                <w:lang w:val="en-US" w:eastAsia="zh-CN"/>
              </w:rPr>
              <w:t>折合</w:t>
            </w:r>
            <w:r>
              <w:rPr>
                <w:rFonts w:hint="eastAsia" w:ascii="仿宋_GB2312" w:hAnsi="仿宋_GB2312" w:eastAsia="仿宋_GB2312" w:cs="仿宋_GB2312"/>
                <w:spacing w:val="-20"/>
                <w:szCs w:val="21"/>
                <w:highlight w:val="none"/>
                <w:lang w:val="en-US" w:eastAsia="zh-CN"/>
              </w:rPr>
              <w:t>167.4</w:t>
            </w:r>
            <w:r>
              <w:rPr>
                <w:rFonts w:hint="default" w:ascii="仿宋_GB2312" w:hAnsi="仿宋_GB2312" w:eastAsia="仿宋_GB2312" w:cs="仿宋_GB2312"/>
                <w:spacing w:val="-20"/>
                <w:szCs w:val="21"/>
                <w:highlight w:val="none"/>
                <w:lang w:val="en-US" w:eastAsia="zh-CN"/>
              </w:rPr>
              <w:t>万元/亩</w:t>
            </w:r>
          </w:p>
        </w:tc>
      </w:tr>
    </w:tbl>
    <w:p w14:paraId="7891DF78">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default" w:ascii="仿宋_GB2312" w:hAnsi="仿宋_GB2312" w:eastAsia="仿宋_GB2312" w:cs="仿宋_GB2312"/>
          <w:szCs w:val="21"/>
          <w:highlight w:val="none"/>
          <w:lang w:val="en-US" w:eastAsia="zh-CN"/>
        </w:rPr>
      </w:pPr>
      <w:r>
        <w:rPr>
          <w:rFonts w:hint="eastAsia" w:ascii="仿宋_GB2312" w:hAnsi="仿宋_GB2312" w:eastAsia="仿宋_GB2312" w:cs="仿宋_GB2312"/>
          <w:szCs w:val="21"/>
          <w:highlight w:val="none"/>
        </w:rPr>
        <w:t>注：上表中“</w:t>
      </w:r>
      <w:r>
        <w:rPr>
          <w:rFonts w:hint="eastAsia" w:ascii="仿宋_GB2312" w:hAnsi="仿宋_GB2312" w:eastAsia="仿宋_GB2312" w:cs="仿宋_GB2312"/>
          <w:szCs w:val="21"/>
          <w:highlight w:val="none"/>
          <w:lang w:val="en-US" w:eastAsia="zh-CN"/>
        </w:rPr>
        <w:t>五</w:t>
      </w:r>
      <w:r>
        <w:rPr>
          <w:rFonts w:hint="eastAsia" w:ascii="仿宋_GB2312" w:hAnsi="仿宋_GB2312" w:eastAsia="仿宋_GB2312" w:cs="仿宋_GB2312"/>
          <w:szCs w:val="21"/>
          <w:highlight w:val="none"/>
        </w:rPr>
        <w:t>通”指宗地红外围通路、通电</w:t>
      </w:r>
      <w:r>
        <w:rPr>
          <w:rFonts w:hint="eastAsia" w:ascii="仿宋_GB2312" w:hAnsi="仿宋_GB2312" w:eastAsia="仿宋_GB2312" w:cs="仿宋_GB2312"/>
          <w:szCs w:val="21"/>
          <w:highlight w:val="none"/>
          <w:lang w:eastAsia="zh-CN"/>
        </w:rPr>
        <w:t>、</w:t>
      </w:r>
      <w:r>
        <w:rPr>
          <w:rFonts w:hint="eastAsia" w:ascii="仿宋_GB2312" w:hAnsi="仿宋_GB2312" w:eastAsia="仿宋_GB2312" w:cs="仿宋_GB2312"/>
          <w:szCs w:val="21"/>
          <w:highlight w:val="none"/>
          <w:lang w:val="en-US" w:eastAsia="zh-CN"/>
        </w:rPr>
        <w:t>通讯、供水、排水。</w:t>
      </w:r>
    </w:p>
    <w:p w14:paraId="7785B2A9">
      <w:pPr>
        <w:keepNext w:val="0"/>
        <w:keepLines w:val="0"/>
        <w:pageBreakBefore w:val="0"/>
        <w:widowControl w:val="0"/>
        <w:tabs>
          <w:tab w:val="left" w:pos="560"/>
        </w:tabs>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szCs w:val="21"/>
          <w:highlight w:val="none"/>
        </w:rPr>
      </w:pPr>
      <w:r>
        <w:rPr>
          <w:rFonts w:hint="eastAsia" w:ascii="仿宋_GB2312" w:hAnsi="仿宋_GB2312" w:eastAsia="仿宋_GB2312" w:cs="仿宋_GB2312"/>
          <w:szCs w:val="21"/>
          <w:highlight w:val="none"/>
        </w:rPr>
        <w:t>一、上述土地估价结果的限定条</w:t>
      </w:r>
      <w:r>
        <w:rPr>
          <w:rFonts w:hint="eastAsia" w:ascii="仿宋_GB2312" w:hAnsi="仿宋_GB2312" w:eastAsia="仿宋_GB2312" w:cs="仿宋_GB2312"/>
          <w:color w:val="auto"/>
          <w:szCs w:val="21"/>
          <w:highlight w:val="none"/>
        </w:rPr>
        <w:t>件</w:t>
      </w:r>
      <w:r>
        <w:rPr>
          <w:rFonts w:hint="eastAsia" w:ascii="仿宋_GB2312" w:hAnsi="仿宋_GB2312" w:eastAsia="仿宋_GB2312" w:cs="仿宋_GB2312"/>
          <w:color w:val="auto"/>
          <w:szCs w:val="21"/>
          <w:highlight w:val="none"/>
          <w:lang w:eastAsia="zh-CN"/>
        </w:rPr>
        <w:t>：</w:t>
      </w:r>
      <w:r>
        <w:rPr>
          <w:rFonts w:hint="eastAsia" w:ascii="仿宋_GB2312" w:hAnsi="仿宋_GB2312" w:eastAsia="仿宋_GB2312" w:cs="仿宋_GB2312"/>
          <w:color w:val="auto"/>
          <w:szCs w:val="21"/>
          <w:highlight w:val="none"/>
        </w:rPr>
        <w:t>1.根据《</w:t>
      </w:r>
      <w:r>
        <w:rPr>
          <w:rFonts w:hint="eastAsia" w:ascii="仿宋_GB2312" w:hAnsi="仿宋_GB2312" w:eastAsia="仿宋_GB2312" w:cs="仿宋_GB2312"/>
          <w:color w:val="auto"/>
          <w:szCs w:val="21"/>
          <w:highlight w:val="none"/>
          <w:lang w:val="en-US" w:eastAsia="zh-CN"/>
        </w:rPr>
        <w:t>评估委托书</w:t>
      </w:r>
      <w:r>
        <w:rPr>
          <w:rFonts w:hint="eastAsia" w:ascii="仿宋_GB2312" w:hAnsi="仿宋_GB2312" w:eastAsia="仿宋_GB2312" w:cs="仿宋_GB2312"/>
          <w:color w:val="auto"/>
          <w:szCs w:val="21"/>
          <w:highlight w:val="none"/>
        </w:rPr>
        <w:t>》</w:t>
      </w:r>
      <w:r>
        <w:rPr>
          <w:rFonts w:hint="eastAsia" w:ascii="仿宋_GB2312" w:hAnsi="仿宋_GB2312" w:eastAsia="仿宋_GB2312" w:cs="仿宋_GB2312"/>
          <w:color w:val="auto"/>
          <w:szCs w:val="21"/>
          <w:highlight w:val="none"/>
          <w:lang w:val="en-US" w:eastAsia="zh-CN"/>
        </w:rPr>
        <w:t>和</w:t>
      </w:r>
      <w:r>
        <w:rPr>
          <w:rFonts w:hint="eastAsia" w:ascii="仿宋_GB2312" w:hAnsi="仿宋_GB2312" w:eastAsia="仿宋_GB2312" w:cs="仿宋_GB2312"/>
          <w:color w:val="auto"/>
          <w:szCs w:val="21"/>
          <w:highlight w:val="none"/>
        </w:rPr>
        <w:t>道县集中化解房地产办证信访突出问题工作领导小组办公室出具的《土地权属及性质证明》（2026年5月19日），估价对象位于</w:t>
      </w: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道县月岩西路</w:t>
      </w:r>
      <w:r>
        <w:rPr>
          <w:rFonts w:hint="eastAsia" w:ascii="仿宋_GB2312" w:hAnsi="仿宋_GB2312" w:eastAsia="仿宋_GB2312" w:cs="仿宋_GB2312"/>
          <w:color w:val="auto"/>
          <w:szCs w:val="21"/>
          <w:highlight w:val="none"/>
          <w:lang w:eastAsia="zh-CN"/>
        </w:rPr>
        <w:t>，</w:t>
      </w:r>
      <w:r>
        <w:rPr>
          <w:rFonts w:hint="eastAsia" w:ascii="仿宋_GB2312" w:hAnsi="仿宋_GB2312" w:eastAsia="仿宋_GB2312" w:cs="仿宋_GB2312"/>
          <w:color w:val="auto"/>
          <w:szCs w:val="21"/>
          <w:highlight w:val="none"/>
        </w:rPr>
        <w:t>估价对象土地所有权为国有，土地使用权性质为</w:t>
      </w:r>
      <w:r>
        <w:rPr>
          <w:rFonts w:hint="eastAsia" w:ascii="仿宋_GB2312" w:hAnsi="仿宋_GB2312" w:eastAsia="仿宋_GB2312" w:cs="仿宋_GB2312"/>
          <w:color w:val="auto"/>
          <w:szCs w:val="21"/>
          <w:highlight w:val="none"/>
          <w:lang w:val="en-US" w:eastAsia="zh-CN"/>
        </w:rPr>
        <w:t>划拨</w:t>
      </w:r>
      <w:r>
        <w:rPr>
          <w:rFonts w:hint="eastAsia" w:ascii="仿宋_GB2312" w:hAnsi="仿宋_GB2312" w:eastAsia="仿宋_GB2312" w:cs="仿宋_GB2312"/>
          <w:color w:val="auto"/>
          <w:szCs w:val="21"/>
          <w:highlight w:val="none"/>
        </w:rPr>
        <w:t>，土地使用者</w:t>
      </w:r>
      <w:r>
        <w:rPr>
          <w:rFonts w:hint="eastAsia" w:ascii="仿宋_GB2312" w:hAnsi="仿宋_GB2312" w:eastAsia="仿宋_GB2312" w:cs="仿宋_GB2312"/>
          <w:color w:val="auto"/>
          <w:szCs w:val="21"/>
          <w:highlight w:val="none"/>
          <w:lang w:val="en-US" w:eastAsia="zh-CN"/>
        </w:rPr>
        <w:t>为王汝冲</w:t>
      </w:r>
      <w:r>
        <w:rPr>
          <w:rFonts w:hint="eastAsia" w:ascii="仿宋_GB2312" w:hAnsi="仿宋_GB2312" w:eastAsia="仿宋_GB2312" w:cs="仿宋_GB2312"/>
          <w:color w:val="auto"/>
          <w:szCs w:val="21"/>
          <w:highlight w:val="none"/>
        </w:rPr>
        <w:t>。根据委托方提供相关资料和估价人员调查结果</w:t>
      </w:r>
      <w:r>
        <w:rPr>
          <w:rFonts w:hint="eastAsia" w:ascii="仿宋_GB2312" w:hAnsi="仿宋_GB2312" w:eastAsia="仿宋_GB2312" w:cs="仿宋_GB2312"/>
          <w:szCs w:val="21"/>
          <w:highlight w:val="none"/>
        </w:rPr>
        <w:t>，截至估价期日估价对象未有抵押权、地役权、租赁权等他项权利登记，本次评估设定估价对象地上无抵押权、地役权、租赁权等他项权利登记；2.基础设施条件：估价对象土地实际开发程度为宗地红线外“</w:t>
      </w:r>
      <w:r>
        <w:rPr>
          <w:rFonts w:hint="eastAsia" w:ascii="仿宋_GB2312" w:hAnsi="仿宋_GB2312" w:eastAsia="仿宋_GB2312" w:cs="仿宋_GB2312"/>
          <w:szCs w:val="21"/>
          <w:highlight w:val="none"/>
          <w:lang w:val="en-US" w:eastAsia="zh-CN"/>
        </w:rPr>
        <w:t>五通</w:t>
      </w:r>
      <w:r>
        <w:rPr>
          <w:rFonts w:hint="eastAsia" w:ascii="仿宋_GB2312" w:hAnsi="仿宋_GB2312" w:eastAsia="仿宋_GB2312" w:cs="仿宋_GB2312"/>
          <w:szCs w:val="21"/>
          <w:highlight w:val="none"/>
        </w:rPr>
        <w:t>”（即通路、通讯</w:t>
      </w:r>
      <w:r>
        <w:rPr>
          <w:rFonts w:hint="eastAsia" w:ascii="仿宋_GB2312" w:hAnsi="仿宋_GB2312" w:eastAsia="仿宋_GB2312" w:cs="仿宋_GB2312"/>
          <w:szCs w:val="21"/>
          <w:highlight w:val="none"/>
          <w:lang w:eastAsia="zh-CN"/>
        </w:rPr>
        <w:t>、</w:t>
      </w:r>
      <w:r>
        <w:rPr>
          <w:rFonts w:hint="eastAsia" w:ascii="仿宋_GB2312" w:hAnsi="仿宋_GB2312" w:eastAsia="仿宋_GB2312" w:cs="仿宋_GB2312"/>
          <w:szCs w:val="21"/>
          <w:highlight w:val="none"/>
          <w:lang w:val="en-US" w:eastAsia="zh-CN"/>
        </w:rPr>
        <w:t>供水、排水</w:t>
      </w:r>
      <w:r>
        <w:rPr>
          <w:rFonts w:hint="eastAsia" w:ascii="仿宋_GB2312" w:hAnsi="仿宋_GB2312" w:eastAsia="仿宋_GB2312" w:cs="仿宋_GB2312"/>
          <w:szCs w:val="21"/>
          <w:highlight w:val="none"/>
        </w:rPr>
        <w:t>、通讯），</w:t>
      </w:r>
      <w:r>
        <w:rPr>
          <w:rFonts w:hint="eastAsia" w:ascii="仿宋_GB2312" w:hAnsi="仿宋_GB2312" w:eastAsia="仿宋_GB2312" w:cs="仿宋_GB2312"/>
          <w:szCs w:val="21"/>
          <w:highlight w:val="none"/>
          <w:lang w:eastAsia="zh-CN"/>
        </w:rPr>
        <w:t>红线内场地平整</w:t>
      </w:r>
      <w:r>
        <w:rPr>
          <w:rFonts w:hint="eastAsia" w:ascii="仿宋_GB2312" w:hAnsi="仿宋_GB2312" w:eastAsia="仿宋_GB2312" w:cs="仿宋_GB2312"/>
          <w:szCs w:val="21"/>
          <w:highlight w:val="none"/>
          <w:lang w:val="en-US" w:eastAsia="zh-CN"/>
        </w:rPr>
        <w:t>无</w:t>
      </w:r>
      <w:r>
        <w:rPr>
          <w:rFonts w:hint="eastAsia" w:ascii="仿宋_GB2312" w:hAnsi="仿宋_GB2312" w:eastAsia="仿宋_GB2312" w:cs="仿宋_GB2312"/>
          <w:szCs w:val="21"/>
          <w:highlight w:val="none"/>
          <w:lang w:eastAsia="zh-CN"/>
        </w:rPr>
        <w:t>建筑物</w:t>
      </w:r>
      <w:r>
        <w:rPr>
          <w:rFonts w:hint="eastAsia" w:ascii="仿宋_GB2312" w:hAnsi="仿宋_GB2312" w:eastAsia="仿宋_GB2312" w:cs="仿宋_GB2312"/>
          <w:szCs w:val="21"/>
          <w:highlight w:val="none"/>
        </w:rPr>
        <w:t>，详见下表。</w:t>
      </w:r>
    </w:p>
    <w:tbl>
      <w:tblPr>
        <w:tblStyle w:val="12"/>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6"/>
        <w:gridCol w:w="2129"/>
        <w:gridCol w:w="2429"/>
        <w:gridCol w:w="1652"/>
        <w:gridCol w:w="2191"/>
        <w:gridCol w:w="3906"/>
      </w:tblGrid>
      <w:tr w14:paraId="1E1DB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655" w:type="pct"/>
            <w:noWrap w:val="0"/>
            <w:vAlign w:val="center"/>
          </w:tcPr>
          <w:p w14:paraId="44D543C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18"/>
                <w:szCs w:val="18"/>
                <w:highlight w:val="none"/>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地面平整状况</w:t>
            </w:r>
          </w:p>
        </w:tc>
        <w:tc>
          <w:tcPr>
            <w:tcW w:w="751" w:type="pct"/>
            <w:noWrap w:val="0"/>
            <w:vAlign w:val="center"/>
          </w:tcPr>
          <w:p w14:paraId="3A447DE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周围道路状况</w:t>
            </w:r>
          </w:p>
        </w:tc>
        <w:tc>
          <w:tcPr>
            <w:tcW w:w="857" w:type="pct"/>
            <w:noWrap w:val="0"/>
            <w:vAlign w:val="center"/>
          </w:tcPr>
          <w:p w14:paraId="15C9E47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供电状况</w:t>
            </w:r>
          </w:p>
        </w:tc>
        <w:tc>
          <w:tcPr>
            <w:tcW w:w="583" w:type="pct"/>
            <w:noWrap w:val="0"/>
            <w:vAlign w:val="center"/>
          </w:tcPr>
          <w:p w14:paraId="096C27E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供水状况</w:t>
            </w:r>
          </w:p>
        </w:tc>
        <w:tc>
          <w:tcPr>
            <w:tcW w:w="773" w:type="pct"/>
            <w:noWrap w:val="0"/>
            <w:vAlign w:val="center"/>
          </w:tcPr>
          <w:p w14:paraId="6FB3AF1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排水状况</w:t>
            </w:r>
          </w:p>
        </w:tc>
        <w:tc>
          <w:tcPr>
            <w:tcW w:w="1378" w:type="pct"/>
            <w:noWrap w:val="0"/>
            <w:vAlign w:val="center"/>
          </w:tcPr>
          <w:p w14:paraId="7F48AD8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状况</w:t>
            </w:r>
          </w:p>
        </w:tc>
      </w:tr>
      <w:tr w14:paraId="42EB6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655" w:type="pct"/>
            <w:noWrap w:val="0"/>
            <w:vAlign w:val="center"/>
          </w:tcPr>
          <w:p w14:paraId="7B088AA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 w:hAnsi="仿宋" w:eastAsia="仿宋" w:cs="仿宋"/>
                <w:snapToGrid w:val="0"/>
                <w:color w:val="auto"/>
                <w:sz w:val="18"/>
                <w:szCs w:val="18"/>
                <w:highlight w:val="none"/>
                <w:lang w:val="en-US" w:eastAsia="zh-CN"/>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51" w:type="pct"/>
            <w:noWrap w:val="0"/>
            <w:vAlign w:val="center"/>
          </w:tcPr>
          <w:p w14:paraId="0B559232">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临文化西路、鹭鸶塘路，沥青路面，通行较顺畅</w:t>
            </w:r>
          </w:p>
        </w:tc>
        <w:tc>
          <w:tcPr>
            <w:tcW w:w="857" w:type="pct"/>
            <w:noWrap w:val="0"/>
            <w:vAlign w:val="center"/>
          </w:tcPr>
          <w:p w14:paraId="107270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区域内接市政双回路110KV供电管网，供电保证率高</w:t>
            </w:r>
          </w:p>
        </w:tc>
        <w:tc>
          <w:tcPr>
            <w:tcW w:w="583" w:type="pct"/>
            <w:noWrap w:val="0"/>
            <w:vAlign w:val="center"/>
          </w:tcPr>
          <w:p w14:paraId="7E44F5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773" w:type="pct"/>
            <w:noWrap w:val="0"/>
            <w:vAlign w:val="center"/>
          </w:tcPr>
          <w:p w14:paraId="118088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378" w:type="pct"/>
            <w:noWrap w:val="0"/>
            <w:vAlign w:val="center"/>
          </w:tcPr>
          <w:p w14:paraId="1F929EE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72DFE86F">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szCs w:val="21"/>
          <w:highlight w:val="none"/>
        </w:rPr>
      </w:pPr>
      <w:r>
        <w:rPr>
          <w:rFonts w:hint="eastAsia" w:ascii="仿宋_GB2312" w:hAnsi="仿宋_GB2312" w:eastAsia="仿宋_GB2312" w:cs="仿宋_GB2312"/>
          <w:szCs w:val="21"/>
          <w:highlight w:val="none"/>
        </w:rPr>
        <w:t>3.规划限制条件：根据</w:t>
      </w:r>
      <w:r>
        <w:rPr>
          <w:rFonts w:hint="eastAsia" w:ascii="仿宋_GB2312" w:hAnsi="仿宋_GB2312" w:eastAsia="仿宋_GB2312" w:cs="仿宋_GB2312"/>
          <w:szCs w:val="21"/>
          <w:highlight w:val="none"/>
          <w:lang w:eastAsia="zh-CN"/>
        </w:rPr>
        <w:t>《</w:t>
      </w:r>
      <w:r>
        <w:rPr>
          <w:rFonts w:hint="eastAsia" w:ascii="仿宋_GB2312" w:hAnsi="仿宋_GB2312" w:eastAsia="仿宋_GB2312" w:cs="仿宋_GB2312"/>
          <w:szCs w:val="21"/>
          <w:highlight w:val="none"/>
          <w:lang w:val="en-US" w:eastAsia="zh-CN"/>
        </w:rPr>
        <w:t>评估委托书</w:t>
      </w:r>
      <w:r>
        <w:rPr>
          <w:rFonts w:hint="eastAsia" w:ascii="仿宋_GB2312" w:hAnsi="仿宋_GB2312" w:eastAsia="仿宋_GB2312" w:cs="仿宋_GB2312"/>
          <w:szCs w:val="21"/>
          <w:highlight w:val="none"/>
          <w:lang w:eastAsia="zh-CN"/>
        </w:rPr>
        <w:t>》</w:t>
      </w:r>
      <w:r>
        <w:rPr>
          <w:rFonts w:hint="eastAsia" w:ascii="仿宋_GB2312" w:hAnsi="仿宋_GB2312" w:eastAsia="仿宋_GB2312" w:cs="仿宋_GB2312"/>
          <w:szCs w:val="21"/>
          <w:highlight w:val="none"/>
        </w:rPr>
        <w:t>，估价对象位于</w:t>
      </w:r>
      <w:r>
        <w:rPr>
          <w:rFonts w:hint="eastAsia" w:ascii="仿宋_GB2312" w:hAnsi="仿宋_GB2312" w:eastAsia="仿宋_GB2312" w:cs="仿宋_GB2312"/>
          <w:szCs w:val="21"/>
          <w:highlight w:val="none"/>
          <w:lang w:val="en-US" w:eastAsia="zh-CN"/>
        </w:rPr>
        <w:t>道县月岩西路</w:t>
      </w:r>
      <w:r>
        <w:rPr>
          <w:rFonts w:hint="eastAsia" w:ascii="仿宋_GB2312" w:hAnsi="仿宋_GB2312" w:eastAsia="仿宋_GB2312" w:cs="仿宋_GB2312"/>
          <w:szCs w:val="21"/>
          <w:highlight w:val="none"/>
        </w:rPr>
        <w:t>，用地面积</w:t>
      </w:r>
      <w:r>
        <w:rPr>
          <w:rFonts w:hint="eastAsia" w:ascii="仿宋_GB2312" w:hAnsi="仿宋_GB2312" w:eastAsia="仿宋_GB2312" w:cs="仿宋_GB2312"/>
          <w:szCs w:val="21"/>
          <w:highlight w:val="none"/>
          <w:lang w:val="en-US" w:eastAsia="zh-CN"/>
        </w:rPr>
        <w:t>15.2平方米</w:t>
      </w:r>
      <w:r>
        <w:rPr>
          <w:rFonts w:hint="eastAsia" w:ascii="仿宋_GB2312" w:hAnsi="仿宋_GB2312" w:eastAsia="仿宋_GB2312" w:cs="仿宋_GB2312"/>
          <w:szCs w:val="21"/>
          <w:highlight w:val="none"/>
        </w:rPr>
        <w:t>。4.影响土地价值的其他限定条件：无。</w:t>
      </w:r>
    </w:p>
    <w:p w14:paraId="2B47F6B8">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szCs w:val="21"/>
          <w:highlight w:val="none"/>
        </w:rPr>
      </w:pPr>
      <w:r>
        <w:rPr>
          <w:rFonts w:hint="eastAsia" w:ascii="仿宋_GB2312" w:hAnsi="仿宋_GB2312" w:eastAsia="仿宋_GB2312" w:cs="仿宋_GB2312"/>
          <w:szCs w:val="21"/>
          <w:highlight w:val="none"/>
        </w:rPr>
        <w:t xml:space="preserve">二、其他需要说明的事项 </w:t>
      </w:r>
    </w:p>
    <w:p w14:paraId="2BD05FC0">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ascii="仿宋_GB2312" w:hAnsi="仿宋_GB2312" w:eastAsia="仿宋_GB2312" w:cs="仿宋_GB2312"/>
          <w:bCs/>
          <w:color w:val="auto"/>
          <w:kern w:val="2"/>
          <w:sz w:val="21"/>
          <w:szCs w:val="21"/>
          <w:highlight w:val="none"/>
          <w:lang w:val="en-GB" w:eastAsia="zh-CN" w:bidi="ar-SA"/>
        </w:rPr>
      </w:pPr>
      <w:r>
        <w:rPr>
          <w:rFonts w:hint="eastAsia" w:ascii="仿宋_GB2312" w:hAnsi="仿宋_GB2312" w:eastAsia="仿宋_GB2312" w:cs="仿宋_GB2312"/>
          <w:bCs/>
          <w:color w:val="auto"/>
          <w:kern w:val="2"/>
          <w:sz w:val="21"/>
          <w:szCs w:val="21"/>
          <w:highlight w:val="none"/>
          <w:lang w:val="en-GB" w:eastAsia="zh-CN" w:bidi="ar-SA"/>
        </w:rPr>
        <w:t>1、</w:t>
      </w:r>
      <w:bookmarkStart w:id="0" w:name="_Hlk53237488"/>
      <w:r>
        <w:rPr>
          <w:rFonts w:hint="eastAsia" w:ascii="仿宋_GB2312" w:hAnsi="仿宋_GB2312" w:eastAsia="仿宋_GB2312" w:cs="仿宋_GB2312"/>
          <w:bCs/>
          <w:color w:val="auto"/>
          <w:kern w:val="2"/>
          <w:sz w:val="21"/>
          <w:szCs w:val="21"/>
          <w:highlight w:val="none"/>
          <w:lang w:val="en-GB" w:eastAsia="zh-CN" w:bidi="ar-SA"/>
        </w:rPr>
        <w:t>评估价格</w:t>
      </w:r>
      <w:bookmarkStart w:id="1" w:name="_Hlk53238728"/>
      <w:r>
        <w:rPr>
          <w:rFonts w:hint="eastAsia" w:ascii="仿宋_GB2312" w:hAnsi="仿宋_GB2312" w:eastAsia="仿宋_GB2312" w:cs="仿宋_GB2312"/>
          <w:bCs/>
          <w:color w:val="auto"/>
          <w:kern w:val="2"/>
          <w:sz w:val="21"/>
          <w:szCs w:val="21"/>
          <w:highlight w:val="none"/>
          <w:lang w:val="en-GB" w:eastAsia="zh-CN" w:bidi="ar-SA"/>
        </w:rPr>
        <w:t>仅为委托方了解土地使用权价值提供客观、公正、合理的价格参考依据</w:t>
      </w:r>
      <w:bookmarkEnd w:id="1"/>
      <w:r>
        <w:rPr>
          <w:rFonts w:hint="eastAsia" w:ascii="仿宋_GB2312" w:hAnsi="仿宋_GB2312" w:eastAsia="仿宋_GB2312" w:cs="仿宋_GB2312"/>
          <w:bCs/>
          <w:color w:val="auto"/>
          <w:kern w:val="2"/>
          <w:sz w:val="21"/>
          <w:szCs w:val="21"/>
          <w:highlight w:val="none"/>
          <w:lang w:val="en-GB" w:eastAsia="zh-CN" w:bidi="ar-SA"/>
        </w:rPr>
        <w:t>。</w:t>
      </w:r>
      <w:bookmarkEnd w:id="0"/>
    </w:p>
    <w:p w14:paraId="1E8FF515">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ascii="仿宋_GB2312" w:hAnsi="仿宋_GB2312" w:eastAsia="仿宋_GB2312" w:cs="仿宋_GB2312"/>
          <w:bCs/>
          <w:color w:val="auto"/>
          <w:kern w:val="2"/>
          <w:sz w:val="21"/>
          <w:szCs w:val="21"/>
          <w:highlight w:val="none"/>
          <w:lang w:val="en-GB" w:eastAsia="zh-CN" w:bidi="ar-SA"/>
        </w:rPr>
      </w:pPr>
      <w:r>
        <w:rPr>
          <w:rFonts w:hint="eastAsia" w:ascii="仿宋_GB2312" w:hAnsi="仿宋_GB2312" w:eastAsia="仿宋_GB2312" w:cs="仿宋_GB2312"/>
          <w:bCs/>
          <w:color w:val="auto"/>
          <w:kern w:val="2"/>
          <w:sz w:val="21"/>
          <w:szCs w:val="21"/>
          <w:highlight w:val="none"/>
          <w:lang w:val="en-GB" w:eastAsia="zh-CN" w:bidi="ar-SA"/>
        </w:rPr>
        <w:t>2、评估结果自报告提交之日起壹年内有效。</w:t>
      </w:r>
    </w:p>
    <w:p w14:paraId="3F5DBB36">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ascii="仿宋_GB2312" w:hAnsi="仿宋_GB2312" w:eastAsia="仿宋_GB2312" w:cs="仿宋_GB2312"/>
          <w:bCs/>
          <w:color w:val="auto"/>
          <w:kern w:val="2"/>
          <w:sz w:val="21"/>
          <w:szCs w:val="21"/>
          <w:highlight w:val="none"/>
          <w:lang w:val="en-GB" w:eastAsia="zh-CN" w:bidi="ar-SA"/>
        </w:rPr>
      </w:pPr>
      <w:r>
        <w:rPr>
          <w:rFonts w:hint="eastAsia" w:ascii="仿宋_GB2312" w:hAnsi="仿宋_GB2312" w:eastAsia="仿宋_GB2312" w:cs="仿宋_GB2312"/>
          <w:bCs/>
          <w:color w:val="auto"/>
          <w:kern w:val="2"/>
          <w:sz w:val="21"/>
          <w:szCs w:val="21"/>
          <w:highlight w:val="none"/>
          <w:lang w:val="en-GB" w:eastAsia="zh-CN" w:bidi="ar-SA"/>
        </w:rPr>
        <w:t>3、此次评估结果是估价对象于估价期日在设定土地用途、设定使用年期、设定容积率、现状利用条件下的土地使用权价格。</w:t>
      </w:r>
    </w:p>
    <w:p w14:paraId="6D192CDC">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default" w:ascii="仿宋_GB2312" w:hAnsi="仿宋_GB2312" w:eastAsia="仿宋_GB2312" w:cs="仿宋_GB2312"/>
          <w:bCs/>
          <w:color w:val="auto"/>
          <w:kern w:val="2"/>
          <w:sz w:val="21"/>
          <w:szCs w:val="21"/>
          <w:highlight w:val="none"/>
          <w:lang w:val="en-US" w:eastAsia="zh-CN" w:bidi="ar-SA"/>
        </w:rPr>
      </w:pPr>
      <w:r>
        <w:rPr>
          <w:rFonts w:hint="eastAsia" w:ascii="仿宋_GB2312" w:hAnsi="仿宋_GB2312" w:eastAsia="仿宋_GB2312" w:cs="仿宋_GB2312"/>
          <w:bCs/>
          <w:color w:val="auto"/>
          <w:kern w:val="2"/>
          <w:sz w:val="21"/>
          <w:szCs w:val="21"/>
          <w:highlight w:val="none"/>
          <w:lang w:val="en-GB" w:eastAsia="zh-CN" w:bidi="ar-SA"/>
        </w:rPr>
        <w:t>4、估价对象土地权属以</w:t>
      </w:r>
      <w:r>
        <w:rPr>
          <w:rFonts w:hint="eastAsia" w:ascii="仿宋_GB2312" w:hAnsi="仿宋_GB2312" w:eastAsia="仿宋_GB2312" w:cs="仿宋_GB2312"/>
          <w:color w:val="auto"/>
          <w:szCs w:val="21"/>
          <w:highlight w:val="none"/>
        </w:rPr>
        <w:t>道县集中化解房地产办证信访突出问题工作领导小组办公室出具的《土地权属及性质证明》（2026年5月19日）</w:t>
      </w:r>
      <w:r>
        <w:rPr>
          <w:rFonts w:hint="eastAsia" w:ascii="仿宋_GB2312" w:hAnsi="仿宋_GB2312" w:eastAsia="仿宋_GB2312" w:cs="仿宋_GB2312"/>
          <w:bCs/>
          <w:color w:val="auto"/>
          <w:kern w:val="2"/>
          <w:sz w:val="21"/>
          <w:szCs w:val="21"/>
          <w:highlight w:val="none"/>
          <w:lang w:val="en-GB" w:eastAsia="zh-CN" w:bidi="ar-SA"/>
        </w:rPr>
        <w:t>为依据，建筑面积</w:t>
      </w:r>
      <w:r>
        <w:rPr>
          <w:rFonts w:hint="eastAsia" w:ascii="仿宋_GB2312" w:hAnsi="仿宋_GB2312" w:eastAsia="仿宋_GB2312" w:cs="仿宋_GB2312"/>
          <w:bCs/>
          <w:color w:val="auto"/>
          <w:kern w:val="2"/>
          <w:sz w:val="21"/>
          <w:szCs w:val="21"/>
          <w:highlight w:val="none"/>
          <w:lang w:val="en-US" w:eastAsia="zh-CN" w:bidi="ar-SA"/>
        </w:rPr>
        <w:t>以</w:t>
      </w:r>
      <w:r>
        <w:rPr>
          <w:rFonts w:hint="eastAsia" w:ascii="仿宋_GB2312" w:hAnsi="仿宋_GB2312" w:eastAsia="仿宋_GB2312" w:cs="仿宋_GB2312"/>
          <w:sz w:val="21"/>
          <w:szCs w:val="21"/>
          <w:highlight w:val="none"/>
          <w:lang w:val="en-US" w:eastAsia="zh-CN"/>
        </w:rPr>
        <w:t>《户室面积对照表》为依据，</w:t>
      </w:r>
      <w:r>
        <w:rPr>
          <w:rFonts w:hint="eastAsia" w:ascii="仿宋_GB2312" w:hAnsi="仿宋_GB2312" w:eastAsia="仿宋_GB2312" w:cs="仿宋_GB2312"/>
          <w:bCs/>
          <w:color w:val="auto"/>
          <w:kern w:val="2"/>
          <w:sz w:val="21"/>
          <w:szCs w:val="21"/>
          <w:highlight w:val="none"/>
          <w:lang w:val="en-US" w:eastAsia="zh-CN" w:bidi="ar-SA"/>
        </w:rPr>
        <w:t>土地使用权面积以</w:t>
      </w:r>
      <w:r>
        <w:rPr>
          <w:rFonts w:hint="eastAsia" w:ascii="仿宋_GB2312" w:hAnsi="仿宋_GB2312" w:eastAsia="仿宋_GB2312" w:cs="仿宋_GB2312"/>
          <w:sz w:val="21"/>
          <w:szCs w:val="21"/>
          <w:highlight w:val="none"/>
          <w:lang w:val="en-US" w:eastAsia="zh-CN"/>
        </w:rPr>
        <w:t>《土地分摊表》和《评估委托书》</w:t>
      </w:r>
      <w:r>
        <w:rPr>
          <w:rFonts w:hint="eastAsia" w:ascii="仿宋_GB2312" w:hAnsi="仿宋_GB2312" w:eastAsia="仿宋_GB2312" w:cs="仿宋_GB2312"/>
          <w:bCs/>
          <w:color w:val="auto"/>
          <w:kern w:val="2"/>
          <w:sz w:val="21"/>
          <w:szCs w:val="21"/>
          <w:highlight w:val="none"/>
          <w:lang w:val="en-GB" w:eastAsia="zh-CN" w:bidi="ar-SA"/>
        </w:rPr>
        <w:t>为依据，确定本次评估面积为</w:t>
      </w:r>
      <w:r>
        <w:rPr>
          <w:rFonts w:hint="eastAsia" w:ascii="仿宋_GB2312" w:hAnsi="仿宋_GB2312" w:eastAsia="仿宋_GB2312" w:cs="仿宋_GB2312"/>
          <w:bCs/>
          <w:color w:val="auto"/>
          <w:kern w:val="2"/>
          <w:sz w:val="21"/>
          <w:szCs w:val="21"/>
          <w:highlight w:val="none"/>
          <w:lang w:val="en-US" w:eastAsia="zh-CN" w:bidi="ar-SA"/>
        </w:rPr>
        <w:t>15.2平方米</w:t>
      </w:r>
      <w:r>
        <w:rPr>
          <w:rFonts w:hint="eastAsia" w:ascii="仿宋_GB2312" w:hAnsi="仿宋_GB2312" w:eastAsia="仿宋_GB2312" w:cs="仿宋_GB2312"/>
          <w:bCs/>
          <w:color w:val="auto"/>
          <w:kern w:val="2"/>
          <w:sz w:val="21"/>
          <w:szCs w:val="21"/>
          <w:highlight w:val="none"/>
          <w:lang w:val="en-GB" w:eastAsia="zh-CN" w:bidi="ar-SA"/>
        </w:rPr>
        <w:t>，最终土地面积以当地自然资源局核定面积为准，若土地面积发生变化，评估结果应做相应调整。</w:t>
      </w:r>
      <w:r>
        <w:rPr>
          <w:rFonts w:hint="eastAsia" w:ascii="仿宋_GB2312" w:hAnsi="仿宋_GB2312" w:eastAsia="仿宋_GB2312" w:cs="仿宋_GB2312"/>
          <w:bCs/>
          <w:color w:val="auto"/>
          <w:kern w:val="2"/>
          <w:sz w:val="21"/>
          <w:szCs w:val="21"/>
          <w:highlight w:val="none"/>
          <w:lang w:val="en-US" w:eastAsia="zh-CN" w:bidi="ar-SA"/>
        </w:rPr>
        <w:t xml:space="preserve">  </w:t>
      </w:r>
    </w:p>
    <w:p w14:paraId="099D94EF">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szCs w:val="21"/>
          <w:highlight w:val="none"/>
        </w:rPr>
      </w:pPr>
      <w:r>
        <w:rPr>
          <w:rFonts w:hint="eastAsia" w:ascii="仿宋_GB2312" w:hAnsi="仿宋_GB2312" w:eastAsia="仿宋_GB2312" w:cs="仿宋_GB2312"/>
          <w:bCs/>
          <w:color w:val="auto"/>
          <w:kern w:val="2"/>
          <w:sz w:val="21"/>
          <w:szCs w:val="21"/>
          <w:highlight w:val="none"/>
          <w:lang w:val="en-GB" w:eastAsia="zh-CN" w:bidi="ar-SA"/>
        </w:rPr>
        <w:t>5、其他特殊说明事项详见本报告第</w:t>
      </w:r>
      <w:r>
        <w:rPr>
          <w:rFonts w:hint="eastAsia" w:ascii="仿宋_GB2312" w:hAnsi="仿宋_GB2312" w:eastAsia="仿宋_GB2312" w:cs="仿宋_GB2312"/>
          <w:bCs/>
          <w:color w:val="auto"/>
          <w:kern w:val="2"/>
          <w:sz w:val="21"/>
          <w:szCs w:val="21"/>
          <w:highlight w:val="none"/>
          <w:lang w:val="en-US" w:eastAsia="zh-CN" w:bidi="ar-SA"/>
        </w:rPr>
        <w:t>三</w:t>
      </w:r>
      <w:r>
        <w:rPr>
          <w:rFonts w:hint="eastAsia" w:ascii="仿宋_GB2312" w:hAnsi="仿宋_GB2312" w:eastAsia="仿宋_GB2312" w:cs="仿宋_GB2312"/>
          <w:bCs/>
          <w:color w:val="auto"/>
          <w:kern w:val="2"/>
          <w:sz w:val="21"/>
          <w:szCs w:val="21"/>
          <w:highlight w:val="none"/>
          <w:lang w:val="en-GB" w:eastAsia="zh-CN" w:bidi="ar-SA"/>
        </w:rPr>
        <w:t>部分第</w:t>
      </w:r>
      <w:r>
        <w:rPr>
          <w:rFonts w:hint="eastAsia" w:ascii="仿宋_GB2312" w:hAnsi="仿宋_GB2312" w:eastAsia="仿宋_GB2312" w:cs="仿宋_GB2312"/>
          <w:bCs/>
          <w:color w:val="auto"/>
          <w:kern w:val="2"/>
          <w:sz w:val="21"/>
          <w:szCs w:val="21"/>
          <w:highlight w:val="none"/>
          <w:lang w:val="en-US" w:eastAsia="zh-CN" w:bidi="ar-SA"/>
        </w:rPr>
        <w:t>三</w:t>
      </w:r>
      <w:r>
        <w:rPr>
          <w:rFonts w:hint="eastAsia" w:ascii="仿宋_GB2312" w:hAnsi="仿宋_GB2312" w:eastAsia="仿宋_GB2312" w:cs="仿宋_GB2312"/>
          <w:bCs/>
          <w:color w:val="auto"/>
          <w:kern w:val="2"/>
          <w:sz w:val="21"/>
          <w:szCs w:val="21"/>
          <w:highlight w:val="none"/>
          <w:lang w:val="en-GB" w:eastAsia="zh-CN" w:bidi="ar-SA"/>
        </w:rPr>
        <w:t>项</w:t>
      </w:r>
      <w:r>
        <w:rPr>
          <w:rFonts w:hint="eastAsia" w:ascii="仿宋_GB2312" w:eastAsia="仿宋_GB2312"/>
          <w:szCs w:val="21"/>
          <w:highlight w:val="none"/>
        </w:rPr>
        <w:t>。</w:t>
      </w:r>
      <w:r>
        <w:rPr>
          <w:rFonts w:hint="eastAsia" w:ascii="仿宋_GB2312" w:hAnsi="仿宋_GB2312" w:eastAsia="仿宋_GB2312" w:cs="仿宋_GB2312"/>
          <w:szCs w:val="21"/>
          <w:highlight w:val="none"/>
        </w:rPr>
        <w:t xml:space="preserve"> </w:t>
      </w:r>
    </w:p>
    <w:p w14:paraId="4682344D">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szCs w:val="21"/>
          <w:highlight w:val="none"/>
          <w:lang w:val="en-US" w:eastAsia="zh-CN"/>
        </w:rPr>
      </w:pPr>
      <w:r>
        <w:rPr>
          <w:rFonts w:hint="eastAsia" w:ascii="仿宋_GB2312" w:hAnsi="仿宋_GB2312" w:eastAsia="仿宋_GB2312" w:cs="仿宋_GB2312"/>
          <w:szCs w:val="21"/>
          <w:highlight w:val="none"/>
          <w:lang w:eastAsia="zh-CN"/>
        </w:rPr>
        <w:t>湖南兆财不动产规划评估有限公司</w:t>
      </w:r>
      <w:r>
        <w:rPr>
          <w:rFonts w:hint="eastAsia" w:ascii="仿宋_GB2312" w:hAnsi="仿宋_GB2312" w:eastAsia="仿宋_GB2312" w:cs="仿宋_GB2312"/>
          <w:szCs w:val="21"/>
          <w:highlight w:val="none"/>
          <w:lang w:val="en-US" w:eastAsia="zh-CN"/>
        </w:rPr>
        <w:t xml:space="preserve">                                                                                                                                                                                                                    </w:t>
      </w:r>
    </w:p>
    <w:p w14:paraId="2B90C411">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center"/>
        <w:textAlignment w:val="auto"/>
        <w:outlineLvl w:val="9"/>
        <w:rPr>
          <w:rFonts w:hint="eastAsia" w:ascii="仿宋_GB2312" w:hAnsi="仿宋_GB2312" w:eastAsia="仿宋_GB2312" w:cs="仿宋_GB2312"/>
          <w:highlight w:val="none"/>
          <w:lang w:eastAsia="zh-CN"/>
        </w:rPr>
      </w:pPr>
      <w:r>
        <w:rPr>
          <w:rFonts w:hint="eastAsia" w:ascii="仿宋_GB2312" w:hAnsi="仿宋_GB2312" w:eastAsia="仿宋_GB2312" w:cs="仿宋_GB2312"/>
          <w:szCs w:val="21"/>
          <w:highlight w:val="none"/>
          <w:lang w:val="en-US" w:eastAsia="zh-CN"/>
        </w:rPr>
        <w:t xml:space="preserve">                                                                                                                  </w:t>
      </w:r>
      <w:r>
        <w:rPr>
          <w:rFonts w:hint="eastAsia" w:ascii="仿宋_GB2312" w:hAnsi="仿宋_GB2312" w:eastAsia="仿宋_GB2312" w:cs="仿宋_GB2312"/>
          <w:szCs w:val="21"/>
          <w:highlight w:val="none"/>
          <w:lang w:eastAsia="zh-CN"/>
        </w:rPr>
        <w:t>202</w:t>
      </w:r>
      <w:r>
        <w:rPr>
          <w:rFonts w:hint="eastAsia" w:ascii="仿宋_GB2312" w:hAnsi="仿宋_GB2312" w:eastAsia="仿宋_GB2312" w:cs="仿宋_GB2312"/>
          <w:szCs w:val="21"/>
          <w:highlight w:val="none"/>
          <w:lang w:val="en-US" w:eastAsia="zh-CN"/>
        </w:rPr>
        <w:t>6</w:t>
      </w:r>
      <w:r>
        <w:rPr>
          <w:rFonts w:hint="eastAsia" w:ascii="仿宋_GB2312" w:hAnsi="仿宋_GB2312" w:eastAsia="仿宋_GB2312" w:cs="仿宋_GB2312"/>
          <w:szCs w:val="21"/>
          <w:highlight w:val="none"/>
          <w:lang w:eastAsia="zh-CN"/>
        </w:rPr>
        <w:t>年</w:t>
      </w:r>
      <w:r>
        <w:rPr>
          <w:rFonts w:hint="eastAsia" w:ascii="仿宋_GB2312" w:hAnsi="仿宋_GB2312" w:eastAsia="仿宋_GB2312" w:cs="仿宋_GB2312"/>
          <w:szCs w:val="21"/>
          <w:highlight w:val="none"/>
          <w:lang w:val="en-US" w:eastAsia="zh-CN"/>
        </w:rPr>
        <w:t>5</w:t>
      </w:r>
      <w:r>
        <w:rPr>
          <w:rFonts w:hint="eastAsia" w:ascii="仿宋_GB2312" w:hAnsi="仿宋_GB2312" w:eastAsia="仿宋_GB2312" w:cs="仿宋_GB2312"/>
          <w:szCs w:val="21"/>
          <w:highlight w:val="none"/>
          <w:lang w:eastAsia="zh-CN"/>
        </w:rPr>
        <w:t>月</w:t>
      </w:r>
      <w:r>
        <w:rPr>
          <w:rFonts w:hint="eastAsia" w:ascii="仿宋_GB2312" w:hAnsi="仿宋_GB2312" w:eastAsia="仿宋_GB2312" w:cs="仿宋_GB2312"/>
          <w:szCs w:val="21"/>
          <w:highlight w:val="none"/>
          <w:lang w:val="en-US" w:eastAsia="zh-CN"/>
        </w:rPr>
        <w:t>20</w:t>
      </w:r>
      <w:r>
        <w:rPr>
          <w:rFonts w:hint="eastAsia" w:ascii="仿宋_GB2312" w:hAnsi="仿宋_GB2312" w:eastAsia="仿宋_GB2312" w:cs="仿宋_GB2312"/>
          <w:szCs w:val="21"/>
          <w:highlight w:val="none"/>
          <w:lang w:eastAsia="zh-CN"/>
        </w:rPr>
        <w:t>日</w:t>
      </w:r>
    </w:p>
    <w:p w14:paraId="1890A5BA">
      <w:pPr>
        <w:pStyle w:val="18"/>
        <w:keepNext w:val="0"/>
        <w:keepLines w:val="0"/>
        <w:pageBreakBefore w:val="0"/>
        <w:widowControl w:val="0"/>
        <w:kinsoku/>
        <w:wordWrap/>
        <w:overflowPunct/>
        <w:topLinePunct w:val="0"/>
        <w:autoSpaceDE/>
        <w:autoSpaceDN/>
        <w:bidi w:val="0"/>
        <w:adjustRightInd/>
        <w:snapToGrid/>
        <w:spacing w:line="220" w:lineRule="exact"/>
        <w:textAlignment w:val="auto"/>
        <w:rPr>
          <w:rFonts w:hint="eastAsia" w:ascii="仿宋_GB2312" w:hAnsi="仿宋_GB2312" w:eastAsia="仿宋_GB2312" w:cs="仿宋_GB2312"/>
          <w:highlight w:val="none"/>
        </w:rPr>
        <w:sectPr>
          <w:endnotePr>
            <w:numFmt w:val="decimal"/>
          </w:endnotePr>
          <w:pgSz w:w="16838" w:h="11906" w:orient="landscape"/>
          <w:pgMar w:top="1191" w:right="1440" w:bottom="1191" w:left="1440" w:header="624" w:footer="624" w:gutter="0"/>
          <w:pgNumType w:fmt="decimal"/>
          <w:cols w:space="720" w:num="1"/>
          <w:docGrid w:linePitch="312" w:charSpace="0"/>
        </w:sectPr>
      </w:pPr>
    </w:p>
    <w:p w14:paraId="097071E2">
      <w:pPr>
        <w:jc w:val="center"/>
        <w:outlineLvl w:val="0"/>
        <w:rPr>
          <w:rFonts w:hint="eastAsia" w:ascii="宋体" w:hAnsi="宋体" w:eastAsia="宋体" w:cs="宋体"/>
          <w:b/>
          <w:color w:val="auto"/>
          <w:sz w:val="32"/>
          <w:szCs w:val="32"/>
          <w:highlight w:val="none"/>
          <w:lang w:eastAsia="zh-CN"/>
        </w:rPr>
      </w:pPr>
      <w:bookmarkStart w:id="2" w:name="_Toc717"/>
      <w:bookmarkStart w:id="3" w:name="_Toc27954"/>
      <w:r>
        <w:rPr>
          <w:rFonts w:hint="eastAsia" w:ascii="宋体" w:hAnsi="宋体" w:eastAsia="宋体" w:cs="宋体"/>
          <w:b/>
          <w:color w:val="auto"/>
          <w:sz w:val="32"/>
          <w:szCs w:val="32"/>
          <w:highlight w:val="none"/>
        </w:rPr>
        <w:t>第二部分</w:t>
      </w:r>
      <w:r>
        <w:rPr>
          <w:rFonts w:hint="eastAsia" w:ascii="宋体" w:hAnsi="宋体" w:cs="宋体"/>
          <w:b/>
          <w:color w:val="auto"/>
          <w:sz w:val="32"/>
          <w:szCs w:val="32"/>
          <w:highlight w:val="none"/>
          <w:lang w:val="en-US" w:eastAsia="zh-CN"/>
        </w:rPr>
        <w:t xml:space="preserve">  </w:t>
      </w:r>
      <w:r>
        <w:rPr>
          <w:rFonts w:hint="eastAsia" w:ascii="宋体" w:hAnsi="宋体" w:eastAsia="宋体" w:cs="宋体"/>
          <w:b/>
          <w:color w:val="auto"/>
          <w:sz w:val="32"/>
          <w:szCs w:val="32"/>
          <w:highlight w:val="none"/>
        </w:rPr>
        <w:t>估价对象</w:t>
      </w:r>
      <w:bookmarkEnd w:id="2"/>
      <w:bookmarkEnd w:id="3"/>
      <w:r>
        <w:rPr>
          <w:rFonts w:hint="eastAsia" w:ascii="宋体" w:hAnsi="宋体" w:eastAsia="宋体" w:cs="宋体"/>
          <w:b/>
          <w:color w:val="auto"/>
          <w:sz w:val="32"/>
          <w:szCs w:val="32"/>
          <w:highlight w:val="none"/>
          <w:lang w:val="en-US" w:eastAsia="zh-CN"/>
        </w:rPr>
        <w:t>界定</w:t>
      </w:r>
    </w:p>
    <w:p w14:paraId="4A6078FA">
      <w:pPr>
        <w:pStyle w:val="3"/>
        <w:keepLines w:val="0"/>
        <w:pageBreakBefore w:val="0"/>
        <w:widowControl w:val="0"/>
        <w:kinsoku/>
        <w:wordWrap/>
        <w:overflowPunct/>
        <w:topLinePunct w:val="0"/>
        <w:autoSpaceDE/>
        <w:autoSpaceDN/>
        <w:bidi w:val="0"/>
        <w:spacing w:line="480" w:lineRule="exact"/>
        <w:ind w:left="0" w:firstLine="562" w:firstLineChars="200"/>
        <w:jc w:val="left"/>
        <w:textAlignment w:val="auto"/>
        <w:rPr>
          <w:rFonts w:hint="eastAsia" w:ascii="仿宋_GB2312" w:hAnsi="仿宋_GB2312" w:eastAsia="仿宋_GB2312" w:cs="仿宋_GB2312"/>
          <w:b/>
          <w:bCs w:val="0"/>
          <w:color w:val="auto"/>
          <w:kern w:val="2"/>
          <w:sz w:val="28"/>
          <w:szCs w:val="28"/>
          <w:highlight w:val="none"/>
          <w:lang w:val="en-US" w:eastAsia="zh-CN" w:bidi="ar-SA"/>
        </w:rPr>
      </w:pPr>
      <w:bookmarkStart w:id="4" w:name="_Toc7689"/>
      <w:bookmarkStart w:id="5" w:name="_Toc18157"/>
      <w:r>
        <w:rPr>
          <w:rFonts w:hint="eastAsia" w:ascii="仿宋_GB2312" w:hAnsi="仿宋_GB2312" w:eastAsia="仿宋_GB2312" w:cs="仿宋_GB2312"/>
          <w:b/>
          <w:bCs w:val="0"/>
          <w:color w:val="auto"/>
          <w:kern w:val="2"/>
          <w:sz w:val="28"/>
          <w:szCs w:val="28"/>
          <w:highlight w:val="none"/>
          <w:lang w:val="en-US" w:eastAsia="zh-CN" w:bidi="ar-SA"/>
        </w:rPr>
        <w:t>一、委托估价方</w:t>
      </w:r>
    </w:p>
    <w:p w14:paraId="222853D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委托估价方</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：道县自然资源局 </w:t>
      </w:r>
    </w:p>
    <w:p w14:paraId="5210314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社会统一信用代码：11431124006598189Q</w:t>
      </w:r>
    </w:p>
    <w:p w14:paraId="10EAE09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负责人：杨安良</w:t>
      </w:r>
    </w:p>
    <w:p w14:paraId="0EA4EA1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机构性质：机关</w:t>
      </w:r>
    </w:p>
    <w:p w14:paraId="023DBD5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机构地址：道县道州北路153号</w:t>
      </w:r>
    </w:p>
    <w:p w14:paraId="0507BE6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联 系 人：</w:t>
      </w:r>
      <w:r>
        <w:rPr>
          <w:rFonts w:hint="eastAsia" w:ascii="仿宋_GB2312" w:eastAsia="仿宋_GB2312"/>
          <w:color w:val="000000" w:themeColor="text1"/>
          <w:sz w:val="28"/>
          <w:szCs w:val="30"/>
          <w:highlight w:val="none"/>
          <w:lang w:val="en-US" w:eastAsia="zh-CN"/>
          <w14:textFill>
            <w14:solidFill>
              <w14:schemeClr w14:val="tx1"/>
            </w14:solidFill>
          </w14:textFill>
        </w:rPr>
        <w:t>周</w:t>
      </w:r>
      <w:r>
        <w:rPr>
          <w:rFonts w:hint="eastAsia" w:ascii="仿宋_GB2312" w:eastAsia="仿宋_GB2312"/>
          <w:color w:val="000000" w:themeColor="text1"/>
          <w:sz w:val="28"/>
          <w:szCs w:val="30"/>
          <w:highlight w:val="none"/>
          <w14:textFill>
            <w14:solidFill>
              <w14:schemeClr w14:val="tx1"/>
            </w14:solidFill>
          </w14:textFill>
        </w:rPr>
        <w:t>先生</w:t>
      </w:r>
    </w:p>
    <w:p w14:paraId="556188D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联系电话：13874668219</w:t>
      </w:r>
    </w:p>
    <w:p w14:paraId="441D6F5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邮    编：425300</w:t>
      </w:r>
    </w:p>
    <w:p w14:paraId="637DEC7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highlight w:val="none"/>
          <w:lang w:val="en-US" w:eastAsia="zh-CN"/>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与估价对象土地使用者之间的关系：</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委托方为道县自然资源局，土地使用者为王汝冲</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6A91FAE1">
      <w:pPr>
        <w:pStyle w:val="3"/>
        <w:keepLines w:val="0"/>
        <w:pageBreakBefore w:val="0"/>
        <w:widowControl w:val="0"/>
        <w:numPr>
          <w:ilvl w:val="0"/>
          <w:numId w:val="2"/>
        </w:numPr>
        <w:kinsoku/>
        <w:wordWrap/>
        <w:overflowPunct/>
        <w:topLinePunct w:val="0"/>
        <w:autoSpaceDE/>
        <w:autoSpaceDN/>
        <w:bidi w:val="0"/>
        <w:spacing w:line="480" w:lineRule="exact"/>
        <w:ind w:left="0" w:firstLine="562" w:firstLineChars="200"/>
        <w:jc w:val="left"/>
        <w:textAlignment w:val="auto"/>
        <w:rPr>
          <w:rFonts w:hint="eastAsia" w:ascii="仿宋_GB2312" w:hAnsi="仿宋_GB2312" w:eastAsia="仿宋_GB2312" w:cs="仿宋_GB2312"/>
          <w:b/>
          <w:bCs w:val="0"/>
          <w:color w:val="auto"/>
          <w:kern w:val="2"/>
          <w:sz w:val="28"/>
          <w:szCs w:val="28"/>
          <w:highlight w:val="none"/>
          <w:lang w:val="en-US" w:eastAsia="zh-CN" w:bidi="ar-SA"/>
        </w:rPr>
      </w:pPr>
      <w:r>
        <w:rPr>
          <w:rFonts w:hint="eastAsia" w:ascii="仿宋_GB2312" w:hAnsi="仿宋_GB2312" w:eastAsia="仿宋_GB2312" w:cs="仿宋_GB2312"/>
          <w:b/>
          <w:bCs w:val="0"/>
          <w:color w:val="auto"/>
          <w:kern w:val="2"/>
          <w:sz w:val="28"/>
          <w:szCs w:val="28"/>
          <w:highlight w:val="none"/>
          <w:lang w:val="en-US" w:eastAsia="zh-CN" w:bidi="ar-SA"/>
        </w:rPr>
        <w:t>估价对象</w:t>
      </w:r>
    </w:p>
    <w:p w14:paraId="29E9AAA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本次估价对象为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位于道县月岩西路的一宗住宅用地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国有建设用地使用权，根据《评估委托书》、</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户室面积对照表</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w:t>
      </w:r>
      <w:r>
        <w:rPr>
          <w:rFonts w:hint="eastAsia" w:ascii="仿宋_GB2312" w:hAnsi="仿宋_GB2312" w:eastAsia="仿宋_GB2312" w:cs="仿宋_GB2312"/>
          <w:bCs/>
          <w:color w:val="auto"/>
          <w:sz w:val="28"/>
          <w:szCs w:val="28"/>
          <w:highlight w:val="none"/>
          <w:lang w:val="en-GB" w:eastAsia="zh-CN"/>
        </w:rPr>
        <w:t>《土地分摊表》</w:t>
      </w:r>
      <w:r>
        <w:rPr>
          <w:rFonts w:hint="eastAsia" w:ascii="仿宋_GB2312" w:hAnsi="仿宋_GB2312" w:eastAsia="仿宋_GB2312" w:cs="仿宋_GB2312"/>
          <w:bCs/>
          <w:color w:val="auto"/>
          <w:sz w:val="28"/>
          <w:szCs w:val="28"/>
          <w:highlight w:val="none"/>
          <w:lang w:val="en-US" w:eastAsia="zh-CN"/>
        </w:rPr>
        <w:t>等资料</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估价对象</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土地面积为15.2平方米，设定容积率为4.83，土地用途为住宅用地</w:t>
      </w:r>
      <w:r>
        <w:rPr>
          <w:rFonts w:hint="eastAsia" w:ascii="仿宋_GB2312" w:hAnsi="仿宋_GB2312" w:eastAsia="仿宋_GB2312" w:cs="仿宋_GB2312"/>
          <w:bCs/>
          <w:sz w:val="28"/>
          <w:szCs w:val="28"/>
          <w:highlight w:val="none"/>
          <w:lang w:val="en-US" w:eastAsia="zh-CN"/>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土地开发程度为宗地红线外“五通”（即通路、通电、供水、排水、通讯），宗地红线内场地平整。</w:t>
      </w:r>
    </w:p>
    <w:p w14:paraId="5D8EE01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highlight w:val="none"/>
          <w:lang w:val="en-US" w:eastAsia="zh-CN"/>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估价对象仅为国有建设用地使用权，不包括其他土地附着物、动产、债权债务、特许经营权等其他财产或权益。</w:t>
      </w:r>
    </w:p>
    <w:p w14:paraId="505F3B7F">
      <w:pPr>
        <w:pStyle w:val="3"/>
        <w:keepLines w:val="0"/>
        <w:pageBreakBefore w:val="0"/>
        <w:widowControl w:val="0"/>
        <w:kinsoku/>
        <w:wordWrap/>
        <w:overflowPunct/>
        <w:topLinePunct w:val="0"/>
        <w:autoSpaceDE/>
        <w:autoSpaceDN/>
        <w:bidi w:val="0"/>
        <w:spacing w:line="480" w:lineRule="exact"/>
        <w:ind w:left="0" w:firstLine="562" w:firstLineChars="200"/>
        <w:jc w:val="left"/>
        <w:textAlignment w:val="auto"/>
        <w:rPr>
          <w:rFonts w:hint="eastAsia" w:ascii="仿宋_GB2312" w:hAnsi="仿宋_GB2312" w:eastAsia="仿宋_GB2312" w:cs="仿宋_GB2312"/>
          <w:b/>
          <w:bCs w:val="0"/>
          <w:color w:val="auto"/>
          <w:kern w:val="2"/>
          <w:sz w:val="28"/>
          <w:szCs w:val="28"/>
          <w:highlight w:val="none"/>
          <w:lang w:val="en-US" w:eastAsia="zh-CN" w:bidi="ar-SA"/>
        </w:rPr>
      </w:pPr>
      <w:r>
        <w:rPr>
          <w:rFonts w:hint="eastAsia" w:ascii="仿宋_GB2312" w:hAnsi="仿宋_GB2312" w:eastAsia="仿宋_GB2312" w:cs="仿宋_GB2312"/>
          <w:b/>
          <w:bCs w:val="0"/>
          <w:color w:val="auto"/>
          <w:kern w:val="2"/>
          <w:sz w:val="28"/>
          <w:szCs w:val="28"/>
          <w:highlight w:val="none"/>
          <w:lang w:val="en-US" w:eastAsia="zh-CN" w:bidi="ar-SA"/>
        </w:rPr>
        <w:t>三、估价对象</w:t>
      </w:r>
      <w:bookmarkEnd w:id="4"/>
      <w:bookmarkEnd w:id="5"/>
      <w:r>
        <w:rPr>
          <w:rFonts w:hint="eastAsia" w:ascii="仿宋_GB2312" w:hAnsi="仿宋_GB2312" w:eastAsia="仿宋_GB2312" w:cs="仿宋_GB2312"/>
          <w:b/>
          <w:bCs w:val="0"/>
          <w:color w:val="auto"/>
          <w:kern w:val="2"/>
          <w:sz w:val="28"/>
          <w:szCs w:val="28"/>
          <w:highlight w:val="none"/>
          <w:lang w:val="en-US" w:eastAsia="zh-CN" w:bidi="ar-SA"/>
        </w:rPr>
        <w:t>概况</w:t>
      </w:r>
    </w:p>
    <w:p w14:paraId="73B5A2D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（一）土地登记状况</w:t>
      </w:r>
    </w:p>
    <w:p w14:paraId="47AEBE2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土地权利类型：国有建设用地土地使用权；</w:t>
      </w:r>
    </w:p>
    <w:p w14:paraId="06219E4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.土地权利性质：国有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划拨</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用地，现拟办理出让手续；</w:t>
      </w:r>
    </w:p>
    <w:p w14:paraId="17A1291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屋所有权证》（道房权证字第713000590号），估价对象位于道县月岩西路，根据《评估委托书》、《户室面积对照表》和《土地分摊表》，估价对象位于皮革厂家属楼3栋4层404房，建筑面积73.415平方米，分摊土地使用权面积15.2平方米，</w:t>
      </w:r>
      <w:r>
        <w:rPr>
          <w:rFonts w:hint="default" w:ascii="仿宋_GB2312" w:hAnsi="仿宋_GB2312" w:eastAsia="仿宋_GB2312" w:cs="仿宋_GB2312"/>
          <w:bCs/>
          <w:color w:val="auto"/>
          <w:kern w:val="2"/>
          <w:sz w:val="28"/>
          <w:szCs w:val="28"/>
          <w:highlight w:val="none"/>
          <w:lang w:val="en-GB" w:eastAsia="zh-CN" w:bidi="ar-SA"/>
        </w:rPr>
        <w:t>委托方拟按现状利用条件为其办理土地使用权出让手续。</w:t>
      </w:r>
      <w:r>
        <w:rPr>
          <w:rFonts w:hint="eastAsia" w:ascii="仿宋_GB2312" w:hAnsi="仿宋_GB2312" w:eastAsia="仿宋_GB2312" w:cs="仿宋_GB2312"/>
          <w:bCs/>
          <w:color w:val="auto"/>
          <w:kern w:val="2"/>
          <w:sz w:val="28"/>
          <w:szCs w:val="28"/>
          <w:highlight w:val="none"/>
          <w:lang w:val="en-US" w:eastAsia="zh-CN" w:bidi="ar-SA"/>
        </w:rPr>
        <w:t>根据道县集中化解房地产办证信访突出问题工作领导小组办公室出具的《土地权属及性质证明》（2026年5月19日），估价对象土地使用者为王汝冲，道县皮革厂工作人员，根据房改房政策于2004年购得位于道州月岩西路皮革厂家属楼3栋4层404住房一套，房产证号：道房权证字第713000590号，房屋登记面积74.55平方米。其房屋分摊土地使用权类型为国有划拨，因历史遗留问题，土地暂未办理土地权属登记。</w:t>
      </w:r>
    </w:p>
    <w:p w14:paraId="2A64C01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.地理位置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及坐落</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道县月岩西路；</w:t>
      </w:r>
    </w:p>
    <w:p w14:paraId="706A07B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.土地用途：根据《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评估委托书</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44DC6AC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.宗地四至：北临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建筑</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，南临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建筑</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，西临建筑，东临建筑；</w:t>
      </w:r>
    </w:p>
    <w:p w14:paraId="35076EF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.使用权面积：根据《土地分摊表》，宗地面积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15.2平方米</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7887CFF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eastAsia="仿宋_GB2312"/>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lang w:val="en-US" w:eastAsia="zh-CN"/>
          <w14:textFill>
            <w14:solidFill>
              <w14:schemeClr w14:val="tx1"/>
            </w14:solidFill>
          </w14:textFill>
        </w:rPr>
        <w:t>8</w:t>
      </w:r>
      <w:r>
        <w:rPr>
          <w:rFonts w:hint="eastAsia" w:ascii="仿宋_GB2312" w:eastAsia="仿宋_GB2312"/>
          <w:color w:val="000000" w:themeColor="text1"/>
          <w:sz w:val="28"/>
          <w:highlight w:val="none"/>
          <w14:textFill>
            <w14:solidFill>
              <w14:schemeClr w14:val="tx1"/>
            </w14:solidFill>
          </w14:textFill>
        </w:rPr>
        <w:t>.土地级别：道县城镇基准地价的颁布实施时间为2019年11月22日，批准文号为道政函〔2019〕85号,文件名称为《关于更新城区基准地价和制订11个建制镇基准地价的通告》（道政函〔2019〕85号，2019年11月22日），批准机关为道县人民政府，估价期日为2019年5月1日，距估价期日超过六年</w:t>
      </w:r>
      <w:r>
        <w:rPr>
          <w:rFonts w:hint="eastAsia" w:ascii="仿宋_GB2312" w:eastAsia="仿宋_GB2312"/>
          <w:color w:val="000000" w:themeColor="text1"/>
          <w:sz w:val="28"/>
          <w:highlight w:val="none"/>
          <w:lang w:eastAsia="zh-CN"/>
          <w14:textFill>
            <w14:solidFill>
              <w14:schemeClr w14:val="tx1"/>
            </w14:solidFill>
          </w14:textFill>
        </w:rPr>
        <w:t>，</w:t>
      </w:r>
      <w:r>
        <w:rPr>
          <w:rFonts w:hint="eastAsia" w:ascii="仿宋_GB2312" w:eastAsia="仿宋_GB2312"/>
          <w:color w:val="000000" w:themeColor="text1"/>
          <w:sz w:val="28"/>
          <w:highlight w:val="none"/>
          <w:lang w:val="en-US" w:eastAsia="zh-CN"/>
          <w14:textFill>
            <w14:solidFill>
              <w14:schemeClr w14:val="tx1"/>
            </w14:solidFill>
          </w14:textFill>
        </w:rPr>
        <w:t>故暂无土地级别信息</w:t>
      </w:r>
      <w:r>
        <w:rPr>
          <w:rFonts w:hint="eastAsia" w:ascii="仿宋_GB2312" w:eastAsia="仿宋_GB2312"/>
          <w:color w:val="000000" w:themeColor="text1"/>
          <w:sz w:val="28"/>
          <w:highlight w:val="none"/>
          <w14:textFill>
            <w14:solidFill>
              <w14:schemeClr w14:val="tx1"/>
            </w14:solidFill>
          </w14:textFill>
        </w:rPr>
        <w:t>；</w:t>
      </w:r>
    </w:p>
    <w:p w14:paraId="6F0B950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9.土地使用年限：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w:t>
      </w:r>
      <w:r>
        <w:rPr>
          <w:rFonts w:hint="eastAsia" w:ascii="仿宋_GB2312" w:hAnsi="仿宋_GB2312" w:eastAsia="仿宋_GB2312" w:cs="仿宋_GB2312"/>
          <w:bCs/>
          <w:sz w:val="28"/>
          <w:szCs w:val="28"/>
          <w:highlight w:val="none"/>
          <w:lang w:eastAsia="zh-CN"/>
        </w:rPr>
        <w:t>土地使用权出让最高年限为</w:t>
      </w:r>
      <w:r>
        <w:rPr>
          <w:rFonts w:hint="eastAsia" w:ascii="仿宋_GB2312" w:hAnsi="仿宋_GB2312" w:eastAsia="仿宋_GB2312" w:cs="仿宋_GB2312"/>
          <w:bCs/>
          <w:sz w:val="28"/>
          <w:szCs w:val="28"/>
          <w:highlight w:val="none"/>
          <w:lang w:val="en-US" w:eastAsia="zh-CN"/>
        </w:rPr>
        <w:t>住宅</w:t>
      </w:r>
      <w:r>
        <w:rPr>
          <w:rFonts w:hint="eastAsia" w:ascii="仿宋_GB2312" w:hAnsi="仿宋_GB2312" w:eastAsia="仿宋_GB2312" w:cs="仿宋_GB2312"/>
          <w:bCs/>
          <w:sz w:val="28"/>
          <w:szCs w:val="28"/>
          <w:highlight w:val="none"/>
          <w:lang w:eastAsia="zh-CN"/>
        </w:rPr>
        <w:t>用地</w:t>
      </w:r>
      <w:r>
        <w:rPr>
          <w:rFonts w:hint="eastAsia" w:ascii="仿宋_GB2312" w:hAnsi="仿宋_GB2312" w:eastAsia="仿宋_GB2312" w:cs="仿宋_GB2312"/>
          <w:bCs/>
          <w:sz w:val="28"/>
          <w:szCs w:val="28"/>
          <w:highlight w:val="none"/>
          <w:lang w:val="en-US" w:eastAsia="zh-CN"/>
        </w:rPr>
        <w:t>70</w:t>
      </w:r>
      <w:r>
        <w:rPr>
          <w:rFonts w:hint="eastAsia" w:ascii="仿宋_GB2312" w:hAnsi="仿宋_GB2312" w:eastAsia="仿宋_GB2312" w:cs="仿宋_GB2312"/>
          <w:bCs/>
          <w:sz w:val="28"/>
          <w:szCs w:val="28"/>
          <w:highlight w:val="none"/>
          <w:lang w:eastAsia="zh-CN"/>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本次评估根据《评估委托书》约定和估价目的，估价对象土地使用权出让年限为住宅用地70年，此次评估设定土地使用权年限为住宅用地70年</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3EFFC03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10.权利证书号：</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0AA02B8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不动产权证书编号：/</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1CB3392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12.权利人：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6A21A9E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13.登记时间：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792D361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14.地籍图号：/；</w:t>
      </w:r>
    </w:p>
    <w:p w14:paraId="122FFBF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15.宗地号：/；</w:t>
      </w:r>
    </w:p>
    <w:p w14:paraId="767DC42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附记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2C5AF28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划拨</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用地，未办理登记手续，故暂无土地权利证书编号、登记时间、地籍图号、宗地号、终止日期等相关信息。</w:t>
      </w:r>
    </w:p>
    <w:p w14:paraId="3402D5C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（二）土地权利状况</w:t>
      </w:r>
    </w:p>
    <w:p w14:paraId="29EE6A8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1.土地所有权状况：于</w:t>
      </w:r>
      <w:r>
        <w:rPr>
          <w:rFonts w:hint="default" w:ascii="仿宋_GB2312" w:hAnsi="仿宋_GB2312" w:eastAsia="仿宋_GB2312" w:cs="仿宋_GB2312"/>
          <w:bCs/>
          <w:color w:val="auto"/>
          <w:kern w:val="2"/>
          <w:sz w:val="28"/>
          <w:szCs w:val="28"/>
          <w:highlight w:val="none"/>
          <w:lang w:val="en-GB" w:eastAsia="zh-CN" w:bidi="ar-SA"/>
        </w:rPr>
        <w:t>估价对象的土地所有权属国家所有</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6700B39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2.土地使用权状况：</w:t>
      </w:r>
      <w:r>
        <w:rPr>
          <w:rFonts w:hint="default" w:ascii="仿宋_GB2312" w:hAnsi="仿宋_GB2312" w:eastAsia="仿宋_GB2312" w:cs="仿宋_GB2312"/>
          <w:bCs/>
          <w:color w:val="auto"/>
          <w:kern w:val="2"/>
          <w:sz w:val="28"/>
          <w:szCs w:val="28"/>
          <w:highlight w:val="none"/>
          <w:lang w:val="en-GB" w:eastAsia="zh-CN" w:bidi="ar-SA"/>
        </w:rPr>
        <w:t>根据委托方提供的</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评估委托书</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和道县集中化解房地产办证信访突出问题工作领导小组办公室出具的《土地权属及性质证明》（2026年5月19日）</w:t>
      </w:r>
      <w:r>
        <w:rPr>
          <w:rFonts w:hint="default" w:ascii="仿宋_GB2312" w:hAnsi="仿宋_GB2312" w:eastAsia="仿宋_GB2312" w:cs="仿宋_GB2312"/>
          <w:bCs/>
          <w:color w:val="auto"/>
          <w:kern w:val="2"/>
          <w:sz w:val="28"/>
          <w:szCs w:val="28"/>
          <w:highlight w:val="none"/>
          <w:lang w:val="en-GB" w:eastAsia="zh-CN" w:bidi="ar-SA"/>
        </w:rPr>
        <w:t>，估价对象现为</w:t>
      </w:r>
      <w:r>
        <w:rPr>
          <w:rFonts w:hint="eastAsia" w:ascii="仿宋_GB2312" w:hAnsi="仿宋_GB2312" w:eastAsia="仿宋_GB2312" w:cs="仿宋_GB2312"/>
          <w:bCs/>
          <w:color w:val="auto"/>
          <w:kern w:val="2"/>
          <w:sz w:val="28"/>
          <w:szCs w:val="28"/>
          <w:highlight w:val="none"/>
          <w:lang w:val="en-GB" w:eastAsia="zh-CN" w:bidi="ar-SA"/>
        </w:rPr>
        <w:t>划拨</w:t>
      </w:r>
      <w:r>
        <w:rPr>
          <w:rFonts w:hint="default" w:ascii="仿宋_GB2312" w:hAnsi="仿宋_GB2312" w:eastAsia="仿宋_GB2312" w:cs="仿宋_GB2312"/>
          <w:bCs/>
          <w:color w:val="auto"/>
          <w:kern w:val="2"/>
          <w:sz w:val="28"/>
          <w:szCs w:val="28"/>
          <w:highlight w:val="none"/>
          <w:lang w:val="en-GB" w:eastAsia="zh-CN" w:bidi="ar-SA"/>
        </w:rPr>
        <w:t>用地；至估价期日，仍为</w:t>
      </w:r>
      <w:r>
        <w:rPr>
          <w:rFonts w:hint="eastAsia" w:ascii="仿宋_GB2312" w:hAnsi="仿宋_GB2312" w:eastAsia="仿宋_GB2312" w:cs="仿宋_GB2312"/>
          <w:bCs/>
          <w:color w:val="auto"/>
          <w:kern w:val="2"/>
          <w:sz w:val="28"/>
          <w:szCs w:val="28"/>
          <w:highlight w:val="none"/>
          <w:lang w:val="en-GB" w:eastAsia="zh-CN" w:bidi="ar-SA"/>
        </w:rPr>
        <w:t>划拨</w:t>
      </w:r>
      <w:r>
        <w:rPr>
          <w:rFonts w:hint="default" w:ascii="仿宋_GB2312" w:hAnsi="仿宋_GB2312" w:eastAsia="仿宋_GB2312" w:cs="仿宋_GB2312"/>
          <w:bCs/>
          <w:color w:val="auto"/>
          <w:kern w:val="2"/>
          <w:sz w:val="28"/>
          <w:szCs w:val="28"/>
          <w:highlight w:val="none"/>
          <w:lang w:val="en-GB" w:eastAsia="zh-CN" w:bidi="ar-SA"/>
        </w:rPr>
        <w:t>用地，使用年期为无年期限制。委托方拟按现状办理出让手续，</w:t>
      </w:r>
      <w:r>
        <w:rPr>
          <w:rFonts w:hint="eastAsia" w:ascii="仿宋_GB2312" w:hAnsi="仿宋_GB2312" w:eastAsia="仿宋_GB2312" w:cs="仿宋_GB2312"/>
          <w:bCs/>
          <w:color w:val="auto"/>
          <w:kern w:val="2"/>
          <w:sz w:val="28"/>
          <w:szCs w:val="28"/>
          <w:highlight w:val="none"/>
          <w:lang w:val="en-US" w:eastAsia="zh-CN" w:bidi="ar-SA"/>
        </w:rPr>
        <w:t>土地使用年期为70年，</w:t>
      </w:r>
      <w:r>
        <w:rPr>
          <w:rFonts w:hint="default" w:ascii="仿宋_GB2312" w:hAnsi="仿宋_GB2312" w:eastAsia="仿宋_GB2312" w:cs="仿宋_GB2312"/>
          <w:bCs/>
          <w:color w:val="auto"/>
          <w:kern w:val="2"/>
          <w:sz w:val="28"/>
          <w:szCs w:val="28"/>
          <w:highlight w:val="none"/>
          <w:lang w:val="en-GB" w:eastAsia="zh-CN" w:bidi="ar-SA"/>
        </w:rPr>
        <w:t>根据评估目的并结合国务院第55号令《中华人民共和国城镇国有土地使用权出让和转让暂行条例》</w:t>
      </w:r>
      <w:r>
        <w:rPr>
          <w:rFonts w:hint="eastAsia" w:ascii="仿宋_GB2312" w:hAnsi="仿宋_GB2312" w:eastAsia="仿宋_GB2312" w:cs="仿宋_GB2312"/>
          <w:bCs/>
          <w:color w:val="auto"/>
          <w:kern w:val="2"/>
          <w:sz w:val="28"/>
          <w:szCs w:val="28"/>
          <w:highlight w:val="none"/>
          <w:lang w:val="en-US" w:eastAsia="zh-CN" w:bidi="ar-SA"/>
        </w:rPr>
        <w:t>和《土地资产评估委托书》</w:t>
      </w:r>
      <w:r>
        <w:rPr>
          <w:rFonts w:hint="default" w:ascii="仿宋_GB2312" w:hAnsi="仿宋_GB2312" w:eastAsia="仿宋_GB2312" w:cs="仿宋_GB2312"/>
          <w:bCs/>
          <w:color w:val="auto"/>
          <w:kern w:val="2"/>
          <w:sz w:val="28"/>
          <w:szCs w:val="28"/>
          <w:highlight w:val="none"/>
          <w:lang w:val="en-GB" w:eastAsia="zh-CN" w:bidi="ar-SA"/>
        </w:rPr>
        <w:t>，本次评估设定土地用途为住宅用地，本次评估现状利用条件下的出让土地使用权价格的土地使用权年限为</w:t>
      </w:r>
      <w:r>
        <w:rPr>
          <w:rFonts w:hint="eastAsia" w:ascii="仿宋_GB2312" w:hAnsi="仿宋_GB2312" w:eastAsia="仿宋_GB2312" w:cs="仿宋_GB2312"/>
          <w:bCs/>
          <w:color w:val="auto"/>
          <w:kern w:val="2"/>
          <w:sz w:val="28"/>
          <w:szCs w:val="28"/>
          <w:highlight w:val="none"/>
          <w:lang w:val="en-US" w:eastAsia="zh-CN" w:bidi="ar-SA"/>
        </w:rPr>
        <w:t>70年</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3A3B824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3.土地他项权利状况：根据委托估价方提供的资料，估价对象与相邻地地界分明，无地上地下相邻相关权利限制。至估价期日止，估价对象未设置抵押权、担保权、地役权、租赁权等他项权利限制。</w:t>
      </w:r>
    </w:p>
    <w:p w14:paraId="2371303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4.相邻关系：估价对象权属清晰，四至界址明确，无权属纠纷，无相邻权利人道路通行权等相邻关系。</w:t>
      </w:r>
    </w:p>
    <w:p w14:paraId="11D6DDD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（三）土地利用状况</w:t>
      </w:r>
    </w:p>
    <w:p w14:paraId="59097AC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14:paraId="2FD9B44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根据委托方提供的资料及估价人员的现场勘查，估价对象实际开发程度为红线内外“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通”（通路、通电、供水、排水、通讯）和红线内场地平整，估价对象所在整体宗地上有一栋混合结构</w:t>
      </w:r>
      <w:r>
        <w:rPr>
          <w:rFonts w:hint="eastAsia" w:ascii="仿宋_GB2312" w:hAnsi="仿宋_GB2312" w:eastAsia="仿宋_GB2312" w:cs="仿宋_GB2312"/>
          <w:bCs/>
          <w:color w:val="auto"/>
          <w:kern w:val="2"/>
          <w:sz w:val="28"/>
          <w:szCs w:val="28"/>
          <w:highlight w:val="none"/>
          <w:lang w:val="en-US" w:eastAsia="zh-CN" w:bidi="ar-SA"/>
        </w:rPr>
        <w:t>建筑物</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0BF6BA7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1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25AB0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0C20735F">
            <w:pPr>
              <w:pStyle w:val="18"/>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94610" cy="2584450"/>
                  <wp:effectExtent l="0" t="0" r="15240" b="6350"/>
                  <wp:docPr id="7" name="图片 7" descr="微信图片_20260515163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微信图片_20260515163404"/>
                          <pic:cNvPicPr>
                            <a:picLocks noChangeAspect="1"/>
                          </pic:cNvPicPr>
                        </pic:nvPicPr>
                        <pic:blipFill>
                          <a:blip r:embed="rId19"/>
                          <a:stretch>
                            <a:fillRect/>
                          </a:stretch>
                        </pic:blipFill>
                        <pic:spPr>
                          <a:xfrm>
                            <a:off x="0" y="0"/>
                            <a:ext cx="2594610" cy="2584450"/>
                          </a:xfrm>
                          <a:prstGeom prst="rect">
                            <a:avLst/>
                          </a:prstGeom>
                        </pic:spPr>
                      </pic:pic>
                    </a:graphicData>
                  </a:graphic>
                </wp:inline>
              </w:drawing>
            </w:r>
          </w:p>
        </w:tc>
        <w:tc>
          <w:tcPr>
            <w:tcW w:w="2466" w:type="pct"/>
          </w:tcPr>
          <w:p w14:paraId="15693E7B">
            <w:pPr>
              <w:pStyle w:val="18"/>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1585" cy="2574925"/>
                  <wp:effectExtent l="0" t="0" r="12065" b="15875"/>
                  <wp:docPr id="8" name="图片 8" descr="微信图片_2026051516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微信图片_20260515163412"/>
                          <pic:cNvPicPr>
                            <a:picLocks noChangeAspect="1"/>
                          </pic:cNvPicPr>
                        </pic:nvPicPr>
                        <pic:blipFill>
                          <a:blip r:embed="rId20"/>
                          <a:srcRect b="21567"/>
                          <a:stretch>
                            <a:fillRect/>
                          </a:stretch>
                        </pic:blipFill>
                        <pic:spPr>
                          <a:xfrm>
                            <a:off x="0" y="0"/>
                            <a:ext cx="2521585" cy="2574925"/>
                          </a:xfrm>
                          <a:prstGeom prst="rect">
                            <a:avLst/>
                          </a:prstGeom>
                        </pic:spPr>
                      </pic:pic>
                    </a:graphicData>
                  </a:graphic>
                </wp:inline>
              </w:drawing>
            </w:r>
          </w:p>
        </w:tc>
      </w:tr>
    </w:tbl>
    <w:p w14:paraId="3559DFC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根据受托估价人员现场勘察，估价</w:t>
      </w:r>
      <w:r>
        <w:rPr>
          <w:rFonts w:hint="eastAsia" w:ascii="仿宋_GB2312" w:hAnsi="仿宋_GB2312" w:eastAsia="仿宋_GB2312" w:cs="仿宋_GB2312"/>
          <w:bCs/>
          <w:color w:val="auto"/>
          <w:kern w:val="2"/>
          <w:sz w:val="28"/>
          <w:szCs w:val="28"/>
          <w:highlight w:val="none"/>
          <w:lang w:val="en-US" w:eastAsia="zh-CN" w:bidi="ar-SA"/>
        </w:rPr>
        <w:t>对象位于月岩西路皮革厂家属楼3栋4层404房</w:t>
      </w:r>
      <w:r>
        <w:rPr>
          <w:rFonts w:hint="default" w:ascii="仿宋_GB2312" w:hAnsi="仿宋_GB2312" w:eastAsia="仿宋_GB2312" w:cs="仿宋_GB2312"/>
          <w:bCs/>
          <w:color w:val="auto"/>
          <w:kern w:val="2"/>
          <w:sz w:val="28"/>
          <w:szCs w:val="28"/>
          <w:highlight w:val="none"/>
          <w:lang w:val="en-GB" w:eastAsia="zh-CN" w:bidi="ar-SA"/>
        </w:rPr>
        <w:t>，所在宗地上有独栋建筑物，总层数为</w:t>
      </w:r>
      <w:r>
        <w:rPr>
          <w:rFonts w:hint="eastAsia" w:ascii="仿宋_GB2312" w:hAnsi="仿宋_GB2312" w:eastAsia="仿宋_GB2312" w:cs="仿宋_GB2312"/>
          <w:bCs/>
          <w:color w:val="auto"/>
          <w:kern w:val="2"/>
          <w:sz w:val="28"/>
          <w:szCs w:val="28"/>
          <w:highlight w:val="none"/>
          <w:lang w:val="en-US" w:eastAsia="zh-CN" w:bidi="ar-SA"/>
        </w:rPr>
        <w:t>5层</w:t>
      </w:r>
      <w:r>
        <w:rPr>
          <w:rFonts w:hint="default" w:ascii="仿宋_GB2312" w:hAnsi="仿宋_GB2312" w:eastAsia="仿宋_GB2312" w:cs="仿宋_GB2312"/>
          <w:bCs/>
          <w:color w:val="auto"/>
          <w:kern w:val="2"/>
          <w:sz w:val="28"/>
          <w:szCs w:val="28"/>
          <w:highlight w:val="none"/>
          <w:lang w:val="en-GB" w:eastAsia="zh-CN" w:bidi="ar-SA"/>
        </w:rPr>
        <w:t>，业主房屋所在层数为</w:t>
      </w:r>
      <w:r>
        <w:rPr>
          <w:rFonts w:hint="eastAsia" w:ascii="仿宋_GB2312" w:hAnsi="仿宋_GB2312" w:eastAsia="仿宋_GB2312" w:cs="仿宋_GB2312"/>
          <w:bCs/>
          <w:color w:val="auto"/>
          <w:kern w:val="2"/>
          <w:sz w:val="28"/>
          <w:szCs w:val="28"/>
          <w:highlight w:val="none"/>
          <w:lang w:val="en-US" w:eastAsia="zh-CN" w:bidi="ar-SA"/>
        </w:rPr>
        <w:t>4层</w:t>
      </w:r>
      <w:r>
        <w:rPr>
          <w:rFonts w:hint="default" w:ascii="仿宋_GB2312" w:hAnsi="仿宋_GB2312" w:eastAsia="仿宋_GB2312" w:cs="仿宋_GB2312"/>
          <w:bCs/>
          <w:color w:val="auto"/>
          <w:kern w:val="2"/>
          <w:sz w:val="28"/>
          <w:szCs w:val="28"/>
          <w:highlight w:val="none"/>
          <w:lang w:val="en-GB" w:eastAsia="zh-CN" w:bidi="ar-SA"/>
        </w:rPr>
        <w:t>，建筑物为</w:t>
      </w:r>
      <w:r>
        <w:rPr>
          <w:rFonts w:hint="eastAsia" w:ascii="仿宋_GB2312" w:hAnsi="仿宋_GB2312" w:eastAsia="仿宋_GB2312" w:cs="仿宋_GB2312"/>
          <w:bCs/>
          <w:color w:val="auto"/>
          <w:kern w:val="2"/>
          <w:sz w:val="28"/>
          <w:szCs w:val="28"/>
          <w:highlight w:val="none"/>
          <w:lang w:val="en-US" w:eastAsia="zh-CN" w:bidi="ar-SA"/>
        </w:rPr>
        <w:t>砖混</w:t>
      </w:r>
      <w:r>
        <w:rPr>
          <w:rFonts w:hint="default" w:ascii="仿宋_GB2312" w:hAnsi="仿宋_GB2312" w:eastAsia="仿宋_GB2312" w:cs="仿宋_GB2312"/>
          <w:bCs/>
          <w:color w:val="auto"/>
          <w:kern w:val="2"/>
          <w:sz w:val="28"/>
          <w:szCs w:val="28"/>
          <w:highlight w:val="none"/>
          <w:lang w:val="en-GB" w:eastAsia="zh-CN" w:bidi="ar-SA"/>
        </w:rPr>
        <w:t>结构，</w:t>
      </w:r>
      <w:r>
        <w:rPr>
          <w:rFonts w:hint="eastAsia" w:ascii="仿宋_GB2312" w:hAnsi="仿宋_GB2312" w:eastAsia="仿宋_GB2312" w:cs="仿宋_GB2312"/>
          <w:bCs/>
          <w:color w:val="auto"/>
          <w:kern w:val="2"/>
          <w:sz w:val="28"/>
          <w:szCs w:val="28"/>
          <w:highlight w:val="none"/>
          <w:lang w:val="en-US" w:eastAsia="zh-CN" w:bidi="ar-SA"/>
        </w:rPr>
        <w:t>不锈钢及木质入户门，塑钢窗户，铁艺防盗网，外墙双飞粉，屋内地贴瓷砖，顶棚木质装饰吊顶，简单装修，</w:t>
      </w:r>
      <w:r>
        <w:rPr>
          <w:rFonts w:hint="default" w:ascii="仿宋_GB2312" w:hAnsi="仿宋_GB2312" w:eastAsia="仿宋_GB2312" w:cs="仿宋_GB2312"/>
          <w:bCs/>
          <w:color w:val="auto"/>
          <w:kern w:val="2"/>
          <w:sz w:val="28"/>
          <w:szCs w:val="28"/>
          <w:highlight w:val="none"/>
          <w:lang w:val="en-GB" w:eastAsia="zh-CN" w:bidi="ar-SA"/>
        </w:rPr>
        <w:t>维护保养状况</w:t>
      </w:r>
      <w:r>
        <w:rPr>
          <w:rFonts w:hint="eastAsia" w:ascii="仿宋_GB2312" w:hAnsi="仿宋_GB2312" w:eastAsia="仿宋_GB2312" w:cs="仿宋_GB2312"/>
          <w:bCs/>
          <w:color w:val="auto"/>
          <w:kern w:val="2"/>
          <w:sz w:val="28"/>
          <w:szCs w:val="28"/>
          <w:highlight w:val="none"/>
          <w:lang w:val="en-US" w:eastAsia="zh-CN" w:bidi="ar-SA"/>
        </w:rPr>
        <w:t>一般</w:t>
      </w:r>
      <w:r>
        <w:rPr>
          <w:rFonts w:hint="default" w:ascii="仿宋_GB2312" w:hAnsi="仿宋_GB2312" w:eastAsia="仿宋_GB2312" w:cs="仿宋_GB2312"/>
          <w:bCs/>
          <w:color w:val="auto"/>
          <w:kern w:val="2"/>
          <w:sz w:val="28"/>
          <w:szCs w:val="28"/>
          <w:highlight w:val="none"/>
          <w:lang w:val="en-GB" w:eastAsia="zh-CN" w:bidi="ar-SA"/>
        </w:rPr>
        <w:t>，约</w:t>
      </w:r>
      <w:r>
        <w:rPr>
          <w:rFonts w:hint="eastAsia" w:ascii="仿宋_GB2312" w:hAnsi="仿宋_GB2312" w:eastAsia="仿宋_GB2312" w:cs="仿宋_GB2312"/>
          <w:bCs/>
          <w:color w:val="auto"/>
          <w:kern w:val="2"/>
          <w:sz w:val="28"/>
          <w:szCs w:val="28"/>
          <w:highlight w:val="none"/>
          <w:lang w:val="en-US" w:eastAsia="zh-CN" w:bidi="ar-SA"/>
        </w:rPr>
        <w:t>七成新</w:t>
      </w:r>
      <w:r>
        <w:rPr>
          <w:rFonts w:hint="default" w:ascii="仿宋_GB2312" w:hAnsi="仿宋_GB2312" w:eastAsia="仿宋_GB2312" w:cs="仿宋_GB2312"/>
          <w:bCs/>
          <w:color w:val="auto"/>
          <w:kern w:val="2"/>
          <w:sz w:val="28"/>
          <w:szCs w:val="28"/>
          <w:highlight w:val="none"/>
          <w:lang w:val="en-GB" w:eastAsia="zh-CN" w:bidi="ar-SA"/>
        </w:rPr>
        <w:t>，房屋整体经济耐用年限为50年，已使用</w:t>
      </w:r>
      <w:r>
        <w:rPr>
          <w:rFonts w:hint="eastAsia" w:ascii="仿宋_GB2312" w:hAnsi="仿宋_GB2312" w:eastAsia="仿宋_GB2312" w:cs="仿宋_GB2312"/>
          <w:bCs/>
          <w:color w:val="auto"/>
          <w:kern w:val="2"/>
          <w:sz w:val="28"/>
          <w:szCs w:val="28"/>
          <w:highlight w:val="none"/>
          <w:lang w:val="en-US" w:eastAsia="zh-CN" w:bidi="ar-SA"/>
        </w:rPr>
        <w:t>22年</w:t>
      </w:r>
      <w:r>
        <w:rPr>
          <w:rFonts w:hint="default" w:ascii="仿宋_GB2312" w:hAnsi="仿宋_GB2312" w:eastAsia="仿宋_GB2312" w:cs="仿宋_GB2312"/>
          <w:bCs/>
          <w:color w:val="auto"/>
          <w:kern w:val="2"/>
          <w:sz w:val="28"/>
          <w:szCs w:val="28"/>
          <w:highlight w:val="none"/>
          <w:lang w:val="en-GB" w:eastAsia="zh-CN" w:bidi="ar-SA"/>
        </w:rPr>
        <w:t>，剩余使用年限为</w:t>
      </w:r>
      <w:r>
        <w:rPr>
          <w:rFonts w:hint="eastAsia" w:ascii="仿宋_GB2312" w:hAnsi="仿宋_GB2312" w:eastAsia="仿宋_GB2312" w:cs="仿宋_GB2312"/>
          <w:bCs/>
          <w:color w:val="auto"/>
          <w:kern w:val="2"/>
          <w:sz w:val="28"/>
          <w:szCs w:val="28"/>
          <w:highlight w:val="none"/>
          <w:lang w:val="en-US" w:eastAsia="zh-CN" w:bidi="ar-SA"/>
        </w:rPr>
        <w:t>28</w:t>
      </w:r>
      <w:r>
        <w:rPr>
          <w:rFonts w:hint="default" w:ascii="仿宋_GB2312" w:hAnsi="仿宋_GB2312" w:eastAsia="仿宋_GB2312" w:cs="仿宋_GB2312"/>
          <w:bCs/>
          <w:color w:val="auto"/>
          <w:kern w:val="2"/>
          <w:sz w:val="28"/>
          <w:szCs w:val="28"/>
          <w:highlight w:val="none"/>
          <w:lang w:val="en-GB" w:eastAsia="zh-CN" w:bidi="ar-SA"/>
        </w:rPr>
        <w:t>年。根据委托方提供的估价对象</w:t>
      </w:r>
      <w:r>
        <w:rPr>
          <w:rFonts w:hint="eastAsia" w:ascii="仿宋_GB2312" w:eastAsia="仿宋_GB2312"/>
          <w:color w:val="000000" w:themeColor="text1"/>
          <w:sz w:val="28"/>
          <w:szCs w:val="30"/>
          <w:highlight w:val="none"/>
          <w:lang w:eastAsia="zh-CN"/>
          <w14:textFill>
            <w14:solidFill>
              <w14:schemeClr w14:val="tx1"/>
            </w14:solidFill>
          </w14:textFill>
        </w:rPr>
        <w:t>《户室面积对照表》、《土地分摊表》</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估价对象建筑面积为</w:t>
      </w:r>
      <w:r>
        <w:rPr>
          <w:rFonts w:hint="eastAsia" w:ascii="仿宋_GB2312" w:hAnsi="仿宋_GB2312" w:eastAsia="仿宋_GB2312" w:cs="仿宋_GB2312"/>
          <w:bCs/>
          <w:color w:val="auto"/>
          <w:kern w:val="2"/>
          <w:sz w:val="28"/>
          <w:szCs w:val="28"/>
          <w:highlight w:val="none"/>
          <w:lang w:val="en-US" w:eastAsia="zh-CN" w:bidi="ar-SA"/>
        </w:rPr>
        <w:t>73.415平方米，分摊土地使用权面积15.2平方米</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根据《评估委托书》</w:t>
      </w:r>
      <w:r>
        <w:rPr>
          <w:rFonts w:hint="default" w:ascii="仿宋_GB2312" w:hAnsi="仿宋_GB2312" w:eastAsia="仿宋_GB2312" w:cs="仿宋_GB2312"/>
          <w:bCs/>
          <w:color w:val="auto"/>
          <w:kern w:val="2"/>
          <w:sz w:val="28"/>
          <w:szCs w:val="28"/>
          <w:highlight w:val="none"/>
          <w:lang w:val="en-GB" w:eastAsia="zh-CN" w:bidi="ar-SA"/>
        </w:rPr>
        <w:t>委托方拟按估价对象现状使用条件进行出让</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则估价对象现状容积率</w:t>
      </w:r>
      <w:r>
        <w:rPr>
          <w:rFonts w:hint="eastAsia" w:ascii="仿宋_GB2312" w:hAnsi="仿宋_GB2312" w:eastAsia="仿宋_GB2312" w:cs="仿宋_GB2312"/>
          <w:bCs/>
          <w:color w:val="auto"/>
          <w:kern w:val="2"/>
          <w:sz w:val="28"/>
          <w:szCs w:val="28"/>
          <w:highlight w:val="none"/>
          <w:lang w:val="en-GB" w:eastAsia="zh-CN" w:bidi="ar-SA"/>
        </w:rPr>
        <w:t>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。根据估价目的，本次评估设定土地容积率为</w:t>
      </w:r>
      <w:r>
        <w:rPr>
          <w:rFonts w:hint="eastAsia" w:ascii="仿宋_GB2312" w:hAnsi="仿宋_GB2312" w:eastAsia="仿宋_GB2312" w:cs="仿宋_GB2312"/>
          <w:bCs/>
          <w:color w:val="auto"/>
          <w:kern w:val="2"/>
          <w:sz w:val="28"/>
          <w:szCs w:val="28"/>
          <w:highlight w:val="none"/>
          <w:lang w:val="en-US" w:eastAsia="zh-CN" w:bidi="ar-SA"/>
        </w:rPr>
        <w:t>4.83。</w:t>
      </w:r>
    </w:p>
    <w:p w14:paraId="7B6393F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326AD16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0380685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w:t>
      </w:r>
      <w:r>
        <w:rPr>
          <w:rFonts w:hint="eastAsia" w:ascii="仿宋_GB2312" w:eastAsia="仿宋_GB2312"/>
          <w:color w:val="000000" w:themeColor="text1"/>
          <w:sz w:val="28"/>
          <w:szCs w:val="30"/>
          <w:highlight w:val="none"/>
          <w:lang w:eastAsia="zh-CN"/>
          <w14:textFill>
            <w14:solidFill>
              <w14:schemeClr w14:val="tx1"/>
            </w14:solidFill>
          </w14:textFill>
        </w:rPr>
        <w:t>《评估委托书》、《户室面积对照表》、《土地分摊表》</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及现场勘查状况，估价对象</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土地面积为15.2平方米，建筑面积73.415平方米，容积率为4.83。</w:t>
      </w:r>
    </w:p>
    <w:p w14:paraId="7B328CC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123EFEA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现状</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利用下价值利用状况为最有效利用。故设定估价对象为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，设定容积率为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4.83，</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其余指标均取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现状</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值为最佳利用方式。</w:t>
      </w:r>
    </w:p>
    <w:p w14:paraId="309536D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6877C83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highlight w:val="none"/>
          <w:lang w:val="en-US" w:eastAsia="zh-CN"/>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3604DB1F">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default" w:ascii="仿宋_GB2312" w:hAnsi="仿宋_GB2312" w:eastAsia="仿宋_GB2312" w:cs="仿宋_GB2312"/>
          <w:b/>
          <w:bCs w:val="0"/>
          <w:color w:val="auto"/>
          <w:sz w:val="28"/>
          <w:szCs w:val="28"/>
          <w:highlight w:val="none"/>
          <w:lang w:val="en-US" w:eastAsia="zh-CN"/>
        </w:rPr>
      </w:pPr>
      <w:bookmarkStart w:id="6" w:name="_Toc7099"/>
      <w:bookmarkStart w:id="7" w:name="_Toc3816"/>
      <w:r>
        <w:rPr>
          <w:rFonts w:hint="eastAsia" w:ascii="仿宋_GB2312" w:hAnsi="仿宋_GB2312" w:eastAsia="仿宋_GB2312" w:cs="仿宋_GB2312"/>
          <w:b/>
          <w:bCs w:val="0"/>
          <w:color w:val="auto"/>
          <w:sz w:val="28"/>
          <w:szCs w:val="28"/>
          <w:highlight w:val="none"/>
          <w:lang w:val="en-US" w:eastAsia="zh-CN"/>
        </w:rPr>
        <w:t>四</w:t>
      </w:r>
      <w:r>
        <w:rPr>
          <w:rFonts w:hint="default" w:ascii="仿宋_GB2312" w:hAnsi="仿宋_GB2312" w:eastAsia="仿宋_GB2312" w:cs="仿宋_GB2312"/>
          <w:b/>
          <w:bCs w:val="0"/>
          <w:color w:val="auto"/>
          <w:sz w:val="28"/>
          <w:szCs w:val="28"/>
          <w:highlight w:val="none"/>
          <w:lang w:val="en-US" w:eastAsia="zh-CN"/>
        </w:rPr>
        <w:t>、地价影响因素分析</w:t>
      </w:r>
      <w:bookmarkEnd w:id="6"/>
      <w:bookmarkEnd w:id="7"/>
    </w:p>
    <w:p w14:paraId="2DB1394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2"/>
        <w:rPr>
          <w:rFonts w:hint="default" w:ascii="仿宋_GB2312" w:hAnsi="仿宋_GB2312" w:eastAsia="仿宋_GB2312" w:cs="仿宋_GB2312"/>
          <w:bCs/>
          <w:color w:val="auto"/>
          <w:sz w:val="28"/>
          <w:szCs w:val="28"/>
          <w:highlight w:val="none"/>
          <w:lang w:val="en-US" w:eastAsia="zh-CN"/>
        </w:rPr>
      </w:pPr>
      <w:bookmarkStart w:id="8" w:name="_Toc25578"/>
      <w:bookmarkStart w:id="9" w:name="_Toc102987873"/>
      <w:r>
        <w:rPr>
          <w:rFonts w:hint="default" w:ascii="仿宋_GB2312" w:hAnsi="仿宋_GB2312" w:eastAsia="仿宋_GB2312" w:cs="仿宋_GB2312"/>
          <w:bCs/>
          <w:color w:val="auto"/>
          <w:sz w:val="28"/>
          <w:szCs w:val="28"/>
          <w:highlight w:val="none"/>
          <w:lang w:val="en-US" w:eastAsia="zh-CN"/>
        </w:rPr>
        <w:t>（一）一般因素</w:t>
      </w:r>
    </w:p>
    <w:p w14:paraId="4366BDE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422B526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1.城市资源状况</w:t>
      </w:r>
    </w:p>
    <w:p w14:paraId="2C42317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（1）地理位置</w:t>
      </w:r>
    </w:p>
    <w:p w14:paraId="2895C41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00C9C0E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（2）地形地貌</w:t>
      </w:r>
    </w:p>
    <w:p w14:paraId="6A6EA4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35009D3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（3）气候</w:t>
      </w:r>
    </w:p>
    <w:p w14:paraId="48A7CDB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791385E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（4）水文</w:t>
      </w:r>
    </w:p>
    <w:p w14:paraId="7BA3D32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25152C2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人口</w:t>
      </w:r>
    </w:p>
    <w:p w14:paraId="758EAF3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261AF73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（6）交通运输</w:t>
      </w:r>
    </w:p>
    <w:p w14:paraId="359D6CA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2A3CC00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土地概况</w:t>
      </w:r>
    </w:p>
    <w:p w14:paraId="690BC0B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2月8日，道县第三次国土调查结果经县政府、永州市“三调”办审议并原则同意后，道县第三次国土调查领导小组办公室、道县自然资源局、道县统计局印发了《道县第三次国土调查主要数据公报》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主要地类数据如下：</w:t>
      </w:r>
    </w:p>
    <w:p w14:paraId="1D4F5A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耕地664793.55亩(44319.57公顷)。其中，水田482094.830亩(32139.50公顷),占比74.832%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4B7DD37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亩(13.97公顷),占比0.06%;其他园地170854.835亩(11390.17公顷),占比50.62%。总体来看，园地主要分布在祥霖铺镇、审章塘瑶族乡、白芒铺镇、柑子园镇、蚣坝镇、白马渡镇、东门街道和上关街道等。</w:t>
      </w:r>
    </w:p>
    <w:p w14:paraId="435FC66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3AFFA50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2863155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3F986F8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6）城镇村及工矿用地190153.80亩(12676.92公顷)。</w:t>
      </w:r>
    </w:p>
    <w:p w14:paraId="26D1C26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5140AF5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2D54A7B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8）水域及水利设施用地145174.35亩(9678.29公顷)。</w:t>
      </w:r>
    </w:p>
    <w:p w14:paraId="7E56D9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3CED0E1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2.不动产制度与不动产市场状况</w:t>
      </w:r>
    </w:p>
    <w:p w14:paraId="69AA2AE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（1）土地制度</w:t>
      </w:r>
    </w:p>
    <w:p w14:paraId="0647595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58B98C2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1）土地所有制</w:t>
      </w:r>
    </w:p>
    <w:p w14:paraId="566DB3B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6DF65C4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①国有土地</w:t>
      </w:r>
    </w:p>
    <w:p w14:paraId="7D4A512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0C1A436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3A92DB8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②集体土地</w:t>
      </w:r>
    </w:p>
    <w:p w14:paraId="7E2A0F5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70412E0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2）土地管理的基本制度</w:t>
      </w:r>
    </w:p>
    <w:p w14:paraId="384E11D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①实行土地登记制度</w:t>
      </w:r>
    </w:p>
    <w:p w14:paraId="0999653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17AF1EA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②实行土地有偿有限期使用制度</w:t>
      </w:r>
    </w:p>
    <w:p w14:paraId="418ABB4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5CEE065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4470CB1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③实行土地用途管制制度</w:t>
      </w:r>
    </w:p>
    <w:p w14:paraId="1F64BA0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4DE428B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④实行耕地保护制度</w:t>
      </w:r>
    </w:p>
    <w:p w14:paraId="782FF9E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7FF5A87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（2）住房制度</w:t>
      </w:r>
    </w:p>
    <w:p w14:paraId="2EB033E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21F8B2B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2020年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8月18</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人民政府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11627E9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108631C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（3）地价政策</w:t>
      </w:r>
    </w:p>
    <w:p w14:paraId="29F31E1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%的上调，各等级片区划分有一定微调。</w:t>
      </w:r>
    </w:p>
    <w:p w14:paraId="09FE85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w:t>
      </w:r>
    </w:p>
    <w:p w14:paraId="0A43D0D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（4）不动产市场状况</w:t>
      </w:r>
    </w:p>
    <w:p w14:paraId="497222D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1）土地市场状况</w:t>
      </w:r>
    </w:p>
    <w:p w14:paraId="243AB6D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①土地供应总量 </w:t>
      </w:r>
    </w:p>
    <w:p w14:paraId="17811CF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72CC2199">
      <w:pPr>
        <w:keepLines w:val="0"/>
        <w:pageBreakBefore w:val="0"/>
        <w:kinsoku/>
        <w:wordWrap/>
        <w:overflowPunct/>
        <w:topLinePunct w:val="0"/>
        <w:autoSpaceDE/>
        <w:autoSpaceDN/>
        <w:bidi w:val="0"/>
        <w:spacing w:line="480" w:lineRule="exact"/>
        <w:ind w:firstLine="560" w:firstLineChars="200"/>
        <w:jc w:val="center"/>
        <w:textAlignment w:val="auto"/>
        <w:outlineLvl w:val="9"/>
        <w:rPr>
          <w:rFonts w:hint="eastAsia" w:ascii="仿宋_GB2312" w:eastAsia="仿宋_GB2312"/>
          <w:color w:val="000000" w:themeColor="text1"/>
          <w:sz w:val="28"/>
          <w:szCs w:val="30"/>
          <w:highlight w:val="none"/>
          <w14:textFill>
            <w14:solidFill>
              <w14:schemeClr w14:val="tx1"/>
            </w14:solidFill>
          </w14:textFill>
        </w:rPr>
      </w:pPr>
      <w:r>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12"/>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0E950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DA34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8FE5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B81C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B09E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总面积（公顷）</w:t>
            </w:r>
          </w:p>
        </w:tc>
      </w:tr>
      <w:tr w14:paraId="63D84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6FA9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default"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7554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1F56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8B9A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1FA62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A8D83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F492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9FDA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425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25BB6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F58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970B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F894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3EF8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1E0C1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36E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481D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D1C5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8D77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37888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8B1E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CBA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AE5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EB50C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2740F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F19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F1C9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7F3C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531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r w14:paraId="596E0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D5D8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5B64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F952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3FB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194.49</w:t>
            </w:r>
          </w:p>
        </w:tc>
      </w:tr>
      <w:tr w14:paraId="17A47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01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EF62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6B8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9A8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100.00%</w:t>
            </w:r>
          </w:p>
        </w:tc>
      </w:tr>
    </w:tbl>
    <w:p w14:paraId="1D04DA12">
      <w:pPr>
        <w:pStyle w:val="11"/>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outlineLvl w:val="9"/>
        <w:rPr>
          <w:rFonts w:hint="eastAsia" w:eastAsia="仿宋_GB2312"/>
          <w:color w:val="000000" w:themeColor="text1"/>
          <w:highlight w:val="none"/>
          <w:lang w:eastAsia="zh-CN"/>
          <w14:textFill>
            <w14:solidFill>
              <w14:schemeClr w14:val="tx1"/>
            </w14:solidFill>
          </w14:textFill>
        </w:rPr>
      </w:pPr>
    </w:p>
    <w:p w14:paraId="547DD2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4654550" cy="2590800"/>
            <wp:effectExtent l="4445" t="4445" r="8255" b="14605"/>
            <wp:docPr id="63"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A26772A">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pPr>
      <w:r>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t>道县2020-2024年土地供应总量图</w:t>
      </w:r>
    </w:p>
    <w:p w14:paraId="7997F65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②土地供应结构 </w:t>
      </w:r>
    </w:p>
    <w:p w14:paraId="4DD3CD6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3A34AC59">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道县2020-2024年土地供应情况表</w:t>
      </w:r>
    </w:p>
    <w:p w14:paraId="1646A79D">
      <w:pPr>
        <w:pStyle w:val="18"/>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单位：公顷</w:t>
      </w:r>
    </w:p>
    <w:p w14:paraId="08CB03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757545" cy="2015490"/>
            <wp:effectExtent l="0" t="0" r="14605" b="381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2"/>
                    <a:stretch>
                      <a:fillRect/>
                    </a:stretch>
                  </pic:blipFill>
                  <pic:spPr>
                    <a:xfrm>
                      <a:off x="0" y="0"/>
                      <a:ext cx="5757545" cy="2015490"/>
                    </a:xfrm>
                    <a:prstGeom prst="rect">
                      <a:avLst/>
                    </a:prstGeom>
                    <a:noFill/>
                    <a:ln>
                      <a:noFill/>
                    </a:ln>
                  </pic:spPr>
                </pic:pic>
              </a:graphicData>
            </a:graphic>
          </wp:inline>
        </w:drawing>
      </w:r>
    </w:p>
    <w:p w14:paraId="641D15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color w:val="000000" w:themeColor="text1"/>
          <w:highlight w:val="none"/>
          <w14:textFill>
            <w14:solidFill>
              <w14:schemeClr w14:val="tx1"/>
            </w14:solidFill>
          </w14:textFill>
        </w:rPr>
      </w:pPr>
    </w:p>
    <w:p w14:paraId="5FAE31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3742055" cy="2219960"/>
            <wp:effectExtent l="4445" t="4445" r="6350" b="23495"/>
            <wp:docPr id="64"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E715250">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道县2020-2024年土地供应结构图</w:t>
      </w:r>
    </w:p>
    <w:p w14:paraId="777A777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③土地供应方式 </w:t>
      </w:r>
    </w:p>
    <w:p w14:paraId="273227E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32AE3E1A">
      <w:pPr>
        <w:keepLines w:val="0"/>
        <w:pageBreakBefore w:val="0"/>
        <w:kinsoku/>
        <w:wordWrap/>
        <w:overflowPunct/>
        <w:topLinePunct w:val="0"/>
        <w:autoSpaceDE/>
        <w:autoSpaceDN/>
        <w:bidi w:val="0"/>
        <w:spacing w:line="480" w:lineRule="exact"/>
        <w:ind w:firstLine="560" w:firstLineChars="20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道县2020-2024年土地供应方式情况表</w:t>
      </w:r>
    </w:p>
    <w:p w14:paraId="2508AB32">
      <w:pPr>
        <w:pStyle w:val="18"/>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单位：公顷</w:t>
      </w:r>
    </w:p>
    <w:tbl>
      <w:tblPr>
        <w:tblStyle w:val="12"/>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5C47E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3CF2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AE7F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FC15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41D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供应总量</w:t>
            </w:r>
          </w:p>
        </w:tc>
      </w:tr>
      <w:tr w14:paraId="4B280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87E1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E605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94A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5E8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484C9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06A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5CCA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9904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2932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02B17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9227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89E1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49D4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94B2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7A63F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914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A87A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A926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DF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42F58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D96F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09CF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E4BF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BAE37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4225C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7A7B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0836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54F4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A74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bl>
    <w:p w14:paraId="00ACBD4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④土地供应分布 </w:t>
      </w:r>
    </w:p>
    <w:p w14:paraId="767141C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35D6385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2）房地产市场状况</w:t>
      </w:r>
    </w:p>
    <w:p w14:paraId="045728A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4F83776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0E950EB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74FC753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284F8C0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0F16EE2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3.产业政策</w:t>
      </w:r>
    </w:p>
    <w:p w14:paraId="68FB6FB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（1）相关产业政策</w:t>
      </w:r>
    </w:p>
    <w:p w14:paraId="6B47FCA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13AF87D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0EE56D8F">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108EED64">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21A8A8AB">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6009B60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261B2C4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1707785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1B190A2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36DE5F9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19A1E75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1DFF65C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在帮助企业纾困解难方面有六条措施：</w:t>
      </w:r>
    </w:p>
    <w:p w14:paraId="4569ED3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752D8D6F">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23CB2CFC">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2C482D6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1A178A76">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4935300F">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6D6D9E5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2023年5月，道县人民政府关于印发《道县进一步促进房地产市场平稳健康发展的十条措施》的通知，结合道县实际，制定十条措施保障房地产市场健康发展：</w:t>
      </w:r>
    </w:p>
    <w:p w14:paraId="01214253">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4D63031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4300DCA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53E7E0C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780B662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52F96E0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0AC0762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01BC376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2CC2A07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5E4915A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4D58C26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（2）税收政策</w:t>
      </w:r>
    </w:p>
    <w:p w14:paraId="18E2EAE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5C5841C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1）契税</w:t>
      </w:r>
    </w:p>
    <w:p w14:paraId="64A9F2F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纳税人：转移土地、房屋权属，承受的单位和个人；</w:t>
      </w:r>
    </w:p>
    <w:p w14:paraId="2506580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285AFE7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税率：3%—5%</w:t>
      </w:r>
    </w:p>
    <w:p w14:paraId="13EC954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w:t>
      </w:r>
    </w:p>
    <w:p w14:paraId="1EB3273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2）城镇土地使用税</w:t>
      </w:r>
    </w:p>
    <w:p w14:paraId="5AB9571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7E24680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计税依据：实际占用土地面积；</w:t>
      </w:r>
    </w:p>
    <w:p w14:paraId="203B1A0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66564A5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纳税义务发生时间：取得土地后次月；</w:t>
      </w:r>
    </w:p>
    <w:p w14:paraId="4717502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涉税阶段：前期准备阶段、建设施工阶段、预售阶段。</w:t>
      </w:r>
    </w:p>
    <w:p w14:paraId="375509C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3）耕地占用税</w:t>
      </w:r>
    </w:p>
    <w:p w14:paraId="01E50F6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4686AF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计税依据：占用的耕地面积</w:t>
      </w:r>
    </w:p>
    <w:p w14:paraId="374A230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687B82C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涉税阶段：土地获取阶段、前期准备阶段。</w:t>
      </w:r>
    </w:p>
    <w:p w14:paraId="4187B9C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4）印花税</w:t>
      </w:r>
    </w:p>
    <w:p w14:paraId="4312013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21A0AE5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53194BD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209973C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涉税阶段：土地获取阶段、建设施工阶段、预售阶段；</w:t>
      </w:r>
    </w:p>
    <w:p w14:paraId="51ADAA4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5）增值税</w:t>
      </w:r>
    </w:p>
    <w:p w14:paraId="19EE114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682951A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计税方法：一般计税和简易计税；</w:t>
      </w:r>
    </w:p>
    <w:p w14:paraId="61C1328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预缴增值税：在取得预收款的次月纳税申报期预缴税款</w:t>
      </w:r>
    </w:p>
    <w:p w14:paraId="477FD08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房地产开发企业纳税义务发生时间：</w:t>
      </w:r>
    </w:p>
    <w:p w14:paraId="180E96D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1874895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2AE0A27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6）城市维护建设税</w:t>
      </w:r>
    </w:p>
    <w:p w14:paraId="51F13C4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w:t>
      </w:r>
    </w:p>
    <w:p w14:paraId="51231C9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计税依据：纳税人实际缴纳的增值税、消费税税额；</w:t>
      </w:r>
    </w:p>
    <w:p w14:paraId="5D3D4DC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67FF10B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5458F93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3CDF9A7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7）教育费附加</w:t>
      </w:r>
    </w:p>
    <w:p w14:paraId="5D39204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纳税人：凡缴纳增值税、消费税的单位和个人，按3%计征；</w:t>
      </w:r>
    </w:p>
    <w:p w14:paraId="66E929C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158EAB8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62304E2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8）地方教育附加</w:t>
      </w:r>
    </w:p>
    <w:p w14:paraId="6159FA4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纳税人：缴纳增值税、消费税的单位和个人，按2%计征；</w:t>
      </w:r>
    </w:p>
    <w:p w14:paraId="01F1BC0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62A6B20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涉税阶段：销售阶段</w:t>
      </w:r>
    </w:p>
    <w:p w14:paraId="13DD93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9）房产税</w:t>
      </w:r>
    </w:p>
    <w:p w14:paraId="7E663FD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纳税人：房屋产权所有人；</w:t>
      </w:r>
    </w:p>
    <w:p w14:paraId="1D47E46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77227A8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6386851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涉税阶段：前期准备阶段、建设施工阶段、销售阶段</w:t>
      </w:r>
    </w:p>
    <w:p w14:paraId="7A01944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10）土地增值税</w:t>
      </w:r>
    </w:p>
    <w:p w14:paraId="3C96210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1BA8E4D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22F87BD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计税依据：对增值额征税，增值额计算要素如下：</w:t>
      </w:r>
    </w:p>
    <w:p w14:paraId="4339E2D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6C8C117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38DA4AB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6124C47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722C1C2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⑤涉税阶段：销售阶段、土增税清算阶段。</w:t>
      </w:r>
    </w:p>
    <w:p w14:paraId="3CA7E49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11）企业所得税</w:t>
      </w:r>
    </w:p>
    <w:p w14:paraId="5F8DE56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6994D63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2021.1.1～2022.12.31，对小型微利企业年应纳税所得额不超过100万元的部分，减按14.83%计入应纳税所得额，按20%的税率缴纳企业所得税（税负4.83％）；对年应纳税所得额超过100万元但不超过300万元的部分，减按50%计入应纳税所得额，按20%的税率缴纳企业所得税（税负10％）。</w:t>
      </w:r>
    </w:p>
    <w:p w14:paraId="4FAB7ED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6791673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0FAD583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367D1B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12）个人所得税</w:t>
      </w:r>
    </w:p>
    <w:p w14:paraId="0949A5E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2F22614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房地产开发企业纳税义务：代扣代缴个人所得税；</w:t>
      </w:r>
    </w:p>
    <w:p w14:paraId="090B29A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28FA135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目前道县房地产税收政策与国家政策保持完全一致。</w:t>
      </w:r>
    </w:p>
    <w:p w14:paraId="0E8544C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4.城市规划与发展目标</w:t>
      </w:r>
    </w:p>
    <w:p w14:paraId="2156081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（1）城市规划</w:t>
      </w:r>
    </w:p>
    <w:p w14:paraId="4F2952E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0286C68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0C61EA7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661AD11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（2）发展目标</w:t>
      </w:r>
    </w:p>
    <w:p w14:paraId="44DA3D7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2025年目标</w:t>
      </w:r>
    </w:p>
    <w:p w14:paraId="52F1821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用水平显著提高；重点环境问题得到有效整治，城乡污水处理、生活垃圾分类无害化处理实现全覆盖，生态环境持续改善，生态安全屏障更加牢固，城乡人居环境明显改善；“江湾映城、山水相融”的城市空间格局基本形成，民生设施建设取得显著成效，乡村地区基本实现集约发展，传统历史文化得到保护、传承和弘扬；现代化产业体系初具规模，科技创新能力显著增强，对外开放与区域协同水平全面提升，成为湘粤桂交汇区经济发展的核心引擎。</w:t>
      </w:r>
    </w:p>
    <w:p w14:paraId="0A4BE403">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2035年目标</w:t>
      </w:r>
    </w:p>
    <w:p w14:paraId="27FAFBBA">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18B8BE7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远景展望目标</w:t>
      </w:r>
    </w:p>
    <w:p w14:paraId="276D25C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5CB6D88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5.城市社会经济发展状况</w:t>
      </w:r>
    </w:p>
    <w:p w14:paraId="284489C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（1）城市经济布局</w:t>
      </w:r>
    </w:p>
    <w:p w14:paraId="705C1ABB">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根据道县人民政府网发布的消息，道县目前城市经济布局主要突出以下几个方面：</w:t>
      </w:r>
    </w:p>
    <w:p w14:paraId="4163C2FE">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71B0B690">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 动火车站片区、物流园片区组团滚动发展，打造南部现代物流新 城。以潇水为发展纵轴，以营阳大道（G207 道县绕城公路）、树湘大道为环线，突出上关片区开发建设，加快路网成型，产业导入，打造东部文化生态新城。</w:t>
      </w:r>
    </w:p>
    <w:p w14:paraId="3B65C784">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302882EA">
      <w:pPr>
        <w:pStyle w:val="11"/>
        <w:keepNext w:val="0"/>
        <w:keepLines w:val="0"/>
        <w:pageBreakBefore w:val="0"/>
        <w:widowControl w:val="0"/>
        <w:kinsoku/>
        <w:wordWrap/>
        <w:overflowPunct/>
        <w:topLinePunct w:val="0"/>
        <w:autoSpaceDE w:val="0"/>
        <w:autoSpaceDN w:val="0"/>
        <w:bidi w:val="0"/>
        <w:adjustRightInd w:val="0"/>
        <w:snapToGrid w:val="0"/>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质增效。完善产业平台配套设施。培育城区内生增长动力和 “造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02ED6B67">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（2）城市发展水平</w:t>
      </w:r>
    </w:p>
    <w:p w14:paraId="7E45BD32">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2F16459C">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4.83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2个百分点。2024年非公有制经济增加值189.73亿元，比上年增长7.3%，占地区生产总值的比重为64.58%，比上年提高1.18个百分点。</w:t>
      </w:r>
    </w:p>
    <w:p w14:paraId="330A78CF">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2024年实现工业增加值8</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4.83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31B8B2C8">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（3）综合实力</w:t>
      </w:r>
    </w:p>
    <w:p w14:paraId="4477E263">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0933A585">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（4）社会储蓄与投资</w:t>
      </w:r>
    </w:p>
    <w:p w14:paraId="75F2DA9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6A5A03EF">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5970DA3E">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（5）物价变动</w:t>
      </w:r>
    </w:p>
    <w:p w14:paraId="5B971D0F">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5B10098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bookmarkEnd w:id="8"/>
    <w:bookmarkEnd w:id="9"/>
    <w:p w14:paraId="42C8EF4F">
      <w:pPr>
        <w:keepNext w:val="0"/>
        <w:keepLines w:val="0"/>
        <w:pageBreakBefore w:val="0"/>
        <w:widowControl w:val="0"/>
        <w:numPr>
          <w:ilvl w:val="0"/>
          <w:numId w:val="0"/>
        </w:numPr>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outlineLvl w:val="2"/>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kern w:val="2"/>
          <w:sz w:val="28"/>
          <w:szCs w:val="28"/>
          <w:highlight w:val="none"/>
          <w:lang w:val="en-US" w:eastAsia="zh-CN" w:bidi="ar-SA"/>
        </w:rPr>
        <w:t>（二）</w:t>
      </w:r>
      <w:r>
        <w:rPr>
          <w:rFonts w:hint="eastAsia" w:ascii="仿宋_GB2312" w:hAnsi="仿宋_GB2312" w:eastAsia="仿宋_GB2312" w:cs="仿宋_GB2312"/>
          <w:bCs/>
          <w:color w:val="auto"/>
          <w:sz w:val="28"/>
          <w:szCs w:val="28"/>
          <w:highlight w:val="none"/>
          <w:lang w:val="en-US" w:eastAsia="zh-CN"/>
        </w:rPr>
        <w:t>区域因素</w:t>
      </w:r>
    </w:p>
    <w:p w14:paraId="15AE9EE5">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eastAsia="仿宋_GB2312"/>
          <w:sz w:val="28"/>
          <w:szCs w:val="30"/>
          <w:highlight w:val="none"/>
          <w:lang w:val="en-US" w:eastAsia="zh-CN"/>
        </w:rPr>
      </w:pPr>
      <w:r>
        <w:rPr>
          <w:rFonts w:hint="eastAsia" w:ascii="仿宋_GB2312" w:hAnsi="仿宋_GB2312" w:eastAsia="仿宋_GB2312" w:cs="仿宋_GB2312"/>
          <w:sz w:val="28"/>
          <w:highlight w:val="none"/>
          <w:lang w:val="en-US" w:eastAsia="zh-CN"/>
        </w:rPr>
        <w:t>影响</w:t>
      </w:r>
      <w:r>
        <w:rPr>
          <w:rFonts w:hint="eastAsia" w:ascii="仿宋_GB2312" w:eastAsia="仿宋_GB2312"/>
          <w:sz w:val="28"/>
          <w:szCs w:val="30"/>
          <w:highlight w:val="none"/>
          <w:lang w:val="en-US" w:eastAsia="zh-CN"/>
        </w:rPr>
        <w:t>估价对象的区域因素主要有：区域概况、交通条件、基础设施条件、环境条件、商服繁华情况、规划限制等。</w:t>
      </w:r>
    </w:p>
    <w:p w14:paraId="47B358DF">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eastAsia="仿宋_GB2312"/>
          <w:sz w:val="28"/>
          <w:szCs w:val="30"/>
          <w:highlight w:val="none"/>
          <w:lang w:val="en-US" w:eastAsia="zh-CN"/>
        </w:rPr>
      </w:pPr>
      <w:r>
        <w:rPr>
          <w:rFonts w:hint="eastAsia" w:ascii="仿宋_GB2312" w:eastAsia="仿宋_GB2312"/>
          <w:sz w:val="28"/>
          <w:szCs w:val="30"/>
          <w:highlight w:val="none"/>
          <w:lang w:val="en-US" w:eastAsia="zh-CN"/>
        </w:rPr>
        <w:t>1.区域概况</w:t>
      </w:r>
    </w:p>
    <w:p w14:paraId="4BAA926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default" w:ascii="仿宋_GB2312" w:eastAsia="仿宋_GB2312"/>
          <w:sz w:val="28"/>
          <w:szCs w:val="30"/>
          <w:highlight w:val="none"/>
          <w:lang w:val="en-US" w:eastAsia="zh-CN"/>
        </w:rPr>
      </w:pPr>
      <w:r>
        <w:rPr>
          <w:rFonts w:hint="eastAsia" w:ascii="仿宋_GB2312" w:eastAsia="仿宋_GB2312"/>
          <w:sz w:val="28"/>
          <w:szCs w:val="30"/>
          <w:highlight w:val="none"/>
          <w:lang w:val="en-US" w:eastAsia="zh-CN"/>
        </w:rPr>
        <w:t xml:space="preserve">（1）区域位置  </w:t>
      </w:r>
    </w:p>
    <w:p w14:paraId="3B7D81F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sz w:val="28"/>
          <w:szCs w:val="30"/>
          <w:highlight w:val="none"/>
        </w:rPr>
      </w:pPr>
      <w:r>
        <w:rPr>
          <w:rFonts w:hint="eastAsia" w:ascii="仿宋_GB2312" w:eastAsia="仿宋_GB2312"/>
          <w:sz w:val="28"/>
          <w:szCs w:val="30"/>
          <w:highlight w:val="none"/>
        </w:rPr>
        <w:t>①区域位置、级别及人口：估价对象位于</w:t>
      </w:r>
      <w:r>
        <w:rPr>
          <w:rFonts w:hint="eastAsia" w:ascii="仿宋_GB2312" w:eastAsia="仿宋_GB2312"/>
          <w:sz w:val="28"/>
          <w:szCs w:val="30"/>
          <w:highlight w:val="none"/>
          <w:lang w:val="en-US" w:eastAsia="zh-CN"/>
        </w:rPr>
        <w:t>道县状元路以北、潇水北路以西</w:t>
      </w:r>
      <w:r>
        <w:rPr>
          <w:rFonts w:hint="eastAsia" w:ascii="仿宋_GB2312" w:eastAsia="仿宋_GB2312"/>
          <w:sz w:val="28"/>
          <w:szCs w:val="30"/>
          <w:highlight w:val="none"/>
        </w:rPr>
        <w:t>，道县辖7个街道、12个镇、3个乡。县政府驻濂溪街道寇公街66号。截至2023年末，道县常住人口57.40万人。</w:t>
      </w:r>
    </w:p>
    <w:p w14:paraId="55EC9A30">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Times New Roman" w:eastAsia="仿宋_GB2312" w:cs="Times New Roman"/>
          <w:sz w:val="28"/>
          <w:szCs w:val="30"/>
          <w:highlight w:val="none"/>
        </w:rPr>
      </w:pPr>
      <w:r>
        <w:rPr>
          <w:rFonts w:hint="eastAsia" w:ascii="仿宋_GB2312" w:hAnsi="Times New Roman" w:eastAsia="仿宋_GB2312" w:cs="Times New Roman"/>
          <w:sz w:val="28"/>
          <w:szCs w:val="30"/>
          <w:highlight w:val="none"/>
          <w:lang w:val="en-US" w:eastAsia="zh-CN"/>
        </w:rPr>
        <w:t>②土地级别：</w:t>
      </w:r>
      <w:r>
        <w:rPr>
          <w:rFonts w:hint="eastAsia" w:ascii="仿宋_GB2312" w:eastAsia="仿宋_GB2312"/>
          <w:color w:val="000000"/>
          <w:sz w:val="28"/>
          <w:highlight w:val="none"/>
        </w:rPr>
        <w:t>道县城镇基准地价的颁布实施时间为2019年11月22日，批准文号为道政函〔2019〕85号,文件名称为《关于更新城区基准地价和制订11个建制镇基准地价的通告》（道政函〔2019〕85号，2019年11月22日），批准机关为道县人民政府，估价期日为2019年5月1日，距估价期日超过六年</w:t>
      </w:r>
      <w:r>
        <w:rPr>
          <w:rFonts w:hint="eastAsia" w:ascii="仿宋_GB2312" w:eastAsia="仿宋_GB2312"/>
          <w:color w:val="000000"/>
          <w:sz w:val="28"/>
          <w:highlight w:val="none"/>
          <w:lang w:eastAsia="zh-CN"/>
        </w:rPr>
        <w:t>，</w:t>
      </w:r>
      <w:r>
        <w:rPr>
          <w:rFonts w:hint="eastAsia" w:ascii="仿宋_GB2312" w:eastAsia="仿宋_GB2312"/>
          <w:color w:val="000000"/>
          <w:sz w:val="28"/>
          <w:highlight w:val="none"/>
          <w:lang w:val="en-US" w:eastAsia="zh-CN"/>
        </w:rPr>
        <w:t>故暂无土地级别信息</w:t>
      </w:r>
      <w:r>
        <w:rPr>
          <w:rFonts w:hint="eastAsia" w:ascii="仿宋_GB2312" w:hAnsi="Times New Roman" w:eastAsia="仿宋_GB2312" w:cs="Times New Roman"/>
          <w:sz w:val="28"/>
          <w:szCs w:val="30"/>
          <w:highlight w:val="none"/>
          <w:lang w:val="en-US" w:eastAsia="zh-CN"/>
        </w:rPr>
        <w:t>。</w:t>
      </w:r>
    </w:p>
    <w:p w14:paraId="5E9567FA">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eastAsia="仿宋_GB2312"/>
          <w:sz w:val="28"/>
          <w:szCs w:val="30"/>
          <w:highlight w:val="none"/>
        </w:rPr>
      </w:pPr>
      <w:r>
        <w:rPr>
          <w:rFonts w:hint="eastAsia" w:ascii="仿宋_GB2312" w:hAnsi="Times New Roman" w:eastAsia="仿宋_GB2312" w:cs="Times New Roman"/>
          <w:sz w:val="28"/>
          <w:szCs w:val="30"/>
          <w:highlight w:val="none"/>
          <w:lang w:val="en-US" w:eastAsia="zh-CN"/>
        </w:rPr>
        <w:t>③</w:t>
      </w:r>
      <w:r>
        <w:rPr>
          <w:rFonts w:hint="eastAsia" w:ascii="仿宋_GB2312" w:hAnsi="Times New Roman" w:eastAsia="仿宋_GB2312" w:cs="Times New Roman"/>
          <w:sz w:val="28"/>
          <w:szCs w:val="30"/>
          <w:highlight w:val="none"/>
        </w:rPr>
        <w:t>经济发展：</w:t>
      </w:r>
      <w:r>
        <w:rPr>
          <w:rFonts w:hint="eastAsia" w:ascii="仿宋_GB2312" w:eastAsia="仿宋_GB2312" w:cs="Times New Roman"/>
          <w:sz w:val="28"/>
          <w:szCs w:val="30"/>
          <w:highlight w:val="none"/>
          <w:lang w:val="en-US" w:eastAsia="zh-CN"/>
        </w:rPr>
        <w:t>2024年道县</w:t>
      </w:r>
      <w:r>
        <w:rPr>
          <w:rFonts w:hint="eastAsia" w:ascii="仿宋_GB2312" w:hAnsi="Times New Roman" w:eastAsia="仿宋_GB2312" w:cs="Times New Roman"/>
          <w:sz w:val="28"/>
          <w:szCs w:val="30"/>
          <w:highlight w:val="none"/>
        </w:rPr>
        <w:t>主要经济指标继续保持全市第一方阵，全年完成地区生产总值293.81亿元，增长7.0%。规模工业增加值增长14.0%，固定资产投资增长8.1%，社会消费品零售总额增长6.9%，地方一般公共预算收入完成14.6亿元。县域经济高质量发展在全省同类同档县中排名前列。进出口总额完成19.1亿元，增幅排名全市第1</w:t>
      </w:r>
      <w:r>
        <w:rPr>
          <w:rFonts w:hint="eastAsia" w:ascii="仿宋_GB2312" w:eastAsia="仿宋_GB2312"/>
          <w:sz w:val="28"/>
          <w:szCs w:val="30"/>
          <w:highlight w:val="none"/>
        </w:rPr>
        <w:t>。</w:t>
      </w:r>
    </w:p>
    <w:p w14:paraId="0D2AC43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Times New Roman" w:eastAsia="仿宋_GB2312" w:cs="Times New Roman"/>
          <w:sz w:val="28"/>
          <w:szCs w:val="30"/>
          <w:highlight w:val="none"/>
          <w:lang w:eastAsia="zh-CN"/>
        </w:rPr>
      </w:pPr>
      <w:r>
        <w:rPr>
          <w:rFonts w:hint="eastAsia" w:ascii="仿宋_GB2312" w:eastAsia="仿宋_GB2312"/>
          <w:sz w:val="28"/>
          <w:szCs w:val="30"/>
          <w:highlight w:val="none"/>
          <w:lang w:val="en-US" w:eastAsia="zh-CN"/>
        </w:rPr>
        <w:t>④</w:t>
      </w:r>
      <w:r>
        <w:rPr>
          <w:rFonts w:hint="eastAsia" w:ascii="仿宋_GB2312" w:eastAsia="仿宋_GB2312"/>
          <w:sz w:val="28"/>
          <w:szCs w:val="30"/>
          <w:highlight w:val="none"/>
        </w:rPr>
        <w:t>区位优势</w:t>
      </w:r>
      <w:r>
        <w:rPr>
          <w:rFonts w:hint="eastAsia" w:ascii="仿宋_GB2312" w:hAnsi="Times New Roman" w:eastAsia="仿宋_GB2312" w:cs="Times New Roman"/>
          <w:sz w:val="28"/>
          <w:szCs w:val="30"/>
          <w:highlight w:val="none"/>
        </w:rPr>
        <w:t>：道县处于湘粤桂三省交汇区</w:t>
      </w:r>
      <w:r>
        <w:rPr>
          <w:rFonts w:hint="eastAsia" w:ascii="仿宋_GB2312" w:hAnsi="Times New Roman" w:eastAsia="仿宋_GB2312" w:cs="Times New Roman"/>
          <w:sz w:val="28"/>
          <w:szCs w:val="30"/>
          <w:highlight w:val="none"/>
          <w:lang w:eastAsia="zh-CN"/>
        </w:rPr>
        <w:t>，是全省以至中部地区对接东盟，融入泛珠三角经济圈、泛北部湾经济圈的重要节点城市。近年来，道县依托独特的区位优势、地理环境和资源禀赋，坚持以新型城镇化的大突破，带动新型工业化、农业现代化的大发展，县域经济突飞猛进，连续多年被评为湖南省县域经济发展先进县。城市现代服务业异军突起，肯德基、苏宁电器、碧桂园等国际国内知名品牌企业纷纷抢滩登陆。文化旅游蓬勃发展，理学文化旅游节品牌效应凸显，以濂溪文化景区为龙头的全域旅游开发建设风生水起。道县被评为中华诗词之乡、中国龙舟之乡，道县入选湖南省旅游资源重点县，清塘镇纳入湖南省特色旅游小镇名录。是湘南国家级承接产业转移示范区核心区、全国加工贸易梯度转移重点承接地、全国粮食生产先进县、全国厚朴生产基地县、全国生猪生产调出大县、全国能繁母牛养殖示范县、全国蔬菜产业重点县、全国生态文明先进县和中国脐橙之乡。</w:t>
      </w:r>
    </w:p>
    <w:p w14:paraId="659010C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Times New Roman" w:eastAsia="仿宋_GB2312" w:cs="Times New Roman"/>
          <w:sz w:val="28"/>
          <w:szCs w:val="30"/>
          <w:highlight w:val="none"/>
          <w:lang w:val="en-US" w:eastAsia="zh-CN"/>
        </w:rPr>
      </w:pPr>
      <w:r>
        <w:rPr>
          <w:rFonts w:hint="eastAsia" w:ascii="仿宋_GB2312" w:hAnsi="Times New Roman" w:eastAsia="仿宋_GB2312" w:cs="Times New Roman"/>
          <w:sz w:val="28"/>
          <w:szCs w:val="30"/>
          <w:highlight w:val="none"/>
          <w:lang w:val="en-US" w:eastAsia="zh-CN"/>
        </w:rPr>
        <w:t>2.交通条件</w:t>
      </w:r>
    </w:p>
    <w:p w14:paraId="1C429E41">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ascii="仿宋_GB2312" w:eastAsia="仿宋_GB2312"/>
          <w:sz w:val="28"/>
          <w:szCs w:val="30"/>
          <w:highlight w:val="none"/>
        </w:rPr>
      </w:pPr>
      <w:r>
        <w:rPr>
          <w:rFonts w:hint="eastAsia" w:ascii="仿宋_GB2312" w:eastAsia="仿宋_GB2312"/>
          <w:sz w:val="28"/>
          <w:szCs w:val="30"/>
          <w:highlight w:val="none"/>
        </w:rPr>
        <w:t>（1）区域内公共交通状况</w:t>
      </w:r>
    </w:p>
    <w:p w14:paraId="4A85BD6A">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ascii="仿宋_GB2312" w:eastAsia="仿宋_GB2312"/>
          <w:sz w:val="28"/>
          <w:szCs w:val="30"/>
          <w:highlight w:val="none"/>
        </w:rPr>
      </w:pPr>
      <w:r>
        <w:rPr>
          <w:rFonts w:hint="eastAsia" w:ascii="仿宋_GB2312" w:hAnsi="仿宋_GB2312" w:eastAsia="仿宋_GB2312" w:cs="仿宋_GB2312"/>
          <w:snapToGrid w:val="0"/>
          <w:color w:val="auto"/>
          <w:sz w:val="28"/>
          <w:szCs w:val="28"/>
          <w:highlight w:val="none"/>
        </w:rPr>
        <w:t>估价对象区域内有</w:t>
      </w:r>
      <w:r>
        <w:rPr>
          <w:rFonts w:hint="eastAsia" w:ascii="仿宋_GB2312" w:hAnsi="仿宋_GB2312" w:eastAsia="仿宋_GB2312" w:cs="仿宋_GB2312"/>
          <w:snapToGrid w:val="0"/>
          <w:color w:val="auto"/>
          <w:sz w:val="28"/>
          <w:szCs w:val="28"/>
          <w:highlight w:val="none"/>
          <w:lang w:val="en-US" w:eastAsia="zh-CN"/>
        </w:rPr>
        <w:t>月岩西路、道州中路、文化路</w:t>
      </w:r>
      <w:r>
        <w:rPr>
          <w:rFonts w:hint="eastAsia" w:ascii="仿宋_GB2312" w:hAnsi="仿宋_GB2312" w:eastAsia="仿宋_GB2312" w:cs="仿宋_GB2312"/>
          <w:snapToGrid w:val="0"/>
          <w:color w:val="auto"/>
          <w:sz w:val="28"/>
          <w:szCs w:val="28"/>
          <w:highlight w:val="none"/>
        </w:rPr>
        <w:t>等城市主、次干道，距离</w:t>
      </w:r>
      <w:r>
        <w:rPr>
          <w:rFonts w:hint="eastAsia" w:ascii="仿宋_GB2312" w:hAnsi="仿宋_GB2312" w:eastAsia="仿宋_GB2312" w:cs="仿宋_GB2312"/>
          <w:snapToGrid w:val="0"/>
          <w:color w:val="auto"/>
          <w:sz w:val="28"/>
          <w:szCs w:val="28"/>
          <w:highlight w:val="none"/>
          <w:lang w:val="en-US" w:eastAsia="zh-CN"/>
        </w:rPr>
        <w:t>道州新车站</w:t>
      </w:r>
      <w:r>
        <w:rPr>
          <w:rFonts w:hint="eastAsia" w:ascii="仿宋_GB2312" w:hAnsi="仿宋_GB2312" w:eastAsia="仿宋_GB2312" w:cs="仿宋_GB2312"/>
          <w:snapToGrid w:val="0"/>
          <w:color w:val="auto"/>
          <w:sz w:val="28"/>
          <w:szCs w:val="28"/>
          <w:highlight w:val="none"/>
        </w:rPr>
        <w:t>约</w:t>
      </w:r>
      <w:r>
        <w:rPr>
          <w:rFonts w:hint="eastAsia" w:ascii="仿宋_GB2312" w:hAnsi="仿宋_GB2312" w:eastAsia="仿宋_GB2312" w:cs="仿宋_GB2312"/>
          <w:snapToGrid w:val="0"/>
          <w:color w:val="auto"/>
          <w:sz w:val="28"/>
          <w:szCs w:val="28"/>
          <w:highlight w:val="none"/>
          <w:lang w:val="en-US" w:eastAsia="zh-CN"/>
        </w:rPr>
        <w:t>680</w:t>
      </w:r>
      <w:r>
        <w:rPr>
          <w:rFonts w:hint="eastAsia" w:ascii="仿宋_GB2312" w:hAnsi="仿宋_GB2312" w:eastAsia="仿宋_GB2312" w:cs="仿宋_GB2312"/>
          <w:snapToGrid w:val="0"/>
          <w:color w:val="auto"/>
          <w:sz w:val="28"/>
          <w:szCs w:val="28"/>
          <w:highlight w:val="none"/>
        </w:rPr>
        <w:t>米，距离</w:t>
      </w:r>
      <w:r>
        <w:rPr>
          <w:rFonts w:hint="eastAsia" w:ascii="仿宋_GB2312" w:hAnsi="仿宋_GB2312" w:eastAsia="仿宋_GB2312" w:cs="仿宋_GB2312"/>
          <w:snapToGrid w:val="0"/>
          <w:color w:val="auto"/>
          <w:sz w:val="28"/>
          <w:szCs w:val="28"/>
          <w:highlight w:val="none"/>
          <w:lang w:val="en-US" w:eastAsia="zh-CN"/>
        </w:rPr>
        <w:t>零道高速出入口</w:t>
      </w:r>
      <w:r>
        <w:rPr>
          <w:rFonts w:hint="eastAsia" w:ascii="仿宋_GB2312" w:hAnsi="仿宋_GB2312" w:eastAsia="仿宋_GB2312" w:cs="仿宋_GB2312"/>
          <w:snapToGrid w:val="0"/>
          <w:color w:val="auto"/>
          <w:sz w:val="28"/>
          <w:szCs w:val="28"/>
          <w:highlight w:val="none"/>
        </w:rPr>
        <w:t>约</w:t>
      </w:r>
      <w:r>
        <w:rPr>
          <w:rFonts w:hint="eastAsia" w:ascii="仿宋_GB2312" w:hAnsi="仿宋_GB2312" w:eastAsia="仿宋_GB2312" w:cs="仿宋_GB2312"/>
          <w:snapToGrid w:val="0"/>
          <w:color w:val="auto"/>
          <w:sz w:val="28"/>
          <w:szCs w:val="28"/>
          <w:highlight w:val="none"/>
          <w:lang w:val="en-US" w:eastAsia="zh-CN"/>
        </w:rPr>
        <w:t>4900</w:t>
      </w:r>
      <w:r>
        <w:rPr>
          <w:rFonts w:hint="eastAsia" w:ascii="仿宋_GB2312" w:hAnsi="仿宋_GB2312" w:eastAsia="仿宋_GB2312" w:cs="仿宋_GB2312"/>
          <w:snapToGrid w:val="0"/>
          <w:color w:val="auto"/>
          <w:sz w:val="28"/>
          <w:szCs w:val="28"/>
          <w:highlight w:val="none"/>
        </w:rPr>
        <w:t>米，区域内交通便捷度</w:t>
      </w:r>
      <w:r>
        <w:rPr>
          <w:rFonts w:hint="eastAsia" w:ascii="仿宋_GB2312" w:hAnsi="仿宋_GB2312" w:eastAsia="仿宋_GB2312" w:cs="仿宋_GB2312"/>
          <w:snapToGrid w:val="0"/>
          <w:color w:val="auto"/>
          <w:sz w:val="28"/>
          <w:szCs w:val="28"/>
          <w:highlight w:val="none"/>
          <w:lang w:val="en-US" w:eastAsia="zh-CN"/>
        </w:rPr>
        <w:t>较高</w:t>
      </w:r>
      <w:r>
        <w:rPr>
          <w:rFonts w:hint="eastAsia" w:ascii="仿宋_GB2312" w:eastAsia="仿宋_GB2312"/>
          <w:sz w:val="28"/>
          <w:szCs w:val="30"/>
          <w:highlight w:val="none"/>
        </w:rPr>
        <w:t>。</w:t>
      </w:r>
    </w:p>
    <w:p w14:paraId="5560A264">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（2）对外交通条件</w:t>
      </w:r>
    </w:p>
    <w:p w14:paraId="523D1C3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eastAsia="仿宋_GB2312"/>
          <w:sz w:val="28"/>
          <w:szCs w:val="30"/>
          <w:highlight w:val="none"/>
        </w:rPr>
      </w:pPr>
      <w:r>
        <w:rPr>
          <w:rFonts w:hint="eastAsia" w:ascii="仿宋_GB2312" w:hAnsi="仿宋_GB2312" w:eastAsia="仿宋_GB2312" w:cs="仿宋_GB2312"/>
          <w:bCs/>
          <w:sz w:val="28"/>
          <w:szCs w:val="28"/>
          <w:highlight w:val="none"/>
          <w:lang w:val="en-US" w:eastAsia="zh-CN"/>
        </w:rPr>
        <w:t>①公路：</w:t>
      </w:r>
      <w:r>
        <w:rPr>
          <w:rFonts w:hint="eastAsia" w:ascii="仿宋_GB2312" w:eastAsia="仿宋_GB2312"/>
          <w:sz w:val="28"/>
          <w:szCs w:val="30"/>
          <w:highlight w:val="none"/>
        </w:rPr>
        <w:t>区域的外联道路主要有</w:t>
      </w:r>
      <w:r>
        <w:rPr>
          <w:rFonts w:hint="eastAsia" w:ascii="仿宋_GB2312" w:eastAsia="仿宋_GB2312"/>
          <w:sz w:val="28"/>
          <w:szCs w:val="30"/>
          <w:highlight w:val="none"/>
          <w:lang w:val="en-US" w:eastAsia="zh-CN"/>
        </w:rPr>
        <w:t>G207、G357</w:t>
      </w:r>
      <w:r>
        <w:rPr>
          <w:rFonts w:hint="eastAsia" w:ascii="仿宋_GB2312" w:eastAsia="仿宋_GB2312"/>
          <w:sz w:val="28"/>
          <w:szCs w:val="30"/>
          <w:highlight w:val="none"/>
        </w:rPr>
        <w:t>等干线交会，为区域内对外开放奠定了良好的基础，区位优势明显，交通十分便利。</w:t>
      </w:r>
    </w:p>
    <w:p w14:paraId="0D88CD55">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②铁路：道州火车站主要线路为益湛铁路，估价对象所在区域中心距离该火车站约1500m。</w:t>
      </w:r>
    </w:p>
    <w:p w14:paraId="456AF74E">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③高铁：估价对象区域距永州高铁站约104.5km。</w:t>
      </w:r>
    </w:p>
    <w:p w14:paraId="680F1188">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④航空：估价对象区域距离最近的机场为永州零陵机场约91.6km。</w:t>
      </w:r>
    </w:p>
    <w:p w14:paraId="645CC7E0">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⑤水运：道县区域境内主要河流为潇水，水位较浅，未形成水运条件，水运主要依托长沙湘江流域。</w:t>
      </w:r>
    </w:p>
    <w:p w14:paraId="19D8FB1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3.基础设施和市政公用设施</w:t>
      </w:r>
    </w:p>
    <w:p w14:paraId="18B9EC0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（1）供电：区域内接市政双回路110KV供电管网，供电保证率高。</w:t>
      </w:r>
    </w:p>
    <w:p w14:paraId="0A3D1BF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（2）通讯：区域内通讯与市政通讯网相联，通讯线路以地下管道为主，辅以架空线路，通讯线路畅通，区内已实现移动电话全国漫游，区内全面铺设了高速宽带通讯光缆。</w:t>
      </w:r>
    </w:p>
    <w:p w14:paraId="21E2D5D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（3）给水：区域内供水主要来自区内的市政供水。自来水供应管道标准φ1000mm、φ800mm、φ600mm，供水保证率高。</w:t>
      </w:r>
    </w:p>
    <w:p w14:paraId="5BAFA02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（4）排水：区内排水为雨污分流方式，排污管沿主要道路铺设，以污水处理厂为终结，市政排水体系完备。</w:t>
      </w:r>
    </w:p>
    <w:p w14:paraId="6D8ED74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（5）通气：/。</w:t>
      </w:r>
    </w:p>
    <w:p w14:paraId="2633001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（6）供暖：/。</w:t>
      </w:r>
    </w:p>
    <w:p w14:paraId="60103B8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4.环境条件</w:t>
      </w:r>
    </w:p>
    <w:p w14:paraId="37572DD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ascii="仿宋_GB2312" w:eastAsia="仿宋_GB2312"/>
          <w:sz w:val="28"/>
          <w:szCs w:val="30"/>
          <w:highlight w:val="none"/>
        </w:rPr>
      </w:pPr>
      <w:r>
        <w:rPr>
          <w:rFonts w:hint="eastAsia" w:ascii="仿宋_GB2312" w:eastAsia="仿宋_GB2312"/>
          <w:sz w:val="28"/>
          <w:szCs w:val="30"/>
          <w:highlight w:val="none"/>
        </w:rPr>
        <w:t>（1）人文环境</w:t>
      </w:r>
    </w:p>
    <w:p w14:paraId="58862B9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ascii="仿宋_GB2312" w:eastAsia="仿宋_GB2312"/>
          <w:sz w:val="28"/>
          <w:szCs w:val="30"/>
          <w:highlight w:val="none"/>
        </w:rPr>
      </w:pPr>
      <w:r>
        <w:rPr>
          <w:rFonts w:hint="eastAsia" w:ascii="仿宋_GB2312" w:hAnsi="仿宋_GB2312" w:eastAsia="仿宋_GB2312" w:cs="仿宋_GB2312"/>
          <w:snapToGrid w:val="0"/>
          <w:sz w:val="28"/>
          <w:szCs w:val="28"/>
          <w:highlight w:val="none"/>
        </w:rPr>
        <w:t>区域内有居民受教育程度较好，人文环境较好</w:t>
      </w:r>
      <w:r>
        <w:rPr>
          <w:rFonts w:hint="eastAsia" w:ascii="仿宋_GB2312" w:eastAsia="仿宋_GB2312"/>
          <w:sz w:val="28"/>
          <w:szCs w:val="30"/>
          <w:highlight w:val="none"/>
        </w:rPr>
        <w:t>。</w:t>
      </w:r>
    </w:p>
    <w:p w14:paraId="3B8D5CE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ascii="仿宋_GB2312" w:eastAsia="仿宋_GB2312"/>
          <w:sz w:val="28"/>
          <w:szCs w:val="30"/>
          <w:highlight w:val="none"/>
        </w:rPr>
      </w:pPr>
      <w:r>
        <w:rPr>
          <w:rFonts w:hint="eastAsia" w:ascii="仿宋_GB2312" w:eastAsia="仿宋_GB2312"/>
          <w:sz w:val="28"/>
          <w:szCs w:val="30"/>
          <w:highlight w:val="none"/>
        </w:rPr>
        <w:t>（2）自然环境</w:t>
      </w:r>
    </w:p>
    <w:p w14:paraId="34C4DD1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eastAsia="仿宋_GB2312"/>
          <w:sz w:val="28"/>
          <w:szCs w:val="30"/>
          <w:highlight w:val="none"/>
          <w:lang w:val="en-US" w:eastAsia="zh-CN"/>
        </w:rPr>
      </w:pPr>
      <w:r>
        <w:rPr>
          <w:rFonts w:hint="eastAsia" w:ascii="仿宋_GB2312" w:eastAsia="仿宋_GB2312"/>
          <w:sz w:val="28"/>
          <w:szCs w:val="30"/>
          <w:highlight w:val="none"/>
        </w:rPr>
        <w:t>宗地所在区域，地质条件较好，宗地无异常地质现象，地基承载力</w:t>
      </w:r>
      <w:r>
        <w:rPr>
          <w:rFonts w:hint="eastAsia" w:ascii="仿宋_GB2312" w:eastAsia="仿宋_GB2312"/>
          <w:sz w:val="28"/>
          <w:szCs w:val="30"/>
          <w:highlight w:val="none"/>
          <w:lang w:val="en-US" w:eastAsia="zh-CN"/>
        </w:rPr>
        <w:t>大于25</w:t>
      </w:r>
      <w:r>
        <w:rPr>
          <w:rFonts w:hint="eastAsia" w:ascii="仿宋_GB2312" w:eastAsia="仿宋_GB2312"/>
          <w:sz w:val="28"/>
          <w:szCs w:val="30"/>
          <w:highlight w:val="none"/>
        </w:rPr>
        <w:t>吨/平方米，地势平坦。区域内无大型污染性企业，据史料记载，区域内自然灾害率大于100年一遇</w:t>
      </w:r>
      <w:r>
        <w:rPr>
          <w:rFonts w:hint="eastAsia" w:ascii="仿宋_GB2312" w:eastAsia="仿宋_GB2312"/>
          <w:sz w:val="28"/>
          <w:szCs w:val="30"/>
          <w:highlight w:val="none"/>
          <w:lang w:eastAsia="zh-CN"/>
        </w:rPr>
        <w:t>，</w:t>
      </w:r>
      <w:r>
        <w:rPr>
          <w:rFonts w:hint="eastAsia" w:ascii="仿宋_GB2312" w:eastAsia="仿宋_GB2312"/>
          <w:sz w:val="28"/>
          <w:szCs w:val="30"/>
          <w:highlight w:val="none"/>
          <w:lang w:val="en-US" w:eastAsia="zh-CN"/>
        </w:rPr>
        <w:t>自然环境较好。</w:t>
      </w:r>
    </w:p>
    <w:p w14:paraId="0CB44E4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5.商服繁华程度</w:t>
      </w:r>
    </w:p>
    <w:p w14:paraId="7AE928F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color w:val="auto"/>
          <w:sz w:val="28"/>
          <w:szCs w:val="28"/>
          <w:highlight w:val="none"/>
        </w:rPr>
        <w:t>宗地所在区域距离</w:t>
      </w:r>
      <w:r>
        <w:rPr>
          <w:rFonts w:hint="eastAsia" w:ascii="仿宋_GB2312" w:hAnsi="仿宋_GB2312" w:eastAsia="仿宋_GB2312" w:cs="仿宋_GB2312"/>
          <w:color w:val="auto"/>
          <w:sz w:val="28"/>
          <w:szCs w:val="28"/>
          <w:highlight w:val="none"/>
          <w:lang w:val="en-US" w:eastAsia="zh-CN"/>
        </w:rPr>
        <w:t>商服中心道州商业广场</w:t>
      </w:r>
      <w:r>
        <w:rPr>
          <w:rFonts w:hint="eastAsia" w:ascii="仿宋_GB2312" w:hAnsi="仿宋_GB2312" w:eastAsia="仿宋_GB2312" w:cs="仿宋_GB2312"/>
          <w:color w:val="auto"/>
          <w:sz w:val="28"/>
          <w:szCs w:val="28"/>
          <w:highlight w:val="none"/>
        </w:rPr>
        <w:t>约</w:t>
      </w:r>
      <w:r>
        <w:rPr>
          <w:rFonts w:hint="eastAsia" w:ascii="仿宋_GB2312" w:hAnsi="仿宋_GB2312" w:eastAsia="仿宋_GB2312" w:cs="仿宋_GB2312"/>
          <w:color w:val="auto"/>
          <w:sz w:val="28"/>
          <w:szCs w:val="28"/>
          <w:highlight w:val="none"/>
          <w:lang w:val="en-US" w:eastAsia="zh-CN"/>
        </w:rPr>
        <w:t>890米</w:t>
      </w:r>
      <w:r>
        <w:rPr>
          <w:rFonts w:hint="eastAsia" w:ascii="仿宋_GB2312" w:hAnsi="仿宋_GB2312" w:eastAsia="仿宋_GB2312" w:cs="仿宋_GB2312"/>
          <w:color w:val="auto"/>
          <w:sz w:val="28"/>
          <w:szCs w:val="28"/>
          <w:highlight w:val="none"/>
        </w:rPr>
        <w:t>，商服繁华影响度</w:t>
      </w:r>
      <w:r>
        <w:rPr>
          <w:rFonts w:hint="eastAsia" w:ascii="仿宋_GB2312" w:hAnsi="仿宋_GB2312" w:eastAsia="仿宋_GB2312" w:cs="仿宋_GB2312"/>
          <w:color w:val="auto"/>
          <w:sz w:val="28"/>
          <w:szCs w:val="28"/>
          <w:highlight w:val="none"/>
          <w:lang w:val="en-US" w:eastAsia="zh-CN"/>
        </w:rPr>
        <w:t>较优</w:t>
      </w:r>
      <w:r>
        <w:rPr>
          <w:rFonts w:hint="eastAsia" w:ascii="仿宋_GB2312" w:hAnsi="仿宋_GB2312" w:eastAsia="仿宋_GB2312" w:cs="仿宋_GB2312"/>
          <w:bCs/>
          <w:sz w:val="28"/>
          <w:szCs w:val="28"/>
          <w:highlight w:val="none"/>
          <w:lang w:val="en-US" w:eastAsia="zh-CN"/>
        </w:rPr>
        <w:t>。</w:t>
      </w:r>
    </w:p>
    <w:p w14:paraId="0910375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6.规划限制</w:t>
      </w:r>
    </w:p>
    <w:p w14:paraId="171602C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sz w:val="28"/>
          <w:highlight w:val="none"/>
          <w:lang w:val="en-US" w:eastAsia="zh-CN"/>
        </w:rPr>
        <w:t>估价对象所在区域周边土地利用类型主要规划为商服用地、住宅用地，具体的开发建设必须符合规划管理部门的控制性详细规划</w:t>
      </w:r>
      <w:r>
        <w:rPr>
          <w:rFonts w:hint="eastAsia" w:ascii="仿宋_GB2312" w:hAnsi="仿宋_GB2312" w:eastAsia="仿宋_GB2312" w:cs="仿宋_GB2312"/>
          <w:bCs/>
          <w:sz w:val="28"/>
          <w:szCs w:val="28"/>
          <w:highlight w:val="none"/>
          <w:lang w:val="en-US" w:eastAsia="zh-CN"/>
        </w:rPr>
        <w:t>。</w:t>
      </w:r>
    </w:p>
    <w:p w14:paraId="607E516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7.微观区域因素</w:t>
      </w:r>
    </w:p>
    <w:p w14:paraId="52FD33A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估价对象位于道县月岩西路，估价对象交通由道州中路、文化路、月岩西路构成路网，汇入各条主干道，区域交通条件一般。距最近汽车站（</w:t>
      </w:r>
      <w:r>
        <w:rPr>
          <w:rFonts w:hint="eastAsia" w:ascii="仿宋_GB2312" w:eastAsia="仿宋_GB2312"/>
          <w:sz w:val="28"/>
          <w:szCs w:val="30"/>
          <w:highlight w:val="none"/>
          <w:lang w:val="en-US" w:eastAsia="zh-CN"/>
        </w:rPr>
        <w:t>道州新车站）约680m</w:t>
      </w:r>
      <w:r>
        <w:rPr>
          <w:rFonts w:hint="eastAsia" w:ascii="仿宋_GB2312" w:hAnsi="仿宋_GB2312" w:eastAsia="仿宋_GB2312" w:cs="仿宋_GB2312"/>
          <w:bCs/>
          <w:sz w:val="28"/>
          <w:szCs w:val="28"/>
          <w:highlight w:val="none"/>
          <w:lang w:val="en-US" w:eastAsia="zh-CN"/>
        </w:rPr>
        <w:t>，距离最近火车站（道州火车站）约1500米，距火车站距离较劣；区域基础设施状况好，水电综合保障率达95%以上。</w:t>
      </w:r>
    </w:p>
    <w:p w14:paraId="55D59C0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sz w:val="28"/>
          <w:szCs w:val="28"/>
          <w:highlight w:val="none"/>
          <w:lang w:val="en-US" w:eastAsia="zh-CN"/>
        </w:rPr>
        <w:t>综合考虑以上影响地价区域因素，评估分析：估价对象所在区域交通条件较优，基础设施齐全，商业繁华影响度较优，地质条件好，区域无特殊规划限制。</w:t>
      </w:r>
    </w:p>
    <w:p w14:paraId="3640194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(三)个别因素</w:t>
      </w:r>
    </w:p>
    <w:p w14:paraId="4C8C8F28">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影响宗地的个别因素主要指与土地利用直接有关的宗地自身条件，包括估价对象位置、面积、用途、土地利用现状、宗地形状、地质条件、地势、基础设施条件等。</w:t>
      </w:r>
    </w:p>
    <w:p w14:paraId="0D565D13">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1.土地位置</w:t>
      </w:r>
    </w:p>
    <w:p w14:paraId="7DF5C5BA">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估价对象位于道县</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月岩西路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05C13040">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2.土地面积</w:t>
      </w:r>
    </w:p>
    <w:p w14:paraId="406E676F">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根据委托估价方提供的《土地分摊表》，估价对象土地面积为</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15.2平方米</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，面积</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较小</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，对土地利用</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有一定影响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0BF01DA4">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3.宗地四至：北临</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建筑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，南临</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建筑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，西临建筑，东临建筑。</w:t>
      </w:r>
    </w:p>
    <w:p w14:paraId="77D8C53F">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4.土地用途</w:t>
      </w:r>
    </w:p>
    <w:p w14:paraId="3504F6AD">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评估委托书</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》，土地用途为</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523EACAC">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5.土地形状</w:t>
      </w:r>
    </w:p>
    <w:p w14:paraId="51680C86">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宗地图</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评估对象所在宗地整体</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形状</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较不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规则，对</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土地利用有一定影响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0FCC2F77">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6.地质条件</w:t>
      </w:r>
    </w:p>
    <w:p w14:paraId="2ADABEAB">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估价对象地基承载大于25吨/平方米，地质条件优。</w:t>
      </w:r>
    </w:p>
    <w:p w14:paraId="70834E80">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7.地势条件</w:t>
      </w:r>
    </w:p>
    <w:p w14:paraId="221558E6">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根据估价师现场勘查，宗地地势较平坦。</w:t>
      </w:r>
    </w:p>
    <w:p w14:paraId="5A907B07">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8.土地利用条件</w:t>
      </w:r>
    </w:p>
    <w:p w14:paraId="4934F94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）土地利用现状</w:t>
      </w:r>
    </w:p>
    <w:p w14:paraId="37A38DB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根据委托方提供的资料及估价人员的现场勘查，估价对象实际开发程度为红线内外“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通”（通路、通电、供水、排水、通讯）和红线内场地平整，估价对象所在整体宗地上有一栋混合结构</w:t>
      </w:r>
      <w:r>
        <w:rPr>
          <w:rFonts w:hint="eastAsia" w:ascii="仿宋_GB2312" w:hAnsi="仿宋_GB2312" w:eastAsia="仿宋_GB2312" w:cs="仿宋_GB2312"/>
          <w:bCs/>
          <w:color w:val="auto"/>
          <w:kern w:val="2"/>
          <w:sz w:val="28"/>
          <w:szCs w:val="28"/>
          <w:highlight w:val="none"/>
          <w:lang w:val="en-US" w:eastAsia="zh-CN" w:bidi="ar-SA"/>
        </w:rPr>
        <w:t>建筑物</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3764106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1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34E9B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08CE6E37">
            <w:pPr>
              <w:pStyle w:val="18"/>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94610" cy="2584450"/>
                  <wp:effectExtent l="0" t="0" r="15240" b="6350"/>
                  <wp:docPr id="9" name="图片 9" descr="微信图片_20260515163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60515163404"/>
                          <pic:cNvPicPr>
                            <a:picLocks noChangeAspect="1"/>
                          </pic:cNvPicPr>
                        </pic:nvPicPr>
                        <pic:blipFill>
                          <a:blip r:embed="rId19"/>
                          <a:stretch>
                            <a:fillRect/>
                          </a:stretch>
                        </pic:blipFill>
                        <pic:spPr>
                          <a:xfrm>
                            <a:off x="0" y="0"/>
                            <a:ext cx="2594610" cy="2584450"/>
                          </a:xfrm>
                          <a:prstGeom prst="rect">
                            <a:avLst/>
                          </a:prstGeom>
                        </pic:spPr>
                      </pic:pic>
                    </a:graphicData>
                  </a:graphic>
                </wp:inline>
              </w:drawing>
            </w:r>
          </w:p>
        </w:tc>
        <w:tc>
          <w:tcPr>
            <w:tcW w:w="2466" w:type="pct"/>
          </w:tcPr>
          <w:p w14:paraId="503D2CFA">
            <w:pPr>
              <w:pStyle w:val="18"/>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1585" cy="2574925"/>
                  <wp:effectExtent l="0" t="0" r="12065" b="15875"/>
                  <wp:docPr id="10" name="图片 10" descr="微信图片_2026051516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微信图片_20260515163412"/>
                          <pic:cNvPicPr>
                            <a:picLocks noChangeAspect="1"/>
                          </pic:cNvPicPr>
                        </pic:nvPicPr>
                        <pic:blipFill>
                          <a:blip r:embed="rId20"/>
                          <a:srcRect b="21567"/>
                          <a:stretch>
                            <a:fillRect/>
                          </a:stretch>
                        </pic:blipFill>
                        <pic:spPr>
                          <a:xfrm>
                            <a:off x="0" y="0"/>
                            <a:ext cx="2521585" cy="2574925"/>
                          </a:xfrm>
                          <a:prstGeom prst="rect">
                            <a:avLst/>
                          </a:prstGeom>
                        </pic:spPr>
                      </pic:pic>
                    </a:graphicData>
                  </a:graphic>
                </wp:inline>
              </w:drawing>
            </w:r>
          </w:p>
        </w:tc>
      </w:tr>
    </w:tbl>
    <w:p w14:paraId="77BCC4E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根据受托估价人员现场勘察，估价</w:t>
      </w:r>
      <w:r>
        <w:rPr>
          <w:rFonts w:hint="eastAsia" w:ascii="仿宋_GB2312" w:hAnsi="仿宋_GB2312" w:eastAsia="仿宋_GB2312" w:cs="仿宋_GB2312"/>
          <w:bCs/>
          <w:color w:val="auto"/>
          <w:kern w:val="2"/>
          <w:sz w:val="28"/>
          <w:szCs w:val="28"/>
          <w:highlight w:val="none"/>
          <w:lang w:val="en-US" w:eastAsia="zh-CN" w:bidi="ar-SA"/>
        </w:rPr>
        <w:t>对象位于月岩西路皮革厂家属楼3栋4层404房</w:t>
      </w:r>
      <w:r>
        <w:rPr>
          <w:rFonts w:hint="default" w:ascii="仿宋_GB2312" w:hAnsi="仿宋_GB2312" w:eastAsia="仿宋_GB2312" w:cs="仿宋_GB2312"/>
          <w:bCs/>
          <w:color w:val="auto"/>
          <w:kern w:val="2"/>
          <w:sz w:val="28"/>
          <w:szCs w:val="28"/>
          <w:highlight w:val="none"/>
          <w:lang w:val="en-GB" w:eastAsia="zh-CN" w:bidi="ar-SA"/>
        </w:rPr>
        <w:t>，所在宗地上有独栋建筑物，总层数为</w:t>
      </w:r>
      <w:r>
        <w:rPr>
          <w:rFonts w:hint="eastAsia" w:ascii="仿宋_GB2312" w:hAnsi="仿宋_GB2312" w:eastAsia="仿宋_GB2312" w:cs="仿宋_GB2312"/>
          <w:bCs/>
          <w:color w:val="auto"/>
          <w:kern w:val="2"/>
          <w:sz w:val="28"/>
          <w:szCs w:val="28"/>
          <w:highlight w:val="none"/>
          <w:lang w:val="en-US" w:eastAsia="zh-CN" w:bidi="ar-SA"/>
        </w:rPr>
        <w:t>5层</w:t>
      </w:r>
      <w:r>
        <w:rPr>
          <w:rFonts w:hint="default" w:ascii="仿宋_GB2312" w:hAnsi="仿宋_GB2312" w:eastAsia="仿宋_GB2312" w:cs="仿宋_GB2312"/>
          <w:bCs/>
          <w:color w:val="auto"/>
          <w:kern w:val="2"/>
          <w:sz w:val="28"/>
          <w:szCs w:val="28"/>
          <w:highlight w:val="none"/>
          <w:lang w:val="en-GB" w:eastAsia="zh-CN" w:bidi="ar-SA"/>
        </w:rPr>
        <w:t>，业主房屋所在层数为</w:t>
      </w:r>
      <w:r>
        <w:rPr>
          <w:rFonts w:hint="eastAsia" w:ascii="仿宋_GB2312" w:hAnsi="仿宋_GB2312" w:eastAsia="仿宋_GB2312" w:cs="仿宋_GB2312"/>
          <w:bCs/>
          <w:color w:val="auto"/>
          <w:kern w:val="2"/>
          <w:sz w:val="28"/>
          <w:szCs w:val="28"/>
          <w:highlight w:val="none"/>
          <w:lang w:val="en-US" w:eastAsia="zh-CN" w:bidi="ar-SA"/>
        </w:rPr>
        <w:t>4层</w:t>
      </w:r>
      <w:r>
        <w:rPr>
          <w:rFonts w:hint="default" w:ascii="仿宋_GB2312" w:hAnsi="仿宋_GB2312" w:eastAsia="仿宋_GB2312" w:cs="仿宋_GB2312"/>
          <w:bCs/>
          <w:color w:val="auto"/>
          <w:kern w:val="2"/>
          <w:sz w:val="28"/>
          <w:szCs w:val="28"/>
          <w:highlight w:val="none"/>
          <w:lang w:val="en-GB" w:eastAsia="zh-CN" w:bidi="ar-SA"/>
        </w:rPr>
        <w:t>，建筑物为</w:t>
      </w:r>
      <w:r>
        <w:rPr>
          <w:rFonts w:hint="eastAsia" w:ascii="仿宋_GB2312" w:hAnsi="仿宋_GB2312" w:eastAsia="仿宋_GB2312" w:cs="仿宋_GB2312"/>
          <w:bCs/>
          <w:color w:val="auto"/>
          <w:kern w:val="2"/>
          <w:sz w:val="28"/>
          <w:szCs w:val="28"/>
          <w:highlight w:val="none"/>
          <w:lang w:val="en-US" w:eastAsia="zh-CN" w:bidi="ar-SA"/>
        </w:rPr>
        <w:t>砖混</w:t>
      </w:r>
      <w:r>
        <w:rPr>
          <w:rFonts w:hint="default" w:ascii="仿宋_GB2312" w:hAnsi="仿宋_GB2312" w:eastAsia="仿宋_GB2312" w:cs="仿宋_GB2312"/>
          <w:bCs/>
          <w:color w:val="auto"/>
          <w:kern w:val="2"/>
          <w:sz w:val="28"/>
          <w:szCs w:val="28"/>
          <w:highlight w:val="none"/>
          <w:lang w:val="en-GB" w:eastAsia="zh-CN" w:bidi="ar-SA"/>
        </w:rPr>
        <w:t>结构，</w:t>
      </w:r>
      <w:r>
        <w:rPr>
          <w:rFonts w:hint="eastAsia" w:ascii="仿宋_GB2312" w:hAnsi="仿宋_GB2312" w:eastAsia="仿宋_GB2312" w:cs="仿宋_GB2312"/>
          <w:bCs/>
          <w:color w:val="auto"/>
          <w:kern w:val="2"/>
          <w:sz w:val="28"/>
          <w:szCs w:val="28"/>
          <w:highlight w:val="none"/>
          <w:lang w:val="en-US" w:eastAsia="zh-CN" w:bidi="ar-SA"/>
        </w:rPr>
        <w:t>不锈钢及木质入户门，塑钢窗户，铁艺防盗网，外墙双飞粉，屋内地贴瓷砖，顶棚木质装饰吊顶，简单装修，</w:t>
      </w:r>
      <w:r>
        <w:rPr>
          <w:rFonts w:hint="default" w:ascii="仿宋_GB2312" w:hAnsi="仿宋_GB2312" w:eastAsia="仿宋_GB2312" w:cs="仿宋_GB2312"/>
          <w:bCs/>
          <w:color w:val="auto"/>
          <w:kern w:val="2"/>
          <w:sz w:val="28"/>
          <w:szCs w:val="28"/>
          <w:highlight w:val="none"/>
          <w:lang w:val="en-GB" w:eastAsia="zh-CN" w:bidi="ar-SA"/>
        </w:rPr>
        <w:t>维护保养状况</w:t>
      </w:r>
      <w:r>
        <w:rPr>
          <w:rFonts w:hint="eastAsia" w:ascii="仿宋_GB2312" w:hAnsi="仿宋_GB2312" w:eastAsia="仿宋_GB2312" w:cs="仿宋_GB2312"/>
          <w:bCs/>
          <w:color w:val="auto"/>
          <w:kern w:val="2"/>
          <w:sz w:val="28"/>
          <w:szCs w:val="28"/>
          <w:highlight w:val="none"/>
          <w:lang w:val="en-US" w:eastAsia="zh-CN" w:bidi="ar-SA"/>
        </w:rPr>
        <w:t>一般</w:t>
      </w:r>
      <w:r>
        <w:rPr>
          <w:rFonts w:hint="default" w:ascii="仿宋_GB2312" w:hAnsi="仿宋_GB2312" w:eastAsia="仿宋_GB2312" w:cs="仿宋_GB2312"/>
          <w:bCs/>
          <w:color w:val="auto"/>
          <w:kern w:val="2"/>
          <w:sz w:val="28"/>
          <w:szCs w:val="28"/>
          <w:highlight w:val="none"/>
          <w:lang w:val="en-GB" w:eastAsia="zh-CN" w:bidi="ar-SA"/>
        </w:rPr>
        <w:t>，约</w:t>
      </w:r>
      <w:r>
        <w:rPr>
          <w:rFonts w:hint="eastAsia" w:ascii="仿宋_GB2312" w:hAnsi="仿宋_GB2312" w:eastAsia="仿宋_GB2312" w:cs="仿宋_GB2312"/>
          <w:bCs/>
          <w:color w:val="auto"/>
          <w:kern w:val="2"/>
          <w:sz w:val="28"/>
          <w:szCs w:val="28"/>
          <w:highlight w:val="none"/>
          <w:lang w:val="en-US" w:eastAsia="zh-CN" w:bidi="ar-SA"/>
        </w:rPr>
        <w:t>七成新</w:t>
      </w:r>
      <w:r>
        <w:rPr>
          <w:rFonts w:hint="default" w:ascii="仿宋_GB2312" w:hAnsi="仿宋_GB2312" w:eastAsia="仿宋_GB2312" w:cs="仿宋_GB2312"/>
          <w:bCs/>
          <w:color w:val="auto"/>
          <w:kern w:val="2"/>
          <w:sz w:val="28"/>
          <w:szCs w:val="28"/>
          <w:highlight w:val="none"/>
          <w:lang w:val="en-GB" w:eastAsia="zh-CN" w:bidi="ar-SA"/>
        </w:rPr>
        <w:t>，房屋整体经济耐用年限为50年，已使用</w:t>
      </w:r>
      <w:r>
        <w:rPr>
          <w:rFonts w:hint="eastAsia" w:ascii="仿宋_GB2312" w:hAnsi="仿宋_GB2312" w:eastAsia="仿宋_GB2312" w:cs="仿宋_GB2312"/>
          <w:bCs/>
          <w:color w:val="auto"/>
          <w:kern w:val="2"/>
          <w:sz w:val="28"/>
          <w:szCs w:val="28"/>
          <w:highlight w:val="none"/>
          <w:lang w:val="en-US" w:eastAsia="zh-CN" w:bidi="ar-SA"/>
        </w:rPr>
        <w:t>22年</w:t>
      </w:r>
      <w:r>
        <w:rPr>
          <w:rFonts w:hint="default" w:ascii="仿宋_GB2312" w:hAnsi="仿宋_GB2312" w:eastAsia="仿宋_GB2312" w:cs="仿宋_GB2312"/>
          <w:bCs/>
          <w:color w:val="auto"/>
          <w:kern w:val="2"/>
          <w:sz w:val="28"/>
          <w:szCs w:val="28"/>
          <w:highlight w:val="none"/>
          <w:lang w:val="en-GB" w:eastAsia="zh-CN" w:bidi="ar-SA"/>
        </w:rPr>
        <w:t>，剩余使用年限为</w:t>
      </w:r>
      <w:r>
        <w:rPr>
          <w:rFonts w:hint="eastAsia" w:ascii="仿宋_GB2312" w:hAnsi="仿宋_GB2312" w:eastAsia="仿宋_GB2312" w:cs="仿宋_GB2312"/>
          <w:bCs/>
          <w:color w:val="auto"/>
          <w:kern w:val="2"/>
          <w:sz w:val="28"/>
          <w:szCs w:val="28"/>
          <w:highlight w:val="none"/>
          <w:lang w:val="en-US" w:eastAsia="zh-CN" w:bidi="ar-SA"/>
        </w:rPr>
        <w:t>28</w:t>
      </w:r>
      <w:r>
        <w:rPr>
          <w:rFonts w:hint="default" w:ascii="仿宋_GB2312" w:hAnsi="仿宋_GB2312" w:eastAsia="仿宋_GB2312" w:cs="仿宋_GB2312"/>
          <w:bCs/>
          <w:color w:val="auto"/>
          <w:kern w:val="2"/>
          <w:sz w:val="28"/>
          <w:szCs w:val="28"/>
          <w:highlight w:val="none"/>
          <w:lang w:val="en-GB" w:eastAsia="zh-CN" w:bidi="ar-SA"/>
        </w:rPr>
        <w:t>年。根据委托方提供的估价对象</w:t>
      </w:r>
      <w:r>
        <w:rPr>
          <w:rFonts w:hint="eastAsia" w:ascii="仿宋_GB2312" w:eastAsia="仿宋_GB2312"/>
          <w:color w:val="000000" w:themeColor="text1"/>
          <w:sz w:val="28"/>
          <w:szCs w:val="30"/>
          <w:highlight w:val="none"/>
          <w:lang w:eastAsia="zh-CN"/>
          <w14:textFill>
            <w14:solidFill>
              <w14:schemeClr w14:val="tx1"/>
            </w14:solidFill>
          </w14:textFill>
        </w:rPr>
        <w:t>《户室面积对照表》、《土地分摊表》</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估价对象建筑面积为</w:t>
      </w:r>
      <w:r>
        <w:rPr>
          <w:rFonts w:hint="eastAsia" w:ascii="仿宋_GB2312" w:hAnsi="仿宋_GB2312" w:eastAsia="仿宋_GB2312" w:cs="仿宋_GB2312"/>
          <w:bCs/>
          <w:color w:val="auto"/>
          <w:kern w:val="2"/>
          <w:sz w:val="28"/>
          <w:szCs w:val="28"/>
          <w:highlight w:val="none"/>
          <w:lang w:val="en-US" w:eastAsia="zh-CN" w:bidi="ar-SA"/>
        </w:rPr>
        <w:t>73.415平方米，分摊土地使用权面积15.2平方米</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根据《评估委托书》</w:t>
      </w:r>
      <w:r>
        <w:rPr>
          <w:rFonts w:hint="default" w:ascii="仿宋_GB2312" w:hAnsi="仿宋_GB2312" w:eastAsia="仿宋_GB2312" w:cs="仿宋_GB2312"/>
          <w:bCs/>
          <w:color w:val="auto"/>
          <w:kern w:val="2"/>
          <w:sz w:val="28"/>
          <w:szCs w:val="28"/>
          <w:highlight w:val="none"/>
          <w:lang w:val="en-GB" w:eastAsia="zh-CN" w:bidi="ar-SA"/>
        </w:rPr>
        <w:t>委托方拟按估价对象现状使用条件进行出让</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则估价对象现状容积率</w:t>
      </w:r>
      <w:r>
        <w:rPr>
          <w:rFonts w:hint="eastAsia" w:ascii="仿宋_GB2312" w:hAnsi="仿宋_GB2312" w:eastAsia="仿宋_GB2312" w:cs="仿宋_GB2312"/>
          <w:bCs/>
          <w:color w:val="auto"/>
          <w:kern w:val="2"/>
          <w:sz w:val="28"/>
          <w:szCs w:val="28"/>
          <w:highlight w:val="none"/>
          <w:lang w:val="en-GB" w:eastAsia="zh-CN" w:bidi="ar-SA"/>
        </w:rPr>
        <w:t>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。根据估价目的，本次评估设定土地容积率为</w:t>
      </w:r>
      <w:r>
        <w:rPr>
          <w:rFonts w:hint="eastAsia" w:ascii="仿宋_GB2312" w:hAnsi="仿宋_GB2312" w:eastAsia="仿宋_GB2312" w:cs="仿宋_GB2312"/>
          <w:bCs/>
          <w:color w:val="auto"/>
          <w:kern w:val="2"/>
          <w:sz w:val="28"/>
          <w:szCs w:val="28"/>
          <w:highlight w:val="none"/>
          <w:lang w:val="en-US" w:eastAsia="zh-CN" w:bidi="ar-SA"/>
        </w:rPr>
        <w:t>4.83。</w:t>
      </w:r>
    </w:p>
    <w:p w14:paraId="7959C3F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）规划利用条件</w:t>
      </w:r>
    </w:p>
    <w:p w14:paraId="27E9170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规划利用状况</w:t>
      </w:r>
    </w:p>
    <w:p w14:paraId="755537C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w:t>
      </w:r>
      <w:r>
        <w:rPr>
          <w:rFonts w:hint="eastAsia" w:ascii="仿宋_GB2312" w:eastAsia="仿宋_GB2312"/>
          <w:color w:val="000000" w:themeColor="text1"/>
          <w:sz w:val="28"/>
          <w:szCs w:val="30"/>
          <w:highlight w:val="none"/>
          <w:lang w:eastAsia="zh-CN"/>
          <w14:textFill>
            <w14:solidFill>
              <w14:schemeClr w14:val="tx1"/>
            </w14:solidFill>
          </w14:textFill>
        </w:rPr>
        <w:t>《评估委托书》、《户室面积对照表》、《土地分摊表》</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及现场勘查状况，估价对象</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土地面积为15.2平方米，建筑面积73.415平方米，容积率为4.83。</w:t>
      </w:r>
    </w:p>
    <w:p w14:paraId="4373052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最佳利用</w:t>
      </w:r>
    </w:p>
    <w:p w14:paraId="022E1BD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现状</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利用下价值利用状况为最有效利用。故设定估价对象为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，设定容积率为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4.83，</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其余指标均取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现状</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值为最佳利用方式。</w:t>
      </w:r>
    </w:p>
    <w:p w14:paraId="0EE625A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6EBA7B6F">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11A7E29F">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9.基础设施条件</w:t>
      </w:r>
    </w:p>
    <w:p w14:paraId="46A524AA">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估价对象宗地实际土地开发程度为宗地红线外“五通”（即通路、通电、供水、排水、通讯），宗地红线内场地平整。</w:t>
      </w:r>
    </w:p>
    <w:p w14:paraId="05C96FAB">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（1）通路：</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估价对象所在宗地整体临鹭鸶塘路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516EFC0F">
      <w:pPr>
        <w:pStyle w:val="11"/>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（2）供电：区域内接市政双回路110KV供电管网，供电保证率</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高</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6D7AC5FB">
      <w:pPr>
        <w:pStyle w:val="11"/>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310ED1DA">
      <w:pPr>
        <w:pStyle w:val="11"/>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（4）给水：区域内供水主要来自区内的市政供水。</w:t>
      </w:r>
    </w:p>
    <w:p w14:paraId="68010F06">
      <w:pPr>
        <w:pStyle w:val="11"/>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（5）排水：宗地外接排水设施，在雨水大的情况下无洪涝和积水。</w:t>
      </w:r>
    </w:p>
    <w:p w14:paraId="29EF1C13">
      <w:pPr>
        <w:pStyle w:val="11"/>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14:textFill>
            <w14:solidFill>
              <w14:schemeClr w14:val="tx1"/>
            </w14:solidFill>
          </w14:textFill>
        </w:rPr>
        <w:sectPr>
          <w:headerReference r:id="rId7" w:type="first"/>
          <w:footerReference r:id="rId8" w:type="first"/>
          <w:endnotePr>
            <w:numFmt w:val="decimal"/>
          </w:endnotePr>
          <w:pgSz w:w="11906" w:h="16838"/>
          <w:pgMar w:top="1440" w:right="1800" w:bottom="1440" w:left="1800" w:header="851" w:footer="992" w:gutter="0"/>
          <w:pgNumType w:fmt="decimal"/>
          <w:cols w:space="720" w:num="1"/>
          <w:docGrid w:linePitch="312" w:charSpace="0"/>
        </w:sect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综合考虑以上影响地价的个别因素，评估分析：面积</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较小</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，对土地利用</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有一定影响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，宗地</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整体</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形状</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较不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规则，对</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土地</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利用</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有一定影响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，地质地势条件优，主要进出道路为</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支路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，道路通达度</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一般</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，距</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长途汽车站距离一般，</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最近货运火车站距离劣。估价对象作为设定用途符合有效利用原则，其他个别条件均对宗地产生较有利</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影响。</w:t>
      </w:r>
    </w:p>
    <w:p w14:paraId="53E53173">
      <w:pPr>
        <w:pStyle w:val="17"/>
        <w:spacing w:before="120" w:beforeLines="50" w:after="240" w:afterLines="100" w:line="440" w:lineRule="exact"/>
        <w:ind w:firstLine="0" w:firstLineChars="0"/>
        <w:jc w:val="center"/>
        <w:outlineLvl w:val="0"/>
        <w:rPr>
          <w:rFonts w:hint="default" w:ascii="宋体" w:hAnsi="宋体" w:eastAsia="宋体" w:cs="宋体"/>
          <w:b/>
          <w:color w:val="auto"/>
          <w:sz w:val="32"/>
          <w:szCs w:val="32"/>
          <w:highlight w:val="none"/>
        </w:rPr>
      </w:pPr>
      <w:bookmarkStart w:id="10" w:name="_Toc30245"/>
      <w:bookmarkStart w:id="11" w:name="_Toc8419"/>
      <w:r>
        <w:rPr>
          <w:rFonts w:hint="eastAsia" w:ascii="宋体" w:hAnsi="宋体" w:eastAsia="宋体" w:cs="宋体"/>
          <w:b/>
          <w:color w:val="auto"/>
          <w:sz w:val="32"/>
          <w:szCs w:val="32"/>
          <w:highlight w:val="none"/>
        </w:rPr>
        <w:t>第三部分</w:t>
      </w:r>
      <w:r>
        <w:rPr>
          <w:rFonts w:hint="eastAsia" w:ascii="宋体" w:hAnsi="宋体" w:eastAsia="宋体" w:cs="宋体"/>
          <w:b/>
          <w:color w:val="auto"/>
          <w:sz w:val="32"/>
          <w:szCs w:val="32"/>
          <w:highlight w:val="none"/>
          <w:lang w:val="en-US" w:eastAsia="zh-CN"/>
        </w:rPr>
        <w:t xml:space="preserve">  </w:t>
      </w:r>
      <w:r>
        <w:rPr>
          <w:rFonts w:hint="eastAsia" w:ascii="宋体" w:hAnsi="宋体" w:eastAsia="宋体" w:cs="宋体"/>
          <w:b/>
          <w:color w:val="auto"/>
          <w:sz w:val="32"/>
          <w:szCs w:val="32"/>
          <w:highlight w:val="none"/>
        </w:rPr>
        <w:t>土地估价</w:t>
      </w:r>
      <w:bookmarkEnd w:id="10"/>
      <w:bookmarkEnd w:id="11"/>
    </w:p>
    <w:p w14:paraId="792465F3">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hint="eastAsia" w:ascii="仿宋_GB2312" w:eastAsia="仿宋_GB2312"/>
          <w:b/>
          <w:sz w:val="28"/>
          <w:szCs w:val="28"/>
          <w:highlight w:val="none"/>
          <w:lang w:val="en-US" w:eastAsia="zh-CN"/>
        </w:rPr>
      </w:pPr>
      <w:bookmarkStart w:id="12" w:name="_Toc12507"/>
      <w:bookmarkStart w:id="13" w:name="_Toc26449"/>
      <w:r>
        <w:rPr>
          <w:rFonts w:hint="eastAsia" w:ascii="仿宋_GB2312" w:eastAsia="仿宋_GB2312"/>
          <w:b/>
          <w:sz w:val="28"/>
          <w:szCs w:val="28"/>
          <w:highlight w:val="none"/>
          <w:lang w:val="en-US" w:eastAsia="zh-CN"/>
        </w:rPr>
        <w:t>一、估价依据</w:t>
      </w:r>
    </w:p>
    <w:p w14:paraId="084A7B1B">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（一）国家有关部门颁布的法律法规及相关文件</w:t>
      </w:r>
      <w:bookmarkStart w:id="14" w:name="_Hlk513795172"/>
    </w:p>
    <w:bookmarkEnd w:id="14"/>
    <w:p w14:paraId="3FBCFFD7">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1、《中华人民共和国民法典》（2020年5月28日第十三届全国人民代表大会第三次会议通过，2020年5月28日中华人民共和国主席令第四十五号公布，自2021年1月1日起施行）；</w:t>
      </w:r>
    </w:p>
    <w:p w14:paraId="7F99CC06">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2、《中华人民共和国资产评估法》（2016年7月2日第十二届全国人民代表大会常务委员会第二十一次会议通过，2016年7月2日中华人民共和国主席令第四十六号公布，自2016年12月1日起施行）；</w:t>
      </w:r>
    </w:p>
    <w:p w14:paraId="2F38C04B">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3、《中华人民共和国土地管理法》（1986年6月25日第六届全国人民代表大会常务委员会第十六次会议通过，中华人民共和国主席令第四十一号公布；根据2019年8月26日《全国人民代表大会常务委员会关于修改&lt;中华人民共和国土地管理法&gt;、&lt;中华人民共和国城市房地产管理法&gt;的决定》第三次修正，2019年8月26日中华人民共和国主席令第三十二号公布，自2020年1月1日起施行）；</w:t>
      </w:r>
    </w:p>
    <w:p w14:paraId="6C9C15D1">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4、《中华人民共和国城市房地产管理法》（1994年7月5日第八届全国人民代表大会常务委员会第八次会议通过，中华人民共和国主席令第二十九号公布；根据2019年8月26日第十三届全国人民代表大会常务委员会第十二次会议《关于修改〈中华人民共和国土地管理法〉、〈中华人民共和国城市房地产管理法〉的决定》第三次修正，2019年8月26日中华人民共和国主席令第三十二号公布，自2020年1月1日起施行）；</w:t>
      </w:r>
    </w:p>
    <w:p w14:paraId="1147DF7A">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5、《中华人民共和国城乡规划法》（2007年10月28日第十届全国人民代表大会常务委员会第三十次会通过，中华人民共和国主席令第二十九号公布；根据2019年4月23日第十三届全国人民代表大会常务委员会第十次会议《关于修改&lt;中华人民共和国建筑法&gt;等八部法律的决定》第二次修正，2019年4月23日中华人民共和国主席令第二十九号公布，自本决定公布之日起施行）；</w:t>
      </w:r>
    </w:p>
    <w:p w14:paraId="2039CE7C">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6</w:t>
      </w:r>
      <w:r>
        <w:rPr>
          <w:rFonts w:hint="eastAsia" w:ascii="仿宋_GB2312" w:hAnsi="仿宋_GB2312" w:eastAsia="仿宋_GB2312" w:cs="仿宋_GB2312"/>
          <w:sz w:val="28"/>
          <w:szCs w:val="28"/>
          <w:highlight w:val="none"/>
        </w:rPr>
        <w:t>、《中华人民共和国契税法》（2020年8月11日第十三届全国人民代表大会常务委员会第二十一次会议通过，中华人民共和国主席令第52号公布，自2021年9月1日起施行）；</w:t>
      </w:r>
    </w:p>
    <w:p w14:paraId="7A56265C">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7</w:t>
      </w:r>
      <w:r>
        <w:rPr>
          <w:rFonts w:hint="eastAsia" w:ascii="仿宋_GB2312" w:hAnsi="仿宋_GB2312" w:eastAsia="仿宋_GB2312" w:cs="仿宋_GB2312"/>
          <w:sz w:val="28"/>
          <w:szCs w:val="28"/>
          <w:highlight w:val="none"/>
        </w:rPr>
        <w:t>、《中华人民共和国城市维护建设税法》（2020年8月11日第十三届全国人民代表大会常务委员会第二十一次会议通过，中华人民共和国主席令第51号公布，自2021年9月1日起施行）；</w:t>
      </w:r>
    </w:p>
    <w:p w14:paraId="04CB905D">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lang w:eastAsia="zh-CN"/>
        </w:rPr>
      </w:pPr>
      <w:r>
        <w:rPr>
          <w:rFonts w:hint="eastAsia" w:ascii="仿宋_GB2312" w:hAnsi="仿宋_GB2312" w:eastAsia="仿宋_GB2312" w:cs="仿宋_GB2312"/>
          <w:sz w:val="28"/>
          <w:szCs w:val="28"/>
          <w:highlight w:val="none"/>
          <w:lang w:val="en-US" w:eastAsia="zh-CN"/>
        </w:rPr>
        <w:t>8</w:t>
      </w:r>
      <w:r>
        <w:rPr>
          <w:rFonts w:hint="eastAsia" w:ascii="仿宋_GB2312" w:hAnsi="仿宋_GB2312" w:eastAsia="仿宋_GB2312" w:cs="仿宋_GB2312"/>
          <w:sz w:val="28"/>
          <w:szCs w:val="28"/>
          <w:highlight w:val="none"/>
        </w:rPr>
        <w:t>、《中华人民共和国印花税法》（2021年6月10日第十三届全国人民代表大会常务委员会第二十九次会议通过，自2022年7月1日起施行）</w:t>
      </w:r>
      <w:r>
        <w:rPr>
          <w:rFonts w:hint="eastAsia" w:ascii="仿宋_GB2312" w:hAnsi="仿宋_GB2312" w:eastAsia="仿宋_GB2312" w:cs="仿宋_GB2312"/>
          <w:sz w:val="28"/>
          <w:szCs w:val="28"/>
          <w:highlight w:val="none"/>
          <w:lang w:eastAsia="zh-CN"/>
        </w:rPr>
        <w:t>；</w:t>
      </w:r>
    </w:p>
    <w:p w14:paraId="5591F500">
      <w:pPr>
        <w:keepNext w:val="0"/>
        <w:keepLines w:val="0"/>
        <w:pageBreakBefore w:val="0"/>
        <w:widowControl/>
        <w:kinsoku/>
        <w:wordWrap/>
        <w:overflowPunct/>
        <w:topLinePunct w:val="0"/>
        <w:autoSpaceDE/>
        <w:autoSpaceDN/>
        <w:bidi w:val="0"/>
        <w:spacing w:line="480" w:lineRule="exact"/>
        <w:ind w:right="0" w:firstLine="560" w:firstLineChars="200"/>
        <w:jc w:val="left"/>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9</w:t>
      </w:r>
      <w:r>
        <w:rPr>
          <w:rFonts w:hint="eastAsia" w:ascii="仿宋_GB2312" w:hAnsi="仿宋_GB2312" w:eastAsia="仿宋_GB2312" w:cs="仿宋_GB2312"/>
          <w:bCs/>
          <w:iCs/>
          <w:sz w:val="28"/>
          <w:szCs w:val="28"/>
          <w:highlight w:val="none"/>
        </w:rPr>
        <w:t>、《城市房地产开发经营管理条例》（1998年7月20日中华人民共和国国务院令第248号发布</w:t>
      </w:r>
      <w:r>
        <w:rPr>
          <w:rFonts w:hint="eastAsia" w:ascii="仿宋_GB2312" w:hAnsi="仿宋_GB2312" w:eastAsia="仿宋_GB2312" w:cs="仿宋_GB2312"/>
          <w:bCs/>
          <w:iCs/>
          <w:sz w:val="28"/>
          <w:szCs w:val="28"/>
          <w:highlight w:val="none"/>
          <w:lang w:eastAsia="zh-CN"/>
        </w:rPr>
        <w:t>；</w:t>
      </w:r>
      <w:r>
        <w:rPr>
          <w:rFonts w:hint="eastAsia" w:ascii="仿宋_GB2312" w:hAnsi="仿宋_GB2312" w:eastAsia="仿宋_GB2312" w:cs="仿宋_GB2312"/>
          <w:bCs/>
          <w:iCs/>
          <w:sz w:val="28"/>
          <w:szCs w:val="28"/>
          <w:highlight w:val="none"/>
        </w:rPr>
        <w:t>根据2020年11月29日《国务院关于修改和废止部分行政法规的决定》第五次修订）；</w:t>
      </w:r>
    </w:p>
    <w:p w14:paraId="2D8DB31F">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10</w:t>
      </w:r>
      <w:r>
        <w:rPr>
          <w:rFonts w:hint="eastAsia" w:ascii="仿宋_GB2312" w:hAnsi="仿宋_GB2312" w:eastAsia="仿宋_GB2312" w:cs="仿宋_GB2312"/>
          <w:sz w:val="28"/>
          <w:szCs w:val="28"/>
          <w:highlight w:val="none"/>
        </w:rPr>
        <w:t>、《中华人民共和国城镇国有土地使用权出让和转让暂行条例》（1990年5月19日中华人民共和国国务院令第55号发布，自发布之日起施行；根据2020年11月29日中华人民共和国国务院令第732号修订）；</w:t>
      </w:r>
    </w:p>
    <w:p w14:paraId="6CA6F729">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11</w:t>
      </w:r>
      <w:r>
        <w:rPr>
          <w:rFonts w:hint="eastAsia" w:ascii="仿宋_GB2312" w:hAnsi="仿宋_GB2312" w:eastAsia="仿宋_GB2312" w:cs="仿宋_GB2312"/>
          <w:sz w:val="28"/>
          <w:szCs w:val="28"/>
          <w:highlight w:val="none"/>
        </w:rPr>
        <w:t>、《中华人民共和国土地管理法实施条例》（中华人民共和国国务院令第256号，2021年7月2日中华人民共和国国务院令第743号第三次修订）；</w:t>
      </w:r>
    </w:p>
    <w:p w14:paraId="39590D6C">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12</w:t>
      </w:r>
      <w:r>
        <w:rPr>
          <w:rFonts w:hint="eastAsia" w:ascii="仿宋_GB2312" w:hAnsi="仿宋_GB2312" w:eastAsia="仿宋_GB2312" w:cs="仿宋_GB2312"/>
          <w:sz w:val="28"/>
          <w:szCs w:val="28"/>
          <w:highlight w:val="none"/>
        </w:rPr>
        <w:t>、《不动产登记暂行条例》（2014年11月24日中华人民共和国国务院令第656号公布，自2015年3月1日起施行；根据20</w:t>
      </w:r>
      <w:r>
        <w:rPr>
          <w:rFonts w:hint="eastAsia" w:ascii="仿宋_GB2312" w:hAnsi="仿宋_GB2312" w:eastAsia="仿宋_GB2312" w:cs="仿宋_GB2312"/>
          <w:sz w:val="28"/>
          <w:szCs w:val="28"/>
          <w:highlight w:val="none"/>
          <w:lang w:val="en-US" w:eastAsia="zh-CN"/>
        </w:rPr>
        <w:t>24</w:t>
      </w:r>
      <w:r>
        <w:rPr>
          <w:rFonts w:hint="eastAsia" w:ascii="仿宋_GB2312" w:hAnsi="仿宋_GB2312" w:eastAsia="仿宋_GB2312" w:cs="仿宋_GB2312"/>
          <w:sz w:val="28"/>
          <w:szCs w:val="28"/>
          <w:highlight w:val="none"/>
        </w:rPr>
        <w:t>年3月</w:t>
      </w:r>
      <w:r>
        <w:rPr>
          <w:rFonts w:hint="eastAsia" w:ascii="仿宋_GB2312" w:hAnsi="仿宋_GB2312" w:eastAsia="仿宋_GB2312" w:cs="仿宋_GB2312"/>
          <w:sz w:val="28"/>
          <w:szCs w:val="28"/>
          <w:highlight w:val="none"/>
          <w:lang w:val="en-US" w:eastAsia="zh-CN"/>
        </w:rPr>
        <w:t>10</w:t>
      </w:r>
      <w:r>
        <w:rPr>
          <w:rFonts w:hint="eastAsia" w:ascii="仿宋_GB2312" w:hAnsi="仿宋_GB2312" w:eastAsia="仿宋_GB2312" w:cs="仿宋_GB2312"/>
          <w:sz w:val="28"/>
          <w:szCs w:val="28"/>
          <w:highlight w:val="none"/>
        </w:rPr>
        <w:t>日中华人民共和国国务院令第7</w:t>
      </w:r>
      <w:r>
        <w:rPr>
          <w:rFonts w:hint="eastAsia" w:ascii="仿宋_GB2312" w:hAnsi="仿宋_GB2312" w:eastAsia="仿宋_GB2312" w:cs="仿宋_GB2312"/>
          <w:sz w:val="28"/>
          <w:szCs w:val="28"/>
          <w:highlight w:val="none"/>
          <w:lang w:val="en-US" w:eastAsia="zh-CN"/>
        </w:rPr>
        <w:t>77</w:t>
      </w:r>
      <w:r>
        <w:rPr>
          <w:rFonts w:hint="eastAsia" w:ascii="仿宋_GB2312" w:hAnsi="仿宋_GB2312" w:eastAsia="仿宋_GB2312" w:cs="仿宋_GB2312"/>
          <w:sz w:val="28"/>
          <w:szCs w:val="28"/>
          <w:highlight w:val="none"/>
        </w:rPr>
        <w:t>号《国务院关于修改和废止部分行政法规的决定》第</w:t>
      </w:r>
      <w:r>
        <w:rPr>
          <w:rFonts w:hint="eastAsia" w:ascii="仿宋_GB2312" w:hAnsi="仿宋_GB2312" w:eastAsia="仿宋_GB2312" w:cs="仿宋_GB2312"/>
          <w:sz w:val="28"/>
          <w:szCs w:val="28"/>
          <w:highlight w:val="none"/>
          <w:lang w:val="en-US" w:eastAsia="zh-CN"/>
        </w:rPr>
        <w:t>二</w:t>
      </w:r>
      <w:r>
        <w:rPr>
          <w:rFonts w:hint="eastAsia" w:ascii="仿宋_GB2312" w:hAnsi="仿宋_GB2312" w:eastAsia="仿宋_GB2312" w:cs="仿宋_GB2312"/>
          <w:sz w:val="28"/>
          <w:szCs w:val="28"/>
          <w:highlight w:val="none"/>
        </w:rPr>
        <w:t>次修订）；</w:t>
      </w:r>
    </w:p>
    <w:p w14:paraId="3E0A1925">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13</w:t>
      </w:r>
      <w:r>
        <w:rPr>
          <w:rFonts w:hint="eastAsia" w:ascii="仿宋_GB2312" w:hAnsi="仿宋_GB2312" w:eastAsia="仿宋_GB2312" w:cs="仿宋_GB2312"/>
          <w:sz w:val="28"/>
          <w:szCs w:val="28"/>
          <w:highlight w:val="none"/>
        </w:rPr>
        <w:t>、《国务院关于深化改革严格土地管理的决定》（国发〔2004〕28号，2004年10月21日）；</w:t>
      </w:r>
    </w:p>
    <w:p w14:paraId="7897EA88">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14</w:t>
      </w:r>
      <w:r>
        <w:rPr>
          <w:rFonts w:hint="eastAsia" w:ascii="仿宋_GB2312" w:hAnsi="仿宋_GB2312" w:eastAsia="仿宋_GB2312" w:cs="仿宋_GB2312"/>
          <w:sz w:val="28"/>
          <w:szCs w:val="28"/>
          <w:highlight w:val="none"/>
        </w:rPr>
        <w:t>、《国务院关于加强土地调控有关问题的通知》（国发〔2006〕31号，2006年8月31日）；</w:t>
      </w:r>
    </w:p>
    <w:p w14:paraId="0C0237EA">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15</w:t>
      </w:r>
      <w:r>
        <w:rPr>
          <w:rFonts w:hint="eastAsia" w:ascii="仿宋_GB2312" w:hAnsi="仿宋_GB2312" w:eastAsia="仿宋_GB2312" w:cs="仿宋_GB2312"/>
          <w:sz w:val="28"/>
          <w:szCs w:val="28"/>
          <w:highlight w:val="none"/>
        </w:rPr>
        <w:t>、《国务院办公厅关于完善建设用地使用权转让、出租、抵押二级市场的指导意见》（国办发〔2019〕34号，2019年07月19日）；</w:t>
      </w:r>
    </w:p>
    <w:p w14:paraId="589803F1">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16</w:t>
      </w:r>
      <w:r>
        <w:rPr>
          <w:rFonts w:hint="eastAsia" w:ascii="仿宋_GB2312" w:hAnsi="仿宋_GB2312" w:eastAsia="仿宋_GB2312" w:cs="仿宋_GB2312"/>
          <w:sz w:val="28"/>
          <w:szCs w:val="28"/>
          <w:highlight w:val="none"/>
        </w:rPr>
        <w:t>、《协议出让国有土地使用权规定》（国土资源部令第21号，2003年8月1号）；</w:t>
      </w:r>
    </w:p>
    <w:p w14:paraId="52EAA4F5">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17</w:t>
      </w:r>
      <w:r>
        <w:rPr>
          <w:rFonts w:hint="eastAsia" w:ascii="仿宋_GB2312" w:hAnsi="仿宋_GB2312" w:eastAsia="仿宋_GB2312" w:cs="仿宋_GB2312"/>
          <w:sz w:val="28"/>
          <w:szCs w:val="28"/>
          <w:highlight w:val="none"/>
        </w:rPr>
        <w:t>、《协议出让国有土地使用权规范》（试行）（国土资发〔2006〕114号，2006年5月31号）；</w:t>
      </w:r>
    </w:p>
    <w:p w14:paraId="5F10D7DB">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18</w:t>
      </w:r>
      <w:r>
        <w:rPr>
          <w:rFonts w:hint="eastAsia" w:ascii="仿宋_GB2312" w:hAnsi="仿宋_GB2312" w:eastAsia="仿宋_GB2312" w:cs="仿宋_GB2312"/>
          <w:sz w:val="28"/>
          <w:szCs w:val="28"/>
          <w:highlight w:val="none"/>
        </w:rPr>
        <w:t>、《国土资源部关于进一步加强城市地价动态监测工作的通知》（国土资发[2008]51号，2008年3月11日）；</w:t>
      </w:r>
    </w:p>
    <w:p w14:paraId="020A6433">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19</w:t>
      </w:r>
      <w:r>
        <w:rPr>
          <w:rFonts w:hint="eastAsia" w:ascii="仿宋_GB2312" w:hAnsi="仿宋_GB2312" w:eastAsia="仿宋_GB2312" w:cs="仿宋_GB2312"/>
          <w:sz w:val="28"/>
          <w:szCs w:val="28"/>
          <w:highlight w:val="none"/>
        </w:rPr>
        <w:t>、《国土资源部关于坚持和完善土地招标拍卖挂牌出让制度的意见》（国土资发〔2011〕63号，2011年5月13日）；</w:t>
      </w:r>
    </w:p>
    <w:p w14:paraId="7CC1C6FC">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20</w:t>
      </w:r>
      <w:r>
        <w:rPr>
          <w:rFonts w:hint="eastAsia" w:ascii="仿宋_GB2312" w:hAnsi="仿宋_GB2312" w:eastAsia="仿宋_GB2312" w:cs="仿宋_GB2312"/>
          <w:sz w:val="28"/>
          <w:szCs w:val="28"/>
          <w:highlight w:val="none"/>
        </w:rPr>
        <w:t>、《国土资源部办公厅关于实施电子化备案完善土地估价报告备案制度的通知》（国土资厅发[2012]35号，2012年6月14日）；</w:t>
      </w:r>
    </w:p>
    <w:p w14:paraId="396BD14B">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21</w:t>
      </w:r>
      <w:r>
        <w:rPr>
          <w:rFonts w:hint="eastAsia" w:ascii="仿宋_GB2312" w:hAnsi="仿宋_GB2312" w:eastAsia="仿宋_GB2312" w:cs="仿宋_GB2312"/>
          <w:sz w:val="28"/>
          <w:szCs w:val="28"/>
          <w:highlight w:val="none"/>
        </w:rPr>
        <w:t>、《节约集约利用土地规定》（2014年5月22日国土资源部第61号令公布，根据2019年7月16日自然资源部第2次部务会议《自然资源部第一批废止和修改的部门规章的决定》修正）；</w:t>
      </w:r>
    </w:p>
    <w:p w14:paraId="1C35C94D">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22</w:t>
      </w:r>
      <w:r>
        <w:rPr>
          <w:rFonts w:hint="eastAsia" w:ascii="仿宋_GB2312" w:hAnsi="仿宋_GB2312" w:eastAsia="仿宋_GB2312" w:cs="仿宋_GB2312"/>
          <w:sz w:val="28"/>
          <w:szCs w:val="28"/>
          <w:highlight w:val="none"/>
        </w:rPr>
        <w:t>、《不动产登记暂行条例实施细则》（2016年1月1日国土资源部令第63号公布，根据20</w:t>
      </w:r>
      <w:r>
        <w:rPr>
          <w:rFonts w:hint="eastAsia" w:ascii="仿宋_GB2312" w:hAnsi="仿宋_GB2312" w:eastAsia="仿宋_GB2312" w:cs="仿宋_GB2312"/>
          <w:sz w:val="28"/>
          <w:szCs w:val="28"/>
          <w:highlight w:val="none"/>
          <w:lang w:val="en-US" w:eastAsia="zh-CN"/>
        </w:rPr>
        <w:t>24</w:t>
      </w:r>
      <w:r>
        <w:rPr>
          <w:rFonts w:hint="eastAsia" w:ascii="仿宋_GB2312" w:hAnsi="仿宋_GB2312" w:eastAsia="仿宋_GB2312" w:cs="仿宋_GB2312"/>
          <w:sz w:val="28"/>
          <w:szCs w:val="28"/>
          <w:highlight w:val="none"/>
        </w:rPr>
        <w:t>年</w:t>
      </w:r>
      <w:r>
        <w:rPr>
          <w:rFonts w:hint="eastAsia" w:ascii="仿宋_GB2312" w:hAnsi="仿宋_GB2312" w:eastAsia="仿宋_GB2312" w:cs="仿宋_GB2312"/>
          <w:sz w:val="28"/>
          <w:szCs w:val="28"/>
          <w:highlight w:val="none"/>
          <w:lang w:val="en-US" w:eastAsia="zh-CN"/>
        </w:rPr>
        <w:t>5</w:t>
      </w:r>
      <w:r>
        <w:rPr>
          <w:rFonts w:hint="eastAsia" w:ascii="仿宋_GB2312" w:hAnsi="仿宋_GB2312" w:eastAsia="仿宋_GB2312" w:cs="仿宋_GB2312"/>
          <w:sz w:val="28"/>
          <w:szCs w:val="28"/>
          <w:highlight w:val="none"/>
        </w:rPr>
        <w:t>月</w:t>
      </w:r>
      <w:r>
        <w:rPr>
          <w:rFonts w:hint="eastAsia" w:ascii="仿宋_GB2312" w:hAnsi="仿宋_GB2312" w:eastAsia="仿宋_GB2312" w:cs="仿宋_GB2312"/>
          <w:sz w:val="28"/>
          <w:szCs w:val="28"/>
          <w:highlight w:val="none"/>
          <w:lang w:val="en-US" w:eastAsia="zh-CN"/>
        </w:rPr>
        <w:t>9</w:t>
      </w:r>
      <w:r>
        <w:rPr>
          <w:rFonts w:hint="eastAsia" w:ascii="仿宋_GB2312" w:hAnsi="仿宋_GB2312" w:eastAsia="仿宋_GB2312" w:cs="仿宋_GB2312"/>
          <w:sz w:val="28"/>
          <w:szCs w:val="28"/>
          <w:highlight w:val="none"/>
        </w:rPr>
        <w:t>日自然资源部第2次部务会议《自然资源部关于第六批修改的部门规章的决定》修正）；</w:t>
      </w:r>
    </w:p>
    <w:p w14:paraId="63EB606A">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kern w:val="0"/>
          <w:sz w:val="28"/>
          <w:szCs w:val="28"/>
          <w:highlight w:val="none"/>
        </w:rPr>
      </w:pPr>
      <w:r>
        <w:rPr>
          <w:rFonts w:hint="eastAsia" w:ascii="仿宋_GB2312" w:hAnsi="仿宋_GB2312" w:eastAsia="仿宋_GB2312" w:cs="仿宋_GB2312"/>
          <w:sz w:val="28"/>
          <w:szCs w:val="28"/>
          <w:highlight w:val="none"/>
          <w:lang w:val="en-US" w:eastAsia="zh-CN"/>
        </w:rPr>
        <w:t>23</w:t>
      </w:r>
      <w:r>
        <w:rPr>
          <w:rFonts w:hint="eastAsia" w:ascii="仿宋_GB2312" w:hAnsi="仿宋_GB2312" w:eastAsia="仿宋_GB2312" w:cs="仿宋_GB2312"/>
          <w:sz w:val="28"/>
          <w:szCs w:val="28"/>
          <w:highlight w:val="none"/>
        </w:rPr>
        <w:t>、《国土资源部关于贯彻实施&lt;中华人民共和国资产评估法&gt;的通知》（国土资发[2016]181号，2016年11月25日）；</w:t>
      </w:r>
    </w:p>
    <w:p w14:paraId="6BCB3046">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24</w:t>
      </w:r>
      <w:r>
        <w:rPr>
          <w:rFonts w:hint="eastAsia" w:ascii="仿宋_GB2312" w:hAnsi="仿宋_GB2312" w:eastAsia="仿宋_GB2312" w:cs="仿宋_GB2312"/>
          <w:color w:val="000000"/>
          <w:sz w:val="28"/>
          <w:szCs w:val="28"/>
          <w:highlight w:val="none"/>
        </w:rPr>
        <w:t>、《国土资源部 国家发展和改革委员会 财政部 住房和城乡建设部 农业部 中国人民银行 国家林业局 中国银行业监督管理委员会关于扩大国有土地有偿使用范围的意见》（国土资规[2016]20号，2016年12月31日）；</w:t>
      </w:r>
    </w:p>
    <w:p w14:paraId="4C0E30FA">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25</w:t>
      </w:r>
      <w:r>
        <w:rPr>
          <w:rFonts w:hint="eastAsia" w:ascii="仿宋_GB2312" w:hAnsi="仿宋_GB2312" w:eastAsia="仿宋_GB2312" w:cs="仿宋_GB2312"/>
          <w:color w:val="000000"/>
          <w:sz w:val="28"/>
          <w:szCs w:val="28"/>
          <w:highlight w:val="none"/>
        </w:rPr>
        <w:t>、《国土资源部办公厅关于发布&lt;国有建设用地使用权出让地价评估技术规范&gt;的通知》（国土资厅发[2018]4号，2018年4月9日）；</w:t>
      </w:r>
    </w:p>
    <w:p w14:paraId="7CFC40BC">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26</w:t>
      </w:r>
      <w:r>
        <w:rPr>
          <w:rFonts w:hint="eastAsia" w:ascii="仿宋_GB2312" w:hAnsi="仿宋_GB2312" w:eastAsia="仿宋_GB2312" w:cs="仿宋_GB2312"/>
          <w:color w:val="000000"/>
          <w:sz w:val="28"/>
          <w:szCs w:val="28"/>
          <w:highlight w:val="none"/>
        </w:rPr>
        <w:t>、《自然资源部办公厅关于印发&lt;产业用地政策实施工作指引（2019年版）&gt;的通知》（自然资办发[2019]31号，2019年4月24日）；</w:t>
      </w:r>
    </w:p>
    <w:p w14:paraId="3F630919">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27、</w:t>
      </w:r>
      <w:r>
        <w:rPr>
          <w:rFonts w:hint="eastAsia" w:ascii="仿宋_GB2312" w:hAnsi="仿宋_GB2312" w:eastAsia="仿宋_GB2312" w:cs="仿宋_GB2312"/>
          <w:color w:val="000000"/>
          <w:sz w:val="28"/>
          <w:szCs w:val="28"/>
          <w:highlight w:val="none"/>
        </w:rPr>
        <w:t>《自然资源部办公厅关于做好2021年度自然资源评价评估有关工作的通知》（自然资办发〔2021〕39号，2021年5月12日）；</w:t>
      </w:r>
    </w:p>
    <w:p w14:paraId="26137091">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28</w:t>
      </w:r>
      <w:r>
        <w:rPr>
          <w:rFonts w:hint="eastAsia" w:ascii="仿宋_GB2312" w:hAnsi="仿宋_GB2312" w:eastAsia="仿宋_GB2312" w:cs="仿宋_GB2312"/>
          <w:color w:val="000000"/>
          <w:sz w:val="28"/>
          <w:szCs w:val="28"/>
          <w:highlight w:val="none"/>
        </w:rPr>
        <w:t>、《自然资源部办公厅关于做好2022年度自然资源评价评估有工作的通知》（自然资办发〔2022〕13号，2022年4月13日）；</w:t>
      </w:r>
    </w:p>
    <w:p w14:paraId="520E73AB">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29</w:t>
      </w:r>
      <w:r>
        <w:rPr>
          <w:rFonts w:hint="eastAsia" w:ascii="仿宋_GB2312" w:hAnsi="仿宋_GB2312" w:eastAsia="仿宋_GB2312" w:cs="仿宋_GB2312"/>
          <w:color w:val="000000"/>
          <w:sz w:val="28"/>
          <w:szCs w:val="28"/>
          <w:highlight w:val="none"/>
        </w:rPr>
        <w:t xml:space="preserve">、《自然资源部办公厅关于土地估价机构备案工作的通知》（自然资办发〔2022〕42号，2022年9月27日）； </w:t>
      </w:r>
    </w:p>
    <w:p w14:paraId="1D00B222">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lang w:val="en-US" w:eastAsia="zh-CN"/>
        </w:rPr>
      </w:pPr>
      <w:r>
        <w:rPr>
          <w:rFonts w:hint="eastAsia" w:ascii="仿宋_GB2312" w:hAnsi="仿宋_GB2312" w:eastAsia="仿宋_GB2312" w:cs="仿宋_GB2312"/>
          <w:color w:val="000000"/>
          <w:sz w:val="28"/>
          <w:szCs w:val="28"/>
          <w:highlight w:val="none"/>
          <w:lang w:val="en-US" w:eastAsia="zh-CN"/>
        </w:rPr>
        <w:t>30、《自然资源部办公厅关于做好2024年住宅用地供应有关工作的通知》（自然资办函〔2024〕918号，2024年4月29日）；</w:t>
      </w:r>
    </w:p>
    <w:p w14:paraId="02FB96B5">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31</w:t>
      </w:r>
      <w:r>
        <w:rPr>
          <w:rFonts w:hint="eastAsia" w:ascii="仿宋_GB2312" w:hAnsi="仿宋_GB2312" w:eastAsia="仿宋_GB2312" w:cs="仿宋_GB2312"/>
          <w:bCs/>
          <w:iCs/>
          <w:sz w:val="28"/>
          <w:szCs w:val="28"/>
          <w:highlight w:val="none"/>
        </w:rPr>
        <w:t>、《关于全面推开营业税改征增值税试点的通知》（财税〔2016〕36号，2016年3月23日）；</w:t>
      </w:r>
    </w:p>
    <w:p w14:paraId="73B7ABAA">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32</w:t>
      </w:r>
      <w:r>
        <w:rPr>
          <w:rFonts w:hint="eastAsia" w:ascii="仿宋_GB2312" w:hAnsi="仿宋_GB2312" w:eastAsia="仿宋_GB2312" w:cs="仿宋_GB2312"/>
          <w:bCs/>
          <w:iCs/>
          <w:sz w:val="28"/>
          <w:szCs w:val="28"/>
          <w:highlight w:val="none"/>
        </w:rPr>
        <w:t>、《关于全面推开营业税改征增值税试点有关税收征收管理事项的公告》（国家税务总局公告2016年第23号，2016年4月19日）；</w:t>
      </w:r>
    </w:p>
    <w:p w14:paraId="4F698E17">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33</w:t>
      </w:r>
      <w:r>
        <w:rPr>
          <w:rFonts w:hint="eastAsia" w:ascii="仿宋_GB2312" w:hAnsi="仿宋_GB2312" w:eastAsia="仿宋_GB2312" w:cs="仿宋_GB2312"/>
          <w:bCs/>
          <w:iCs/>
          <w:sz w:val="28"/>
          <w:szCs w:val="28"/>
          <w:highlight w:val="none"/>
        </w:rPr>
        <w:t>、《关于营改增后契税、房产税、土地增值税、个人所得税计税依据问题的通知》（财税[2016]43号，2016年4月25日）；</w:t>
      </w:r>
    </w:p>
    <w:p w14:paraId="4FADCE85">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34</w:t>
      </w:r>
      <w:r>
        <w:rPr>
          <w:rFonts w:hint="eastAsia" w:ascii="仿宋_GB2312" w:hAnsi="仿宋_GB2312" w:eastAsia="仿宋_GB2312" w:cs="仿宋_GB2312"/>
          <w:bCs/>
          <w:iCs/>
          <w:sz w:val="28"/>
          <w:szCs w:val="28"/>
          <w:highlight w:val="none"/>
        </w:rPr>
        <w:t>、《财政部税务总局关于调整增值税税率的通知》[财税（2018）32号，2018年5月1日]；</w:t>
      </w:r>
    </w:p>
    <w:p w14:paraId="6A93E747">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lang w:val="en-US" w:eastAsia="zh-CN"/>
        </w:rPr>
        <w:t>35</w:t>
      </w:r>
      <w:r>
        <w:rPr>
          <w:rFonts w:hint="eastAsia" w:ascii="仿宋_GB2312" w:hAnsi="仿宋_GB2312" w:eastAsia="仿宋_GB2312" w:cs="仿宋_GB2312"/>
          <w:bCs/>
          <w:iCs/>
          <w:sz w:val="28"/>
          <w:szCs w:val="28"/>
          <w:highlight w:val="none"/>
        </w:rPr>
        <w:t>、《财政部税务总局 海关总署关于深化增值税改革有关政策的公告》（财政部 税务总局 海关总署公告2019年第39号，2019年3月20日）</w:t>
      </w:r>
      <w:r>
        <w:rPr>
          <w:rFonts w:hint="eastAsia" w:ascii="仿宋_GB2312" w:hAnsi="仿宋_GB2312" w:eastAsia="仿宋_GB2312" w:cs="仿宋_GB2312"/>
          <w:bCs/>
          <w:iCs/>
          <w:sz w:val="28"/>
          <w:szCs w:val="28"/>
          <w:highlight w:val="none"/>
          <w:lang w:eastAsia="zh-CN"/>
        </w:rPr>
        <w:t>。</w:t>
      </w:r>
    </w:p>
    <w:p w14:paraId="34B35800">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lang w:val="en-US" w:eastAsia="zh-CN"/>
        </w:rPr>
        <w:t>36、</w:t>
      </w:r>
      <w:r>
        <w:rPr>
          <w:rFonts w:hint="eastAsia" w:ascii="仿宋_GB2312" w:hAnsi="仿宋_GB2312" w:eastAsia="仿宋_GB2312" w:cs="仿宋_GB2312"/>
          <w:bCs/>
          <w:iCs/>
          <w:sz w:val="28"/>
          <w:szCs w:val="28"/>
          <w:highlight w:val="none"/>
          <w:lang w:eastAsia="zh-CN"/>
        </w:rPr>
        <w:t>《</w:t>
      </w:r>
      <w:r>
        <w:rPr>
          <w:rFonts w:hint="eastAsia" w:ascii="仿宋_GB2312" w:hAnsi="仿宋_GB2312" w:eastAsia="仿宋_GB2312" w:cs="仿宋_GB2312"/>
          <w:bCs/>
          <w:iCs/>
          <w:sz w:val="28"/>
          <w:szCs w:val="28"/>
          <w:highlight w:val="none"/>
        </w:rPr>
        <w:t>财政部税务总局关于进一步支持小微企业和个体工商户发展有关税费政策的公告</w:t>
      </w:r>
      <w:r>
        <w:rPr>
          <w:rFonts w:hint="eastAsia" w:ascii="仿宋_GB2312" w:hAnsi="仿宋_GB2312" w:eastAsia="仿宋_GB2312" w:cs="仿宋_GB2312"/>
          <w:bCs/>
          <w:iCs/>
          <w:sz w:val="28"/>
          <w:szCs w:val="28"/>
          <w:highlight w:val="none"/>
          <w:lang w:eastAsia="zh-CN"/>
        </w:rPr>
        <w:t>》（财政部 税务总局公告2023年第12号，</w:t>
      </w:r>
      <w:r>
        <w:rPr>
          <w:rFonts w:hint="eastAsia" w:ascii="仿宋_GB2312" w:hAnsi="仿宋_GB2312" w:eastAsia="仿宋_GB2312" w:cs="仿宋_GB2312"/>
          <w:bCs/>
          <w:iCs/>
          <w:sz w:val="28"/>
          <w:szCs w:val="28"/>
          <w:highlight w:val="none"/>
          <w:lang w:val="en-US" w:eastAsia="zh-CN"/>
        </w:rPr>
        <w:t>2023年8月2日</w:t>
      </w:r>
      <w:r>
        <w:rPr>
          <w:rFonts w:hint="eastAsia" w:ascii="仿宋_GB2312" w:hAnsi="仿宋_GB2312" w:eastAsia="仿宋_GB2312" w:cs="仿宋_GB2312"/>
          <w:bCs/>
          <w:iCs/>
          <w:sz w:val="28"/>
          <w:szCs w:val="28"/>
          <w:highlight w:val="none"/>
          <w:lang w:eastAsia="zh-CN"/>
        </w:rPr>
        <w:t>）；</w:t>
      </w:r>
    </w:p>
    <w:p w14:paraId="796B35D0">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lang w:val="en-US" w:eastAsia="zh-CN"/>
        </w:rPr>
        <w:t>37、</w:t>
      </w:r>
      <w:r>
        <w:rPr>
          <w:rFonts w:hint="eastAsia" w:ascii="仿宋_GB2312" w:hAnsi="仿宋_GB2312" w:eastAsia="仿宋_GB2312" w:cs="仿宋_GB2312"/>
          <w:bCs/>
          <w:iCs/>
          <w:sz w:val="28"/>
          <w:szCs w:val="28"/>
          <w:highlight w:val="none"/>
          <w:lang w:eastAsia="zh-CN"/>
        </w:rPr>
        <w:t>《中华人民共和国增值税法》（2024年12月25日第十四届全国人民代表大会常务委员会第十三次会议通过，</w:t>
      </w:r>
      <w:r>
        <w:rPr>
          <w:rFonts w:hint="eastAsia" w:ascii="仿宋_GB2312" w:hAnsi="仿宋_GB2312" w:eastAsia="仿宋_GB2312" w:cs="仿宋_GB2312"/>
          <w:bCs/>
          <w:iCs/>
          <w:sz w:val="28"/>
          <w:szCs w:val="28"/>
          <w:highlight w:val="none"/>
        </w:rPr>
        <w:t>2024年12月25日</w:t>
      </w:r>
      <w:r>
        <w:rPr>
          <w:rFonts w:hint="eastAsia" w:ascii="仿宋_GB2312" w:hAnsi="仿宋_GB2312" w:eastAsia="仿宋_GB2312" w:cs="仿宋_GB2312"/>
          <w:bCs/>
          <w:iCs/>
          <w:sz w:val="28"/>
          <w:szCs w:val="28"/>
          <w:highlight w:val="none"/>
          <w:lang w:eastAsia="zh-CN"/>
        </w:rPr>
        <w:t>）；</w:t>
      </w:r>
    </w:p>
    <w:p w14:paraId="458E9CCC">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lang w:val="en-US" w:eastAsia="zh-CN"/>
        </w:rPr>
        <w:t>38、</w:t>
      </w:r>
      <w:r>
        <w:rPr>
          <w:rFonts w:hint="eastAsia" w:ascii="仿宋_GB2312" w:hAnsi="仿宋_GB2312" w:eastAsia="仿宋_GB2312" w:cs="仿宋_GB2312"/>
          <w:bCs/>
          <w:iCs/>
          <w:sz w:val="28"/>
          <w:szCs w:val="28"/>
          <w:highlight w:val="none"/>
          <w:lang w:eastAsia="zh-CN"/>
        </w:rPr>
        <w:t>《财政部税务总局关于增值税法施行后增值税优惠政策衔接事项的公告》（财政部 税务总局公告2026年第10号，</w:t>
      </w:r>
      <w:r>
        <w:rPr>
          <w:rFonts w:hint="eastAsia" w:ascii="仿宋_GB2312" w:hAnsi="仿宋_GB2312" w:eastAsia="仿宋_GB2312" w:cs="仿宋_GB2312"/>
          <w:bCs/>
          <w:iCs/>
          <w:sz w:val="28"/>
          <w:szCs w:val="28"/>
          <w:highlight w:val="none"/>
          <w:lang w:val="en-US" w:eastAsia="zh-CN"/>
        </w:rPr>
        <w:t>2026年1月30日</w:t>
      </w:r>
      <w:r>
        <w:rPr>
          <w:rFonts w:hint="eastAsia" w:ascii="仿宋_GB2312" w:hAnsi="仿宋_GB2312" w:eastAsia="仿宋_GB2312" w:cs="仿宋_GB2312"/>
          <w:bCs/>
          <w:iCs/>
          <w:sz w:val="28"/>
          <w:szCs w:val="28"/>
          <w:highlight w:val="none"/>
          <w:lang w:eastAsia="zh-CN"/>
        </w:rPr>
        <w:t>）；</w:t>
      </w:r>
    </w:p>
    <w:p w14:paraId="236289F1">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（二）地方有关部门颁布的法规及相关文件</w:t>
      </w:r>
    </w:p>
    <w:p w14:paraId="1B549E9A">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rPr>
        <w:t>1、《湖南省实施&lt;中华人民共和国土地管理法&gt;办法》（2022年1月19日湖南省第十三届人民代表大会第五次会议通过）；</w:t>
      </w:r>
    </w:p>
    <w:p w14:paraId="1894EADF">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rPr>
        <w:t>2、《湖南省实施&lt;中华人民共和国城乡规划法&gt;办法》（2015年12月4日湖南省第十二届人民代表大会常务委员会第十九次会议通过，自2016年5月1日起施行）；</w:t>
      </w:r>
    </w:p>
    <w:p w14:paraId="61DCB76E">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rPr>
        <w:t>3、《湖南省城镇划拨土地使用权管理条例》（1997年1月24日湖南省第八届人民代表大会常务委员会第二十六次会议通过  根据2002年6月3日湖南省第九届人民代表大会常务委员会第二十九次会议《关于修改&lt;湖南省城镇划拨土地使用权管理条例&gt;的决定》第一次修正  根据2020年7月30日湖南省第十三届人民代表大会常务委员会第十九次会议《关于修改&lt;湖南省燃气管理条例&gt;等十件地方性法规的决定》第二次修正）；</w:t>
      </w:r>
    </w:p>
    <w:p w14:paraId="36C92DB2">
      <w:pPr>
        <w:keepNext w:val="0"/>
        <w:keepLines w:val="0"/>
        <w:pageBreakBefore w:val="0"/>
        <w:widowControl w:val="0"/>
        <w:kinsoku/>
        <w:wordWrap/>
        <w:overflowPunct/>
        <w:topLinePunct w:val="0"/>
        <w:autoSpaceDE/>
        <w:autoSpaceDN/>
        <w:bidi w:val="0"/>
        <w:adjustRightInd w:val="0"/>
        <w:spacing w:line="480" w:lineRule="exact"/>
        <w:ind w:right="0" w:firstLine="560" w:firstLineChars="200"/>
        <w:textAlignment w:val="auto"/>
        <w:rPr>
          <w:rFonts w:hint="eastAsia" w:ascii="仿宋_GB2312" w:hAnsi="仿宋_GB2312" w:eastAsia="仿宋_GB2312" w:cs="仿宋_GB2312"/>
          <w:sz w:val="28"/>
          <w:highlight w:val="none"/>
        </w:rPr>
      </w:pPr>
      <w:r>
        <w:rPr>
          <w:rFonts w:hint="eastAsia" w:ascii="仿宋_GB2312" w:hAnsi="仿宋_GB2312" w:eastAsia="仿宋_GB2312" w:cs="仿宋_GB2312"/>
          <w:sz w:val="28"/>
          <w:highlight w:val="none"/>
          <w:lang w:val="en-US" w:eastAsia="zh-CN"/>
        </w:rPr>
        <w:t>4</w:t>
      </w:r>
      <w:r>
        <w:rPr>
          <w:rFonts w:hint="eastAsia" w:ascii="仿宋_GB2312" w:hAnsi="仿宋_GB2312" w:eastAsia="仿宋_GB2312" w:cs="仿宋_GB2312"/>
          <w:sz w:val="28"/>
          <w:highlight w:val="none"/>
        </w:rPr>
        <w:t xml:space="preserve">、《湖南省人民代表大会常务委员会关于契税具体适用税率等事项的决定》（2021年5月27日湖南省第十三届人民代表大会常务委员会第二十四次会议通过）； </w:t>
      </w:r>
    </w:p>
    <w:p w14:paraId="4FB6E02A">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lang w:val="en-US" w:eastAsia="zh-CN"/>
        </w:rPr>
        <w:t>5</w:t>
      </w:r>
      <w:r>
        <w:rPr>
          <w:rFonts w:hint="eastAsia" w:ascii="仿宋_GB2312" w:hAnsi="仿宋_GB2312" w:eastAsia="仿宋_GB2312" w:cs="仿宋_GB2312"/>
          <w:sz w:val="28"/>
          <w:szCs w:val="24"/>
          <w:highlight w:val="none"/>
        </w:rPr>
        <w:t>、《湖南省城镇国有土地使用权出让和转让实施办法》（1994年11月19日湖南省人民政府发布；根据1997年12月30日《湖南省人民政府关于修改〈湖南省城镇国有土地使用权出让和转让实施办法〉的决定》修正；根据2002年3月7日《湖南省人民政府关于修改2001年底以前发布的部分规章的决定》第二次修正）；</w:t>
      </w:r>
    </w:p>
    <w:p w14:paraId="3B33B5BD">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lang w:val="en-US" w:eastAsia="zh-CN"/>
        </w:rPr>
        <w:t>6</w:t>
      </w:r>
      <w:r>
        <w:rPr>
          <w:rFonts w:hint="eastAsia" w:ascii="仿宋_GB2312" w:hAnsi="仿宋_GB2312" w:eastAsia="仿宋_GB2312" w:cs="仿宋_GB2312"/>
          <w:sz w:val="28"/>
          <w:szCs w:val="24"/>
          <w:highlight w:val="none"/>
        </w:rPr>
        <w:t>、《湖南省土地市场管理办法》（2004年12月31日湖南省人民政府第48次常务会议审议通过，2005年1月20日湖南省人民政府令第195号公布，自2005年3月1日起施行；根据2011年1月30日《湖南省人民政府关于废止和修改部分省政府规章的决定》修正）；</w:t>
      </w:r>
    </w:p>
    <w:p w14:paraId="07A6A5CC">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lang w:val="en-US" w:eastAsia="zh-CN"/>
        </w:rPr>
        <w:t>7</w:t>
      </w:r>
      <w:r>
        <w:rPr>
          <w:rFonts w:hint="eastAsia" w:ascii="仿宋_GB2312" w:hAnsi="仿宋_GB2312" w:eastAsia="仿宋_GB2312" w:cs="仿宋_GB2312"/>
          <w:sz w:val="28"/>
          <w:szCs w:val="24"/>
          <w:highlight w:val="none"/>
        </w:rPr>
        <w:t>、《湖南省人民政府关于深化改革严格土地管理的意见》（湘政发[2005]4号，2005年2月19日）；</w:t>
      </w:r>
    </w:p>
    <w:p w14:paraId="4F26DACE">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lang w:val="en-US" w:eastAsia="zh-CN"/>
        </w:rPr>
        <w:t>8</w:t>
      </w:r>
      <w:r>
        <w:rPr>
          <w:rFonts w:hint="eastAsia" w:ascii="仿宋_GB2312" w:hAnsi="仿宋_GB2312" w:eastAsia="仿宋_GB2312" w:cs="仿宋_GB2312"/>
          <w:sz w:val="28"/>
          <w:szCs w:val="24"/>
          <w:highlight w:val="none"/>
        </w:rPr>
        <w:t>、《湖南省教育费附加和地方教育附加征收管理办法》（湖南省人民政府令第218号，2007年12月31日）；</w:t>
      </w:r>
    </w:p>
    <w:p w14:paraId="09350EF7">
      <w:pPr>
        <w:keepNext w:val="0"/>
        <w:keepLines w:val="0"/>
        <w:pageBreakBefore w:val="0"/>
        <w:widowControl w:val="0"/>
        <w:kinsoku/>
        <w:wordWrap/>
        <w:overflowPunct/>
        <w:topLinePunct w:val="0"/>
        <w:autoSpaceDE/>
        <w:autoSpaceDN/>
        <w:bidi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9</w:t>
      </w:r>
      <w:r>
        <w:rPr>
          <w:rFonts w:hint="eastAsia" w:ascii="仿宋_GB2312" w:hAnsi="仿宋_GB2312" w:eastAsia="仿宋_GB2312" w:cs="仿宋_GB2312"/>
          <w:sz w:val="28"/>
          <w:szCs w:val="28"/>
          <w:highlight w:val="none"/>
        </w:rPr>
        <w:t>、《湖南省人民政府办公厅关于印发&lt;湖南省国有土地使用权出让收支管理办法&gt;的通知》（湘政办发[2015]1号，2015年3月12日）；</w:t>
      </w:r>
    </w:p>
    <w:p w14:paraId="2A4EE5BE">
      <w:pPr>
        <w:keepNext w:val="0"/>
        <w:keepLines w:val="0"/>
        <w:pageBreakBefore w:val="0"/>
        <w:widowControl w:val="0"/>
        <w:kinsoku/>
        <w:wordWrap/>
        <w:overflowPunct/>
        <w:topLinePunct w:val="0"/>
        <w:autoSpaceDE/>
        <w:autoSpaceDN/>
        <w:bidi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10</w:t>
      </w:r>
      <w:r>
        <w:rPr>
          <w:rFonts w:hint="eastAsia" w:ascii="仿宋_GB2312" w:hAnsi="仿宋_GB2312" w:eastAsia="仿宋_GB2312" w:cs="仿宋_GB2312"/>
          <w:sz w:val="28"/>
          <w:szCs w:val="28"/>
          <w:highlight w:val="none"/>
        </w:rPr>
        <w:t xml:space="preserve">、《关于转发&lt;国土资源部 国家发展和改革委员会 财政部 住房和城乡建设部 农业部 中国人民银行 国家林业局 中国银行业监督管理委员会关于扩大国有土地有偿使用范围的意见&gt;的通知》（湘国土资发[2018]2号，2018年1月15日）； </w:t>
      </w:r>
    </w:p>
    <w:p w14:paraId="7B6E6885">
      <w:pPr>
        <w:keepNext w:val="0"/>
        <w:keepLines w:val="0"/>
        <w:pageBreakBefore w:val="0"/>
        <w:widowControl w:val="0"/>
        <w:kinsoku/>
        <w:wordWrap/>
        <w:overflowPunct/>
        <w:topLinePunct w:val="0"/>
        <w:autoSpaceDE/>
        <w:autoSpaceDN/>
        <w:bidi w:val="0"/>
        <w:adjustRightInd w:val="0"/>
        <w:spacing w:line="480" w:lineRule="exact"/>
        <w:ind w:right="0" w:firstLine="560" w:firstLineChars="200"/>
        <w:textAlignment w:val="auto"/>
        <w:rPr>
          <w:rFonts w:hint="eastAsia" w:ascii="仿宋_GB2312" w:hAnsi="仿宋_GB2312" w:eastAsia="仿宋_GB2312" w:cs="仿宋_GB2312"/>
          <w:sz w:val="28"/>
          <w:highlight w:val="none"/>
        </w:rPr>
      </w:pPr>
      <w:r>
        <w:rPr>
          <w:rFonts w:hint="eastAsia" w:ascii="仿宋_GB2312" w:hAnsi="仿宋_GB2312" w:eastAsia="仿宋_GB2312" w:cs="仿宋_GB2312"/>
          <w:sz w:val="28"/>
          <w:highlight w:val="none"/>
          <w:lang w:val="en-US" w:eastAsia="zh-CN"/>
        </w:rPr>
        <w:t>11</w:t>
      </w:r>
      <w:r>
        <w:rPr>
          <w:rFonts w:hint="eastAsia" w:ascii="仿宋_GB2312" w:hAnsi="仿宋_GB2312" w:eastAsia="仿宋_GB2312" w:cs="仿宋_GB2312"/>
          <w:sz w:val="28"/>
          <w:highlight w:val="none"/>
        </w:rPr>
        <w:t>、</w:t>
      </w:r>
      <w:r>
        <w:rPr>
          <w:rFonts w:hint="eastAsia" w:ascii="仿宋_GB2312" w:hAnsi="仿宋_GB2312" w:eastAsia="仿宋_GB2312" w:cs="仿宋_GB2312"/>
          <w:sz w:val="28"/>
          <w:szCs w:val="28"/>
          <w:highlight w:val="none"/>
        </w:rPr>
        <w:t>《湖南省财政厅 国家税务总局湖南省税务局关于明确地方教育附加征收标准的通知》（湘财综〔2018〕35号，2018年11月5日）</w:t>
      </w:r>
      <w:r>
        <w:rPr>
          <w:rFonts w:hint="eastAsia" w:ascii="仿宋_GB2312" w:hAnsi="仿宋_GB2312" w:eastAsia="仿宋_GB2312" w:cs="仿宋_GB2312"/>
          <w:sz w:val="28"/>
          <w:highlight w:val="none"/>
        </w:rPr>
        <w:t>；</w:t>
      </w:r>
    </w:p>
    <w:p w14:paraId="71220731">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12</w:t>
      </w:r>
      <w:r>
        <w:rPr>
          <w:rFonts w:hint="eastAsia" w:ascii="仿宋_GB2312" w:hAnsi="仿宋_GB2312" w:eastAsia="仿宋_GB2312" w:cs="仿宋_GB2312"/>
          <w:sz w:val="28"/>
          <w:szCs w:val="28"/>
          <w:highlight w:val="none"/>
        </w:rPr>
        <w:t xml:space="preserve">、《湖南省自然资源厅关于进一步规范土地出让管理工作的通知》（湘自然资发〔2019〕33号，2019年11月28日）； </w:t>
      </w:r>
    </w:p>
    <w:p w14:paraId="734FA8D3">
      <w:pPr>
        <w:keepNext w:val="0"/>
        <w:keepLines w:val="0"/>
        <w:pageBreakBefore w:val="0"/>
        <w:widowControl w:val="0"/>
        <w:kinsoku/>
        <w:wordWrap/>
        <w:overflowPunct/>
        <w:topLinePunct w:val="0"/>
        <w:autoSpaceDE/>
        <w:autoSpaceDN/>
        <w:bidi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13</w:t>
      </w:r>
      <w:r>
        <w:rPr>
          <w:rFonts w:hint="eastAsia" w:ascii="仿宋_GB2312" w:hAnsi="仿宋_GB2312" w:eastAsia="仿宋_GB2312" w:cs="仿宋_GB2312"/>
          <w:sz w:val="28"/>
          <w:szCs w:val="28"/>
          <w:highlight w:val="none"/>
        </w:rPr>
        <w:t>、《湖南省自然资源厅办公室关于转发&lt;自然资源部办公厅关于做好2022年度自然资源评价评估有工作的通知&gt;的通知》（湘自资办发[2022]40号，2022年5月15日）；</w:t>
      </w:r>
    </w:p>
    <w:p w14:paraId="550E1A3B">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lang w:eastAsia="zh-CN"/>
        </w:rPr>
      </w:pPr>
      <w:r>
        <w:rPr>
          <w:rFonts w:hint="eastAsia" w:ascii="仿宋_GB2312" w:hAnsi="仿宋_GB2312" w:eastAsia="仿宋_GB2312" w:cs="仿宋_GB2312"/>
          <w:sz w:val="28"/>
          <w:szCs w:val="28"/>
          <w:highlight w:val="none"/>
          <w:lang w:val="en-US" w:eastAsia="zh-CN"/>
        </w:rPr>
        <w:t>14</w:t>
      </w:r>
      <w:r>
        <w:rPr>
          <w:rFonts w:hint="eastAsia" w:ascii="仿宋_GB2312" w:hAnsi="仿宋_GB2312" w:eastAsia="仿宋_GB2312" w:cs="仿宋_GB2312"/>
          <w:sz w:val="28"/>
          <w:szCs w:val="28"/>
          <w:highlight w:val="none"/>
        </w:rPr>
        <w:t>、</w:t>
      </w:r>
      <w:r>
        <w:rPr>
          <w:rFonts w:hint="eastAsia" w:ascii="仿宋_GB2312" w:hAnsi="仿宋_GB2312" w:eastAsia="仿宋_GB2312" w:cs="仿宋_GB2312"/>
          <w:sz w:val="28"/>
          <w:szCs w:val="28"/>
          <w:highlight w:val="none"/>
          <w:lang w:eastAsia="zh-CN"/>
        </w:rPr>
        <w:t>《湖南省发展和改革委员会关于我省公共资源交易服务收费的通知》（湘发改价费规〔2024〕292号，</w:t>
      </w:r>
      <w:r>
        <w:rPr>
          <w:rFonts w:hint="eastAsia" w:ascii="仿宋_GB2312" w:hAnsi="仿宋_GB2312" w:eastAsia="仿宋_GB2312" w:cs="仿宋_GB2312"/>
          <w:sz w:val="28"/>
          <w:szCs w:val="28"/>
          <w:highlight w:val="none"/>
          <w:lang w:val="en-US" w:eastAsia="zh-CN"/>
        </w:rPr>
        <w:t>2024年5月11日</w:t>
      </w:r>
      <w:r>
        <w:rPr>
          <w:rFonts w:hint="eastAsia" w:ascii="仿宋_GB2312" w:hAnsi="仿宋_GB2312" w:eastAsia="仿宋_GB2312" w:cs="仿宋_GB2312"/>
          <w:sz w:val="28"/>
          <w:szCs w:val="28"/>
          <w:highlight w:val="none"/>
          <w:lang w:eastAsia="zh-CN"/>
        </w:rPr>
        <w:t>）；</w:t>
      </w:r>
    </w:p>
    <w:p w14:paraId="619EBD01">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（三）有关技术标准</w:t>
      </w:r>
    </w:p>
    <w:p w14:paraId="0DC6CA6D">
      <w:pPr>
        <w:keepNext w:val="0"/>
        <w:keepLines w:val="0"/>
        <w:pageBreakBefore w:val="0"/>
        <w:kinsoku/>
        <w:wordWrap/>
        <w:overflowPunct/>
        <w:topLinePunct w:val="0"/>
        <w:autoSpaceDE/>
        <w:autoSpaceDN/>
        <w:bidi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bookmarkStart w:id="15" w:name="_Hlk513795195"/>
      <w:r>
        <w:rPr>
          <w:rFonts w:hint="eastAsia" w:ascii="仿宋_GB2312" w:hAnsi="仿宋_GB2312" w:eastAsia="仿宋_GB2312" w:cs="仿宋_GB2312"/>
          <w:bCs/>
          <w:iCs/>
          <w:sz w:val="28"/>
          <w:szCs w:val="28"/>
          <w:highlight w:val="none"/>
        </w:rPr>
        <w:t>1、中华人民共和国国家标准《城镇土地估价规程》（GB/T 18508-2014，2014年7月24日）</w:t>
      </w:r>
      <w:r>
        <w:rPr>
          <w:rFonts w:hint="eastAsia" w:ascii="仿宋_GB2312" w:hAnsi="仿宋_GB2312" w:eastAsia="仿宋_GB2312" w:cs="仿宋_GB2312"/>
          <w:bCs/>
          <w:iCs/>
          <w:sz w:val="28"/>
          <w:szCs w:val="28"/>
          <w:highlight w:val="none"/>
          <w:lang w:eastAsia="zh-CN"/>
        </w:rPr>
        <w:t>；</w:t>
      </w:r>
    </w:p>
    <w:p w14:paraId="4405DAFA">
      <w:pPr>
        <w:keepNext w:val="0"/>
        <w:keepLines w:val="0"/>
        <w:pageBreakBefore w:val="0"/>
        <w:kinsoku/>
        <w:wordWrap/>
        <w:overflowPunct/>
        <w:topLinePunct w:val="0"/>
        <w:autoSpaceDE/>
        <w:autoSpaceDN/>
        <w:bidi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rPr>
        <w:t>2、中华人民共和国国家标准《城镇土地分等定级规程》（GB/T 18507-2014，2014年7月24日）</w:t>
      </w:r>
      <w:r>
        <w:rPr>
          <w:rFonts w:hint="eastAsia" w:ascii="仿宋_GB2312" w:hAnsi="仿宋_GB2312" w:eastAsia="仿宋_GB2312" w:cs="仿宋_GB2312"/>
          <w:bCs/>
          <w:iCs/>
          <w:sz w:val="28"/>
          <w:szCs w:val="28"/>
          <w:highlight w:val="none"/>
          <w:lang w:eastAsia="zh-CN"/>
        </w:rPr>
        <w:t>；</w:t>
      </w:r>
    </w:p>
    <w:p w14:paraId="47FB4120">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3、中华人民共和国国家标准《土地利用现状分类》（GB/T 21010-2017，2017年11月1日）；</w:t>
      </w:r>
    </w:p>
    <w:p w14:paraId="32C2EF45">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4、中华人民共和国国家标准《城市用地分类与规划建设用地标准》（GB50137-2011，2011年1月1日）</w:t>
      </w:r>
      <w:bookmarkEnd w:id="15"/>
      <w:r>
        <w:rPr>
          <w:rFonts w:hint="eastAsia" w:ascii="仿宋_GB2312" w:hAnsi="仿宋_GB2312" w:eastAsia="仿宋_GB2312" w:cs="仿宋_GB2312"/>
          <w:bCs/>
          <w:iCs/>
          <w:sz w:val="28"/>
          <w:szCs w:val="28"/>
          <w:highlight w:val="none"/>
        </w:rPr>
        <w:t>；</w:t>
      </w:r>
    </w:p>
    <w:p w14:paraId="2C85FBE1">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5、《自然资源部关于印发&lt;国土空间调查、规划、用途管制用地用海分类指南&gt;的通知》（自然资发〔2023〕234号）；</w:t>
      </w:r>
    </w:p>
    <w:p w14:paraId="36ED5E0D">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6、《自然资源分等定级通则》（TD/T1060-2021）；</w:t>
      </w:r>
    </w:p>
    <w:p w14:paraId="17D97CF7">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rPr>
        <w:t>7、《自然资源价格评估通则》（TD/T1061-2021）</w:t>
      </w:r>
      <w:r>
        <w:rPr>
          <w:rFonts w:hint="eastAsia" w:ascii="仿宋_GB2312" w:hAnsi="仿宋_GB2312" w:eastAsia="仿宋_GB2312" w:cs="仿宋_GB2312"/>
          <w:bCs/>
          <w:iCs/>
          <w:sz w:val="28"/>
          <w:szCs w:val="28"/>
          <w:highlight w:val="none"/>
          <w:lang w:eastAsia="zh-CN"/>
        </w:rPr>
        <w:t>；</w:t>
      </w:r>
    </w:p>
    <w:p w14:paraId="4EF972D4">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val="en-US" w:eastAsia="zh-CN"/>
        </w:rPr>
      </w:pPr>
      <w:r>
        <w:rPr>
          <w:rFonts w:hint="eastAsia" w:ascii="仿宋_GB2312" w:hAnsi="仿宋_GB2312" w:eastAsia="仿宋_GB2312" w:cs="仿宋_GB2312"/>
          <w:bCs/>
          <w:iCs/>
          <w:sz w:val="28"/>
          <w:szCs w:val="28"/>
          <w:highlight w:val="none"/>
          <w:lang w:val="en-US" w:eastAsia="zh-CN"/>
        </w:rPr>
        <w:t>8、《土地估价参数调查测算指引》（T/CREVA 1101-2023）；</w:t>
      </w:r>
    </w:p>
    <w:p w14:paraId="1ADBC630">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lang w:val="en-US" w:eastAsia="zh-CN"/>
        </w:rPr>
        <w:t>9</w:t>
      </w:r>
      <w:r>
        <w:rPr>
          <w:rFonts w:hint="eastAsia" w:ascii="仿宋_GB2312" w:hAnsi="仿宋_GB2312" w:eastAsia="仿宋_GB2312" w:cs="仿宋_GB2312"/>
          <w:bCs/>
          <w:iCs/>
          <w:sz w:val="28"/>
          <w:szCs w:val="28"/>
          <w:highlight w:val="none"/>
        </w:rPr>
        <w:t>、《土地估价报告审查技术规范》（DB43T 1693-2019）</w:t>
      </w:r>
      <w:r>
        <w:rPr>
          <w:rFonts w:hint="eastAsia" w:ascii="仿宋_GB2312" w:hAnsi="仿宋_GB2312" w:eastAsia="仿宋_GB2312" w:cs="仿宋_GB2312"/>
          <w:bCs/>
          <w:iCs/>
          <w:sz w:val="28"/>
          <w:szCs w:val="28"/>
          <w:highlight w:val="none"/>
          <w:lang w:eastAsia="zh-CN"/>
        </w:rPr>
        <w:t>；</w:t>
      </w:r>
    </w:p>
    <w:p w14:paraId="72FD319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（四）委托估价方提供的资料</w:t>
      </w:r>
    </w:p>
    <w:p w14:paraId="06B9039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7377954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860A0E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3.估价对象《房屋所有权证》（道房权证字第713000590号）；</w:t>
      </w:r>
    </w:p>
    <w:p w14:paraId="7DE881A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4.估价对象《户室面积对照表》；</w:t>
      </w:r>
    </w:p>
    <w:p w14:paraId="079C58A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5.估价对象《土地分摊表》；</w:t>
      </w:r>
    </w:p>
    <w:p w14:paraId="27F0D9A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6.估价对象《土地权属及性质证明》（2026年5月19日）；</w:t>
      </w:r>
    </w:p>
    <w:p w14:paraId="0A1D48C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7.估价对象《关于县科工局及所属破产企业单位房改房集资房办理不动产登记有关事项的会议纪要》（道科工字〔2020〕114号）；</w:t>
      </w:r>
    </w:p>
    <w:p w14:paraId="3F32CC1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8.估价对象《关于原县皮革厂属县二轻集体企业的说明》（2025年5月6日）；</w:t>
      </w:r>
    </w:p>
    <w:p w14:paraId="7A06350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9.委托估价方提供的其它与土地估价相关的资料。</w:t>
      </w:r>
    </w:p>
    <w:p w14:paraId="3BC56BF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（五）受托估价方掌握的有关资料及土地估价师实地勘查、调查所获取的资料。</w:t>
      </w:r>
    </w:p>
    <w:p w14:paraId="50A820F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1.估价对象宗地现场查勘表;</w:t>
      </w:r>
    </w:p>
    <w:p w14:paraId="0C1BE1AD">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2.估价对象现状利用资料（宗地照片、位置示意图）;</w:t>
      </w:r>
    </w:p>
    <w:p w14:paraId="103DBC9F">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3.宗地内外基础设施调查收集的资料;</w:t>
      </w:r>
    </w:p>
    <w:p w14:paraId="4674A084">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4.收益还原法比较实例所处位置、照片等资料；</w:t>
      </w:r>
    </w:p>
    <w:p w14:paraId="55F1782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467CECE3">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6.宗地所在区域房地产市场情况；</w:t>
      </w:r>
    </w:p>
    <w:p w14:paraId="06D94A80">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7.宗地所在区域土地市场交易情况；</w:t>
      </w:r>
    </w:p>
    <w:p w14:paraId="2879F08C">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eastAsia="仿宋_GB2312"/>
          <w:b/>
          <w:sz w:val="28"/>
          <w:szCs w:val="28"/>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8.估价人员现场调查收集的其它相关资料。</w:t>
      </w:r>
    </w:p>
    <w:p w14:paraId="614632D5">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outlineLvl w:val="1"/>
        <w:rPr>
          <w:rFonts w:hint="default"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t>二、</w:t>
      </w:r>
      <w:bookmarkEnd w:id="12"/>
      <w:bookmarkEnd w:id="13"/>
      <w:r>
        <w:rPr>
          <w:rFonts w:hint="eastAsia" w:ascii="仿宋_GB2312" w:hAnsi="仿宋_GB2312" w:eastAsia="仿宋_GB2312" w:cs="仿宋_GB2312"/>
          <w:b/>
          <w:bCs w:val="0"/>
          <w:color w:val="auto"/>
          <w:sz w:val="28"/>
          <w:szCs w:val="28"/>
          <w:highlight w:val="none"/>
          <w:lang w:val="en-US" w:eastAsia="zh-CN"/>
        </w:rPr>
        <w:t>土地估价</w:t>
      </w:r>
    </w:p>
    <w:p w14:paraId="45A1490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2"/>
        <w:rPr>
          <w:rFonts w:hint="default" w:ascii="仿宋_GB2312" w:hAnsi="仿宋_GB2312" w:eastAsia="仿宋_GB2312" w:cs="仿宋_GB2312"/>
          <w:b w:val="0"/>
          <w:bCs/>
          <w:color w:val="auto"/>
          <w:sz w:val="28"/>
          <w:szCs w:val="28"/>
          <w:highlight w:val="none"/>
          <w:lang w:val="en-US" w:eastAsia="zh-CN"/>
        </w:rPr>
      </w:pPr>
      <w:r>
        <w:rPr>
          <w:rFonts w:hint="eastAsia" w:ascii="仿宋_GB2312" w:hAnsi="仿宋_GB2312" w:eastAsia="仿宋_GB2312" w:cs="仿宋_GB2312"/>
          <w:b w:val="0"/>
          <w:bCs/>
          <w:color w:val="auto"/>
          <w:sz w:val="28"/>
          <w:szCs w:val="28"/>
          <w:highlight w:val="none"/>
          <w:lang w:val="en-GB" w:eastAsia="zh-CN"/>
        </w:rPr>
        <w:t>（</w:t>
      </w:r>
      <w:r>
        <w:rPr>
          <w:rFonts w:hint="eastAsia" w:ascii="仿宋_GB2312" w:hAnsi="仿宋_GB2312" w:eastAsia="仿宋_GB2312" w:cs="仿宋_GB2312"/>
          <w:b w:val="0"/>
          <w:bCs/>
          <w:color w:val="auto"/>
          <w:sz w:val="28"/>
          <w:szCs w:val="28"/>
          <w:highlight w:val="none"/>
          <w:lang w:val="en-US" w:eastAsia="zh-CN"/>
        </w:rPr>
        <w:t>一</w:t>
      </w:r>
      <w:r>
        <w:rPr>
          <w:rFonts w:hint="eastAsia" w:ascii="仿宋_GB2312" w:hAnsi="仿宋_GB2312" w:eastAsia="仿宋_GB2312" w:cs="仿宋_GB2312"/>
          <w:b w:val="0"/>
          <w:bCs/>
          <w:color w:val="auto"/>
          <w:sz w:val="28"/>
          <w:szCs w:val="28"/>
          <w:highlight w:val="none"/>
          <w:lang w:val="en-GB" w:eastAsia="zh-CN"/>
        </w:rPr>
        <w:t>）</w:t>
      </w:r>
      <w:r>
        <w:rPr>
          <w:rFonts w:hint="eastAsia" w:ascii="仿宋_GB2312" w:hAnsi="仿宋_GB2312" w:eastAsia="仿宋_GB2312" w:cs="仿宋_GB2312"/>
          <w:b w:val="0"/>
          <w:bCs/>
          <w:color w:val="auto"/>
          <w:sz w:val="28"/>
          <w:szCs w:val="28"/>
          <w:highlight w:val="none"/>
          <w:lang w:val="en-US" w:eastAsia="zh-CN"/>
        </w:rPr>
        <w:t>估价原则</w:t>
      </w:r>
    </w:p>
    <w:p w14:paraId="0F53C49A">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地价是由其效用、相对稀缺性及有效需求三者相互作用、相互影响所形成的。而这些因素又经常处于变动之中，土地估价必须要对此做细致分析并正确判断其变动趋向，了解土地价格组成的各项因素及各因素之间的相互作用，才能做出正确的估价。我们在本次估价过程中，根据《城镇土地估价规程》及估价对象的具体情况和对应的估价方法，主要遵循以下原则：</w:t>
      </w:r>
    </w:p>
    <w:p w14:paraId="794A478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1、合法性原则</w:t>
      </w:r>
    </w:p>
    <w:p w14:paraId="08F1906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土地估价应以估价对象的合法权益为前提进行。合法权益包括：合法产权、合法使用、合法处分等方面。在合法产权方面，应以国有土地使用证、权属登记和其他合法证件为依据。在合法使用方面，应以使用管制（城市规划、土地用途管制等）为依据。在合法处分方面，应以法律法规和国有土地使用证等容许的处分方式为依据。</w:t>
      </w:r>
    </w:p>
    <w:p w14:paraId="57947CFD">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2、替代原则</w:t>
      </w:r>
    </w:p>
    <w:p w14:paraId="14FA9BA1">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根据市场运行规律，在同一商品市场中，商品或提供服务的效用相同或大致相似时，价格低者吸引需求，即有两个以上互有替代性的商品或服务同时存在时，商品或服务的价格是经过相互影响与比较之后来决定的。土地价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06FFA6A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GB" w:eastAsia="zh-CN"/>
        </w:rPr>
        <w:t>本次</w:t>
      </w:r>
      <w:r>
        <w:rPr>
          <w:rFonts w:hint="eastAsia" w:ascii="仿宋_GB2312" w:hAnsi="仿宋_GB2312" w:eastAsia="仿宋_GB2312" w:cs="仿宋_GB2312"/>
          <w:b w:val="0"/>
          <w:bCs/>
          <w:color w:val="auto"/>
          <w:sz w:val="28"/>
          <w:szCs w:val="28"/>
          <w:highlight w:val="none"/>
          <w:lang w:val="en-US" w:eastAsia="zh-CN"/>
        </w:rPr>
        <w:t>收益还原法</w:t>
      </w:r>
      <w:r>
        <w:rPr>
          <w:rFonts w:hint="default" w:ascii="仿宋_GB2312" w:hAnsi="仿宋_GB2312" w:eastAsia="仿宋_GB2312" w:cs="仿宋_GB2312"/>
          <w:b w:val="0"/>
          <w:bCs/>
          <w:color w:val="auto"/>
          <w:sz w:val="28"/>
          <w:szCs w:val="28"/>
          <w:highlight w:val="none"/>
          <w:lang w:val="en-GB" w:eastAsia="zh-CN"/>
        </w:rPr>
        <w:t>中选取的3个案例均处于估价对象所处区域范围，相互之间存在替代性</w:t>
      </w:r>
      <w:r>
        <w:rPr>
          <w:rFonts w:hint="eastAsia" w:ascii="仿宋_GB2312" w:hAnsi="仿宋_GB2312" w:eastAsia="仿宋_GB2312" w:cs="仿宋_GB2312"/>
          <w:b w:val="0"/>
          <w:bCs/>
          <w:color w:val="auto"/>
          <w:sz w:val="28"/>
          <w:szCs w:val="28"/>
          <w:highlight w:val="none"/>
          <w:lang w:val="en-US" w:eastAsia="zh-CN"/>
        </w:rPr>
        <w:t>体现了该原则。</w:t>
      </w:r>
    </w:p>
    <w:p w14:paraId="3E8B3B3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3、需求与供给原则</w:t>
      </w:r>
    </w:p>
    <w:p w14:paraId="04DFCE6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在完全的市场竞争中，一般商品的价格都取决于供求的均衡点。供小于求，价格就会提高，否则，价格就会降低。由于土地与一般商品相比，具有独特的人文和自然特性，因此在进行土地估价时既要考虑到所假设的公平市场，又要考虑土地供应的垄断性特征。</w:t>
      </w:r>
    </w:p>
    <w:p w14:paraId="7B040A7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4、预期收益原则</w:t>
      </w:r>
    </w:p>
    <w:p w14:paraId="273A1033">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遵循预期收益原则，是指土地估价应以估价对象在正常利用条件下的未来客观有效的预期收益为依据。收益还原法和剩余法等评估方法以及还原利率的确定、交易实例价格的检查等技术过程都会应用本原则。</w:t>
      </w:r>
    </w:p>
    <w:p w14:paraId="4B2947AD">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5、合理有效利用原则</w:t>
      </w:r>
    </w:p>
    <w:p w14:paraId="3B1A138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不同的土地利用方式能为权利人带来不同的收益，土地权利人都期望从其所占有的土地上获取更多的收益，故土地评估应以估价对象在一定的社会经济条件下，最为合理有效的利用方式为前提。首先判断估价对象的土地利用方式是否符合法律法规政策规定、规划限制条件、生态保护要求、市场需求等，再结合估价对象的自身利用条件设定最合理有效的土地利用方式。</w:t>
      </w:r>
    </w:p>
    <w:p w14:paraId="2AA3FC66">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6、价值主导原则</w:t>
      </w:r>
    </w:p>
    <w:p w14:paraId="68A106E0">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土地综合质量优劣是对土地价格产生影响的主要因素。</w:t>
      </w:r>
    </w:p>
    <w:p w14:paraId="7A907420">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本次评估综合考虑了影响估价对象土地价格的自然、社会、经济状况，符合价值主导原则。</w:t>
      </w:r>
    </w:p>
    <w:p w14:paraId="2947EAA4">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7、审慎原则</w:t>
      </w:r>
    </w:p>
    <w:p w14:paraId="197C447A">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在评估中确定相关参数和结果时，应分析并充分考虑市场运行状况、有关行业发展状况，以及存在的风险。</w:t>
      </w:r>
    </w:p>
    <w:p w14:paraId="4DDF1554">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8、贡献原则</w:t>
      </w:r>
    </w:p>
    <w:p w14:paraId="486ADC1F">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土地总收益是土地及其他生产要素共同作用的结果，土地的价格由土地对总收益的贡献大小来决定。</w:t>
      </w:r>
    </w:p>
    <w:p w14:paraId="56DC61BE">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eastAsia" w:ascii="仿宋_GB2312" w:hAnsi="仿宋_GB2312" w:eastAsia="仿宋_GB2312" w:cs="仿宋_GB2312"/>
          <w:sz w:val="28"/>
          <w:szCs w:val="28"/>
        </w:rPr>
        <w:t>本次在采用收益还原法时，通过扣除相关成本及其他税费来测算土地价格，体现了贡献原则</w:t>
      </w:r>
      <w:r>
        <w:rPr>
          <w:rFonts w:hint="default" w:ascii="仿宋_GB2312" w:hAnsi="仿宋_GB2312" w:eastAsia="仿宋_GB2312" w:cs="仿宋_GB2312"/>
          <w:b w:val="0"/>
          <w:bCs/>
          <w:color w:val="auto"/>
          <w:sz w:val="28"/>
          <w:szCs w:val="28"/>
          <w:highlight w:val="none"/>
          <w:lang w:val="en-US" w:eastAsia="zh-CN"/>
        </w:rPr>
        <w:t>。</w:t>
      </w:r>
    </w:p>
    <w:p w14:paraId="3A46149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9、公开市场原则</w:t>
      </w:r>
    </w:p>
    <w:p w14:paraId="5FF52E4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评估结果在公平、公正、公开的土地市场上可实现。</w:t>
      </w:r>
    </w:p>
    <w:p w14:paraId="15BE2B5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待估宗地按照地价评估的基本原则和估价程序，选择合适的评估方法，评估得到估价对象在设定用途、设定土地使用权类型及土地使用权年限、设定开发程度条件、规划条件下、正常市场条件下的国有出让土地使用权价格，并且评估结果在公平、公正、公开的土地市场上可实现。</w:t>
      </w:r>
    </w:p>
    <w:p w14:paraId="56AEA6CC">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Times New Roman" w:hAnsi="Times New Roman" w:eastAsia="仿宋" w:cs="Times New Roman"/>
          <w:sz w:val="28"/>
          <w:szCs w:val="28"/>
          <w:highlight w:val="none"/>
        </w:rPr>
      </w:pPr>
      <w:r>
        <w:rPr>
          <w:rFonts w:hint="default" w:ascii="仿宋_GB2312" w:hAnsi="仿宋_GB2312" w:eastAsia="仿宋_GB2312" w:cs="仿宋_GB2312"/>
          <w:b w:val="0"/>
          <w:bCs/>
          <w:color w:val="auto"/>
          <w:sz w:val="28"/>
          <w:szCs w:val="28"/>
          <w:highlight w:val="none"/>
          <w:lang w:val="en-US" w:eastAsia="zh-CN"/>
        </w:rPr>
        <w:t>总之，在评估过程中，要按国家、地方的有关规定，遵守客观、公正、科学、合法的总原则进行土地价格评估，做到评估过程合理，评估方法科学，评估结果准确，严格保守评估秘密</w:t>
      </w:r>
      <w:r>
        <w:rPr>
          <w:rFonts w:hint="default" w:ascii="Times New Roman" w:hAnsi="Times New Roman" w:eastAsia="仿宋" w:cs="Times New Roman"/>
          <w:sz w:val="28"/>
          <w:szCs w:val="28"/>
          <w:highlight w:val="none"/>
        </w:rPr>
        <w:t>。</w:t>
      </w:r>
    </w:p>
    <w:p w14:paraId="57314AD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2"/>
        <w:rPr>
          <w:rFonts w:hint="default" w:ascii="仿宋_GB2312" w:hAnsi="仿宋_GB2312" w:eastAsia="仿宋_GB2312" w:cs="仿宋_GB2312"/>
          <w:b w:val="0"/>
          <w:bCs/>
          <w:color w:val="auto"/>
          <w:sz w:val="28"/>
          <w:szCs w:val="28"/>
          <w:highlight w:val="none"/>
          <w:lang w:val="en-US" w:eastAsia="zh-CN"/>
        </w:rPr>
      </w:pPr>
      <w:r>
        <w:rPr>
          <w:rFonts w:hint="eastAsia" w:ascii="仿宋_GB2312" w:hAnsi="仿宋_GB2312" w:eastAsia="仿宋_GB2312" w:cs="仿宋_GB2312"/>
          <w:b w:val="0"/>
          <w:bCs/>
          <w:color w:val="auto"/>
          <w:sz w:val="28"/>
          <w:szCs w:val="28"/>
          <w:highlight w:val="none"/>
          <w:lang w:val="en-US" w:eastAsia="zh-CN"/>
        </w:rPr>
        <w:t>（二）估价方法</w:t>
      </w:r>
    </w:p>
    <w:p w14:paraId="337B312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根据《城镇土地估价规程》</w:t>
      </w:r>
      <w:r>
        <w:rPr>
          <w:rFonts w:hint="eastAsia" w:ascii="仿宋_GB2312" w:hAnsi="仿宋_GB2312" w:eastAsia="仿宋_GB2312" w:cs="仿宋_GB2312"/>
          <w:snapToGrid w:val="0"/>
          <w:kern w:val="0"/>
          <w:sz w:val="28"/>
          <w:szCs w:val="28"/>
          <w:highlight w:val="none"/>
        </w:rPr>
        <w:t>（GB/T18508-2014,2014年12月01日实施）</w:t>
      </w:r>
      <w:r>
        <w:rPr>
          <w:rFonts w:hint="default" w:ascii="仿宋_GB2312" w:hAnsi="仿宋_GB2312" w:eastAsia="仿宋_GB2312" w:cs="仿宋_GB2312"/>
          <w:b w:val="0"/>
          <w:bCs/>
          <w:color w:val="auto"/>
          <w:sz w:val="28"/>
          <w:szCs w:val="28"/>
          <w:highlight w:val="none"/>
          <w:lang w:val="en-US" w:eastAsia="zh-CN"/>
        </w:rPr>
        <w:t>，通常的估价方法有市场比较法、收益还原法、剩余法、成本逼近法、基准地价系数修正法等。估价方法的选择应按照地价评估的技术《规程》，根据当地地产市场发育情况并结合估价对象的具体特点及估价目的等，选择适当的估价方法。估价人员根据现场勘查情况，按照《城镇土地估价规程》及国土资源部办公厅关于发布《国有建设用地使用权出让地价评估技术规范》的通知（国土资厅发〔2018〕4号）的要求，结合估价对象的区位、用地性质、利用条件及当地土地市场状况，确定本次评估采用的方法。</w:t>
      </w:r>
    </w:p>
    <w:p w14:paraId="110432F9">
      <w:pPr>
        <w:pStyle w:val="17"/>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1.估价方法介绍</w:t>
      </w:r>
    </w:p>
    <w:p w14:paraId="06CFA6CD">
      <w:pPr>
        <w:pStyle w:val="17"/>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（1）市场比较法：将估价对象与在估价期日近期有过交易的类似土地进行比较，对这些类似土地的已知价格作适当的修正，以此估算估价对象的客观合理价格或价值的方法；</w:t>
      </w:r>
    </w:p>
    <w:p w14:paraId="6AD99EED">
      <w:pPr>
        <w:pStyle w:val="17"/>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（2）收益还原法：为预计估价对象未来的正常收益，选用适当的资本化率将其折现到估价期日后累加，以此估算估价对象的客观合理价格或价值的方法；</w:t>
      </w:r>
    </w:p>
    <w:p w14:paraId="626F0649">
      <w:pPr>
        <w:pStyle w:val="17"/>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（3）剩余法：是在估算开发完成后不动产正常交易价格的基础上，扣除建筑物建造费用和与建筑物建造、买卖有关的专业费、利息、利润、税收等费用后，以价格余额来估算土地价格的方法；</w:t>
      </w:r>
    </w:p>
    <w:p w14:paraId="25CD2EA0">
      <w:pPr>
        <w:pStyle w:val="17"/>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（4）成本逼近法：是以土地取得费、土地开发所耗各项费用之和为主要依据，再加上一定的利润、利息、应缴纳的税金和土地增值收益来确定土地价格的估价方法；</w:t>
      </w:r>
    </w:p>
    <w:p w14:paraId="168E2655">
      <w:pPr>
        <w:pStyle w:val="11"/>
        <w:keepNext w:val="0"/>
        <w:keepLines w:val="0"/>
        <w:pageBreakBefore w:val="0"/>
        <w:widowControl w:val="0"/>
        <w:kinsoku/>
        <w:wordWrap/>
        <w:overflowPunct/>
        <w:topLinePunct w:val="0"/>
        <w:autoSpaceDE w:val="0"/>
        <w:autoSpaceDN w:val="0"/>
        <w:bidi w:val="0"/>
        <w:adjustRightInd w:val="0"/>
        <w:snapToGrid w:val="0"/>
        <w:spacing w:line="480" w:lineRule="exact"/>
        <w:textAlignment w:val="auto"/>
        <w:rPr>
          <w:rFonts w:hint="eastAsia" w:ascii="仿宋_GB2312" w:hAnsi="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5）公示地价系数修正法：指在求取一宗土地的价格时，依据估价对象所处地区的土地级别基准地价水平，参照估价对象所处土地级别的各种修正因素说明，确定区域因素、个别因素、估价期日、容积率与建筑密度、使用年期、开发程度等修正系数，最后修正得出估价对象地价的一种方</w:t>
      </w:r>
      <w:r>
        <w:rPr>
          <w:rFonts w:hint="eastAsia" w:ascii="仿宋_GB2312" w:hAnsi="仿宋_GB2312" w:cs="仿宋_GB2312"/>
          <w:color w:val="auto"/>
          <w:szCs w:val="28"/>
          <w:highlight w:val="none"/>
          <w:lang w:val="en-US" w:eastAsia="zh-CN"/>
        </w:rPr>
        <w:t>法。</w:t>
      </w:r>
    </w:p>
    <w:p w14:paraId="12C450E7">
      <w:pPr>
        <w:pStyle w:val="11"/>
        <w:keepNext w:val="0"/>
        <w:keepLines w:val="0"/>
        <w:pageBreakBefore w:val="0"/>
        <w:widowControl w:val="0"/>
        <w:kinsoku/>
        <w:wordWrap/>
        <w:overflowPunct/>
        <w:topLinePunct w:val="0"/>
        <w:autoSpaceDE w:val="0"/>
        <w:autoSpaceDN w:val="0"/>
        <w:bidi w:val="0"/>
        <w:adjustRightInd w:val="0"/>
        <w:snapToGrid w:val="0"/>
        <w:spacing w:line="480" w:lineRule="exact"/>
        <w:textAlignment w:val="auto"/>
        <w:rPr>
          <w:rFonts w:hint="default" w:ascii="仿宋_GB2312" w:hAnsi="仿宋_GB2312" w:cs="仿宋_GB2312"/>
          <w:color w:val="auto"/>
          <w:szCs w:val="28"/>
          <w:highlight w:val="none"/>
          <w:lang w:val="en-US" w:eastAsia="zh-CN"/>
        </w:rPr>
      </w:pPr>
      <w:r>
        <w:rPr>
          <w:rFonts w:hint="eastAsia" w:ascii="仿宋_GB2312" w:hAnsi="仿宋_GB2312" w:cs="仿宋_GB2312"/>
          <w:color w:val="auto"/>
          <w:szCs w:val="28"/>
          <w:highlight w:val="none"/>
          <w:lang w:val="en-US" w:eastAsia="zh-CN"/>
        </w:rPr>
        <w:t>2.估价方法选择</w:t>
      </w:r>
    </w:p>
    <w:p w14:paraId="7968F48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（1）</w:t>
      </w:r>
      <w:r>
        <w:rPr>
          <w:rFonts w:hint="eastAsia" w:ascii="仿宋_GB2312" w:hAnsi="仿宋_GB2312" w:eastAsia="仿宋_GB2312" w:cs="仿宋_GB2312"/>
          <w:b w:val="0"/>
          <w:bCs/>
          <w:color w:val="auto"/>
          <w:sz w:val="28"/>
          <w:szCs w:val="28"/>
          <w:highlight w:val="none"/>
          <w:lang w:val="en-US" w:eastAsia="zh-CN"/>
        </w:rPr>
        <w:t>采用方法及采用方法</w:t>
      </w:r>
      <w:r>
        <w:rPr>
          <w:rFonts w:hint="default" w:ascii="仿宋_GB2312" w:hAnsi="仿宋_GB2312" w:eastAsia="仿宋_GB2312" w:cs="仿宋_GB2312"/>
          <w:b w:val="0"/>
          <w:bCs/>
          <w:color w:val="auto"/>
          <w:sz w:val="28"/>
          <w:szCs w:val="28"/>
          <w:highlight w:val="none"/>
          <w:lang w:val="en-US" w:eastAsia="zh-CN"/>
        </w:rPr>
        <w:t>的理由：</w:t>
      </w:r>
    </w:p>
    <w:p w14:paraId="0E20028D">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fldChar w:fldCharType="begin"/>
      </w:r>
      <w:r>
        <w:rPr>
          <w:rFonts w:hint="default" w:ascii="仿宋_GB2312" w:hAnsi="仿宋_GB2312" w:eastAsia="仿宋_GB2312" w:cs="仿宋_GB2312"/>
          <w:b w:val="0"/>
          <w:bCs/>
          <w:color w:val="auto"/>
          <w:sz w:val="28"/>
          <w:szCs w:val="28"/>
          <w:highlight w:val="none"/>
          <w:lang w:val="en-US" w:eastAsia="zh-CN"/>
        </w:rPr>
        <w:instrText xml:space="preserve"> = 1 \* GB3 </w:instrText>
      </w:r>
      <w:r>
        <w:rPr>
          <w:rFonts w:hint="default" w:ascii="仿宋_GB2312" w:hAnsi="仿宋_GB2312" w:eastAsia="仿宋_GB2312" w:cs="仿宋_GB2312"/>
          <w:b w:val="0"/>
          <w:bCs/>
          <w:color w:val="auto"/>
          <w:sz w:val="28"/>
          <w:szCs w:val="28"/>
          <w:highlight w:val="none"/>
          <w:lang w:val="en-US" w:eastAsia="zh-CN"/>
        </w:rPr>
        <w:fldChar w:fldCharType="separate"/>
      </w:r>
      <w:r>
        <w:rPr>
          <w:rFonts w:hint="default" w:ascii="仿宋_GB2312" w:hAnsi="仿宋_GB2312" w:eastAsia="仿宋_GB2312" w:cs="仿宋_GB2312"/>
          <w:b w:val="0"/>
          <w:bCs/>
          <w:color w:val="auto"/>
          <w:sz w:val="28"/>
          <w:szCs w:val="28"/>
          <w:highlight w:val="none"/>
          <w:lang w:val="en-US" w:eastAsia="zh-CN"/>
        </w:rPr>
        <w:t>①</w:t>
      </w:r>
      <w:r>
        <w:rPr>
          <w:rFonts w:hint="default" w:ascii="仿宋_GB2312" w:hAnsi="仿宋_GB2312" w:eastAsia="仿宋_GB2312" w:cs="仿宋_GB2312"/>
          <w:b w:val="0"/>
          <w:bCs/>
          <w:color w:val="auto"/>
          <w:sz w:val="28"/>
          <w:szCs w:val="28"/>
          <w:highlight w:val="none"/>
          <w:lang w:val="en-US" w:eastAsia="zh-CN"/>
        </w:rPr>
        <w:fldChar w:fldCharType="end"/>
      </w:r>
      <w:r>
        <w:rPr>
          <w:rFonts w:hint="eastAsia" w:ascii="仿宋_GB2312" w:hAnsi="仿宋_GB2312" w:eastAsia="仿宋_GB2312" w:cs="仿宋_GB2312"/>
          <w:b w:val="0"/>
          <w:bCs/>
          <w:color w:val="auto"/>
          <w:sz w:val="28"/>
          <w:szCs w:val="28"/>
          <w:highlight w:val="none"/>
          <w:lang w:val="en-US" w:eastAsia="zh-CN"/>
        </w:rPr>
        <w:t>成本逼近法</w:t>
      </w:r>
    </w:p>
    <w:p w14:paraId="68E52934">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color w:val="auto"/>
          <w:sz w:val="28"/>
          <w:szCs w:val="28"/>
          <w:highlight w:val="none"/>
          <w:lang w:val="en-US" w:eastAsia="zh-CN"/>
        </w:rPr>
      </w:pPr>
      <w:r>
        <w:rPr>
          <w:rFonts w:hint="eastAsia" w:ascii="仿宋_GB2312" w:hAnsi="仿宋_GB2312" w:eastAsia="仿宋_GB2312" w:cs="仿宋_GB2312"/>
          <w:b w:val="0"/>
          <w:bCs/>
          <w:color w:val="auto"/>
          <w:sz w:val="28"/>
          <w:szCs w:val="28"/>
          <w:highlight w:val="none"/>
          <w:lang w:val="en-US" w:eastAsia="zh-CN"/>
        </w:rPr>
        <w:t>估价对象所在区域有土地征收案例，政府公布了征地有关文件，可测算土地取得成本，故选择成本逼近法作为土地评估方法之一。</w:t>
      </w:r>
    </w:p>
    <w:p w14:paraId="4315F336">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fldChar w:fldCharType="begin"/>
      </w:r>
      <w:r>
        <w:rPr>
          <w:rFonts w:hint="default" w:ascii="仿宋_GB2312" w:hAnsi="仿宋_GB2312" w:eastAsia="仿宋_GB2312" w:cs="仿宋_GB2312"/>
          <w:b w:val="0"/>
          <w:bCs/>
          <w:color w:val="auto"/>
          <w:sz w:val="28"/>
          <w:szCs w:val="28"/>
          <w:highlight w:val="none"/>
          <w:lang w:val="en-US" w:eastAsia="zh-CN"/>
        </w:rPr>
        <w:instrText xml:space="preserve"> = 2 \* GB3 </w:instrText>
      </w:r>
      <w:r>
        <w:rPr>
          <w:rFonts w:hint="default" w:ascii="仿宋_GB2312" w:hAnsi="仿宋_GB2312" w:eastAsia="仿宋_GB2312" w:cs="仿宋_GB2312"/>
          <w:b w:val="0"/>
          <w:bCs/>
          <w:color w:val="auto"/>
          <w:sz w:val="28"/>
          <w:szCs w:val="28"/>
          <w:highlight w:val="none"/>
          <w:lang w:val="en-US" w:eastAsia="zh-CN"/>
        </w:rPr>
        <w:fldChar w:fldCharType="separate"/>
      </w:r>
      <w:r>
        <w:rPr>
          <w:rFonts w:hint="default" w:ascii="仿宋_GB2312" w:hAnsi="仿宋_GB2312" w:eastAsia="仿宋_GB2312" w:cs="仿宋_GB2312"/>
          <w:b w:val="0"/>
          <w:bCs/>
          <w:color w:val="auto"/>
          <w:sz w:val="28"/>
          <w:szCs w:val="28"/>
          <w:highlight w:val="none"/>
          <w:lang w:val="en-US" w:eastAsia="zh-CN"/>
        </w:rPr>
        <w:t>②</w:t>
      </w:r>
      <w:r>
        <w:rPr>
          <w:rFonts w:hint="default" w:ascii="仿宋_GB2312" w:hAnsi="仿宋_GB2312" w:eastAsia="仿宋_GB2312" w:cs="仿宋_GB2312"/>
          <w:b w:val="0"/>
          <w:bCs/>
          <w:color w:val="auto"/>
          <w:sz w:val="28"/>
          <w:szCs w:val="28"/>
          <w:highlight w:val="none"/>
          <w:lang w:val="en-US" w:eastAsia="zh-CN"/>
        </w:rPr>
        <w:fldChar w:fldCharType="end"/>
      </w:r>
      <w:r>
        <w:rPr>
          <w:rFonts w:hint="eastAsia" w:ascii="仿宋_GB2312" w:hAnsi="仿宋_GB2312" w:eastAsia="仿宋_GB2312" w:cs="仿宋_GB2312"/>
          <w:b w:val="0"/>
          <w:bCs/>
          <w:color w:val="auto"/>
          <w:sz w:val="28"/>
          <w:szCs w:val="28"/>
          <w:highlight w:val="none"/>
          <w:lang w:val="en-US" w:eastAsia="zh-CN"/>
        </w:rPr>
        <w:t>收益还原法</w:t>
      </w:r>
    </w:p>
    <w:p w14:paraId="06CF791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由于估价对象地上房屋建筑物有</w:t>
      </w:r>
      <w:r>
        <w:rPr>
          <w:rFonts w:hint="eastAsia" w:ascii="仿宋_GB2312" w:hAnsi="仿宋_GB2312" w:eastAsia="仿宋_GB2312" w:cs="仿宋_GB2312"/>
          <w:b w:val="0"/>
          <w:bCs/>
          <w:color w:val="auto"/>
          <w:sz w:val="28"/>
          <w:szCs w:val="28"/>
          <w:highlight w:val="none"/>
          <w:lang w:val="en-US" w:eastAsia="zh-CN"/>
        </w:rPr>
        <w:t>潜在</w:t>
      </w:r>
      <w:r>
        <w:rPr>
          <w:rFonts w:hint="default" w:ascii="仿宋_GB2312" w:hAnsi="仿宋_GB2312" w:eastAsia="仿宋_GB2312" w:cs="仿宋_GB2312"/>
          <w:b w:val="0"/>
          <w:bCs/>
          <w:color w:val="auto"/>
          <w:sz w:val="28"/>
          <w:szCs w:val="28"/>
          <w:highlight w:val="none"/>
          <w:lang w:val="en-US" w:eastAsia="zh-CN"/>
        </w:rPr>
        <w:t>收益，所在区域内同类型用房租赁情况较多，不动产总收益较易确定，故可采用收益还原法作为评估方法之一。</w:t>
      </w:r>
    </w:p>
    <w:p w14:paraId="333CAA3A">
      <w:pPr>
        <w:pStyle w:val="17"/>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最后综合分析宗地所在区域地产市场行情，确定土地价格</w:t>
      </w:r>
      <w:r>
        <w:rPr>
          <w:rFonts w:hint="eastAsia" w:ascii="仿宋_GB2312" w:hAnsi="仿宋_GB2312" w:eastAsia="仿宋_GB2312" w:cs="仿宋_GB2312"/>
          <w:color w:val="auto"/>
          <w:szCs w:val="28"/>
          <w:highlight w:val="none"/>
          <w:lang w:val="en-US" w:eastAsia="zh-CN"/>
        </w:rPr>
        <w:t>。</w:t>
      </w:r>
    </w:p>
    <w:p w14:paraId="6DAE6A49">
      <w:pPr>
        <w:pStyle w:val="17"/>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（2）不采用的方法及不采用方法理由</w:t>
      </w:r>
      <w:r>
        <w:rPr>
          <w:rFonts w:hint="eastAsia" w:hAnsi="仿宋_GB2312" w:cs="仿宋_GB2312"/>
          <w:color w:val="auto"/>
          <w:szCs w:val="28"/>
          <w:highlight w:val="none"/>
          <w:lang w:val="en-US" w:eastAsia="zh-CN"/>
        </w:rPr>
        <w:t>：</w:t>
      </w:r>
    </w:p>
    <w:p w14:paraId="43915AF0">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fldChar w:fldCharType="begin"/>
      </w:r>
      <w:r>
        <w:rPr>
          <w:rFonts w:hint="default" w:ascii="仿宋_GB2312" w:hAnsi="仿宋_GB2312" w:eastAsia="仿宋_GB2312" w:cs="仿宋_GB2312"/>
          <w:b w:val="0"/>
          <w:bCs/>
          <w:color w:val="auto"/>
          <w:sz w:val="28"/>
          <w:szCs w:val="28"/>
          <w:highlight w:val="none"/>
          <w:lang w:val="en-US" w:eastAsia="zh-CN"/>
        </w:rPr>
        <w:instrText xml:space="preserve"> = 1 \* GB3 </w:instrText>
      </w:r>
      <w:r>
        <w:rPr>
          <w:rFonts w:hint="default" w:ascii="仿宋_GB2312" w:hAnsi="仿宋_GB2312" w:eastAsia="仿宋_GB2312" w:cs="仿宋_GB2312"/>
          <w:b w:val="0"/>
          <w:bCs/>
          <w:color w:val="auto"/>
          <w:sz w:val="28"/>
          <w:szCs w:val="28"/>
          <w:highlight w:val="none"/>
          <w:lang w:val="en-US" w:eastAsia="zh-CN"/>
        </w:rPr>
        <w:fldChar w:fldCharType="separate"/>
      </w:r>
      <w:r>
        <w:rPr>
          <w:rFonts w:hint="default" w:ascii="仿宋_GB2312" w:hAnsi="仿宋_GB2312" w:eastAsia="仿宋_GB2312" w:cs="仿宋_GB2312"/>
          <w:b w:val="0"/>
          <w:bCs/>
          <w:color w:val="auto"/>
          <w:sz w:val="28"/>
          <w:szCs w:val="28"/>
          <w:highlight w:val="none"/>
          <w:lang w:val="en-US" w:eastAsia="zh-CN"/>
        </w:rPr>
        <w:t>①</w:t>
      </w:r>
      <w:r>
        <w:rPr>
          <w:rFonts w:hint="default" w:ascii="仿宋_GB2312" w:hAnsi="仿宋_GB2312" w:eastAsia="仿宋_GB2312" w:cs="仿宋_GB2312"/>
          <w:b w:val="0"/>
          <w:bCs/>
          <w:color w:val="auto"/>
          <w:sz w:val="28"/>
          <w:szCs w:val="28"/>
          <w:highlight w:val="none"/>
          <w:lang w:val="en-US" w:eastAsia="zh-CN"/>
        </w:rPr>
        <w:fldChar w:fldCharType="end"/>
      </w:r>
      <w:r>
        <w:rPr>
          <w:rFonts w:hint="default" w:ascii="仿宋_GB2312" w:hAnsi="仿宋_GB2312" w:eastAsia="仿宋_GB2312" w:cs="仿宋_GB2312"/>
          <w:b w:val="0"/>
          <w:bCs/>
          <w:color w:val="auto"/>
          <w:sz w:val="28"/>
          <w:szCs w:val="28"/>
          <w:highlight w:val="none"/>
          <w:lang w:val="en-US" w:eastAsia="zh-CN"/>
        </w:rPr>
        <w:t>不选择市场比较法</w:t>
      </w:r>
    </w:p>
    <w:p w14:paraId="3218B887">
      <w:pPr>
        <w:pStyle w:val="17"/>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snapToGrid w:val="0"/>
          <w:kern w:val="0"/>
          <w:sz w:val="28"/>
          <w:szCs w:val="28"/>
          <w:highlight w:val="none"/>
        </w:rPr>
        <w:t>根据土地估价师调查了解，估价对象所处区域地产市场近3年同一供需圈内与宗地用途、利用条件等类似的同级别商服出让成交实例少于3个，因此不适宜选择市场比较法进行评估</w:t>
      </w:r>
      <w:r>
        <w:rPr>
          <w:rFonts w:hint="eastAsia" w:hAnsi="仿宋_GB2312" w:cs="仿宋_GB2312"/>
          <w:snapToGrid w:val="0"/>
          <w:kern w:val="0"/>
          <w:sz w:val="28"/>
          <w:szCs w:val="28"/>
          <w:highlight w:val="none"/>
          <w:lang w:eastAsia="zh-CN"/>
        </w:rPr>
        <w:t>。</w:t>
      </w:r>
    </w:p>
    <w:p w14:paraId="41403C4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fldChar w:fldCharType="begin"/>
      </w:r>
      <w:r>
        <w:rPr>
          <w:rFonts w:hint="default" w:ascii="仿宋_GB2312" w:hAnsi="仿宋_GB2312" w:eastAsia="仿宋_GB2312" w:cs="仿宋_GB2312"/>
          <w:b w:val="0"/>
          <w:bCs/>
          <w:color w:val="auto"/>
          <w:sz w:val="28"/>
          <w:szCs w:val="28"/>
          <w:highlight w:val="none"/>
          <w:lang w:val="en-US" w:eastAsia="zh-CN"/>
        </w:rPr>
        <w:instrText xml:space="preserve"> = 2 \* GB3 \* MERGEFORMAT </w:instrText>
      </w:r>
      <w:r>
        <w:rPr>
          <w:rFonts w:hint="default" w:ascii="仿宋_GB2312" w:hAnsi="仿宋_GB2312" w:eastAsia="仿宋_GB2312" w:cs="仿宋_GB2312"/>
          <w:b w:val="0"/>
          <w:bCs/>
          <w:color w:val="auto"/>
          <w:sz w:val="28"/>
          <w:szCs w:val="28"/>
          <w:highlight w:val="none"/>
          <w:lang w:val="en-US" w:eastAsia="zh-CN"/>
        </w:rPr>
        <w:fldChar w:fldCharType="separate"/>
      </w:r>
      <w:r>
        <w:rPr>
          <w:rFonts w:hint="default" w:ascii="仿宋_GB2312" w:hAnsi="仿宋_GB2312" w:eastAsia="仿宋_GB2312" w:cs="仿宋_GB2312"/>
          <w:b w:val="0"/>
          <w:bCs/>
          <w:color w:val="auto"/>
          <w:sz w:val="28"/>
          <w:szCs w:val="28"/>
          <w:highlight w:val="none"/>
          <w:lang w:val="en-US" w:eastAsia="zh-CN"/>
        </w:rPr>
        <w:t>②</w:t>
      </w:r>
      <w:r>
        <w:rPr>
          <w:rFonts w:hint="default" w:ascii="仿宋_GB2312" w:hAnsi="仿宋_GB2312" w:eastAsia="仿宋_GB2312" w:cs="仿宋_GB2312"/>
          <w:b w:val="0"/>
          <w:bCs/>
          <w:color w:val="auto"/>
          <w:sz w:val="28"/>
          <w:szCs w:val="28"/>
          <w:highlight w:val="none"/>
          <w:lang w:val="en-US" w:eastAsia="zh-CN"/>
        </w:rPr>
        <w:fldChar w:fldCharType="end"/>
      </w:r>
      <w:r>
        <w:rPr>
          <w:rFonts w:hint="default" w:ascii="仿宋_GB2312" w:hAnsi="仿宋_GB2312" w:eastAsia="仿宋_GB2312" w:cs="仿宋_GB2312"/>
          <w:b w:val="0"/>
          <w:bCs/>
          <w:color w:val="auto"/>
          <w:sz w:val="28"/>
          <w:szCs w:val="28"/>
          <w:highlight w:val="none"/>
          <w:lang w:val="en-US" w:eastAsia="zh-CN"/>
        </w:rPr>
        <w:t>不选择剩余法（增值收益扣减法）</w:t>
      </w:r>
    </w:p>
    <w:p w14:paraId="2E484F64">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auto"/>
          <w:sz w:val="28"/>
          <w:szCs w:val="28"/>
          <w:highlight w:val="none"/>
          <w:lang w:val="en-US" w:eastAsia="zh-CN"/>
        </w:rPr>
        <w:t>剩余法适用于具有投资开发或再开发潜力的土地估价。估价对象周边房地产交易案例较少，难以合理确定房地产开发价值，此次评估已优选两种评估方法，因而不采用剩余法进行评估</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5788FF7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③不选择</w:t>
      </w:r>
      <w:r>
        <w:rPr>
          <w:rFonts w:hint="eastAsia" w:ascii="仿宋_GB2312" w:hAnsi="仿宋_GB2312" w:eastAsia="仿宋_GB2312" w:cs="仿宋_GB2312"/>
          <w:b w:val="0"/>
          <w:bCs/>
          <w:color w:val="auto"/>
          <w:sz w:val="28"/>
          <w:szCs w:val="28"/>
          <w:highlight w:val="none"/>
          <w:lang w:val="en-US" w:eastAsia="zh-CN"/>
        </w:rPr>
        <w:t>公示地价修正法</w:t>
      </w:r>
    </w:p>
    <w:p w14:paraId="294DEE3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城镇基准地价的颁布实施时间为2019年11月22日，城区基准地价估价期日为2019年5月1日，批准文号为道政函〔2019〕85号,文件名称为《关于更新城区基准地价和制订11个建制镇基准地价的通告》（道政函〔2019〕85号，2019年11月22日），批准机关为道县人民政府，本次估价期日为2026年5月18日，距估价期日超过六年，根据《关于进一步做好湖南省公示地价体系建设和管理有关工作的通知》（湘自资办发[2022]23号）：“城镇基准地价每3年应全面更新一次，超过6年未全面更新的，不得作为确定出让最低价标准的依据，不得作为宗地评估基准地价系数修正法的依据。”因此不选择公示地价系数修正法。</w:t>
      </w:r>
    </w:p>
    <w:p w14:paraId="2481422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综上所述，</w:t>
      </w:r>
      <w:r>
        <w:rPr>
          <w:rFonts w:hint="eastAsia" w:ascii="仿宋_GB2312" w:hAnsi="仿宋_GB2312" w:eastAsia="仿宋_GB2312" w:cs="仿宋_GB2312"/>
          <w:b w:val="0"/>
          <w:bCs/>
          <w:color w:val="auto"/>
          <w:sz w:val="28"/>
          <w:szCs w:val="28"/>
          <w:highlight w:val="none"/>
          <w:lang w:val="en-US" w:eastAsia="zh-CN"/>
        </w:rPr>
        <w:t>本次评估</w:t>
      </w:r>
      <w:r>
        <w:rPr>
          <w:rFonts w:hint="default" w:ascii="仿宋_GB2312" w:hAnsi="仿宋_GB2312" w:eastAsia="仿宋_GB2312" w:cs="仿宋_GB2312"/>
          <w:b w:val="0"/>
          <w:bCs/>
          <w:color w:val="auto"/>
          <w:sz w:val="28"/>
          <w:szCs w:val="28"/>
          <w:highlight w:val="none"/>
          <w:lang w:val="en-US" w:eastAsia="zh-CN"/>
        </w:rPr>
        <w:t>采用</w:t>
      </w:r>
      <w:r>
        <w:rPr>
          <w:rFonts w:hint="eastAsia" w:ascii="仿宋_GB2312" w:hAnsi="仿宋_GB2312" w:eastAsia="仿宋_GB2312" w:cs="仿宋_GB2312"/>
          <w:b w:val="0"/>
          <w:bCs/>
          <w:color w:val="auto"/>
          <w:sz w:val="28"/>
          <w:szCs w:val="28"/>
          <w:highlight w:val="none"/>
          <w:lang w:val="en-US" w:eastAsia="zh-CN"/>
        </w:rPr>
        <w:t>成本逼近法</w:t>
      </w:r>
      <w:r>
        <w:rPr>
          <w:rFonts w:hint="default" w:ascii="仿宋_GB2312" w:hAnsi="仿宋_GB2312" w:eastAsia="仿宋_GB2312" w:cs="仿宋_GB2312"/>
          <w:b w:val="0"/>
          <w:bCs/>
          <w:color w:val="auto"/>
          <w:sz w:val="28"/>
          <w:szCs w:val="28"/>
          <w:highlight w:val="none"/>
          <w:lang w:val="en-US" w:eastAsia="zh-CN"/>
        </w:rPr>
        <w:t>和</w:t>
      </w:r>
      <w:r>
        <w:rPr>
          <w:rFonts w:hint="eastAsia" w:ascii="仿宋_GB2312" w:hAnsi="仿宋_GB2312" w:eastAsia="仿宋_GB2312" w:cs="仿宋_GB2312"/>
          <w:b w:val="0"/>
          <w:bCs/>
          <w:color w:val="auto"/>
          <w:sz w:val="28"/>
          <w:szCs w:val="28"/>
          <w:highlight w:val="none"/>
          <w:lang w:val="en-US" w:eastAsia="zh-CN"/>
        </w:rPr>
        <w:t>收益还原法</w:t>
      </w:r>
      <w:r>
        <w:rPr>
          <w:rFonts w:hint="default" w:ascii="仿宋_GB2312" w:hAnsi="仿宋_GB2312" w:eastAsia="仿宋_GB2312" w:cs="仿宋_GB2312"/>
          <w:b w:val="0"/>
          <w:bCs/>
          <w:color w:val="auto"/>
          <w:sz w:val="28"/>
          <w:szCs w:val="28"/>
          <w:highlight w:val="none"/>
          <w:lang w:val="en-US" w:eastAsia="zh-CN"/>
        </w:rPr>
        <w:t>进行评估确定。</w:t>
      </w:r>
    </w:p>
    <w:p w14:paraId="7C5472C1">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2"/>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（三）估价结果</w:t>
      </w:r>
    </w:p>
    <w:p w14:paraId="72715146">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3"/>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1、地价的确定</w:t>
      </w:r>
    </w:p>
    <w:p w14:paraId="2B4367CF">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是以开发土地所耗费的各项客观费用之和为主要依据，再加上一定的利润、利息、应缴纳的税金和土地增值收益来确定土地价格的方法，尤其对新开发土地，可采用成本逼近法进行评估。考虑到估价对象所在区域有类似征地案例，能够通过征地案例的调查分析，对各项土地取得成本进行量化得出土地价格。</w:t>
      </w:r>
    </w:p>
    <w:p w14:paraId="445BACF0">
      <w:pPr>
        <w:pStyle w:val="6"/>
        <w:keepNext w:val="0"/>
        <w:keepLines w:val="0"/>
        <w:pageBreakBefore w:val="0"/>
        <w:widowControl w:val="0"/>
        <w:kinsoku/>
        <w:wordWrap/>
        <w:overflowPunct w:val="0"/>
        <w:topLinePunct w:val="0"/>
        <w:autoSpaceDE w:val="0"/>
        <w:autoSpaceDN w:val="0"/>
        <w:bidi w:val="0"/>
        <w:adjustRightInd w:val="0"/>
        <w:snapToGrid w:val="0"/>
        <w:spacing w:line="480" w:lineRule="exact"/>
        <w:ind w:left="0" w:leftChars="0" w:firstLine="560" w:firstLineChars="200"/>
        <w:textAlignment w:val="auto"/>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sz w:val="28"/>
          <w:szCs w:val="28"/>
        </w:rPr>
        <w:t>收益还原法是在估算估价对象在未来每年预期纯收益（正常年纯收益）的基础上，以一定的土地还原率，将评估对象在未来每年的纯收益折算为估价期日收益总和的一种方法。因此该方法的测算结果能够比较真实的反映待估宗地的客观合理的市场价格</w:t>
      </w:r>
      <w:r>
        <w:rPr>
          <w:rFonts w:hint="eastAsia" w:ascii="仿宋_GB2312" w:hAnsi="仿宋_GB2312" w:eastAsia="仿宋_GB2312" w:cs="仿宋_GB2312"/>
          <w:snapToGrid w:val="0"/>
          <w:color w:val="000000"/>
          <w:kern w:val="0"/>
          <w:sz w:val="28"/>
          <w:szCs w:val="28"/>
          <w:highlight w:val="none"/>
        </w:rPr>
        <w:t>。</w:t>
      </w:r>
    </w:p>
    <w:p w14:paraId="723DCF6A">
      <w:pPr>
        <w:pStyle w:val="6"/>
        <w:keepNext w:val="0"/>
        <w:keepLines w:val="0"/>
        <w:pageBreakBefore w:val="0"/>
        <w:widowControl w:val="0"/>
        <w:kinsoku/>
        <w:wordWrap/>
        <w:overflowPunct w:val="0"/>
        <w:topLinePunct w:val="0"/>
        <w:autoSpaceDE w:val="0"/>
        <w:autoSpaceDN w:val="0"/>
        <w:bidi w:val="0"/>
        <w:adjustRightInd w:val="0"/>
        <w:snapToGrid w:val="0"/>
        <w:spacing w:line="480" w:lineRule="exact"/>
        <w:ind w:left="0" w:leftChars="0" w:firstLine="560" w:firstLineChars="200"/>
        <w:textAlignment w:val="auto"/>
        <w:rPr>
          <w:rFonts w:hint="eastAsia" w:ascii="仿宋_GB2312" w:hAnsi="仿宋_GB2312" w:eastAsia="仿宋_GB2312" w:cs="仿宋_GB2312"/>
          <w:snapToGrid w:val="0"/>
          <w:color w:val="000000"/>
          <w:kern w:val="0"/>
          <w:sz w:val="28"/>
          <w:szCs w:val="28"/>
          <w:highlight w:val="none"/>
          <w:lang w:val="en-US" w:eastAsia="zh-CN"/>
        </w:rPr>
      </w:pPr>
      <w:r>
        <w:rPr>
          <w:rFonts w:hint="eastAsia" w:ascii="仿宋_GB2312" w:hAnsi="仿宋_GB2312" w:eastAsia="仿宋_GB2312" w:cs="仿宋_GB2312"/>
          <w:snapToGrid w:val="0"/>
          <w:color w:val="000000"/>
          <w:kern w:val="0"/>
          <w:sz w:val="28"/>
          <w:szCs w:val="28"/>
          <w:highlight w:val="none"/>
        </w:rPr>
        <w:t>通过对当地土地市场和土地价格的分析和两种方法的可靠性综合分析，根据项目特点，综合考虑宗地所在区域的地价水平，确定以剩余法的评估结果作为本次评估的最终结果。</w:t>
      </w:r>
    </w:p>
    <w:p w14:paraId="15A41E6D">
      <w:pPr>
        <w:pStyle w:val="11"/>
        <w:keepNext w:val="0"/>
        <w:keepLines w:val="0"/>
        <w:pageBreakBefore w:val="0"/>
        <w:widowControl/>
        <w:kinsoku w:val="0"/>
        <w:wordWrap/>
        <w:overflowPunct/>
        <w:topLinePunct w:val="0"/>
        <w:autoSpaceDE w:val="0"/>
        <w:autoSpaceDN w:val="0"/>
        <w:bidi w:val="0"/>
        <w:adjustRightInd w:val="0"/>
        <w:snapToGrid w:val="0"/>
        <w:spacing w:before="157" w:beforeLines="50" w:after="10" w:line="360" w:lineRule="auto"/>
        <w:ind w:left="0" w:leftChars="0" w:firstLine="0" w:firstLineChars="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w:t>
      </w:r>
      <w:r>
        <w:rPr>
          <w:rFonts w:hint="eastAsia" w:ascii="仿宋_GB2312" w:hAnsi="仿宋_GB2312" w:cs="仿宋_GB2312"/>
          <w:b w:val="0"/>
          <w:bCs/>
          <w:color w:val="auto"/>
          <w:kern w:val="2"/>
          <w:sz w:val="28"/>
          <w:szCs w:val="28"/>
          <w:highlight w:val="none"/>
          <w:lang w:val="en-US" w:eastAsia="zh-CN" w:bidi="ar-SA"/>
        </w:rPr>
        <w:t>3</w:t>
      </w:r>
      <w:r>
        <w:rPr>
          <w:rFonts w:hint="eastAsia" w:ascii="仿宋_GB2312" w:hAnsi="仿宋_GB2312" w:eastAsia="仿宋_GB2312" w:cs="仿宋_GB2312"/>
          <w:b w:val="0"/>
          <w:bCs/>
          <w:color w:val="auto"/>
          <w:kern w:val="2"/>
          <w:sz w:val="28"/>
          <w:szCs w:val="28"/>
          <w:highlight w:val="none"/>
          <w:lang w:val="en-US" w:eastAsia="zh-CN" w:bidi="ar-SA"/>
        </w:rPr>
        <w:t xml:space="preserve">-1  </w:t>
      </w:r>
      <w:r>
        <w:rPr>
          <w:rFonts w:hint="eastAsia" w:ascii="仿宋_GB2312" w:hAnsi="仿宋_GB2312" w:cs="仿宋_GB2312"/>
          <w:b w:val="0"/>
          <w:bCs/>
          <w:color w:val="auto"/>
          <w:kern w:val="2"/>
          <w:sz w:val="28"/>
          <w:szCs w:val="28"/>
          <w:highlight w:val="none"/>
          <w:lang w:val="en-US" w:eastAsia="zh-CN" w:bidi="ar-SA"/>
        </w:rPr>
        <w:t>估价对象地价</w:t>
      </w:r>
      <w:r>
        <w:rPr>
          <w:rFonts w:hint="eastAsia" w:ascii="仿宋_GB2312" w:hAnsi="仿宋_GB2312" w:eastAsia="仿宋_GB2312" w:cs="仿宋_GB2312"/>
          <w:b w:val="0"/>
          <w:bCs/>
          <w:color w:val="auto"/>
          <w:kern w:val="2"/>
          <w:sz w:val="28"/>
          <w:szCs w:val="28"/>
          <w:highlight w:val="none"/>
          <w:lang w:val="en-US" w:eastAsia="zh-CN" w:bidi="ar-SA"/>
        </w:rPr>
        <w:t>表</w:t>
      </w:r>
    </w:p>
    <w:tbl>
      <w:tblPr>
        <w:tblStyle w:val="12"/>
        <w:tblW w:w="545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0"/>
        <w:gridCol w:w="663"/>
        <w:gridCol w:w="900"/>
        <w:gridCol w:w="525"/>
        <w:gridCol w:w="1050"/>
        <w:gridCol w:w="660"/>
        <w:gridCol w:w="1120"/>
        <w:gridCol w:w="984"/>
        <w:gridCol w:w="1035"/>
        <w:gridCol w:w="967"/>
      </w:tblGrid>
      <w:tr w14:paraId="7AC5E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jc w:val="center"/>
        </w:trPr>
        <w:tc>
          <w:tcPr>
            <w:tcW w:w="747" w:type="pct"/>
            <w:vMerge w:val="restart"/>
            <w:noWrap w:val="0"/>
            <w:vAlign w:val="center"/>
          </w:tcPr>
          <w:p w14:paraId="56AD6287">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评估项目</w:t>
            </w:r>
          </w:p>
        </w:tc>
        <w:tc>
          <w:tcPr>
            <w:tcW w:w="356" w:type="pct"/>
            <w:vMerge w:val="restart"/>
            <w:noWrap w:val="0"/>
            <w:vAlign w:val="center"/>
          </w:tcPr>
          <w:p w14:paraId="7872B72F">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用途</w:t>
            </w:r>
          </w:p>
        </w:tc>
        <w:tc>
          <w:tcPr>
            <w:tcW w:w="766" w:type="pct"/>
            <w:gridSpan w:val="2"/>
            <w:noWrap w:val="0"/>
            <w:vAlign w:val="center"/>
          </w:tcPr>
          <w:p w14:paraId="69AF7F23">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eastAsia" w:ascii="仿宋_GB2312" w:hAnsi="仿宋_GB2312" w:eastAsia="仿宋_GB2312" w:cs="仿宋_GB2312"/>
                <w:snapToGrid w:val="0"/>
                <w:sz w:val="21"/>
                <w:szCs w:val="21"/>
                <w:highlight w:val="none"/>
                <w:lang w:val="en-US" w:eastAsia="zh-CN"/>
              </w:rPr>
              <w:t>成本逼近法</w:t>
            </w:r>
          </w:p>
        </w:tc>
        <w:tc>
          <w:tcPr>
            <w:tcW w:w="919" w:type="pct"/>
            <w:gridSpan w:val="2"/>
            <w:noWrap w:val="0"/>
            <w:vAlign w:val="center"/>
          </w:tcPr>
          <w:p w14:paraId="44B2366E">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剩余法</w:t>
            </w:r>
          </w:p>
        </w:tc>
        <w:tc>
          <w:tcPr>
            <w:tcW w:w="602" w:type="pct"/>
            <w:vMerge w:val="restart"/>
            <w:noWrap w:val="0"/>
            <w:vAlign w:val="center"/>
          </w:tcPr>
          <w:p w14:paraId="0FA3377C">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确定土地单价（元/ m</w:t>
            </w:r>
            <w:r>
              <w:rPr>
                <w:rFonts w:hint="eastAsia" w:ascii="仿宋_GB2312" w:hAnsi="仿宋_GB2312" w:eastAsia="仿宋_GB2312" w:cs="仿宋_GB2312"/>
                <w:snapToGrid w:val="0"/>
                <w:sz w:val="21"/>
                <w:szCs w:val="21"/>
                <w:highlight w:val="none"/>
                <w:vertAlign w:val="superscript"/>
              </w:rPr>
              <w:t>2</w:t>
            </w:r>
            <w:r>
              <w:rPr>
                <w:rFonts w:hint="eastAsia" w:ascii="仿宋_GB2312" w:hAnsi="仿宋_GB2312" w:eastAsia="仿宋_GB2312" w:cs="仿宋_GB2312"/>
                <w:snapToGrid w:val="0"/>
                <w:sz w:val="21"/>
                <w:szCs w:val="21"/>
                <w:highlight w:val="none"/>
              </w:rPr>
              <w:t>）</w:t>
            </w:r>
          </w:p>
        </w:tc>
        <w:tc>
          <w:tcPr>
            <w:tcW w:w="529" w:type="pct"/>
            <w:vMerge w:val="restart"/>
            <w:noWrap w:val="0"/>
            <w:vAlign w:val="center"/>
          </w:tcPr>
          <w:p w14:paraId="4FDC2ED6">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土地面积（m</w:t>
            </w:r>
            <w:r>
              <w:rPr>
                <w:rFonts w:hint="eastAsia" w:ascii="仿宋_GB2312" w:hAnsi="仿宋_GB2312" w:eastAsia="仿宋_GB2312" w:cs="仿宋_GB2312"/>
                <w:snapToGrid w:val="0"/>
                <w:sz w:val="21"/>
                <w:szCs w:val="21"/>
                <w:highlight w:val="none"/>
                <w:vertAlign w:val="superscript"/>
              </w:rPr>
              <w:t>2</w:t>
            </w:r>
            <w:r>
              <w:rPr>
                <w:rFonts w:hint="eastAsia" w:ascii="仿宋_GB2312" w:hAnsi="仿宋_GB2312" w:eastAsia="仿宋_GB2312" w:cs="仿宋_GB2312"/>
                <w:snapToGrid w:val="0"/>
                <w:sz w:val="21"/>
                <w:szCs w:val="21"/>
                <w:highlight w:val="none"/>
              </w:rPr>
              <w:t>）</w:t>
            </w:r>
          </w:p>
        </w:tc>
        <w:tc>
          <w:tcPr>
            <w:tcW w:w="556" w:type="pct"/>
            <w:vMerge w:val="restart"/>
            <w:noWrap w:val="0"/>
            <w:vAlign w:val="center"/>
          </w:tcPr>
          <w:p w14:paraId="0A91523C">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土地总价（万元）</w:t>
            </w:r>
          </w:p>
        </w:tc>
        <w:tc>
          <w:tcPr>
            <w:tcW w:w="520" w:type="pct"/>
            <w:vMerge w:val="restart"/>
            <w:noWrap w:val="0"/>
            <w:vAlign w:val="center"/>
          </w:tcPr>
          <w:p w14:paraId="5E38AF59">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lang w:val="en-US" w:eastAsia="zh-CN"/>
              </w:rPr>
              <w:t>楼面</w:t>
            </w:r>
            <w:r>
              <w:rPr>
                <w:rFonts w:hint="eastAsia" w:ascii="仿宋_GB2312" w:hAnsi="仿宋_GB2312" w:eastAsia="仿宋_GB2312" w:cs="仿宋_GB2312"/>
                <w:snapToGrid w:val="0"/>
                <w:sz w:val="21"/>
                <w:szCs w:val="21"/>
                <w:highlight w:val="none"/>
              </w:rPr>
              <w:t>地价（元/m</w:t>
            </w:r>
            <w:r>
              <w:rPr>
                <w:rFonts w:hint="eastAsia" w:ascii="仿宋_GB2312" w:hAnsi="仿宋_GB2312" w:eastAsia="仿宋_GB2312" w:cs="仿宋_GB2312"/>
                <w:snapToGrid w:val="0"/>
                <w:sz w:val="21"/>
                <w:szCs w:val="21"/>
                <w:highlight w:val="none"/>
                <w:vertAlign w:val="superscript"/>
              </w:rPr>
              <w:t>2</w:t>
            </w:r>
            <w:r>
              <w:rPr>
                <w:rFonts w:hint="eastAsia" w:ascii="仿宋_GB2312" w:hAnsi="仿宋_GB2312" w:eastAsia="仿宋_GB2312" w:cs="仿宋_GB2312"/>
                <w:snapToGrid w:val="0"/>
                <w:sz w:val="21"/>
                <w:szCs w:val="21"/>
                <w:highlight w:val="none"/>
              </w:rPr>
              <w:t>）</w:t>
            </w:r>
          </w:p>
        </w:tc>
      </w:tr>
      <w:tr w14:paraId="723A3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jc w:val="center"/>
        </w:trPr>
        <w:tc>
          <w:tcPr>
            <w:tcW w:w="747" w:type="pct"/>
            <w:vMerge w:val="continue"/>
            <w:noWrap w:val="0"/>
            <w:vAlign w:val="center"/>
          </w:tcPr>
          <w:p w14:paraId="58190F79">
            <w:pPr>
              <w:adjustRightInd w:val="0"/>
              <w:snapToGrid w:val="0"/>
              <w:spacing w:line="240" w:lineRule="exact"/>
              <w:jc w:val="center"/>
              <w:rPr>
                <w:rFonts w:hint="eastAsia" w:ascii="仿宋_GB2312" w:hAnsi="仿宋_GB2312" w:eastAsia="仿宋_GB2312" w:cs="仿宋_GB2312"/>
                <w:snapToGrid w:val="0"/>
                <w:sz w:val="21"/>
                <w:szCs w:val="21"/>
                <w:highlight w:val="none"/>
              </w:rPr>
            </w:pPr>
          </w:p>
        </w:tc>
        <w:tc>
          <w:tcPr>
            <w:tcW w:w="356" w:type="pct"/>
            <w:vMerge w:val="continue"/>
            <w:noWrap w:val="0"/>
            <w:vAlign w:val="center"/>
          </w:tcPr>
          <w:p w14:paraId="66E8A9E9">
            <w:pPr>
              <w:adjustRightInd w:val="0"/>
              <w:snapToGrid w:val="0"/>
              <w:spacing w:line="240" w:lineRule="exact"/>
              <w:jc w:val="center"/>
              <w:rPr>
                <w:rFonts w:hint="eastAsia" w:ascii="仿宋_GB2312" w:hAnsi="仿宋_GB2312" w:eastAsia="仿宋_GB2312" w:cs="仿宋_GB2312"/>
                <w:snapToGrid w:val="0"/>
                <w:sz w:val="21"/>
                <w:szCs w:val="21"/>
                <w:highlight w:val="none"/>
              </w:rPr>
            </w:pPr>
          </w:p>
        </w:tc>
        <w:tc>
          <w:tcPr>
            <w:tcW w:w="484" w:type="pct"/>
            <w:noWrap w:val="0"/>
            <w:vAlign w:val="center"/>
          </w:tcPr>
          <w:p w14:paraId="5BB8278C">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土地单价（元/ m</w:t>
            </w:r>
            <w:r>
              <w:rPr>
                <w:rFonts w:hint="eastAsia" w:ascii="仿宋_GB2312" w:hAnsi="仿宋_GB2312" w:eastAsia="仿宋_GB2312" w:cs="仿宋_GB2312"/>
                <w:snapToGrid w:val="0"/>
                <w:sz w:val="21"/>
                <w:szCs w:val="21"/>
                <w:highlight w:val="none"/>
                <w:vertAlign w:val="superscript"/>
              </w:rPr>
              <w:t>2</w:t>
            </w:r>
            <w:r>
              <w:rPr>
                <w:rFonts w:hint="eastAsia" w:ascii="仿宋_GB2312" w:hAnsi="仿宋_GB2312" w:eastAsia="仿宋_GB2312" w:cs="仿宋_GB2312"/>
                <w:snapToGrid w:val="0"/>
                <w:sz w:val="21"/>
                <w:szCs w:val="21"/>
                <w:highlight w:val="none"/>
              </w:rPr>
              <w:t>）</w:t>
            </w:r>
          </w:p>
        </w:tc>
        <w:tc>
          <w:tcPr>
            <w:tcW w:w="282" w:type="pct"/>
            <w:noWrap w:val="0"/>
            <w:vAlign w:val="center"/>
          </w:tcPr>
          <w:p w14:paraId="6C02EF7F">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权重</w:t>
            </w:r>
          </w:p>
        </w:tc>
        <w:tc>
          <w:tcPr>
            <w:tcW w:w="564" w:type="pct"/>
            <w:noWrap w:val="0"/>
            <w:vAlign w:val="center"/>
          </w:tcPr>
          <w:p w14:paraId="32FB638C">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土地单价（元/ m</w:t>
            </w:r>
            <w:r>
              <w:rPr>
                <w:rFonts w:hint="eastAsia" w:ascii="仿宋_GB2312" w:hAnsi="仿宋_GB2312" w:eastAsia="仿宋_GB2312" w:cs="仿宋_GB2312"/>
                <w:snapToGrid w:val="0"/>
                <w:sz w:val="21"/>
                <w:szCs w:val="21"/>
                <w:highlight w:val="none"/>
                <w:vertAlign w:val="superscript"/>
              </w:rPr>
              <w:t>2</w:t>
            </w:r>
            <w:r>
              <w:rPr>
                <w:rFonts w:hint="eastAsia" w:ascii="仿宋_GB2312" w:hAnsi="仿宋_GB2312" w:eastAsia="仿宋_GB2312" w:cs="仿宋_GB2312"/>
                <w:snapToGrid w:val="0"/>
                <w:sz w:val="21"/>
                <w:szCs w:val="21"/>
                <w:highlight w:val="none"/>
              </w:rPr>
              <w:t>）</w:t>
            </w:r>
          </w:p>
        </w:tc>
        <w:tc>
          <w:tcPr>
            <w:tcW w:w="355" w:type="pct"/>
            <w:noWrap w:val="0"/>
            <w:vAlign w:val="center"/>
          </w:tcPr>
          <w:p w14:paraId="48AD815C">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权重</w:t>
            </w:r>
          </w:p>
        </w:tc>
        <w:tc>
          <w:tcPr>
            <w:tcW w:w="602" w:type="pct"/>
            <w:vMerge w:val="continue"/>
            <w:noWrap w:val="0"/>
            <w:vAlign w:val="center"/>
          </w:tcPr>
          <w:p w14:paraId="345A3935">
            <w:pPr>
              <w:adjustRightInd w:val="0"/>
              <w:snapToGrid w:val="0"/>
              <w:spacing w:line="240" w:lineRule="exact"/>
              <w:jc w:val="center"/>
              <w:rPr>
                <w:rFonts w:hint="eastAsia" w:ascii="仿宋_GB2312" w:hAnsi="仿宋_GB2312" w:eastAsia="仿宋_GB2312" w:cs="仿宋_GB2312"/>
                <w:snapToGrid w:val="0"/>
                <w:sz w:val="21"/>
                <w:szCs w:val="21"/>
                <w:highlight w:val="none"/>
              </w:rPr>
            </w:pPr>
          </w:p>
        </w:tc>
        <w:tc>
          <w:tcPr>
            <w:tcW w:w="529" w:type="pct"/>
            <w:vMerge w:val="continue"/>
            <w:noWrap w:val="0"/>
            <w:vAlign w:val="center"/>
          </w:tcPr>
          <w:p w14:paraId="1954F53A">
            <w:pPr>
              <w:adjustRightInd w:val="0"/>
              <w:snapToGrid w:val="0"/>
              <w:spacing w:line="240" w:lineRule="exact"/>
              <w:jc w:val="center"/>
              <w:rPr>
                <w:rFonts w:hint="eastAsia" w:ascii="仿宋_GB2312" w:hAnsi="仿宋_GB2312" w:eastAsia="仿宋_GB2312" w:cs="仿宋_GB2312"/>
                <w:snapToGrid w:val="0"/>
                <w:sz w:val="21"/>
                <w:szCs w:val="21"/>
                <w:highlight w:val="none"/>
              </w:rPr>
            </w:pPr>
          </w:p>
        </w:tc>
        <w:tc>
          <w:tcPr>
            <w:tcW w:w="556" w:type="pct"/>
            <w:vMerge w:val="continue"/>
            <w:noWrap w:val="0"/>
            <w:vAlign w:val="center"/>
          </w:tcPr>
          <w:p w14:paraId="7699B3A6">
            <w:pPr>
              <w:adjustRightInd w:val="0"/>
              <w:snapToGrid w:val="0"/>
              <w:spacing w:line="240" w:lineRule="exact"/>
              <w:jc w:val="center"/>
              <w:rPr>
                <w:rFonts w:hint="eastAsia" w:ascii="仿宋_GB2312" w:hAnsi="仿宋_GB2312" w:eastAsia="仿宋_GB2312" w:cs="仿宋_GB2312"/>
                <w:snapToGrid w:val="0"/>
                <w:sz w:val="21"/>
                <w:szCs w:val="21"/>
                <w:highlight w:val="none"/>
              </w:rPr>
            </w:pPr>
          </w:p>
        </w:tc>
        <w:tc>
          <w:tcPr>
            <w:tcW w:w="520" w:type="pct"/>
            <w:vMerge w:val="continue"/>
            <w:noWrap w:val="0"/>
            <w:vAlign w:val="center"/>
          </w:tcPr>
          <w:p w14:paraId="6917E6E5">
            <w:pPr>
              <w:adjustRightInd w:val="0"/>
              <w:snapToGrid w:val="0"/>
              <w:spacing w:line="240" w:lineRule="exact"/>
              <w:jc w:val="center"/>
              <w:rPr>
                <w:rFonts w:hint="eastAsia" w:ascii="仿宋_GB2312" w:hAnsi="仿宋_GB2312" w:eastAsia="仿宋_GB2312" w:cs="仿宋_GB2312"/>
                <w:snapToGrid w:val="0"/>
                <w:sz w:val="21"/>
                <w:szCs w:val="21"/>
                <w:highlight w:val="none"/>
              </w:rPr>
            </w:pPr>
          </w:p>
        </w:tc>
      </w:tr>
      <w:tr w14:paraId="32BE3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747" w:type="pct"/>
            <w:noWrap w:val="0"/>
            <w:vAlign w:val="center"/>
          </w:tcPr>
          <w:p w14:paraId="58D423A9">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eastAsia" w:ascii="仿宋_GB2312" w:hAnsi="仿宋_GB2312" w:eastAsia="仿宋_GB2312" w:cs="仿宋_GB2312"/>
                <w:snapToGrid w:val="0"/>
                <w:sz w:val="21"/>
                <w:szCs w:val="21"/>
                <w:highlight w:val="none"/>
                <w:lang w:val="en-US" w:eastAsia="zh-CN"/>
              </w:rPr>
              <w:t>道县月岩西路宗地</w:t>
            </w:r>
          </w:p>
        </w:tc>
        <w:tc>
          <w:tcPr>
            <w:tcW w:w="356" w:type="pct"/>
            <w:noWrap w:val="0"/>
            <w:vAlign w:val="center"/>
          </w:tcPr>
          <w:p w14:paraId="5AB46496">
            <w:pPr>
              <w:adjustRightInd w:val="0"/>
              <w:snapToGrid w:val="0"/>
              <w:spacing w:line="240" w:lineRule="exact"/>
              <w:jc w:val="both"/>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住宅用地</w:t>
            </w:r>
          </w:p>
        </w:tc>
        <w:tc>
          <w:tcPr>
            <w:tcW w:w="484" w:type="pct"/>
            <w:noWrap w:val="0"/>
            <w:vAlign w:val="center"/>
          </w:tcPr>
          <w:p w14:paraId="1376C030">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eastAsia" w:ascii="仿宋_GB2312" w:hAnsi="仿宋_GB2312" w:eastAsia="仿宋_GB2312" w:cs="仿宋_GB2312"/>
                <w:snapToGrid w:val="0"/>
                <w:sz w:val="21"/>
                <w:szCs w:val="21"/>
                <w:highlight w:val="none"/>
                <w:lang w:val="en-US" w:eastAsia="zh-CN"/>
              </w:rPr>
              <w:t>856.8</w:t>
            </w:r>
          </w:p>
        </w:tc>
        <w:tc>
          <w:tcPr>
            <w:tcW w:w="282" w:type="pct"/>
            <w:noWrap w:val="0"/>
            <w:vAlign w:val="center"/>
          </w:tcPr>
          <w:p w14:paraId="0B4B548A">
            <w:pPr>
              <w:adjustRightInd w:val="0"/>
              <w:snapToGrid w:val="0"/>
              <w:spacing w:line="240" w:lineRule="exact"/>
              <w:jc w:val="center"/>
              <w:rPr>
                <w:rFonts w:hint="eastAsia" w:ascii="仿宋_GB2312" w:hAnsi="仿宋_GB2312" w:eastAsia="仿宋_GB2312" w:cs="仿宋_GB2312"/>
                <w:snapToGrid w:val="0"/>
                <w:sz w:val="21"/>
                <w:szCs w:val="21"/>
                <w:highlight w:val="none"/>
                <w:lang w:val="en-US" w:eastAsia="zh-CN"/>
              </w:rPr>
            </w:pPr>
            <w:r>
              <w:rPr>
                <w:rFonts w:hint="default" w:ascii="仿宋_GB2312" w:hAnsi="仿宋_GB2312" w:eastAsia="仿宋_GB2312" w:cs="仿宋_GB2312"/>
                <w:snapToGrid w:val="0"/>
                <w:sz w:val="21"/>
                <w:szCs w:val="21"/>
                <w:highlight w:val="none"/>
                <w:lang w:val="en-US" w:eastAsia="zh-CN"/>
              </w:rPr>
              <w:t>0</w:t>
            </w:r>
          </w:p>
        </w:tc>
        <w:tc>
          <w:tcPr>
            <w:tcW w:w="564" w:type="pct"/>
            <w:noWrap w:val="0"/>
            <w:vAlign w:val="center"/>
          </w:tcPr>
          <w:p w14:paraId="19056331">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default" w:ascii="仿宋_GB2312" w:hAnsi="仿宋_GB2312" w:eastAsia="仿宋_GB2312" w:cs="仿宋_GB2312"/>
                <w:snapToGrid w:val="0"/>
                <w:sz w:val="21"/>
                <w:szCs w:val="21"/>
                <w:highlight w:val="none"/>
                <w:lang w:val="en-US" w:eastAsia="zh-CN"/>
              </w:rPr>
              <w:t>2510.5</w:t>
            </w:r>
          </w:p>
        </w:tc>
        <w:tc>
          <w:tcPr>
            <w:tcW w:w="355" w:type="pct"/>
            <w:noWrap w:val="0"/>
            <w:vAlign w:val="center"/>
          </w:tcPr>
          <w:p w14:paraId="3A730D8C">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default" w:ascii="仿宋_GB2312" w:hAnsi="仿宋_GB2312" w:eastAsia="仿宋_GB2312" w:cs="仿宋_GB2312"/>
                <w:snapToGrid w:val="0"/>
                <w:sz w:val="21"/>
                <w:szCs w:val="21"/>
                <w:highlight w:val="none"/>
                <w:lang w:val="en-US" w:eastAsia="zh-CN"/>
              </w:rPr>
              <w:t>1</w:t>
            </w:r>
          </w:p>
        </w:tc>
        <w:tc>
          <w:tcPr>
            <w:tcW w:w="602" w:type="pct"/>
            <w:noWrap w:val="0"/>
            <w:vAlign w:val="center"/>
          </w:tcPr>
          <w:p w14:paraId="1ADA8A0B">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default" w:ascii="仿宋_GB2312" w:hAnsi="仿宋_GB2312" w:eastAsia="仿宋_GB2312" w:cs="仿宋_GB2312"/>
                <w:snapToGrid w:val="0"/>
                <w:sz w:val="21"/>
                <w:szCs w:val="21"/>
                <w:highlight w:val="none"/>
                <w:lang w:val="en-US" w:eastAsia="zh-CN"/>
              </w:rPr>
              <w:t>2511</w:t>
            </w:r>
          </w:p>
        </w:tc>
        <w:tc>
          <w:tcPr>
            <w:tcW w:w="529" w:type="pct"/>
            <w:noWrap w:val="0"/>
            <w:vAlign w:val="center"/>
          </w:tcPr>
          <w:p w14:paraId="5A58FA63">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default" w:ascii="仿宋_GB2312" w:hAnsi="仿宋_GB2312" w:eastAsia="仿宋_GB2312" w:cs="仿宋_GB2312"/>
                <w:snapToGrid w:val="0"/>
                <w:sz w:val="21"/>
                <w:szCs w:val="21"/>
                <w:highlight w:val="none"/>
                <w:lang w:val="en-US" w:eastAsia="zh-CN"/>
              </w:rPr>
              <w:t>15.2</w:t>
            </w:r>
          </w:p>
        </w:tc>
        <w:tc>
          <w:tcPr>
            <w:tcW w:w="556" w:type="pct"/>
            <w:noWrap w:val="0"/>
            <w:vAlign w:val="center"/>
          </w:tcPr>
          <w:p w14:paraId="6BD070FD">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default" w:ascii="仿宋_GB2312" w:hAnsi="仿宋_GB2312" w:eastAsia="仿宋_GB2312" w:cs="仿宋_GB2312"/>
                <w:snapToGrid w:val="0"/>
                <w:sz w:val="21"/>
                <w:szCs w:val="21"/>
                <w:highlight w:val="none"/>
                <w:lang w:val="en-US" w:eastAsia="zh-CN"/>
              </w:rPr>
              <w:t>3.82</w:t>
            </w:r>
          </w:p>
        </w:tc>
        <w:tc>
          <w:tcPr>
            <w:tcW w:w="520" w:type="pct"/>
            <w:noWrap w:val="0"/>
            <w:vAlign w:val="center"/>
          </w:tcPr>
          <w:p w14:paraId="697D7D4A">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eastAsia" w:ascii="仿宋_GB2312" w:hAnsi="仿宋_GB2312" w:eastAsia="仿宋_GB2312" w:cs="仿宋_GB2312"/>
                <w:snapToGrid w:val="0"/>
                <w:sz w:val="21"/>
                <w:szCs w:val="21"/>
                <w:highlight w:val="none"/>
                <w:lang w:val="en-US" w:eastAsia="zh-CN"/>
              </w:rPr>
              <w:t>519.88</w:t>
            </w:r>
          </w:p>
        </w:tc>
      </w:tr>
    </w:tbl>
    <w:p w14:paraId="29C26C3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3"/>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2、估价结果</w:t>
      </w:r>
    </w:p>
    <w:p w14:paraId="141E175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自然资源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委托评估的，位于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道县月岩西路</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的一宗国有土地，土地面积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15.2平方米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，于估价期日2026年5月18日，评估设定土地用途为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auto"/>
          <w:sz w:val="28"/>
          <w:szCs w:val="30"/>
          <w:highlight w:val="none"/>
          <w:lang w:val="en-US" w:eastAsia="zh-CN"/>
        </w:rPr>
        <w:t>土地使用权出让年期为住宅用地70年</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设定土地开发程度为宗地红线外“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”（即通路、通电、供水、排水、通讯）及红线内场地平整，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现状</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利用条件下的土地使用权出让价格如下（币种：人民币）：</w:t>
      </w:r>
    </w:p>
    <w:p w14:paraId="0702A4D0">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宗地数量：共一宗</w:t>
      </w:r>
    </w:p>
    <w:p w14:paraId="02B0697A">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w:t>
      </w:r>
      <w:r>
        <w:rPr>
          <w:rFonts w:hint="eastAsia" w:ascii="仿宋_GB2312" w:eastAsia="仿宋_GB2312"/>
          <w:b/>
          <w:bCs/>
          <w:color w:val="000000" w:themeColor="text1"/>
          <w:sz w:val="28"/>
          <w:szCs w:val="22"/>
          <w:highlight w:val="none"/>
          <w14:textFill>
            <w14:solidFill>
              <w14:schemeClr w14:val="tx1"/>
            </w14:solidFill>
          </w14:textFill>
        </w:rPr>
        <w:t>土地</w:t>
      </w:r>
      <w:r>
        <w:rPr>
          <w:rFonts w:hint="eastAsia" w:ascii="仿宋_GB2312" w:eastAsia="仿宋_GB2312"/>
          <w:b/>
          <w:bCs/>
          <w:color w:val="000000" w:themeColor="text1"/>
          <w:sz w:val="28"/>
          <w:szCs w:val="22"/>
          <w:highlight w:val="none"/>
          <w:lang w:val="en-US" w:eastAsia="zh-CN"/>
          <w14:textFill>
            <w14:solidFill>
              <w14:schemeClr w14:val="tx1"/>
            </w14:solidFill>
          </w14:textFill>
        </w:rPr>
        <w:t>总</w:t>
      </w:r>
      <w:r>
        <w:rPr>
          <w:rFonts w:hint="eastAsia" w:ascii="仿宋_GB2312" w:eastAsia="仿宋_GB2312"/>
          <w:b/>
          <w:bCs/>
          <w:color w:val="000000" w:themeColor="text1"/>
          <w:sz w:val="28"/>
          <w:szCs w:val="22"/>
          <w:highlight w:val="none"/>
          <w14:textFill>
            <w14:solidFill>
              <w14:schemeClr w14:val="tx1"/>
            </w14:solidFill>
          </w14:textFill>
        </w:rPr>
        <w:t>面积：</w:t>
      </w:r>
      <w:r>
        <w:rPr>
          <w:rFonts w:hint="eastAsia" w:ascii="仿宋_GB2312" w:eastAsia="仿宋_GB2312"/>
          <w:b/>
          <w:bCs/>
          <w:color w:val="000000" w:themeColor="text1"/>
          <w:sz w:val="28"/>
          <w:szCs w:val="22"/>
          <w:highlight w:val="none"/>
          <w:lang w:val="en-US" w:eastAsia="zh-CN"/>
          <w14:textFill>
            <w14:solidFill>
              <w14:schemeClr w14:val="tx1"/>
            </w14:solidFill>
          </w14:textFill>
        </w:rPr>
        <w:t>15.2平方米</w:t>
      </w:r>
    </w:p>
    <w:p w14:paraId="2AA1C562">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lang w:val="en-US"/>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估价对象土地单价：2511.0元/平方米</w:t>
      </w:r>
      <w:r>
        <w:rPr>
          <w:rFonts w:hint="eastAsia" w:ascii="仿宋" w:hAnsi="仿宋" w:eastAsia="仿宋"/>
          <w:b/>
          <w:bCs/>
          <w:sz w:val="28"/>
          <w:szCs w:val="28"/>
          <w:highlight w:val="none"/>
        </w:rPr>
        <w:t>（折合</w:t>
      </w:r>
      <w:r>
        <w:rPr>
          <w:rFonts w:hint="eastAsia" w:ascii="仿宋" w:hAnsi="仿宋" w:eastAsia="仿宋"/>
          <w:b/>
          <w:bCs/>
          <w:sz w:val="28"/>
          <w:szCs w:val="28"/>
          <w:highlight w:val="none"/>
          <w:lang w:val="en-US" w:eastAsia="zh-CN"/>
        </w:rPr>
        <w:t>167.4</w:t>
      </w:r>
      <w:r>
        <w:rPr>
          <w:rFonts w:hint="eastAsia" w:ascii="仿宋" w:hAnsi="仿宋" w:eastAsia="仿宋"/>
          <w:b/>
          <w:bCs/>
          <w:sz w:val="28"/>
          <w:szCs w:val="28"/>
          <w:highlight w:val="none"/>
        </w:rPr>
        <w:t>万元/亩）</w:t>
      </w:r>
    </w:p>
    <w:p w14:paraId="350894D6">
      <w:pPr>
        <w:keepNext w:val="0"/>
        <w:keepLines w:val="0"/>
        <w:pageBreakBefore w:val="0"/>
        <w:widowControl w:val="0"/>
        <w:kinsoku/>
        <w:wordWrap/>
        <w:overflowPunct/>
        <w:topLinePunct w:val="0"/>
        <w:autoSpaceDE w:val="0"/>
        <w:autoSpaceDN w:val="0"/>
        <w:bidi w:val="0"/>
        <w:adjustRightInd w:val="0"/>
        <w:snapToGrid w:val="0"/>
        <w:spacing w:line="480" w:lineRule="exact"/>
        <w:ind w:left="0" w:leftChars="0" w:firstLine="562" w:firstLineChars="200"/>
        <w:textAlignment w:val="auto"/>
        <w:rPr>
          <w:rFonts w:hint="default"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估价对象楼面地价：519.88元/平方米</w:t>
      </w:r>
    </w:p>
    <w:p w14:paraId="018344D0">
      <w:pPr>
        <w:keepNext w:val="0"/>
        <w:keepLines w:val="0"/>
        <w:pageBreakBefore w:val="0"/>
        <w:widowControl w:val="0"/>
        <w:kinsoku/>
        <w:wordWrap/>
        <w:overflowPunct/>
        <w:topLinePunct w:val="0"/>
        <w:autoSpaceDE w:val="0"/>
        <w:autoSpaceDN w:val="0"/>
        <w:bidi w:val="0"/>
        <w:adjustRightInd w:val="0"/>
        <w:snapToGrid w:val="0"/>
        <w:spacing w:line="480" w:lineRule="exact"/>
        <w:ind w:left="0" w:leftChars="0" w:firstLine="562" w:firstLineChars="200"/>
        <w:textAlignment w:val="auto"/>
        <w:rPr>
          <w:rFonts w:hint="eastAsia" w:ascii="仿宋_GB2312" w:eastAsia="仿宋_GB2312"/>
          <w:b/>
          <w:bCs/>
          <w:color w:val="000000" w:themeColor="text1"/>
          <w:sz w:val="28"/>
          <w:szCs w:val="22"/>
          <w:highlight w:val="none"/>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估计对象土地</w:t>
      </w:r>
      <w:r>
        <w:rPr>
          <w:rFonts w:hint="eastAsia" w:ascii="仿宋_GB2312" w:eastAsia="仿宋_GB2312"/>
          <w:b/>
          <w:bCs/>
          <w:color w:val="000000" w:themeColor="text1"/>
          <w:sz w:val="28"/>
          <w:szCs w:val="22"/>
          <w:highlight w:val="none"/>
          <w14:textFill>
            <w14:solidFill>
              <w14:schemeClr w14:val="tx1"/>
            </w14:solidFill>
          </w14:textFill>
        </w:rPr>
        <w:t>总价：</w:t>
      </w:r>
      <w:r>
        <w:rPr>
          <w:rFonts w:hint="eastAsia" w:ascii="仿宋_GB2312" w:eastAsia="仿宋_GB2312"/>
          <w:b/>
          <w:bCs/>
          <w:color w:val="000000" w:themeColor="text1"/>
          <w:sz w:val="28"/>
          <w:szCs w:val="22"/>
          <w:highlight w:val="none"/>
          <w:lang w:val="en-US" w:eastAsia="zh-CN"/>
          <w14:textFill>
            <w14:solidFill>
              <w14:schemeClr w14:val="tx1"/>
            </w14:solidFill>
          </w14:textFill>
        </w:rPr>
        <w:t>3.82</w:t>
      </w:r>
      <w:r>
        <w:rPr>
          <w:rFonts w:hint="eastAsia" w:ascii="仿宋_GB2312" w:eastAsia="仿宋_GB2312"/>
          <w:b/>
          <w:bCs/>
          <w:color w:val="000000" w:themeColor="text1"/>
          <w:sz w:val="28"/>
          <w:szCs w:val="22"/>
          <w:highlight w:val="none"/>
          <w14:textFill>
            <w14:solidFill>
              <w14:schemeClr w14:val="tx1"/>
            </w14:solidFill>
          </w14:textFill>
        </w:rPr>
        <w:t>万元</w:t>
      </w:r>
    </w:p>
    <w:p w14:paraId="3179C430">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14:textFill>
            <w14:solidFill>
              <w14:schemeClr w14:val="tx1"/>
            </w14:solidFill>
          </w14:textFill>
        </w:rPr>
      </w:pPr>
      <w:r>
        <w:rPr>
          <w:rFonts w:hint="eastAsia" w:ascii="仿宋_GB2312" w:eastAsia="仿宋_GB2312"/>
          <w:b/>
          <w:bCs/>
          <w:color w:val="000000" w:themeColor="text1"/>
          <w:sz w:val="28"/>
          <w:szCs w:val="22"/>
          <w:highlight w:val="none"/>
          <w14:textFill>
            <w14:solidFill>
              <w14:schemeClr w14:val="tx1"/>
            </w14:solidFill>
          </w14:textFill>
        </w:rPr>
        <w:t>大写：人民币</w:t>
      </w:r>
      <w:r>
        <w:rPr>
          <w:rFonts w:hint="eastAsia" w:ascii="仿宋_GB2312" w:eastAsia="仿宋_GB2312"/>
          <w:b/>
          <w:bCs/>
          <w:color w:val="000000" w:themeColor="text1"/>
          <w:sz w:val="28"/>
          <w:szCs w:val="22"/>
          <w:highlight w:val="none"/>
          <w:lang w:val="en-US" w:eastAsia="zh-CN"/>
          <w14:textFill>
            <w14:solidFill>
              <w14:schemeClr w14:val="tx1"/>
            </w14:solidFill>
          </w14:textFill>
        </w:rPr>
        <w:t>叁万捌仟贰佰</w:t>
      </w:r>
      <w:r>
        <w:rPr>
          <w:rFonts w:hint="eastAsia" w:ascii="仿宋_GB2312" w:eastAsia="仿宋_GB2312"/>
          <w:b/>
          <w:bCs/>
          <w:color w:val="000000" w:themeColor="text1"/>
          <w:sz w:val="28"/>
          <w:szCs w:val="22"/>
          <w:highlight w:val="none"/>
          <w14:textFill>
            <w14:solidFill>
              <w14:schemeClr w14:val="tx1"/>
            </w14:solidFill>
          </w14:textFill>
        </w:rPr>
        <w:t>元整</w:t>
      </w:r>
    </w:p>
    <w:p w14:paraId="2D010CEE">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9"/>
        <w:rPr>
          <w:rFonts w:hint="eastAsia" w:ascii="仿宋_GB2312" w:hAnsi="仿宋_GB2312" w:eastAsia="仿宋_GB2312" w:cs="仿宋_GB2312"/>
          <w:b/>
          <w:bCs/>
          <w:color w:val="000000"/>
          <w:kern w:val="2"/>
          <w:sz w:val="28"/>
          <w:szCs w:val="28"/>
          <w:highlight w:val="none"/>
          <w:lang w:val="en-US" w:eastAsia="zh-CN" w:bidi="ar-SA"/>
        </w:rPr>
      </w:pPr>
      <w:r>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t>详见《土地估价结果一览表》。</w:t>
      </w:r>
    </w:p>
    <w:p w14:paraId="0FA63216">
      <w:pPr>
        <w:keepNext w:val="0"/>
        <w:keepLines w:val="0"/>
        <w:pageBreakBefore w:val="0"/>
        <w:widowControl w:val="0"/>
        <w:kinsoku/>
        <w:wordWrap/>
        <w:overflowPunct/>
        <w:topLinePunct w:val="0"/>
        <w:autoSpaceDE/>
        <w:autoSpaceDN/>
        <w:bidi w:val="0"/>
        <w:adjustRightInd/>
        <w:spacing w:line="480" w:lineRule="exact"/>
        <w:ind w:firstLine="562" w:firstLineChars="200"/>
        <w:textAlignment w:val="auto"/>
        <w:outlineLvl w:val="1"/>
        <w:rPr>
          <w:rFonts w:hint="eastAsia" w:ascii="仿宋_GB2312" w:eastAsia="仿宋_GB2312"/>
          <w:sz w:val="28"/>
          <w:szCs w:val="30"/>
          <w:highlight w:val="none"/>
        </w:rPr>
      </w:pPr>
      <w:r>
        <w:rPr>
          <w:rFonts w:hint="eastAsia" w:ascii="仿宋_GB2312" w:eastAsia="仿宋_GB2312"/>
          <w:b/>
          <w:bCs/>
          <w:sz w:val="28"/>
          <w:szCs w:val="30"/>
          <w:highlight w:val="none"/>
        </w:rPr>
        <w:t>三、估价结果和估价报告的使用</w:t>
      </w:r>
    </w:p>
    <w:p w14:paraId="61549B38">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outlineLvl w:val="2"/>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（一）估价的前提条件和假设条件</w:t>
      </w:r>
    </w:p>
    <w:p w14:paraId="32CCD995">
      <w:pPr>
        <w:keepNext w:val="0"/>
        <w:keepLines w:val="0"/>
        <w:pageBreakBefore w:val="0"/>
        <w:widowControl w:val="0"/>
        <w:kinsoku/>
        <w:wordWrap/>
        <w:overflowPunct/>
        <w:topLinePunct w:val="0"/>
        <w:autoSpaceDE/>
        <w:autoSpaceDN/>
        <w:bidi w:val="0"/>
        <w:adjustRightInd w:val="0"/>
        <w:snapToGrid w:val="0"/>
        <w:spacing w:line="46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1、前提条件：</w:t>
      </w:r>
    </w:p>
    <w:p w14:paraId="0E8AE9E0">
      <w:pPr>
        <w:pStyle w:val="11"/>
        <w:keepNext w:val="0"/>
        <w:keepLines w:val="0"/>
        <w:pageBreakBefore w:val="0"/>
        <w:widowControl w:val="0"/>
        <w:kinsoku/>
        <w:wordWrap/>
        <w:overflowPunct/>
        <w:topLinePunct w:val="0"/>
        <w:autoSpaceDE/>
        <w:autoSpaceDN/>
        <w:bidi w:val="0"/>
        <w:spacing w:line="460" w:lineRule="exact"/>
        <w:ind w:firstLine="56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（1）本次估价以委托方提供的有关资料为重要依据，包括了</w:t>
      </w:r>
      <w:r>
        <w:rPr>
          <w:rFonts w:hint="eastAsia" w:ascii="仿宋_GB2312" w:hAnsi="仿宋_GB2312" w:cs="仿宋_GB2312"/>
          <w:bCs/>
          <w:color w:val="auto"/>
          <w:kern w:val="2"/>
          <w:sz w:val="28"/>
          <w:szCs w:val="28"/>
          <w:highlight w:val="none"/>
          <w:lang w:val="en-GB" w:eastAsia="zh-CN" w:bidi="ar-SA"/>
        </w:rPr>
        <w:t>估价对象《房屋所有权证》（道房权证字第713000590号）、《户室面积对照表》、《土地分摊表》、《土地权属及性质证明》（2026年5月19日）、《关于县科工局及所属破产企业单位房改房集资房办理不动产登记有关事项的会议纪要》（道科工字〔2020〕114号）、《关于原县皮革厂属县二轻集体企业的说明》（2025年5月6日）</w:t>
      </w:r>
      <w:r>
        <w:rPr>
          <w:rFonts w:hint="default" w:ascii="仿宋_GB2312" w:hAnsi="仿宋_GB2312" w:eastAsia="仿宋_GB2312" w:cs="仿宋_GB2312"/>
          <w:bCs/>
          <w:color w:val="auto"/>
          <w:kern w:val="2"/>
          <w:sz w:val="28"/>
          <w:szCs w:val="28"/>
          <w:highlight w:val="none"/>
          <w:lang w:val="en-GB" w:eastAsia="zh-CN" w:bidi="ar-SA"/>
        </w:rPr>
        <w:t>等，并以这些资料的合法性为前提。</w:t>
      </w:r>
    </w:p>
    <w:p w14:paraId="24AB252B">
      <w:pPr>
        <w:keepNext w:val="0"/>
        <w:keepLines w:val="0"/>
        <w:pageBreakBefore w:val="0"/>
        <w:widowControl w:val="0"/>
        <w:kinsoku/>
        <w:wordWrap/>
        <w:overflowPunct/>
        <w:topLinePunct w:val="0"/>
        <w:autoSpaceDE/>
        <w:autoSpaceDN/>
        <w:bidi w:val="0"/>
        <w:adjustRightInd w:val="0"/>
        <w:snapToGrid w:val="0"/>
        <w:spacing w:line="46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（2）估价对象与其它生产要素相结合，能满足设定土地使用年限内经营管理的正常进行，保证持续发展。</w:t>
      </w:r>
    </w:p>
    <w:p w14:paraId="14EB4F35">
      <w:pPr>
        <w:keepNext w:val="0"/>
        <w:keepLines w:val="0"/>
        <w:pageBreakBefore w:val="0"/>
        <w:widowControl w:val="0"/>
        <w:kinsoku/>
        <w:wordWrap/>
        <w:overflowPunct/>
        <w:topLinePunct w:val="0"/>
        <w:autoSpaceDE/>
        <w:autoSpaceDN/>
        <w:bidi w:val="0"/>
        <w:adjustRightInd w:val="0"/>
        <w:snapToGrid w:val="0"/>
        <w:spacing w:line="46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（3）估价期日地产市场为公正、公开、公平的均衡市场。</w:t>
      </w:r>
    </w:p>
    <w:p w14:paraId="368DA22F">
      <w:pPr>
        <w:keepNext w:val="0"/>
        <w:keepLines w:val="0"/>
        <w:pageBreakBefore w:val="0"/>
        <w:widowControl w:val="0"/>
        <w:kinsoku/>
        <w:wordWrap/>
        <w:overflowPunct/>
        <w:topLinePunct w:val="0"/>
        <w:autoSpaceDE/>
        <w:autoSpaceDN/>
        <w:bidi w:val="0"/>
        <w:adjustRightInd w:val="0"/>
        <w:snapToGrid w:val="0"/>
        <w:spacing w:line="46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（4）任何有关估价对象的运作方式、程序符合国家、地方的有关法律、法规。</w:t>
      </w:r>
    </w:p>
    <w:p w14:paraId="0CDF8AA9">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（5）估价对象按照设定用途，得到有效合理地利用，并会产生相应的土地收益。</w:t>
      </w:r>
    </w:p>
    <w:p w14:paraId="21DB98B9">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2、假设条件</w:t>
      </w:r>
    </w:p>
    <w:p w14:paraId="68BBEA50">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（1）估价期日设定为</w:t>
      </w:r>
      <w:r>
        <w:rPr>
          <w:rFonts w:hint="eastAsia" w:ascii="仿宋_GB2312" w:hAnsi="仿宋_GB2312" w:eastAsia="仿宋_GB2312" w:cs="仿宋_GB2312"/>
          <w:bCs/>
          <w:color w:val="auto"/>
          <w:kern w:val="2"/>
          <w:sz w:val="28"/>
          <w:szCs w:val="28"/>
          <w:highlight w:val="none"/>
          <w:lang w:val="en-GB" w:eastAsia="zh-CN" w:bidi="ar-SA"/>
        </w:rPr>
        <w:t>2026年</w:t>
      </w:r>
      <w:r>
        <w:rPr>
          <w:rFonts w:hint="eastAsia" w:ascii="仿宋_GB2312" w:hAnsi="仿宋_GB2312" w:eastAsia="仿宋_GB2312" w:cs="仿宋_GB2312"/>
          <w:bCs/>
          <w:color w:val="auto"/>
          <w:kern w:val="2"/>
          <w:sz w:val="28"/>
          <w:szCs w:val="28"/>
          <w:highlight w:val="none"/>
          <w:lang w:val="en-US" w:eastAsia="zh-CN" w:bidi="ar-SA"/>
        </w:rPr>
        <w:t>5</w:t>
      </w:r>
      <w:r>
        <w:rPr>
          <w:rFonts w:hint="eastAsia" w:ascii="仿宋_GB2312" w:hAnsi="仿宋_GB2312" w:eastAsia="仿宋_GB2312" w:cs="仿宋_GB2312"/>
          <w:bCs/>
          <w:color w:val="auto"/>
          <w:kern w:val="2"/>
          <w:sz w:val="28"/>
          <w:szCs w:val="28"/>
          <w:highlight w:val="none"/>
          <w:lang w:val="en-GB" w:eastAsia="zh-CN" w:bidi="ar-SA"/>
        </w:rPr>
        <w:t>月</w:t>
      </w:r>
      <w:r>
        <w:rPr>
          <w:rFonts w:hint="eastAsia" w:ascii="仿宋_GB2312" w:hAnsi="仿宋_GB2312" w:eastAsia="仿宋_GB2312" w:cs="仿宋_GB2312"/>
          <w:bCs/>
          <w:color w:val="auto"/>
          <w:kern w:val="2"/>
          <w:sz w:val="28"/>
          <w:szCs w:val="28"/>
          <w:highlight w:val="none"/>
          <w:lang w:val="en-US" w:eastAsia="zh-CN" w:bidi="ar-SA"/>
        </w:rPr>
        <w:t>18</w:t>
      </w:r>
      <w:r>
        <w:rPr>
          <w:rFonts w:hint="eastAsia" w:ascii="仿宋_GB2312" w:hAnsi="仿宋_GB2312" w:eastAsia="仿宋_GB2312" w:cs="仿宋_GB2312"/>
          <w:bCs/>
          <w:color w:val="auto"/>
          <w:kern w:val="2"/>
          <w:sz w:val="28"/>
          <w:szCs w:val="28"/>
          <w:highlight w:val="none"/>
          <w:lang w:val="en-GB" w:eastAsia="zh-CN" w:bidi="ar-SA"/>
        </w:rPr>
        <w:t>日</w:t>
      </w:r>
      <w:r>
        <w:rPr>
          <w:rFonts w:hint="default" w:ascii="仿宋_GB2312" w:hAnsi="仿宋_GB2312" w:eastAsia="仿宋_GB2312" w:cs="仿宋_GB2312"/>
          <w:bCs/>
          <w:color w:val="auto"/>
          <w:kern w:val="2"/>
          <w:sz w:val="28"/>
          <w:szCs w:val="28"/>
          <w:highlight w:val="none"/>
          <w:lang w:val="en-GB" w:eastAsia="zh-CN" w:bidi="ar-SA"/>
        </w:rPr>
        <w:t>。</w:t>
      </w:r>
    </w:p>
    <w:p w14:paraId="1E118B20">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（2）现状利用条件下的出让土地使用权价格的土地用途设定为</w:t>
      </w:r>
      <w:r>
        <w:rPr>
          <w:rFonts w:hint="eastAsia" w:ascii="仿宋_GB2312" w:hAnsi="仿宋_GB2312" w:eastAsia="仿宋_GB2312" w:cs="仿宋_GB2312"/>
          <w:bCs/>
          <w:color w:val="auto"/>
          <w:kern w:val="2"/>
          <w:sz w:val="28"/>
          <w:szCs w:val="28"/>
          <w:highlight w:val="none"/>
          <w:lang w:val="en-GB" w:eastAsia="zh-CN" w:bidi="ar-SA"/>
        </w:rPr>
        <w:t>住宅</w:t>
      </w:r>
      <w:r>
        <w:rPr>
          <w:rFonts w:hint="default" w:ascii="仿宋_GB2312" w:hAnsi="仿宋_GB2312" w:eastAsia="仿宋_GB2312" w:cs="仿宋_GB2312"/>
          <w:bCs/>
          <w:color w:val="auto"/>
          <w:kern w:val="2"/>
          <w:sz w:val="28"/>
          <w:szCs w:val="28"/>
          <w:highlight w:val="none"/>
          <w:lang w:val="en-GB" w:eastAsia="zh-CN" w:bidi="ar-SA"/>
        </w:rPr>
        <w:t>用地。</w:t>
      </w:r>
    </w:p>
    <w:p w14:paraId="4A72CBE9">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（3）现状利用条件下的出让土地使用权价格的容积率设定为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w:t>
      </w:r>
    </w:p>
    <w:p w14:paraId="485BAADC">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（4）估价对象基础设施条件设定为宗地红线外“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通”（通路、通电、供水、排水、通讯）及宗地红线内场地平整。</w:t>
      </w:r>
    </w:p>
    <w:p w14:paraId="377055B2">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（5）土地使用权类型：</w:t>
      </w:r>
      <w:r>
        <w:rPr>
          <w:rFonts w:hint="eastAsia" w:ascii="仿宋_GB2312" w:hAnsi="仿宋_GB2312" w:eastAsia="仿宋_GB2312" w:cs="仿宋_GB2312"/>
          <w:bCs/>
          <w:color w:val="auto"/>
          <w:kern w:val="2"/>
          <w:sz w:val="28"/>
          <w:szCs w:val="28"/>
          <w:highlight w:val="none"/>
          <w:lang w:val="en-US" w:eastAsia="zh-CN" w:bidi="ar-SA"/>
        </w:rPr>
        <w:t>设定</w:t>
      </w:r>
      <w:r>
        <w:rPr>
          <w:rFonts w:hint="default" w:ascii="仿宋_GB2312" w:hAnsi="仿宋_GB2312" w:eastAsia="仿宋_GB2312" w:cs="仿宋_GB2312"/>
          <w:bCs/>
          <w:color w:val="auto"/>
          <w:kern w:val="2"/>
          <w:sz w:val="28"/>
          <w:szCs w:val="28"/>
          <w:highlight w:val="none"/>
          <w:lang w:val="en-GB" w:eastAsia="zh-CN" w:bidi="ar-SA"/>
        </w:rPr>
        <w:t>土地使用权类型为出让。</w:t>
      </w:r>
    </w:p>
    <w:p w14:paraId="5A39D72D">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（6）土地使用权年限</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设定</w:t>
      </w:r>
      <w:r>
        <w:rPr>
          <w:rFonts w:hint="default" w:ascii="仿宋_GB2312" w:hAnsi="仿宋_GB2312" w:eastAsia="仿宋_GB2312" w:cs="仿宋_GB2312"/>
          <w:bCs/>
          <w:color w:val="auto"/>
          <w:kern w:val="2"/>
          <w:sz w:val="28"/>
          <w:szCs w:val="28"/>
          <w:highlight w:val="none"/>
          <w:lang w:val="en-GB" w:eastAsia="zh-CN" w:bidi="ar-SA"/>
        </w:rPr>
        <w:t>土地使用权年限为</w:t>
      </w:r>
      <w:r>
        <w:rPr>
          <w:rFonts w:hint="eastAsia" w:ascii="仿宋_GB2312" w:hAnsi="仿宋_GB2312" w:eastAsia="仿宋_GB2312" w:cs="仿宋_GB2312"/>
          <w:bCs/>
          <w:color w:val="auto"/>
          <w:kern w:val="2"/>
          <w:sz w:val="28"/>
          <w:szCs w:val="28"/>
          <w:highlight w:val="none"/>
          <w:lang w:val="en-US" w:eastAsia="zh-CN" w:bidi="ar-SA"/>
        </w:rPr>
        <w:t>70年</w:t>
      </w:r>
      <w:r>
        <w:rPr>
          <w:rFonts w:hint="default" w:ascii="仿宋_GB2312" w:hAnsi="仿宋_GB2312" w:eastAsia="仿宋_GB2312" w:cs="仿宋_GB2312"/>
          <w:bCs/>
          <w:color w:val="auto"/>
          <w:kern w:val="2"/>
          <w:sz w:val="28"/>
          <w:szCs w:val="28"/>
          <w:highlight w:val="none"/>
          <w:lang w:val="en-GB" w:eastAsia="zh-CN" w:bidi="ar-SA"/>
        </w:rPr>
        <w:t>。</w:t>
      </w:r>
    </w:p>
    <w:p w14:paraId="1B95E427">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outlineLvl w:val="2"/>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（二）估价结果和估价报告的使用</w:t>
      </w:r>
    </w:p>
    <w:p w14:paraId="630C3A60">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1、估价报告和估价结果发生效力的法律依据</w:t>
      </w:r>
    </w:p>
    <w:p w14:paraId="61AC8A99">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（1）本次估价依据《中华人民共和国资产评估法》及中华人民共和国国家标准《城镇土地估价规程》（GB/T18508-2014）、《国土资源部办公厅关于发布&lt;国有建设用地使用权出让地价评估技术规范</w:t>
      </w:r>
      <w:r>
        <w:rPr>
          <w:rFonts w:hint="default" w:ascii="仿宋_GB2312" w:hAnsi="仿宋_GB2312" w:eastAsia="仿宋_GB2312" w:cs="仿宋_GB2312"/>
          <w:bCs/>
          <w:color w:val="auto"/>
          <w:kern w:val="2"/>
          <w:sz w:val="28"/>
          <w:szCs w:val="28"/>
          <w:highlight w:val="none"/>
          <w:lang w:val="en-US" w:eastAsia="zh-CN" w:bidi="ar-SA"/>
        </w:rPr>
        <w:t>&gt;</w:t>
      </w:r>
      <w:r>
        <w:rPr>
          <w:rFonts w:hint="default" w:ascii="仿宋_GB2312" w:hAnsi="仿宋_GB2312" w:eastAsia="仿宋_GB2312" w:cs="仿宋_GB2312"/>
          <w:bCs/>
          <w:color w:val="auto"/>
          <w:kern w:val="2"/>
          <w:sz w:val="28"/>
          <w:szCs w:val="28"/>
          <w:highlight w:val="none"/>
          <w:lang w:val="en-GB" w:eastAsia="zh-CN" w:bidi="ar-SA"/>
        </w:rPr>
        <w:t>的通知》（国土资厅发[2018]4号）等展开评估工作、撰写本估价报告、形成意见和结论。</w:t>
      </w:r>
    </w:p>
    <w:p w14:paraId="5E7C633D">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（2）估价报告和估价结果的作用依照《中华人民共和国资产评估法》、《中华人民共和国土地管理法》等所列明法律、法规的有关规定发生法律效力。</w:t>
      </w:r>
    </w:p>
    <w:p w14:paraId="4F99C90A">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（3）本报告需在取得电子备案号后，由土地估价师、土地机构法定代表人签名及土地估价机构盖章后方能生效。</w:t>
      </w:r>
    </w:p>
    <w:p w14:paraId="48F2FEA9">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2、估价报告和估价结果使用的方向及限制条件</w:t>
      </w:r>
    </w:p>
    <w:p w14:paraId="7FB330A6">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（1）本报告仅为委托方办理土地使用权出让手续提供价格参考，本次评估结果仅用于本次评估目的时才有效，报告使用人或其他第三方因不当引用本评估结果造成的损失，与本评估机构无关。</w:t>
      </w:r>
    </w:p>
    <w:p w14:paraId="144EA23E">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（2）《土地估价报告》和《土地估价技术报告（评估工作底稿）》均提供给委托方使用和土地上级行政主管部门备案审查。</w:t>
      </w:r>
    </w:p>
    <w:p w14:paraId="3150A5F4">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（3）本报告必须完整使用，对仅使用报告中的部分内容所导致的有关损失，估价机构不承担责任。任何单位和个人未经估价机构书面同意，不得以任何形式发表、肢解本报告。</w:t>
      </w:r>
    </w:p>
    <w:p w14:paraId="3ADA6A95">
      <w:pPr>
        <w:pStyle w:val="25"/>
        <w:keepLines w:val="0"/>
        <w:pageBreakBefore w:val="0"/>
        <w:widowControl w:val="0"/>
        <w:kinsoku/>
        <w:wordWrap/>
        <w:overflowPunct/>
        <w:topLinePunct w:val="0"/>
        <w:autoSpaceDE/>
        <w:autoSpaceDN/>
        <w:bidi w:val="0"/>
        <w:adjustRightInd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3、土地估价结果的有效期</w:t>
      </w:r>
    </w:p>
    <w:p w14:paraId="661F4DEA">
      <w:pPr>
        <w:pStyle w:val="25"/>
        <w:keepLines w:val="0"/>
        <w:pageBreakBefore w:val="0"/>
        <w:widowControl w:val="0"/>
        <w:kinsoku/>
        <w:wordWrap/>
        <w:overflowPunct/>
        <w:topLinePunct w:val="0"/>
        <w:autoSpaceDE/>
        <w:autoSpaceDN/>
        <w:bidi w:val="0"/>
        <w:adjustRightInd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本估价报告和估价结果自报告提交之日起壹年内有效。</w:t>
      </w:r>
    </w:p>
    <w:p w14:paraId="0371CEF6">
      <w:pPr>
        <w:pStyle w:val="25"/>
        <w:keepLines w:val="0"/>
        <w:pageBreakBefore w:val="0"/>
        <w:widowControl w:val="0"/>
        <w:kinsoku/>
        <w:wordWrap/>
        <w:overflowPunct/>
        <w:topLinePunct w:val="0"/>
        <w:autoSpaceDE/>
        <w:autoSpaceDN/>
        <w:bidi w:val="0"/>
        <w:adjustRightInd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4、估价报告的使用权和解释权</w:t>
      </w:r>
    </w:p>
    <w:p w14:paraId="5EE01F16">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本估价报告和估价结果的使用权归委托方所有，湖南</w:t>
      </w:r>
      <w:r>
        <w:rPr>
          <w:rFonts w:hint="eastAsia" w:ascii="仿宋_GB2312" w:hAnsi="仿宋_GB2312" w:eastAsia="仿宋_GB2312" w:cs="仿宋_GB2312"/>
          <w:bCs/>
          <w:color w:val="auto"/>
          <w:kern w:val="2"/>
          <w:sz w:val="28"/>
          <w:szCs w:val="28"/>
          <w:highlight w:val="none"/>
          <w:lang w:val="en-US" w:eastAsia="zh-CN" w:bidi="ar-SA"/>
        </w:rPr>
        <w:t>兆财不动产规划评估有限</w:t>
      </w:r>
      <w:r>
        <w:rPr>
          <w:rFonts w:hint="default" w:ascii="仿宋_GB2312" w:hAnsi="仿宋_GB2312" w:eastAsia="仿宋_GB2312" w:cs="仿宋_GB2312"/>
          <w:bCs/>
          <w:color w:val="auto"/>
          <w:kern w:val="2"/>
          <w:sz w:val="28"/>
          <w:szCs w:val="28"/>
          <w:highlight w:val="none"/>
          <w:lang w:val="en-GB" w:eastAsia="zh-CN" w:bidi="ar-SA"/>
        </w:rPr>
        <w:t>公司对估价结果有解释权。</w:t>
      </w:r>
    </w:p>
    <w:p w14:paraId="2745A893">
      <w:pPr>
        <w:pStyle w:val="25"/>
        <w:keepLines w:val="0"/>
        <w:pageBreakBefore w:val="0"/>
        <w:widowControl w:val="0"/>
        <w:kinsoku/>
        <w:wordWrap/>
        <w:overflowPunct/>
        <w:topLinePunct w:val="0"/>
        <w:autoSpaceDE/>
        <w:autoSpaceDN/>
        <w:bidi w:val="0"/>
        <w:adjustRightInd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5、违规使用土地估价报告和估价结果的法律责任</w:t>
      </w:r>
    </w:p>
    <w:p w14:paraId="41350286">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违背规定或超越本报告特定目的及限制条件使用本土地估价报告和土地估价结果，土地估价机构不承担任何法律责任。</w:t>
      </w:r>
    </w:p>
    <w:p w14:paraId="267C52D1">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outlineLvl w:val="2"/>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（三）需要特殊说明的事项</w:t>
      </w:r>
    </w:p>
    <w:p w14:paraId="08BDD101">
      <w:pPr>
        <w:keepLines w:val="0"/>
        <w:pageBreakBefore w:val="0"/>
        <w:widowControl w:val="0"/>
        <w:kinsoku/>
        <w:wordWrap/>
        <w:overflowPunct/>
        <w:topLinePunct w:val="0"/>
        <w:autoSpaceDE/>
        <w:autoSpaceDN/>
        <w:bidi w:val="0"/>
        <w:adjustRightInd w:val="0"/>
        <w:spacing w:line="480" w:lineRule="exact"/>
        <w:ind w:right="0" w:firstLine="560" w:firstLineChars="200"/>
        <w:textAlignment w:val="auto"/>
        <w:rPr>
          <w:rFonts w:hint="eastAsia" w:ascii="仿宋_GB2312" w:hAnsi="仿宋_GB2312" w:eastAsia="仿宋_GB2312" w:cs="仿宋_GB2312"/>
          <w:bCs/>
          <w:color w:val="auto"/>
          <w:kern w:val="2"/>
          <w:sz w:val="28"/>
          <w:szCs w:val="28"/>
          <w:highlight w:val="none"/>
          <w:lang w:val="en-US" w:eastAsia="zh-CN" w:bidi="ar-SA"/>
        </w:rPr>
      </w:pPr>
      <w:r>
        <w:rPr>
          <w:rFonts w:hint="default" w:ascii="仿宋_GB2312" w:hAnsi="仿宋_GB2312" w:eastAsia="仿宋_GB2312" w:cs="仿宋_GB2312"/>
          <w:bCs/>
          <w:color w:val="auto"/>
          <w:kern w:val="2"/>
          <w:sz w:val="28"/>
          <w:szCs w:val="28"/>
          <w:highlight w:val="none"/>
          <w:lang w:val="en-GB" w:eastAsia="zh-CN" w:bidi="ar-SA"/>
        </w:rPr>
        <w:t>1、有关资料来源</w:t>
      </w:r>
      <w:r>
        <w:rPr>
          <w:rFonts w:hint="eastAsia" w:ascii="仿宋_GB2312" w:hAnsi="仿宋_GB2312" w:eastAsia="仿宋_GB2312" w:cs="仿宋_GB2312"/>
          <w:bCs/>
          <w:color w:val="auto"/>
          <w:kern w:val="2"/>
          <w:sz w:val="28"/>
          <w:szCs w:val="28"/>
          <w:highlight w:val="none"/>
          <w:lang w:val="en-US" w:eastAsia="zh-CN" w:bidi="ar-SA"/>
        </w:rPr>
        <w:t>说明</w:t>
      </w:r>
    </w:p>
    <w:p w14:paraId="5E9D92B1">
      <w:pPr>
        <w:keepNext w:val="0"/>
        <w:keepLines w:val="0"/>
        <w:pageBreakBefore w:val="0"/>
        <w:widowControl w:val="0"/>
        <w:kinsoku/>
        <w:wordWrap/>
        <w:overflowPunct/>
        <w:topLinePunct w:val="0"/>
        <w:autoSpaceDE/>
        <w:autoSpaceDN/>
        <w:bidi w:val="0"/>
        <w:adjustRightIn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（1）资料来源</w:t>
      </w:r>
    </w:p>
    <w:p w14:paraId="47D74323">
      <w:pPr>
        <w:pStyle w:val="11"/>
        <w:keepNext w:val="0"/>
        <w:keepLines w:val="0"/>
        <w:pageBreakBefore w:val="0"/>
        <w:widowControl w:val="0"/>
        <w:kinsoku/>
        <w:wordWrap/>
        <w:overflowPunct/>
        <w:topLinePunct w:val="0"/>
        <w:autoSpaceDE/>
        <w:autoSpaceDN/>
        <w:bidi w:val="0"/>
        <w:spacing w:line="480" w:lineRule="exact"/>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ja-JP" w:bidi="ar-SA"/>
        </w:rPr>
        <w:t>①</w:t>
      </w:r>
      <w:r>
        <w:rPr>
          <w:rFonts w:hint="default" w:ascii="仿宋_GB2312" w:hAnsi="仿宋_GB2312" w:eastAsia="仿宋_GB2312" w:cs="仿宋_GB2312"/>
          <w:bCs/>
          <w:color w:val="auto"/>
          <w:kern w:val="2"/>
          <w:sz w:val="28"/>
          <w:szCs w:val="28"/>
          <w:highlight w:val="none"/>
          <w:lang w:val="en-GB" w:eastAsia="zh-CN" w:bidi="ar-SA"/>
        </w:rPr>
        <w:t>估价对象的</w:t>
      </w:r>
      <w:r>
        <w:rPr>
          <w:rFonts w:hint="eastAsia" w:ascii="仿宋_GB2312" w:hAnsi="仿宋_GB2312" w:cs="仿宋_GB2312"/>
          <w:bCs/>
          <w:color w:val="auto"/>
          <w:kern w:val="2"/>
          <w:sz w:val="28"/>
          <w:szCs w:val="28"/>
          <w:highlight w:val="none"/>
          <w:lang w:val="en-GB" w:eastAsia="zh-CN" w:bidi="ar-SA"/>
        </w:rPr>
        <w:t>《房屋所有权证》（道房权证字第713000590号）、《户室面积对照表》、《土地分摊表》、《土地权属及性质证明》（2026年5月19日）、《关于县科工局及所属破产企业单位房改房集资房办理不动产登记有关事项的会议纪要》（道科工字〔2020〕114号）、《关于原县皮革厂属县二轻集体企业的说明》（2025年5月6日）</w:t>
      </w:r>
      <w:r>
        <w:rPr>
          <w:rFonts w:hint="default" w:ascii="仿宋_GB2312" w:hAnsi="仿宋_GB2312" w:eastAsia="仿宋_GB2312" w:cs="仿宋_GB2312"/>
          <w:bCs/>
          <w:color w:val="auto"/>
          <w:kern w:val="2"/>
          <w:sz w:val="28"/>
          <w:szCs w:val="28"/>
          <w:highlight w:val="none"/>
          <w:lang w:val="en-GB" w:eastAsia="zh-CN" w:bidi="ar-SA"/>
        </w:rPr>
        <w:t>等资料由委托方提供，现场估价人员已进行核对确认，为保证本报告所使用评估数据的准确性、有效性，委托方需要对所提供资料的真实性负责；估价机构对所收集资料的真实性、准确性负责。</w:t>
      </w:r>
    </w:p>
    <w:p w14:paraId="5B919465">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②估价对象的区位条件、土地利用现状照片及交易案例的现状条件等估价相关资料由估价人员实地调查取得。</w:t>
      </w:r>
    </w:p>
    <w:p w14:paraId="08C940F3">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③区域经济发展状况、统计数据、城市规划资料、基准地价资料等由土地估价师向相关部门收集获取。</w:t>
      </w:r>
    </w:p>
    <w:p w14:paraId="262BACED">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④估价中的相关基础资料、地产市场交易案例资料，由</w:t>
      </w:r>
      <w:r>
        <w:rPr>
          <w:rFonts w:hint="eastAsia" w:ascii="仿宋_GB2312" w:hAnsi="仿宋_GB2312" w:eastAsia="仿宋_GB2312" w:cs="仿宋_GB2312"/>
          <w:bCs/>
          <w:color w:val="auto"/>
          <w:kern w:val="2"/>
          <w:sz w:val="28"/>
          <w:szCs w:val="28"/>
          <w:highlight w:val="none"/>
          <w:lang w:val="en-US" w:eastAsia="zh-CN" w:bidi="ar-SA"/>
        </w:rPr>
        <w:t>湖南兆财不动产规划评估有限公司</w:t>
      </w:r>
      <w:r>
        <w:rPr>
          <w:rFonts w:hint="default" w:ascii="仿宋_GB2312" w:hAnsi="仿宋_GB2312" w:eastAsia="仿宋_GB2312" w:cs="仿宋_GB2312"/>
          <w:bCs/>
          <w:color w:val="auto"/>
          <w:kern w:val="2"/>
          <w:sz w:val="28"/>
          <w:szCs w:val="28"/>
          <w:highlight w:val="none"/>
          <w:lang w:val="en-GB" w:eastAsia="zh-CN" w:bidi="ar-SA"/>
        </w:rPr>
        <w:t>的土地估价师通过政府部门相关文件规定、公开媒体、网络平台等多种途径获取。</w:t>
      </w:r>
    </w:p>
    <w:p w14:paraId="772EA864">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⑤土地估价师结合执业经验，对上述相关评估资料的真实性、合法性、有效性、适用性进行了尽职核实和专业判断。</w:t>
      </w:r>
    </w:p>
    <w:p w14:paraId="5130D203">
      <w:pPr>
        <w:keepLines w:val="0"/>
        <w:pageBreakBefore w:val="0"/>
        <w:widowControl w:val="0"/>
        <w:kinsoku/>
        <w:wordWrap/>
        <w:overflowPunct/>
        <w:topLinePunct w:val="0"/>
        <w:autoSpaceDE/>
        <w:autoSpaceDN/>
        <w:bidi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（2）估价人员对估价现场勘查仅限于可观察和可接触到的部分，对被遮盖、未暴露以及难以接触部分，因无法调查而不能实地确认，评估以委托方提供的资料和估价人员实地调查掌握的资料为准。</w:t>
      </w:r>
    </w:p>
    <w:p w14:paraId="59D102AB">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2、估价中经济技术指标来源</w:t>
      </w:r>
    </w:p>
    <w:p w14:paraId="669E35E2">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（1）估价对象所在整体宗地的土地总面积以</w:t>
      </w:r>
      <w:r>
        <w:rPr>
          <w:rFonts w:hint="eastAsia" w:ascii="仿宋_GB2312" w:hAnsi="仿宋_GB2312" w:eastAsia="仿宋_GB2312" w:cs="仿宋_GB2312"/>
          <w:bCs/>
          <w:color w:val="auto"/>
          <w:kern w:val="2"/>
          <w:sz w:val="28"/>
          <w:szCs w:val="28"/>
          <w:highlight w:val="none"/>
          <w:lang w:val="en-GB" w:eastAsia="zh-CN" w:bidi="ar-SA"/>
        </w:rPr>
        <w:t>《土地分摊表》</w:t>
      </w:r>
      <w:r>
        <w:rPr>
          <w:rFonts w:hint="default" w:ascii="仿宋_GB2312" w:hAnsi="仿宋_GB2312" w:eastAsia="仿宋_GB2312" w:cs="仿宋_GB2312"/>
          <w:bCs/>
          <w:color w:val="auto"/>
          <w:kern w:val="2"/>
          <w:sz w:val="28"/>
          <w:szCs w:val="28"/>
          <w:highlight w:val="none"/>
          <w:lang w:val="en-GB" w:eastAsia="zh-CN" w:bidi="ar-SA"/>
        </w:rPr>
        <w:t>为依据，土地</w:t>
      </w:r>
      <w:r>
        <w:rPr>
          <w:rFonts w:hint="eastAsia" w:ascii="仿宋_GB2312" w:hAnsi="仿宋_GB2312" w:eastAsia="仿宋_GB2312" w:cs="仿宋_GB2312"/>
          <w:bCs/>
          <w:color w:val="auto"/>
          <w:kern w:val="2"/>
          <w:sz w:val="28"/>
          <w:szCs w:val="28"/>
          <w:highlight w:val="none"/>
          <w:lang w:val="en-US" w:eastAsia="zh-CN" w:bidi="ar-SA"/>
        </w:rPr>
        <w:t>分摊</w:t>
      </w:r>
      <w:r>
        <w:rPr>
          <w:rFonts w:hint="default" w:ascii="仿宋_GB2312" w:hAnsi="仿宋_GB2312" w:eastAsia="仿宋_GB2312" w:cs="仿宋_GB2312"/>
          <w:bCs/>
          <w:color w:val="auto"/>
          <w:kern w:val="2"/>
          <w:sz w:val="28"/>
          <w:szCs w:val="28"/>
          <w:highlight w:val="none"/>
          <w:lang w:val="en-GB" w:eastAsia="zh-CN" w:bidi="ar-SA"/>
        </w:rPr>
        <w:t>面积</w:t>
      </w:r>
      <w:r>
        <w:rPr>
          <w:rFonts w:hint="eastAsia" w:ascii="仿宋_GB2312" w:hAnsi="仿宋_GB2312" w:eastAsia="仿宋_GB2312" w:cs="仿宋_GB2312"/>
          <w:bCs/>
          <w:color w:val="auto"/>
          <w:kern w:val="2"/>
          <w:sz w:val="28"/>
          <w:szCs w:val="28"/>
          <w:highlight w:val="none"/>
          <w:lang w:val="en-US" w:eastAsia="zh-CN" w:bidi="ar-SA"/>
        </w:rPr>
        <w:t>15.2平方米，估价对象地上建筑物面积以</w:t>
      </w:r>
      <w:r>
        <w:rPr>
          <w:rFonts w:hint="eastAsia" w:ascii="仿宋_GB2312" w:hAnsi="仿宋_GB2312" w:eastAsia="仿宋_GB2312" w:cs="仿宋_GB2312"/>
          <w:bCs/>
          <w:color w:val="auto"/>
          <w:kern w:val="2"/>
          <w:sz w:val="28"/>
          <w:szCs w:val="28"/>
          <w:highlight w:val="none"/>
          <w:lang w:val="en-GB" w:eastAsia="zh-CN" w:bidi="ar-SA"/>
        </w:rPr>
        <w:t>《户室面积对照表》</w:t>
      </w:r>
      <w:r>
        <w:rPr>
          <w:rFonts w:hint="eastAsia" w:ascii="仿宋_GB2312" w:hAnsi="仿宋_GB2312" w:eastAsia="仿宋_GB2312" w:cs="仿宋_GB2312"/>
          <w:bCs/>
          <w:color w:val="auto"/>
          <w:kern w:val="2"/>
          <w:sz w:val="28"/>
          <w:szCs w:val="28"/>
          <w:highlight w:val="none"/>
          <w:lang w:val="en-US" w:eastAsia="zh-CN" w:bidi="ar-SA"/>
        </w:rPr>
        <w:t>为依据，建筑面积为73.415平方米，则估价对象现状容积率为4.83。</w:t>
      </w:r>
      <w:r>
        <w:rPr>
          <w:rFonts w:hint="default" w:ascii="仿宋_GB2312" w:hAnsi="仿宋_GB2312" w:eastAsia="仿宋_GB2312" w:cs="仿宋_GB2312"/>
          <w:bCs/>
          <w:color w:val="auto"/>
          <w:kern w:val="2"/>
          <w:sz w:val="28"/>
          <w:szCs w:val="28"/>
          <w:highlight w:val="none"/>
          <w:lang w:val="en-GB" w:eastAsia="zh-CN" w:bidi="ar-SA"/>
        </w:rPr>
        <w:t>根据估价目的，本次评估现状利用条件下的出让土地使用权价格容积率设定为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。实际需以当地自然资源部门核定为准。</w:t>
      </w:r>
    </w:p>
    <w:p w14:paraId="3278D464">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（2）其他经济技术指标</w:t>
      </w:r>
      <w:r>
        <w:rPr>
          <w:rFonts w:hint="eastAsia" w:ascii="仿宋_GB2312" w:hAnsi="仿宋_GB2312" w:eastAsia="仿宋_GB2312" w:cs="仿宋_GB2312"/>
          <w:bCs/>
          <w:color w:val="auto"/>
          <w:kern w:val="2"/>
          <w:sz w:val="28"/>
          <w:szCs w:val="28"/>
          <w:highlight w:val="none"/>
          <w:lang w:val="en-US" w:eastAsia="zh-CN" w:bidi="ar-SA"/>
        </w:rPr>
        <w:t>结合政府政策文件及</w:t>
      </w:r>
      <w:r>
        <w:rPr>
          <w:rFonts w:hint="default" w:ascii="仿宋_GB2312" w:hAnsi="仿宋_GB2312" w:eastAsia="仿宋_GB2312" w:cs="仿宋_GB2312"/>
          <w:bCs/>
          <w:color w:val="auto"/>
          <w:kern w:val="2"/>
          <w:sz w:val="28"/>
          <w:szCs w:val="28"/>
          <w:highlight w:val="none"/>
          <w:lang w:val="en-GB" w:eastAsia="zh-CN" w:bidi="ar-SA"/>
        </w:rPr>
        <w:t>地方税费文件等资料和市场调查综合确定</w:t>
      </w:r>
    </w:p>
    <w:p w14:paraId="77AB9F89">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3、对估价结果和估价工作可能产生影响的变化事项</w:t>
      </w:r>
    </w:p>
    <w:p w14:paraId="614B7BD8">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（1）估价对象的土地面积与现状利用条件以委托方提供的资料为依据，若土地面积和现状利用条件发生变化，评估结果应作相应调整。</w:t>
      </w:r>
    </w:p>
    <w:p w14:paraId="7B87C860">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本报告估价结果是在满足地价定义所设定条件下的土地使用权价格，若估价对象的土地利用方式、估价期日、土地开发状况、土地使用年限、土地面积等影响地价的因素发生变化，该评估价格应作相应调整。</w:t>
      </w:r>
    </w:p>
    <w:p w14:paraId="22445A5F">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（3）本次评估中关于宗地开发程度的设定</w:t>
      </w:r>
    </w:p>
    <w:p w14:paraId="1E0B3F6B">
      <w:pPr>
        <w:pStyle w:val="11"/>
        <w:spacing w:line="480" w:lineRule="exact"/>
        <w:ind w:firstLine="560"/>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根据委托方提供的资料及估价人员的现场勘查，估价对象于估价期日实际开发程度为宗地红线内外“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通”（通路、通电、供水、排水、通讯）及宗地红线内场地平整，估价对象所在整体宗地上有一栋</w:t>
      </w:r>
      <w:r>
        <w:rPr>
          <w:rFonts w:hint="eastAsia" w:ascii="仿宋_GB2312" w:hAnsi="仿宋_GB2312" w:cs="仿宋_GB2312"/>
          <w:bCs/>
          <w:color w:val="auto"/>
          <w:kern w:val="2"/>
          <w:sz w:val="28"/>
          <w:szCs w:val="28"/>
          <w:highlight w:val="none"/>
          <w:lang w:val="en-US" w:eastAsia="zh-CN" w:bidi="ar-SA"/>
        </w:rPr>
        <w:t>5层</w:t>
      </w:r>
      <w:r>
        <w:rPr>
          <w:rFonts w:hint="default" w:ascii="仿宋_GB2312" w:hAnsi="仿宋_GB2312" w:eastAsia="仿宋_GB2312" w:cs="仿宋_GB2312"/>
          <w:bCs/>
          <w:color w:val="auto"/>
          <w:kern w:val="2"/>
          <w:sz w:val="28"/>
          <w:szCs w:val="28"/>
          <w:highlight w:val="none"/>
          <w:lang w:val="en-GB" w:eastAsia="zh-CN" w:bidi="ar-SA"/>
        </w:rPr>
        <w:t>混合结构</w:t>
      </w:r>
      <w:r>
        <w:rPr>
          <w:rFonts w:hint="eastAsia" w:ascii="仿宋_GB2312" w:hAnsi="仿宋_GB2312" w:eastAsia="仿宋_GB2312" w:cs="仿宋_GB2312"/>
          <w:bCs/>
          <w:color w:val="auto"/>
          <w:kern w:val="2"/>
          <w:sz w:val="28"/>
          <w:szCs w:val="28"/>
          <w:highlight w:val="none"/>
          <w:lang w:val="en-US" w:eastAsia="zh-CN" w:bidi="ar-SA"/>
        </w:rPr>
        <w:t>建筑物</w:t>
      </w:r>
      <w:r>
        <w:rPr>
          <w:rFonts w:hint="default" w:ascii="仿宋_GB2312" w:hAnsi="仿宋_GB2312" w:eastAsia="仿宋_GB2312" w:cs="仿宋_GB2312"/>
          <w:bCs/>
          <w:color w:val="auto"/>
          <w:kern w:val="2"/>
          <w:sz w:val="28"/>
          <w:szCs w:val="28"/>
          <w:highlight w:val="none"/>
          <w:lang w:val="en-GB" w:eastAsia="zh-CN" w:bidi="ar-SA"/>
        </w:rPr>
        <w:t>。根据估价目的，本次评估是为委托方办理土地使用权出让手续提供参考依据，宗地红线内的其他基础设施费用非出让方付出，不应将其重复计入土地价值，故本次评估设定待估宗地开发程度为宗地红线外“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通”（通路、通电、供水、排水、通讯）及宗地红线内场地平整。</w:t>
      </w:r>
    </w:p>
    <w:p w14:paraId="22FAE36D">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4、估价对象的特殊性、估价中未考虑的因素及采取的特殊性处理</w:t>
      </w:r>
    </w:p>
    <w:p w14:paraId="7F9FEB7E">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color w:val="auto"/>
          <w:kern w:val="2"/>
          <w:sz w:val="28"/>
          <w:szCs w:val="28"/>
          <w:highlight w:val="none"/>
          <w:lang w:val="en-GB" w:eastAsia="zh-CN" w:bidi="ar-SA"/>
        </w:rPr>
      </w:pPr>
      <w:r>
        <w:rPr>
          <w:rFonts w:hint="eastAsia" w:ascii="仿宋_GB2312" w:hAnsi="仿宋_GB2312" w:eastAsia="仿宋_GB2312" w:cs="仿宋_GB2312"/>
          <w:bCs/>
          <w:color w:val="auto"/>
          <w:kern w:val="2"/>
          <w:sz w:val="28"/>
          <w:szCs w:val="28"/>
          <w:highlight w:val="none"/>
          <w:lang w:val="en-GB" w:eastAsia="zh-CN" w:bidi="ar-SA"/>
        </w:rPr>
        <w:t>（1）估价对象的特殊性</w:t>
      </w:r>
    </w:p>
    <w:p w14:paraId="3405DEF1">
      <w:pPr>
        <w:pStyle w:val="11"/>
        <w:keepNext w:val="0"/>
        <w:keepLines w:val="0"/>
        <w:pageBreakBefore w:val="0"/>
        <w:widowControl w:val="0"/>
        <w:kinsoku/>
        <w:wordWrap/>
        <w:overflowPunct/>
        <w:topLinePunct w:val="0"/>
        <w:autoSpaceDE/>
        <w:autoSpaceDN/>
        <w:bidi w:val="0"/>
        <w:spacing w:line="480" w:lineRule="exact"/>
        <w:ind w:firstLine="560"/>
        <w:textAlignment w:val="auto"/>
        <w:rPr>
          <w:rFonts w:hint="default" w:ascii="仿宋_GB2312" w:hAnsi="仿宋_GB2312" w:eastAsia="仿宋_GB2312" w:cs="仿宋_GB2312"/>
          <w:bCs/>
          <w:color w:val="auto"/>
          <w:kern w:val="2"/>
          <w:sz w:val="28"/>
          <w:szCs w:val="28"/>
          <w:highlight w:val="none"/>
          <w:lang w:val="en-US" w:eastAsia="zh-CN" w:bidi="ar-SA"/>
        </w:rPr>
      </w:pPr>
      <w:r>
        <w:rPr>
          <w:rFonts w:hint="eastAsia" w:ascii="仿宋_GB2312" w:hAnsi="仿宋_GB2312" w:eastAsia="仿宋_GB2312" w:cs="仿宋_GB2312"/>
          <w:bCs/>
          <w:color w:val="auto"/>
          <w:kern w:val="2"/>
          <w:sz w:val="28"/>
          <w:szCs w:val="28"/>
          <w:highlight w:val="none"/>
          <w:lang w:val="en-US" w:eastAsia="zh-CN" w:bidi="ar-SA"/>
        </w:rPr>
        <w:t>①</w:t>
      </w:r>
      <w:r>
        <w:rPr>
          <w:rFonts w:hint="eastAsia" w:ascii="仿宋_GB2312" w:hAnsi="仿宋_GB2312" w:eastAsia="仿宋_GB2312" w:cs="仿宋_GB2312"/>
          <w:bCs/>
          <w:color w:val="auto"/>
          <w:kern w:val="2"/>
          <w:sz w:val="28"/>
          <w:szCs w:val="28"/>
          <w:highlight w:val="none"/>
          <w:lang w:val="en-GB" w:eastAsia="zh-CN" w:bidi="ar-SA"/>
        </w:rPr>
        <w:t>根据道县集中化解房地产办证信访突出问题工作领导小组办公室</w:t>
      </w:r>
      <w:r>
        <w:rPr>
          <w:rFonts w:hint="eastAsia" w:ascii="仿宋_GB2312" w:hAnsi="仿宋_GB2312" w:cs="仿宋_GB2312"/>
          <w:bCs/>
          <w:color w:val="auto"/>
          <w:kern w:val="2"/>
          <w:sz w:val="28"/>
          <w:szCs w:val="28"/>
          <w:highlight w:val="none"/>
          <w:lang w:val="en-US" w:eastAsia="zh-CN" w:bidi="ar-SA"/>
        </w:rPr>
        <w:t>出具的《土地权属及性质证明》（2026年5月19日），估价对象土地使用者为王汝冲，道县皮革厂工作人员，根据房改房政策于2004年购得位于道州月岩西路皮革厂家属楼3栋4层404住房一套，房产证号：道房权证字第713000590号，房屋登记面积74.55平方米。其房屋分摊土地使用权类型为国有划拨，因历史遗留问题，土地暂未办理土地权属登记，本次评估结合《评估委托书》和《土地权属及性质证明》（2026年5月19日），设定估价对象</w:t>
      </w:r>
      <w:r>
        <w:rPr>
          <w:rFonts w:hint="default" w:ascii="仿宋_GB2312" w:hAnsi="仿宋_GB2312" w:eastAsia="仿宋_GB2312" w:cs="仿宋_GB2312"/>
          <w:bCs/>
          <w:color w:val="auto"/>
          <w:kern w:val="2"/>
          <w:sz w:val="28"/>
          <w:szCs w:val="28"/>
          <w:highlight w:val="none"/>
          <w:lang w:val="en-GB" w:eastAsia="zh-CN" w:bidi="ar-SA"/>
        </w:rPr>
        <w:t>至估价期日</w:t>
      </w:r>
      <w:r>
        <w:rPr>
          <w:rFonts w:hint="eastAsia" w:ascii="仿宋_GB2312" w:hAnsi="仿宋_GB2312" w:cs="仿宋_GB2312"/>
          <w:bCs/>
          <w:color w:val="auto"/>
          <w:kern w:val="2"/>
          <w:sz w:val="28"/>
          <w:szCs w:val="28"/>
          <w:highlight w:val="none"/>
          <w:lang w:val="en-US" w:eastAsia="zh-CN" w:bidi="ar-SA"/>
        </w:rPr>
        <w:t>为国有</w:t>
      </w:r>
      <w:r>
        <w:rPr>
          <w:rFonts w:hint="eastAsia" w:ascii="仿宋_GB2312" w:hAnsi="仿宋_GB2312" w:eastAsia="仿宋_GB2312" w:cs="仿宋_GB2312"/>
          <w:bCs/>
          <w:color w:val="auto"/>
          <w:kern w:val="2"/>
          <w:sz w:val="28"/>
          <w:szCs w:val="28"/>
          <w:highlight w:val="none"/>
          <w:lang w:val="en-GB" w:eastAsia="zh-CN" w:bidi="ar-SA"/>
        </w:rPr>
        <w:t>划拨</w:t>
      </w:r>
      <w:r>
        <w:rPr>
          <w:rFonts w:hint="eastAsia" w:ascii="仿宋_GB2312" w:hAnsi="仿宋_GB2312" w:cs="仿宋_GB2312"/>
          <w:bCs/>
          <w:color w:val="auto"/>
          <w:kern w:val="2"/>
          <w:sz w:val="28"/>
          <w:szCs w:val="28"/>
          <w:highlight w:val="none"/>
          <w:lang w:val="en-US" w:eastAsia="zh-CN" w:bidi="ar-SA"/>
        </w:rPr>
        <w:t>土</w:t>
      </w:r>
      <w:r>
        <w:rPr>
          <w:rFonts w:hint="default" w:ascii="仿宋_GB2312" w:hAnsi="仿宋_GB2312" w:eastAsia="仿宋_GB2312" w:cs="仿宋_GB2312"/>
          <w:bCs/>
          <w:color w:val="auto"/>
          <w:kern w:val="2"/>
          <w:sz w:val="28"/>
          <w:szCs w:val="28"/>
          <w:highlight w:val="none"/>
          <w:lang w:val="en-GB" w:eastAsia="zh-CN" w:bidi="ar-SA"/>
        </w:rPr>
        <w:t>地</w:t>
      </w:r>
      <w:r>
        <w:rPr>
          <w:rFonts w:hint="eastAsia" w:ascii="仿宋_GB2312" w:hAnsi="仿宋_GB2312" w:cs="仿宋_GB2312"/>
          <w:bCs/>
          <w:color w:val="auto"/>
          <w:kern w:val="2"/>
          <w:sz w:val="28"/>
          <w:szCs w:val="28"/>
          <w:highlight w:val="none"/>
          <w:lang w:val="en-GB" w:eastAsia="zh-CN" w:bidi="ar-SA"/>
        </w:rPr>
        <w:t>，</w:t>
      </w:r>
      <w:r>
        <w:rPr>
          <w:rFonts w:hint="eastAsia" w:ascii="仿宋_GB2312" w:hAnsi="仿宋_GB2312" w:cs="仿宋_GB2312"/>
          <w:bCs/>
          <w:color w:val="auto"/>
          <w:kern w:val="2"/>
          <w:sz w:val="28"/>
          <w:szCs w:val="28"/>
          <w:highlight w:val="none"/>
          <w:lang w:val="en-US" w:eastAsia="zh-CN" w:bidi="ar-SA"/>
        </w:rPr>
        <w:t>土地使用权人为王汝冲。</w:t>
      </w:r>
    </w:p>
    <w:p w14:paraId="1A38D819">
      <w:pPr>
        <w:pStyle w:val="11"/>
        <w:keepNext w:val="0"/>
        <w:keepLines w:val="0"/>
        <w:pageBreakBefore w:val="0"/>
        <w:widowControl w:val="0"/>
        <w:kinsoku/>
        <w:wordWrap/>
        <w:overflowPunct/>
        <w:topLinePunct w:val="0"/>
        <w:autoSpaceDE/>
        <w:autoSpaceDN/>
        <w:bidi w:val="0"/>
        <w:spacing w:line="480" w:lineRule="exact"/>
        <w:ind w:firstLine="560"/>
        <w:textAlignment w:val="auto"/>
        <w:rPr>
          <w:rFonts w:hint="eastAsia" w:ascii="仿宋_GB2312" w:hAnsi="仿宋_GB2312" w:eastAsia="仿宋_GB2312" w:cs="仿宋_GB2312"/>
          <w:bCs/>
          <w:color w:val="auto"/>
          <w:kern w:val="2"/>
          <w:sz w:val="28"/>
          <w:szCs w:val="28"/>
          <w:highlight w:val="none"/>
          <w:lang w:val="en-GB" w:eastAsia="zh-CN" w:bidi="ar-SA"/>
        </w:rPr>
      </w:pPr>
      <w:r>
        <w:rPr>
          <w:rFonts w:hint="eastAsia" w:ascii="仿宋_GB2312" w:hAnsi="仿宋_GB2312" w:cs="仿宋_GB2312"/>
          <w:bCs/>
          <w:color w:val="auto"/>
          <w:kern w:val="2"/>
          <w:sz w:val="28"/>
          <w:szCs w:val="28"/>
          <w:highlight w:val="none"/>
          <w:lang w:val="en-US" w:eastAsia="zh-CN" w:bidi="ar-SA"/>
        </w:rPr>
        <w:t>②</w:t>
      </w:r>
      <w:r>
        <w:rPr>
          <w:rFonts w:hint="eastAsia" w:ascii="仿宋_GB2312" w:hAnsi="仿宋_GB2312" w:eastAsia="仿宋_GB2312" w:cs="仿宋_GB2312"/>
          <w:bCs/>
          <w:color w:val="auto"/>
          <w:kern w:val="2"/>
          <w:sz w:val="28"/>
          <w:szCs w:val="28"/>
          <w:highlight w:val="none"/>
          <w:lang w:val="en-GB" w:eastAsia="zh-CN" w:bidi="ar-SA"/>
        </w:rPr>
        <w:t>根据委托方提供的估价对象《房屋所有权证》（道房权证字第713000590号），</w:t>
      </w:r>
      <w:r>
        <w:rPr>
          <w:rFonts w:hint="eastAsia" w:ascii="仿宋_GB2312" w:hAnsi="仿宋_GB2312" w:cs="仿宋_GB2312"/>
          <w:bCs/>
          <w:color w:val="auto"/>
          <w:kern w:val="2"/>
          <w:sz w:val="28"/>
          <w:szCs w:val="28"/>
          <w:highlight w:val="none"/>
          <w:lang w:val="en-US" w:eastAsia="zh-CN" w:bidi="ar-SA"/>
        </w:rPr>
        <w:t>估价对象登记建筑面积为74.55平方米</w:t>
      </w:r>
      <w:r>
        <w:rPr>
          <w:rFonts w:hint="eastAsia" w:ascii="仿宋_GB2312" w:hAnsi="仿宋_GB2312" w:eastAsia="仿宋_GB2312" w:cs="仿宋_GB2312"/>
          <w:bCs/>
          <w:color w:val="auto"/>
          <w:kern w:val="2"/>
          <w:sz w:val="28"/>
          <w:szCs w:val="28"/>
          <w:highlight w:val="none"/>
          <w:lang w:val="en-US" w:eastAsia="zh-CN" w:bidi="ar-SA"/>
        </w:rPr>
        <w:t>，根据</w:t>
      </w:r>
      <w:r>
        <w:rPr>
          <w:rFonts w:hint="eastAsia" w:ascii="仿宋_GB2312" w:hAnsi="仿宋_GB2312" w:cs="仿宋_GB2312"/>
          <w:bCs/>
          <w:color w:val="auto"/>
          <w:kern w:val="2"/>
          <w:sz w:val="28"/>
          <w:szCs w:val="28"/>
          <w:highlight w:val="none"/>
          <w:lang w:val="en-US" w:eastAsia="zh-CN" w:bidi="ar-SA"/>
        </w:rPr>
        <w:t>《不动产测绘报告书》中的《户室面积对照表》，估价对象实测建筑面积73.415平方米，与证载面积不一致，根据《评估委托书》，建筑面积为73.415平方米，估价对象分摊土地面积以《土地分摊表》为依据15.2平方米</w:t>
      </w:r>
      <w:r>
        <w:rPr>
          <w:rFonts w:hint="eastAsia" w:ascii="仿宋_GB2312" w:hAnsi="仿宋_GB2312" w:eastAsia="仿宋_GB2312" w:cs="仿宋_GB2312"/>
          <w:bCs/>
          <w:color w:val="auto"/>
          <w:kern w:val="2"/>
          <w:sz w:val="28"/>
          <w:szCs w:val="28"/>
          <w:highlight w:val="none"/>
          <w:lang w:val="en-GB" w:eastAsia="zh-CN" w:bidi="ar-SA"/>
        </w:rPr>
        <w:t>。</w:t>
      </w:r>
    </w:p>
    <w:p w14:paraId="7E0AB6B0">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color w:val="auto"/>
          <w:kern w:val="2"/>
          <w:sz w:val="28"/>
          <w:szCs w:val="28"/>
          <w:highlight w:val="none"/>
          <w:lang w:val="en-GB" w:eastAsia="zh-CN" w:bidi="ar-SA"/>
        </w:rPr>
      </w:pPr>
      <w:r>
        <w:rPr>
          <w:rFonts w:hint="eastAsia" w:ascii="仿宋_GB2312" w:hAnsi="仿宋_GB2312" w:eastAsia="仿宋_GB2312" w:cs="仿宋_GB2312"/>
          <w:bCs/>
          <w:color w:val="auto"/>
          <w:kern w:val="2"/>
          <w:sz w:val="28"/>
          <w:szCs w:val="28"/>
          <w:highlight w:val="none"/>
          <w:lang w:val="en-GB" w:eastAsia="zh-CN" w:bidi="ar-SA"/>
        </w:rPr>
        <w:t>（2）估价中未考虑的因素</w:t>
      </w:r>
    </w:p>
    <w:p w14:paraId="408E3F12">
      <w:pPr>
        <w:keepNext w:val="0"/>
        <w:keepLines w:val="0"/>
        <w:pageBreakBefore w:val="0"/>
        <w:widowControl w:val="0"/>
        <w:kinsoku/>
        <w:wordWrap/>
        <w:overflowPunct/>
        <w:topLinePunct w:val="0"/>
        <w:autoSpaceDE/>
        <w:autoSpaceDN/>
        <w:bidi w:val="0"/>
        <w:adjustRightInd w:val="0"/>
        <w:snapToGrid w:val="0"/>
        <w:spacing w:line="480" w:lineRule="atLeas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本次估价结果是反映估价对象在本次估价目的下的公开市场价格水平，估价时没有考虑未来国家宏观经济政策发生变化、市场供应变化、市场结构转变、遇有自然力和其他不可抗力等因素对土地使用权价值的影响，也没有考虑特殊交易方式下的特殊交易价格等对评估价值的影响。当上述条件发生变化时，评估结果应做相应调整。</w:t>
      </w:r>
    </w:p>
    <w:p w14:paraId="7F924994">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（3）采取的特殊处理方式</w:t>
      </w:r>
    </w:p>
    <w:p w14:paraId="7E3CCC8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估价对象于估价期日土地使用权类型为划拨，根据《国土资源部办公厅关于发布&lt;国有建设用地使用权出让地价评估技术规范&gt;的通知》（国土资厅发[2018]4号），划拨土地办理协议出让时，不改变土地及建筑物、构筑物现状的，应按本规范评估在现状利用条件下的出让土地使用权正常市场价格，减去划拨土地使用权价格。根据《土地资产评估委托书》和相关部门要求，本次评估仅需评估估价对象于估价日期在现状利用条件下的出让土地使用权价格，为</w:t>
      </w:r>
      <w:r>
        <w:rPr>
          <w:rFonts w:hint="eastAsia" w:ascii="仿宋_GB2312" w:hAnsi="仿宋_GB2312" w:eastAsia="仿宋_GB2312" w:cs="仿宋_GB2312"/>
          <w:bCs/>
          <w:color w:val="auto"/>
          <w:kern w:val="2"/>
          <w:sz w:val="28"/>
          <w:szCs w:val="28"/>
          <w:highlight w:val="none"/>
          <w:lang w:val="en-US" w:eastAsia="zh-CN" w:bidi="ar-SA"/>
        </w:rPr>
        <w:t>道县</w:t>
      </w:r>
      <w:r>
        <w:rPr>
          <w:rFonts w:hint="default" w:ascii="仿宋_GB2312" w:hAnsi="仿宋_GB2312" w:eastAsia="仿宋_GB2312" w:cs="仿宋_GB2312"/>
          <w:bCs/>
          <w:color w:val="auto"/>
          <w:kern w:val="2"/>
          <w:sz w:val="28"/>
          <w:szCs w:val="28"/>
          <w:highlight w:val="none"/>
          <w:lang w:val="en-GB" w:eastAsia="zh-CN" w:bidi="ar-SA"/>
        </w:rPr>
        <w:t>自然资源局办理土地使用权出让手续提供参考，故本报告未对估价对象的划拨土地使用权价格进行评估。</w:t>
      </w:r>
    </w:p>
    <w:p w14:paraId="1D52D1EE">
      <w:pPr>
        <w:keepNext w:val="0"/>
        <w:keepLines w:val="0"/>
        <w:pageBreakBefore w:val="0"/>
        <w:widowControl w:val="0"/>
        <w:kinsoku/>
        <w:wordWrap/>
        <w:overflowPunct/>
        <w:topLinePunct w:val="0"/>
        <w:bidi w:val="0"/>
        <w:adjustRightInd w:val="0"/>
        <w:snapToGrid w:val="0"/>
        <w:spacing w:line="480" w:lineRule="exact"/>
        <w:ind w:firstLine="562" w:firstLineChars="200"/>
        <w:rPr>
          <w:rFonts w:hint="eastAsia" w:ascii="仿宋" w:hAnsi="仿宋" w:eastAsia="仿宋" w:cs="仿宋"/>
          <w:sz w:val="28"/>
          <w:szCs w:val="28"/>
          <w:highlight w:val="none"/>
        </w:rPr>
      </w:pPr>
      <w:r>
        <w:rPr>
          <w:rFonts w:hint="eastAsia" w:ascii="仿宋_GB2312" w:hAnsi="仿宋_GB2312" w:eastAsia="仿宋_GB2312" w:cs="仿宋_GB2312"/>
          <w:b/>
          <w:bCs/>
          <w:color w:val="000000"/>
          <w:kern w:val="2"/>
          <w:sz w:val="28"/>
          <w:szCs w:val="28"/>
          <w:highlight w:val="none"/>
          <w:lang w:val="en-US" w:eastAsia="zh-CN" w:bidi="ar-SA"/>
        </w:rPr>
        <w:br w:type="page"/>
      </w:r>
    </w:p>
    <w:p w14:paraId="102BAB6C">
      <w:pPr>
        <w:pStyle w:val="17"/>
        <w:keepNext w:val="0"/>
        <w:keepLines w:val="0"/>
        <w:pageBreakBefore w:val="0"/>
        <w:widowControl w:val="0"/>
        <w:kinsoku/>
        <w:wordWrap/>
        <w:overflowPunct/>
        <w:topLinePunct w:val="0"/>
        <w:autoSpaceDE/>
        <w:autoSpaceDN/>
        <w:bidi w:val="0"/>
        <w:spacing w:before="120" w:beforeLines="50" w:after="240" w:afterLines="100" w:line="360" w:lineRule="auto"/>
        <w:ind w:firstLine="0" w:firstLineChars="0"/>
        <w:jc w:val="center"/>
        <w:textAlignment w:val="auto"/>
        <w:outlineLvl w:val="0"/>
        <w:rPr>
          <w:rFonts w:hint="eastAsia" w:ascii="宋体" w:hAnsi="宋体" w:eastAsia="宋体" w:cs="宋体"/>
          <w:b/>
          <w:color w:val="auto"/>
          <w:sz w:val="32"/>
          <w:szCs w:val="32"/>
          <w:highlight w:val="none"/>
        </w:rPr>
      </w:pPr>
      <w:bookmarkStart w:id="16" w:name="_Toc32260"/>
      <w:r>
        <w:rPr>
          <w:rFonts w:hint="eastAsia" w:ascii="宋体" w:hAnsi="宋体" w:eastAsia="宋体" w:cs="宋体"/>
          <w:b/>
          <w:color w:val="auto"/>
          <w:sz w:val="32"/>
          <w:szCs w:val="32"/>
          <w:highlight w:val="none"/>
          <w:lang w:val="en-US" w:eastAsia="zh-CN"/>
        </w:rPr>
        <w:t>第四部分</w:t>
      </w:r>
      <w:bookmarkStart w:id="17" w:name="_Toc7871"/>
      <w:r>
        <w:rPr>
          <w:rFonts w:hint="eastAsia" w:ascii="宋体" w:hAnsi="宋体" w:eastAsia="宋体" w:cs="宋体"/>
          <w:b/>
          <w:color w:val="auto"/>
          <w:sz w:val="32"/>
          <w:szCs w:val="32"/>
          <w:highlight w:val="none"/>
          <w:lang w:val="en-US" w:eastAsia="zh-CN"/>
        </w:rPr>
        <w:t xml:space="preserve">  </w:t>
      </w:r>
      <w:r>
        <w:rPr>
          <w:rFonts w:hint="eastAsia" w:ascii="宋体" w:hAnsi="宋体" w:eastAsia="宋体" w:cs="宋体"/>
          <w:b/>
          <w:color w:val="auto"/>
          <w:sz w:val="32"/>
          <w:szCs w:val="32"/>
          <w:highlight w:val="none"/>
        </w:rPr>
        <w:t>附件</w:t>
      </w:r>
      <w:bookmarkEnd w:id="16"/>
      <w:bookmarkEnd w:id="17"/>
    </w:p>
    <w:p w14:paraId="053AAEAE">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51392C75">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62CCAD1">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3.估价对象《房屋所有权证》（道房权证字第713000590号）；</w:t>
      </w:r>
    </w:p>
    <w:p w14:paraId="263914A7">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4.估价对象《户室面积对照表》；</w:t>
      </w:r>
    </w:p>
    <w:p w14:paraId="13A919E8">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5.估价对象《土地分摊表》；</w:t>
      </w:r>
    </w:p>
    <w:p w14:paraId="38B05906">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6.估价对象《土地权属及性质证明》（2026年5月19日）；</w:t>
      </w:r>
    </w:p>
    <w:p w14:paraId="0EF3FC20">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7.估价对象《关于县科工局及所属破产企业单位房改房集资房办理不动产登记有关事项的会议纪要》（道科工字〔2020〕114号）；</w:t>
      </w:r>
    </w:p>
    <w:p w14:paraId="0AFEE751">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8.估价对象《关于原县皮革厂属县二轻集体企业的说明》（2025年5月6日）；</w:t>
      </w:r>
    </w:p>
    <w:p w14:paraId="529FDBD9">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9.估价对象宗地区域位置示意图；</w:t>
      </w:r>
    </w:p>
    <w:p w14:paraId="6FD37B72">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10.现场勘查照片；</w:t>
      </w:r>
    </w:p>
    <w:p w14:paraId="2136C5ED">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11.现场勘查记录表；</w:t>
      </w:r>
    </w:p>
    <w:p w14:paraId="792C92FD">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12.收益还原法案例位置和现场照片；</w:t>
      </w:r>
    </w:p>
    <w:p w14:paraId="4BB9C2F4">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13.土地评估中介机构企业营业执照；</w:t>
      </w:r>
    </w:p>
    <w:p w14:paraId="1A4502A6">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14.土地评估中介机构备案证明；</w:t>
      </w:r>
    </w:p>
    <w:p w14:paraId="4FDC97A3">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15.土地估价师资质证书。</w:t>
      </w:r>
    </w:p>
    <w:p w14:paraId="280D2782">
      <w:pPr>
        <w:keepNext w:val="0"/>
        <w:keepLines w:val="0"/>
        <w:pageBreakBefore w:val="0"/>
        <w:widowControl w:val="0"/>
        <w:kinsoku/>
        <w:wordWrap/>
        <w:overflowPunct/>
        <w:topLinePunct w:val="0"/>
        <w:autoSpaceDE/>
        <w:autoSpaceDN/>
        <w:bidi w:val="0"/>
        <w:spacing w:line="360" w:lineRule="auto"/>
        <w:jc w:val="right"/>
        <w:textAlignment w:val="auto"/>
        <w:rPr>
          <w:rFonts w:hint="eastAsia" w:ascii="仿宋_GB2312" w:eastAsia="仿宋_GB2312"/>
          <w:sz w:val="28"/>
          <w:szCs w:val="28"/>
          <w:highlight w:val="none"/>
        </w:rPr>
      </w:pPr>
    </w:p>
    <w:p w14:paraId="55FF512F">
      <w:pPr>
        <w:keepNext w:val="0"/>
        <w:keepLines w:val="0"/>
        <w:pageBreakBefore w:val="0"/>
        <w:widowControl w:val="0"/>
        <w:kinsoku/>
        <w:wordWrap/>
        <w:overflowPunct/>
        <w:topLinePunct w:val="0"/>
        <w:bidi w:val="0"/>
        <w:spacing w:line="360" w:lineRule="auto"/>
        <w:jc w:val="right"/>
        <w:textAlignment w:val="auto"/>
        <w:rPr>
          <w:rFonts w:hint="eastAsia" w:ascii="仿宋_GB2312" w:eastAsia="仿宋_GB2312"/>
          <w:sz w:val="28"/>
          <w:szCs w:val="28"/>
          <w:highlight w:val="none"/>
        </w:rPr>
      </w:pPr>
      <w:r>
        <w:rPr>
          <w:rFonts w:hint="eastAsia" w:ascii="仿宋_GB2312" w:eastAsia="仿宋_GB2312"/>
          <w:sz w:val="28"/>
          <w:szCs w:val="28"/>
          <w:highlight w:val="none"/>
        </w:rPr>
        <w:t>（以上资料均为复印件）</w:t>
      </w:r>
    </w:p>
    <w:p w14:paraId="45B5610D">
      <w:pPr>
        <w:spacing w:line="520" w:lineRule="exact"/>
        <w:jc w:val="center"/>
        <w:rPr>
          <w:rFonts w:hint="eastAsia" w:asciiTheme="majorEastAsia" w:hAnsiTheme="majorEastAsia" w:eastAsiaTheme="majorEastAsia" w:cstheme="majorEastAsia"/>
          <w:b/>
          <w:bCs/>
          <w:sz w:val="44"/>
          <w:szCs w:val="44"/>
          <w:highlight w:val="none"/>
        </w:rPr>
        <w:sectPr>
          <w:headerReference r:id="rId9" w:type="first"/>
          <w:footerReference r:id="rId11" w:type="first"/>
          <w:footerReference r:id="rId10" w:type="default"/>
          <w:pgSz w:w="11906" w:h="16838"/>
          <w:pgMar w:top="1440" w:right="1800" w:bottom="1440" w:left="1800" w:header="851" w:footer="992" w:gutter="0"/>
          <w:pgNumType w:fmt="decimal"/>
          <w:cols w:space="0" w:num="1"/>
          <w:rtlGutter w:val="0"/>
          <w:docGrid w:type="lines" w:linePitch="312" w:charSpace="0"/>
        </w:sectPr>
      </w:pPr>
    </w:p>
    <w:p w14:paraId="35CD6E50">
      <w:pPr>
        <w:spacing w:line="520" w:lineRule="exact"/>
        <w:jc w:val="center"/>
        <w:rPr>
          <w:rFonts w:hint="eastAsia" w:asciiTheme="majorEastAsia" w:hAnsiTheme="majorEastAsia" w:eastAsiaTheme="majorEastAsia" w:cstheme="majorEastAsia"/>
          <w:b/>
          <w:bCs/>
          <w:sz w:val="44"/>
          <w:szCs w:val="44"/>
          <w:highlight w:val="none"/>
        </w:rPr>
      </w:pPr>
      <w:r>
        <w:rPr>
          <w:rFonts w:hint="eastAsia" w:asciiTheme="majorEastAsia" w:hAnsiTheme="majorEastAsia" w:eastAsiaTheme="majorEastAsia" w:cstheme="majorEastAsia"/>
          <w:b/>
          <w:bCs/>
          <w:sz w:val="44"/>
          <w:szCs w:val="44"/>
          <w:highlight w:val="none"/>
        </w:rPr>
        <w:t xml:space="preserve">土 地 估 价 </w:t>
      </w:r>
      <w:r>
        <w:rPr>
          <w:rFonts w:hint="eastAsia" w:asciiTheme="majorEastAsia" w:hAnsiTheme="majorEastAsia" w:eastAsiaTheme="majorEastAsia" w:cstheme="majorEastAsia"/>
          <w:b/>
          <w:bCs/>
          <w:sz w:val="44"/>
          <w:szCs w:val="44"/>
          <w:highlight w:val="none"/>
          <w:lang w:val="en-US" w:eastAsia="zh-CN"/>
        </w:rPr>
        <w:t xml:space="preserve">技 术 </w:t>
      </w:r>
      <w:r>
        <w:rPr>
          <w:rFonts w:hint="eastAsia" w:asciiTheme="majorEastAsia" w:hAnsiTheme="majorEastAsia" w:eastAsiaTheme="majorEastAsia" w:cstheme="majorEastAsia"/>
          <w:b/>
          <w:bCs/>
          <w:sz w:val="44"/>
          <w:szCs w:val="44"/>
          <w:highlight w:val="none"/>
        </w:rPr>
        <w:t>报 告</w:t>
      </w:r>
    </w:p>
    <w:p w14:paraId="5684C264">
      <w:pPr>
        <w:pStyle w:val="11"/>
        <w:ind w:left="0" w:leftChars="0" w:firstLine="0" w:firstLineChars="0"/>
        <w:jc w:val="center"/>
        <w:rPr>
          <w:rFonts w:hint="eastAsia" w:asciiTheme="majorEastAsia" w:hAnsiTheme="majorEastAsia" w:eastAsiaTheme="majorEastAsia" w:cstheme="majorEastAsia"/>
          <w:b/>
          <w:bCs/>
          <w:sz w:val="44"/>
          <w:szCs w:val="44"/>
          <w:highlight w:val="none"/>
          <w:lang w:eastAsia="zh-CN"/>
        </w:rPr>
      </w:pPr>
      <w:r>
        <w:rPr>
          <w:rFonts w:hint="eastAsia" w:asciiTheme="majorEastAsia" w:hAnsiTheme="majorEastAsia" w:eastAsiaTheme="majorEastAsia" w:cstheme="majorEastAsia"/>
          <w:b/>
          <w:bCs/>
          <w:sz w:val="44"/>
          <w:szCs w:val="44"/>
          <w:highlight w:val="none"/>
          <w:lang w:eastAsia="zh-CN"/>
        </w:rPr>
        <w:t>（</w:t>
      </w:r>
      <w:r>
        <w:rPr>
          <w:rFonts w:hint="eastAsia" w:asciiTheme="majorEastAsia" w:hAnsiTheme="majorEastAsia" w:eastAsiaTheme="majorEastAsia" w:cstheme="majorEastAsia"/>
          <w:b/>
          <w:bCs/>
          <w:sz w:val="44"/>
          <w:szCs w:val="44"/>
          <w:highlight w:val="none"/>
          <w:lang w:val="en-US" w:eastAsia="zh-CN"/>
        </w:rPr>
        <w:t>评估工作底稿</w:t>
      </w:r>
      <w:r>
        <w:rPr>
          <w:rFonts w:hint="eastAsia" w:asciiTheme="majorEastAsia" w:hAnsiTheme="majorEastAsia" w:eastAsiaTheme="majorEastAsia" w:cstheme="majorEastAsia"/>
          <w:b/>
          <w:bCs/>
          <w:sz w:val="44"/>
          <w:szCs w:val="44"/>
          <w:highlight w:val="none"/>
          <w:lang w:eastAsia="zh-CN"/>
        </w:rPr>
        <w:t>）</w:t>
      </w:r>
    </w:p>
    <w:p w14:paraId="343A8AA2">
      <w:pPr>
        <w:spacing w:line="520" w:lineRule="exact"/>
        <w:jc w:val="center"/>
        <w:rPr>
          <w:rFonts w:hint="eastAsia" w:asciiTheme="majorEastAsia" w:hAnsiTheme="majorEastAsia" w:eastAsiaTheme="majorEastAsia" w:cstheme="majorEastAsia"/>
          <w:sz w:val="44"/>
          <w:szCs w:val="44"/>
          <w:highlight w:val="none"/>
        </w:rPr>
      </w:pPr>
    </w:p>
    <w:tbl>
      <w:tblPr>
        <w:tblStyle w:val="12"/>
        <w:tblW w:w="0" w:type="auto"/>
        <w:jc w:val="center"/>
        <w:tblLayout w:type="fixed"/>
        <w:tblCellMar>
          <w:top w:w="0" w:type="dxa"/>
          <w:left w:w="108" w:type="dxa"/>
          <w:bottom w:w="0" w:type="dxa"/>
          <w:right w:w="108" w:type="dxa"/>
        </w:tblCellMar>
      </w:tblPr>
      <w:tblGrid>
        <w:gridCol w:w="3686"/>
        <w:gridCol w:w="5729"/>
      </w:tblGrid>
      <w:tr w14:paraId="6BCEE533">
        <w:tblPrEx>
          <w:tblCellMar>
            <w:top w:w="0" w:type="dxa"/>
            <w:left w:w="108" w:type="dxa"/>
            <w:bottom w:w="0" w:type="dxa"/>
            <w:right w:w="108" w:type="dxa"/>
          </w:tblCellMar>
        </w:tblPrEx>
        <w:trPr>
          <w:trHeight w:val="1134" w:hRule="atLeast"/>
          <w:jc w:val="center"/>
        </w:trPr>
        <w:tc>
          <w:tcPr>
            <w:tcW w:w="3686" w:type="dxa"/>
            <w:vAlign w:val="center"/>
          </w:tcPr>
          <w:p w14:paraId="15D6F224">
            <w:pPr>
              <w:pStyle w:val="8"/>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spacing w:val="14"/>
                <w:sz w:val="32"/>
                <w:szCs w:val="32"/>
                <w:highlight w:val="none"/>
              </w:rPr>
            </w:pPr>
            <w:r>
              <w:rPr>
                <w:rFonts w:ascii="楷体" w:hAnsi="楷体" w:eastAsia="楷体"/>
                <w:b/>
                <w:bCs/>
                <w:spacing w:val="14"/>
                <w:sz w:val="32"/>
                <w:szCs w:val="32"/>
                <w:highlight w:val="none"/>
              </w:rPr>
              <w:t>项</w:t>
            </w:r>
            <w:r>
              <w:rPr>
                <w:rFonts w:hint="eastAsia" w:ascii="楷体" w:hAnsi="楷体" w:eastAsia="楷体"/>
                <w:b/>
                <w:bCs/>
                <w:spacing w:val="14"/>
                <w:sz w:val="32"/>
                <w:szCs w:val="32"/>
                <w:highlight w:val="none"/>
              </w:rPr>
              <w:t xml:space="preserve">    </w:t>
            </w:r>
            <w:r>
              <w:rPr>
                <w:rFonts w:ascii="楷体" w:hAnsi="楷体" w:eastAsia="楷体"/>
                <w:b/>
                <w:bCs/>
                <w:spacing w:val="14"/>
                <w:sz w:val="32"/>
                <w:szCs w:val="32"/>
                <w:highlight w:val="none"/>
              </w:rPr>
              <w:t>目</w:t>
            </w:r>
            <w:r>
              <w:rPr>
                <w:rFonts w:hint="eastAsia" w:ascii="楷体" w:hAnsi="楷体" w:eastAsia="楷体"/>
                <w:b/>
                <w:bCs/>
                <w:spacing w:val="14"/>
                <w:sz w:val="32"/>
                <w:szCs w:val="32"/>
                <w:highlight w:val="none"/>
              </w:rPr>
              <w:t xml:space="preserve">   </w:t>
            </w:r>
            <w:r>
              <w:rPr>
                <w:rFonts w:ascii="楷体" w:hAnsi="楷体" w:eastAsia="楷体"/>
                <w:b/>
                <w:bCs/>
                <w:spacing w:val="14"/>
                <w:sz w:val="32"/>
                <w:szCs w:val="32"/>
                <w:highlight w:val="none"/>
              </w:rPr>
              <w:t>名</w:t>
            </w:r>
            <w:r>
              <w:rPr>
                <w:rFonts w:hint="eastAsia" w:ascii="楷体" w:hAnsi="楷体" w:eastAsia="楷体"/>
                <w:b/>
                <w:bCs/>
                <w:spacing w:val="14"/>
                <w:sz w:val="32"/>
                <w:szCs w:val="32"/>
                <w:highlight w:val="none"/>
              </w:rPr>
              <w:t xml:space="preserve">   </w:t>
            </w:r>
            <w:r>
              <w:rPr>
                <w:rFonts w:ascii="楷体" w:hAnsi="楷体" w:eastAsia="楷体"/>
                <w:b/>
                <w:bCs/>
                <w:spacing w:val="14"/>
                <w:sz w:val="32"/>
                <w:szCs w:val="32"/>
                <w:highlight w:val="none"/>
              </w:rPr>
              <w:t>称：</w:t>
            </w:r>
          </w:p>
        </w:tc>
        <w:tc>
          <w:tcPr>
            <w:tcW w:w="5729" w:type="dxa"/>
            <w:vAlign w:val="center"/>
          </w:tcPr>
          <w:p w14:paraId="48020A46">
            <w:pPr>
              <w:pStyle w:val="8"/>
              <w:keepNext w:val="0"/>
              <w:keepLines w:val="0"/>
              <w:suppressLineNumbers w:val="0"/>
              <w:tabs>
                <w:tab w:val="left" w:pos="0"/>
                <w:tab w:val="left" w:pos="2340"/>
                <w:tab w:val="left" w:pos="3360"/>
              </w:tabs>
              <w:adjustRightInd w:val="0"/>
              <w:snapToGrid w:val="0"/>
              <w:spacing w:before="0" w:beforeAutospacing="0" w:after="0" w:afterAutospacing="0" w:line="0" w:lineRule="atLeast"/>
              <w:ind w:left="2" w:right="0" w:hanging="2"/>
              <w:rPr>
                <w:rFonts w:ascii="楷体" w:hAnsi="楷体" w:eastAsia="楷体"/>
                <w:spacing w:val="14"/>
                <w:sz w:val="32"/>
                <w:szCs w:val="32"/>
                <w:highlight w:val="none"/>
              </w:rPr>
            </w:pPr>
            <w:r>
              <w:rPr>
                <w:rFonts w:hint="default" w:ascii="楷体" w:hAnsi="楷体" w:eastAsia="楷体"/>
                <w:spacing w:val="14"/>
                <w:sz w:val="32"/>
                <w:szCs w:val="32"/>
                <w:highlight w:val="none"/>
                <w:lang w:val="en-US" w:eastAsia="zh-CN"/>
              </w:rPr>
              <w:t>道县自然资源局办理土地使用权出让手续涉及的位于道县月岩西路的一宗住宅用途国有建设用地使用权市场价格评估</w:t>
            </w:r>
            <w:r>
              <w:rPr>
                <w:rFonts w:hint="eastAsia" w:ascii="楷体" w:hAnsi="楷体" w:eastAsia="楷体"/>
                <w:spacing w:val="14"/>
                <w:sz w:val="32"/>
                <w:szCs w:val="32"/>
                <w:highlight w:val="none"/>
                <w:lang w:val="en-US" w:eastAsia="zh-CN"/>
              </w:rPr>
              <w:t>（永州市道县）</w:t>
            </w:r>
          </w:p>
        </w:tc>
      </w:tr>
      <w:tr w14:paraId="7BF9FEFB">
        <w:tblPrEx>
          <w:tblCellMar>
            <w:top w:w="0" w:type="dxa"/>
            <w:left w:w="108" w:type="dxa"/>
            <w:bottom w:w="0" w:type="dxa"/>
            <w:right w:w="108" w:type="dxa"/>
          </w:tblCellMar>
        </w:tblPrEx>
        <w:trPr>
          <w:trHeight w:val="1134" w:hRule="atLeast"/>
          <w:jc w:val="center"/>
        </w:trPr>
        <w:tc>
          <w:tcPr>
            <w:tcW w:w="3686" w:type="dxa"/>
            <w:vAlign w:val="center"/>
          </w:tcPr>
          <w:p w14:paraId="12A7F1CE">
            <w:pPr>
              <w:pStyle w:val="8"/>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spacing w:val="14"/>
                <w:sz w:val="32"/>
                <w:szCs w:val="32"/>
                <w:highlight w:val="none"/>
              </w:rPr>
            </w:pPr>
            <w:r>
              <w:rPr>
                <w:rFonts w:ascii="楷体" w:hAnsi="楷体" w:eastAsia="楷体"/>
                <w:b/>
                <w:bCs/>
                <w:spacing w:val="14"/>
                <w:sz w:val="32"/>
                <w:szCs w:val="32"/>
                <w:highlight w:val="none"/>
              </w:rPr>
              <w:t>受托估价单位：</w:t>
            </w:r>
          </w:p>
        </w:tc>
        <w:tc>
          <w:tcPr>
            <w:tcW w:w="5729" w:type="dxa"/>
            <w:vAlign w:val="center"/>
          </w:tcPr>
          <w:p w14:paraId="08CFF2D6">
            <w:pPr>
              <w:pStyle w:val="8"/>
              <w:keepNext w:val="0"/>
              <w:keepLines w:val="0"/>
              <w:suppressLineNumbers w:val="0"/>
              <w:tabs>
                <w:tab w:val="left" w:pos="0"/>
                <w:tab w:val="left" w:pos="2340"/>
              </w:tabs>
              <w:adjustRightInd w:val="0"/>
              <w:snapToGrid w:val="0"/>
              <w:spacing w:before="0" w:beforeAutospacing="0" w:after="0" w:afterAutospacing="0" w:line="0" w:lineRule="atLeast"/>
              <w:ind w:left="-10" w:leftChars="-5" w:right="0"/>
              <w:jc w:val="both"/>
              <w:rPr>
                <w:rFonts w:hint="eastAsia" w:ascii="楷体" w:hAnsi="楷体" w:eastAsia="楷体"/>
                <w:spacing w:val="14"/>
                <w:sz w:val="32"/>
                <w:szCs w:val="32"/>
                <w:highlight w:val="none"/>
                <w:lang w:eastAsia="zh-CN"/>
              </w:rPr>
            </w:pPr>
            <w:r>
              <w:rPr>
                <w:rFonts w:hint="eastAsia" w:ascii="楷体" w:hAnsi="楷体" w:eastAsia="楷体"/>
                <w:spacing w:val="14"/>
                <w:sz w:val="32"/>
                <w:szCs w:val="32"/>
                <w:highlight w:val="none"/>
                <w:lang w:eastAsia="zh-CN"/>
              </w:rPr>
              <w:t>湖南兆财不动产规划评估有限公司</w:t>
            </w:r>
          </w:p>
        </w:tc>
      </w:tr>
      <w:tr w14:paraId="0AE192C1">
        <w:tblPrEx>
          <w:tblCellMar>
            <w:top w:w="0" w:type="dxa"/>
            <w:left w:w="108" w:type="dxa"/>
            <w:bottom w:w="0" w:type="dxa"/>
            <w:right w:w="108" w:type="dxa"/>
          </w:tblCellMar>
        </w:tblPrEx>
        <w:trPr>
          <w:trHeight w:val="1134" w:hRule="atLeast"/>
          <w:jc w:val="center"/>
        </w:trPr>
        <w:tc>
          <w:tcPr>
            <w:tcW w:w="3686" w:type="dxa"/>
            <w:vAlign w:val="center"/>
          </w:tcPr>
          <w:p w14:paraId="48ACFB3B">
            <w:pPr>
              <w:pStyle w:val="8"/>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auto"/>
                <w:spacing w:val="14"/>
                <w:sz w:val="32"/>
                <w:szCs w:val="32"/>
                <w:highlight w:val="none"/>
              </w:rPr>
            </w:pPr>
            <w:r>
              <w:rPr>
                <w:rFonts w:ascii="楷体" w:hAnsi="楷体" w:eastAsia="楷体"/>
                <w:b/>
                <w:bCs/>
                <w:color w:val="auto"/>
                <w:spacing w:val="14"/>
                <w:sz w:val="32"/>
                <w:szCs w:val="32"/>
                <w:highlight w:val="none"/>
              </w:rPr>
              <w:t>土地估价报告编号：</w:t>
            </w:r>
          </w:p>
        </w:tc>
        <w:tc>
          <w:tcPr>
            <w:tcW w:w="5729" w:type="dxa"/>
            <w:vAlign w:val="center"/>
          </w:tcPr>
          <w:p w14:paraId="08B7AF49">
            <w:pPr>
              <w:pStyle w:val="8"/>
              <w:keepNext w:val="0"/>
              <w:keepLines w:val="0"/>
              <w:suppressLineNumbers w:val="0"/>
              <w:tabs>
                <w:tab w:val="left" w:pos="0"/>
                <w:tab w:val="left" w:pos="2340"/>
              </w:tabs>
              <w:adjustRightInd w:val="0"/>
              <w:snapToGrid w:val="0"/>
              <w:spacing w:before="0" w:beforeAutospacing="0" w:after="0" w:afterAutospacing="0" w:line="0" w:lineRule="atLeast"/>
              <w:ind w:left="0" w:leftChars="0" w:right="0" w:firstLine="0" w:firstLineChars="0"/>
              <w:jc w:val="both"/>
              <w:rPr>
                <w:rFonts w:hint="eastAsia" w:ascii="楷体" w:hAnsi="楷体" w:eastAsia="楷体"/>
                <w:color w:val="auto"/>
                <w:spacing w:val="14"/>
                <w:sz w:val="32"/>
                <w:szCs w:val="32"/>
                <w:highlight w:val="none"/>
                <w:lang w:eastAsia="zh-CN"/>
              </w:rPr>
            </w:pPr>
            <w:r>
              <w:rPr>
                <w:rFonts w:hint="eastAsia" w:ascii="楷体" w:hAnsi="楷体" w:eastAsia="楷体"/>
                <w:spacing w:val="14"/>
                <w:sz w:val="32"/>
                <w:szCs w:val="32"/>
                <w:highlight w:val="none"/>
                <w:lang w:eastAsia="zh-CN"/>
              </w:rPr>
              <w:t>（湖南）湘兆财土地[202</w:t>
            </w:r>
            <w:r>
              <w:rPr>
                <w:rFonts w:hint="eastAsia" w:ascii="楷体" w:hAnsi="楷体" w:eastAsia="楷体"/>
                <w:spacing w:val="14"/>
                <w:sz w:val="32"/>
                <w:szCs w:val="32"/>
                <w:highlight w:val="none"/>
                <w:lang w:val="en-US" w:eastAsia="zh-CN"/>
              </w:rPr>
              <w:t>6</w:t>
            </w:r>
            <w:r>
              <w:rPr>
                <w:rFonts w:hint="eastAsia" w:ascii="楷体" w:hAnsi="楷体" w:eastAsia="楷体"/>
                <w:spacing w:val="14"/>
                <w:sz w:val="32"/>
                <w:szCs w:val="32"/>
                <w:highlight w:val="none"/>
                <w:lang w:eastAsia="zh-CN"/>
              </w:rPr>
              <w:t>]（估）字第ZC0007号</w:t>
            </w:r>
          </w:p>
        </w:tc>
      </w:tr>
      <w:tr w14:paraId="4D6FBB91">
        <w:tblPrEx>
          <w:tblCellMar>
            <w:top w:w="0" w:type="dxa"/>
            <w:left w:w="108" w:type="dxa"/>
            <w:bottom w:w="0" w:type="dxa"/>
            <w:right w:w="108" w:type="dxa"/>
          </w:tblCellMar>
        </w:tblPrEx>
        <w:trPr>
          <w:trHeight w:val="1303" w:hRule="atLeast"/>
          <w:jc w:val="center"/>
        </w:trPr>
        <w:tc>
          <w:tcPr>
            <w:tcW w:w="3686" w:type="dxa"/>
            <w:vAlign w:val="center"/>
          </w:tcPr>
          <w:p w14:paraId="5CD1E8BA">
            <w:pPr>
              <w:pStyle w:val="8"/>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auto"/>
                <w:spacing w:val="14"/>
                <w:sz w:val="32"/>
                <w:szCs w:val="32"/>
                <w:highlight w:val="none"/>
              </w:rPr>
            </w:pPr>
            <w:r>
              <w:rPr>
                <w:rFonts w:hint="eastAsia" w:ascii="楷体" w:hAnsi="楷体" w:eastAsia="楷体"/>
                <w:b/>
                <w:bCs/>
                <w:color w:val="auto"/>
                <w:spacing w:val="14"/>
                <w:sz w:val="32"/>
                <w:szCs w:val="32"/>
                <w:highlight w:val="none"/>
              </w:rPr>
              <w:t>土地</w:t>
            </w:r>
            <w:r>
              <w:rPr>
                <w:rFonts w:ascii="楷体" w:hAnsi="楷体" w:eastAsia="楷体"/>
                <w:b/>
                <w:bCs/>
                <w:color w:val="auto"/>
                <w:spacing w:val="14"/>
                <w:sz w:val="32"/>
                <w:szCs w:val="32"/>
                <w:highlight w:val="none"/>
              </w:rPr>
              <w:t>估价技术报告</w:t>
            </w:r>
          </w:p>
          <w:p w14:paraId="55F1E317">
            <w:pPr>
              <w:pStyle w:val="8"/>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auto"/>
                <w:spacing w:val="14"/>
                <w:sz w:val="32"/>
                <w:szCs w:val="32"/>
                <w:highlight w:val="none"/>
              </w:rPr>
            </w:pPr>
            <w:r>
              <w:rPr>
                <w:rFonts w:hint="eastAsia" w:ascii="楷体" w:hAnsi="楷体" w:eastAsia="楷体"/>
                <w:b/>
                <w:bCs/>
                <w:color w:val="auto"/>
                <w:spacing w:val="14"/>
                <w:sz w:val="32"/>
                <w:szCs w:val="32"/>
                <w:highlight w:val="none"/>
              </w:rPr>
              <w:t>（评估工作</w:t>
            </w:r>
            <w:r>
              <w:rPr>
                <w:rFonts w:ascii="楷体" w:hAnsi="楷体" w:eastAsia="楷体"/>
                <w:b/>
                <w:bCs/>
                <w:color w:val="auto"/>
                <w:spacing w:val="14"/>
                <w:sz w:val="32"/>
                <w:szCs w:val="32"/>
                <w:highlight w:val="none"/>
              </w:rPr>
              <w:t>底稿）编号：</w:t>
            </w:r>
          </w:p>
        </w:tc>
        <w:tc>
          <w:tcPr>
            <w:tcW w:w="5729" w:type="dxa"/>
            <w:vAlign w:val="center"/>
          </w:tcPr>
          <w:p w14:paraId="35607A56">
            <w:pPr>
              <w:pStyle w:val="8"/>
              <w:keepNext w:val="0"/>
              <w:keepLines w:val="0"/>
              <w:suppressLineNumbers w:val="0"/>
              <w:tabs>
                <w:tab w:val="left" w:pos="0"/>
                <w:tab w:val="left" w:pos="2235"/>
                <w:tab w:val="left" w:pos="2340"/>
              </w:tabs>
              <w:adjustRightInd w:val="0"/>
              <w:snapToGrid w:val="0"/>
              <w:spacing w:before="0" w:beforeAutospacing="0" w:after="0" w:afterAutospacing="0" w:line="0" w:lineRule="atLeast"/>
              <w:ind w:left="0" w:right="-78" w:rightChars="-37"/>
              <w:jc w:val="both"/>
              <w:rPr>
                <w:rFonts w:hint="eastAsia" w:ascii="楷体" w:hAnsi="楷体" w:eastAsia="楷体"/>
                <w:color w:val="auto"/>
                <w:spacing w:val="14"/>
                <w:sz w:val="32"/>
                <w:szCs w:val="32"/>
                <w:highlight w:val="none"/>
                <w:lang w:eastAsia="zh-CN"/>
              </w:rPr>
            </w:pPr>
            <w:r>
              <w:rPr>
                <w:rFonts w:hint="eastAsia" w:ascii="楷体" w:hAnsi="楷体" w:eastAsia="楷体"/>
                <w:spacing w:val="14"/>
                <w:sz w:val="32"/>
                <w:szCs w:val="32"/>
                <w:highlight w:val="none"/>
                <w:lang w:eastAsia="zh-CN"/>
              </w:rPr>
              <w:t>（湖南）湘兆财土地[202</w:t>
            </w:r>
            <w:r>
              <w:rPr>
                <w:rFonts w:hint="eastAsia" w:ascii="楷体" w:hAnsi="楷体" w:eastAsia="楷体"/>
                <w:spacing w:val="14"/>
                <w:sz w:val="32"/>
                <w:szCs w:val="32"/>
                <w:highlight w:val="none"/>
                <w:lang w:val="en-US" w:eastAsia="zh-CN"/>
              </w:rPr>
              <w:t>6</w:t>
            </w:r>
            <w:r>
              <w:rPr>
                <w:rFonts w:hint="eastAsia" w:ascii="楷体" w:hAnsi="楷体" w:eastAsia="楷体"/>
                <w:spacing w:val="14"/>
                <w:sz w:val="32"/>
                <w:szCs w:val="32"/>
                <w:highlight w:val="none"/>
                <w:lang w:eastAsia="zh-CN"/>
              </w:rPr>
              <w:t>]（</w:t>
            </w:r>
            <w:r>
              <w:rPr>
                <w:rFonts w:hint="eastAsia" w:ascii="楷体" w:hAnsi="楷体" w:eastAsia="楷体"/>
                <w:spacing w:val="14"/>
                <w:sz w:val="32"/>
                <w:szCs w:val="32"/>
                <w:highlight w:val="none"/>
                <w:lang w:val="en-US" w:eastAsia="zh-CN"/>
              </w:rPr>
              <w:t>技</w:t>
            </w:r>
            <w:r>
              <w:rPr>
                <w:rFonts w:hint="eastAsia" w:ascii="楷体" w:hAnsi="楷体" w:eastAsia="楷体"/>
                <w:spacing w:val="14"/>
                <w:sz w:val="32"/>
                <w:szCs w:val="32"/>
                <w:highlight w:val="none"/>
                <w:lang w:eastAsia="zh-CN"/>
              </w:rPr>
              <w:t>）字第ZC0007号</w:t>
            </w:r>
          </w:p>
        </w:tc>
      </w:tr>
      <w:tr w14:paraId="7DF7201A">
        <w:tblPrEx>
          <w:tblCellMar>
            <w:top w:w="0" w:type="dxa"/>
            <w:left w:w="108" w:type="dxa"/>
            <w:bottom w:w="0" w:type="dxa"/>
            <w:right w:w="108" w:type="dxa"/>
          </w:tblCellMar>
        </w:tblPrEx>
        <w:trPr>
          <w:trHeight w:val="1303" w:hRule="atLeast"/>
          <w:jc w:val="center"/>
        </w:trPr>
        <w:tc>
          <w:tcPr>
            <w:tcW w:w="3686" w:type="dxa"/>
            <w:vAlign w:val="center"/>
          </w:tcPr>
          <w:p w14:paraId="1A2AB01B">
            <w:pPr>
              <w:pStyle w:val="8"/>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left"/>
              <w:rPr>
                <w:rFonts w:hint="eastAsia" w:ascii="楷体" w:hAnsi="楷体" w:eastAsia="楷体"/>
                <w:b/>
                <w:bCs/>
                <w:color w:val="0000FF"/>
                <w:spacing w:val="14"/>
                <w:sz w:val="32"/>
                <w:szCs w:val="32"/>
                <w:highlight w:val="none"/>
              </w:rPr>
            </w:pPr>
            <w:r>
              <w:rPr>
                <w:rFonts w:hint="eastAsia" w:ascii="楷体" w:hAnsi="楷体" w:eastAsia="楷体"/>
                <w:b/>
                <w:bCs/>
                <w:color w:val="auto"/>
                <w:spacing w:val="14"/>
                <w:sz w:val="32"/>
                <w:szCs w:val="32"/>
                <w:highlight w:val="none"/>
              </w:rPr>
              <w:t>电 子 备 案 编 号：</w:t>
            </w:r>
          </w:p>
        </w:tc>
        <w:tc>
          <w:tcPr>
            <w:tcW w:w="5729" w:type="dxa"/>
            <w:vAlign w:val="center"/>
          </w:tcPr>
          <w:p w14:paraId="670E1AE0">
            <w:pPr>
              <w:pStyle w:val="8"/>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olor w:val="0000FF"/>
                <w:spacing w:val="-11"/>
                <w:sz w:val="32"/>
                <w:szCs w:val="32"/>
                <w:highlight w:val="none"/>
              </w:rPr>
            </w:pPr>
            <w:r>
              <w:rPr>
                <w:rFonts w:hint="eastAsia" w:ascii="楷体" w:hAnsi="楷体" w:eastAsia="楷体" w:cs="Times New Roman"/>
                <w:color w:val="auto"/>
                <w:spacing w:val="-11"/>
                <w:sz w:val="32"/>
                <w:szCs w:val="32"/>
                <w:highlight w:val="none"/>
                <w:lang w:eastAsia="zh-CN"/>
              </w:rPr>
              <w:t>详见备案页</w:t>
            </w:r>
          </w:p>
        </w:tc>
      </w:tr>
      <w:tr w14:paraId="65E1A38F">
        <w:tblPrEx>
          <w:tblCellMar>
            <w:top w:w="0" w:type="dxa"/>
            <w:left w:w="108" w:type="dxa"/>
            <w:bottom w:w="0" w:type="dxa"/>
            <w:right w:w="108" w:type="dxa"/>
          </w:tblCellMar>
        </w:tblPrEx>
        <w:trPr>
          <w:trHeight w:val="1134" w:hRule="atLeast"/>
          <w:jc w:val="center"/>
        </w:trPr>
        <w:tc>
          <w:tcPr>
            <w:tcW w:w="3686" w:type="dxa"/>
            <w:vAlign w:val="center"/>
          </w:tcPr>
          <w:p w14:paraId="6AF41026">
            <w:pPr>
              <w:pStyle w:val="8"/>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spacing w:val="14"/>
                <w:sz w:val="32"/>
                <w:szCs w:val="32"/>
                <w:highlight w:val="none"/>
              </w:rPr>
            </w:pPr>
            <w:r>
              <w:rPr>
                <w:rFonts w:ascii="楷体" w:hAnsi="楷体" w:eastAsia="楷体"/>
                <w:b/>
                <w:bCs/>
                <w:spacing w:val="14"/>
                <w:sz w:val="32"/>
                <w:szCs w:val="32"/>
                <w:highlight w:val="none"/>
              </w:rPr>
              <w:t>提交估价报告日期：</w:t>
            </w:r>
          </w:p>
        </w:tc>
        <w:tc>
          <w:tcPr>
            <w:tcW w:w="5729" w:type="dxa"/>
            <w:vAlign w:val="center"/>
          </w:tcPr>
          <w:p w14:paraId="0B8323D2">
            <w:pPr>
              <w:pStyle w:val="8"/>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spacing w:val="14"/>
                <w:sz w:val="32"/>
                <w:szCs w:val="32"/>
                <w:highlight w:val="none"/>
                <w:lang w:eastAsia="zh-CN"/>
              </w:rPr>
            </w:pPr>
            <w:r>
              <w:rPr>
                <w:rFonts w:hint="eastAsia" w:ascii="楷体" w:hAnsi="楷体" w:eastAsia="楷体" w:cs="楷体"/>
                <w:spacing w:val="-20"/>
                <w:sz w:val="32"/>
                <w:szCs w:val="32"/>
                <w:highlight w:val="none"/>
                <w:lang w:eastAsia="zh-CN"/>
              </w:rPr>
              <w:t>二〇二</w:t>
            </w:r>
            <w:r>
              <w:rPr>
                <w:rFonts w:hint="eastAsia" w:ascii="楷体" w:hAnsi="楷体" w:eastAsia="楷体" w:cs="楷体"/>
                <w:spacing w:val="-20"/>
                <w:sz w:val="32"/>
                <w:szCs w:val="32"/>
                <w:highlight w:val="none"/>
                <w:lang w:val="en-US" w:eastAsia="zh-CN"/>
              </w:rPr>
              <w:t>六</w:t>
            </w:r>
            <w:r>
              <w:rPr>
                <w:rFonts w:hint="eastAsia" w:ascii="楷体" w:hAnsi="楷体" w:eastAsia="楷体" w:cs="楷体"/>
                <w:spacing w:val="-20"/>
                <w:sz w:val="32"/>
                <w:szCs w:val="32"/>
                <w:highlight w:val="none"/>
                <w:lang w:eastAsia="zh-CN"/>
              </w:rPr>
              <w:t>年</w:t>
            </w:r>
            <w:r>
              <w:rPr>
                <w:rFonts w:hint="eastAsia" w:ascii="楷体" w:hAnsi="楷体" w:eastAsia="楷体" w:cs="楷体"/>
                <w:spacing w:val="-20"/>
                <w:sz w:val="32"/>
                <w:szCs w:val="32"/>
                <w:highlight w:val="none"/>
                <w:lang w:val="en-US" w:eastAsia="zh-CN"/>
              </w:rPr>
              <w:t>五</w:t>
            </w:r>
            <w:r>
              <w:rPr>
                <w:rFonts w:hint="eastAsia" w:ascii="楷体" w:hAnsi="楷体" w:eastAsia="楷体" w:cs="楷体"/>
                <w:spacing w:val="-20"/>
                <w:sz w:val="32"/>
                <w:szCs w:val="32"/>
                <w:highlight w:val="none"/>
                <w:lang w:eastAsia="zh-CN"/>
              </w:rPr>
              <w:t>月</w:t>
            </w:r>
            <w:r>
              <w:rPr>
                <w:rFonts w:hint="eastAsia" w:ascii="楷体" w:hAnsi="楷体" w:eastAsia="楷体" w:cs="楷体"/>
                <w:spacing w:val="-20"/>
                <w:sz w:val="32"/>
                <w:szCs w:val="32"/>
                <w:highlight w:val="none"/>
                <w:lang w:val="en-US" w:eastAsia="zh-CN"/>
              </w:rPr>
              <w:t>二十</w:t>
            </w:r>
            <w:r>
              <w:rPr>
                <w:rFonts w:hint="eastAsia" w:ascii="楷体" w:hAnsi="楷体" w:eastAsia="楷体" w:cs="楷体"/>
                <w:spacing w:val="-20"/>
                <w:sz w:val="32"/>
                <w:szCs w:val="32"/>
                <w:highlight w:val="none"/>
                <w:lang w:eastAsia="zh-CN"/>
              </w:rPr>
              <w:t>日</w:t>
            </w:r>
          </w:p>
        </w:tc>
      </w:tr>
    </w:tbl>
    <w:p w14:paraId="4C5E4F37">
      <w:pPr>
        <w:spacing w:line="520" w:lineRule="exact"/>
        <w:rPr>
          <w:sz w:val="32"/>
          <w:highlight w:val="none"/>
        </w:rPr>
      </w:pPr>
    </w:p>
    <w:tbl>
      <w:tblPr>
        <w:tblStyle w:val="13"/>
        <w:tblpPr w:leftFromText="180" w:rightFromText="180" w:vertAnchor="text" w:horzAnchor="page" w:tblpX="1312" w:tblpY="729"/>
        <w:tblOverlap w:val="never"/>
        <w:tblW w:w="9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7"/>
        <w:gridCol w:w="8063"/>
      </w:tblGrid>
      <w:tr w14:paraId="21E8B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4" w:hRule="atLeast"/>
        </w:trPr>
        <w:tc>
          <w:tcPr>
            <w:tcW w:w="1697" w:type="dxa"/>
            <w:vAlign w:val="center"/>
          </w:tcPr>
          <w:p w14:paraId="4F1B2582">
            <w:pPr>
              <w:keepNext w:val="0"/>
              <w:keepLines w:val="0"/>
              <w:suppressLineNumbers w:val="0"/>
              <w:spacing w:before="0" w:beforeAutospacing="0" w:after="0" w:afterAutospacing="0" w:line="360" w:lineRule="auto"/>
              <w:ind w:left="0" w:right="0"/>
              <w:jc w:val="distribute"/>
              <w:rPr>
                <w:rFonts w:ascii="楷体" w:hAnsi="楷体" w:eastAsia="楷体"/>
                <w:b/>
                <w:spacing w:val="14"/>
                <w:sz w:val="32"/>
                <w:szCs w:val="32"/>
                <w:highlight w:val="none"/>
              </w:rPr>
            </w:pPr>
            <w:r>
              <w:rPr>
                <w:rFonts w:hint="eastAsia" w:ascii="楷体" w:hAnsi="楷体" w:eastAsia="楷体"/>
                <w:spacing w:val="14"/>
                <w:sz w:val="32"/>
                <w:szCs w:val="32"/>
                <w:highlight w:val="none"/>
              </w:rPr>
              <w:t>关键词：</w:t>
            </w:r>
          </w:p>
        </w:tc>
        <w:tc>
          <w:tcPr>
            <w:tcW w:w="8063" w:type="dxa"/>
            <w:vAlign w:val="center"/>
          </w:tcPr>
          <w:p w14:paraId="18D77049">
            <w:pPr>
              <w:keepNext w:val="0"/>
              <w:keepLines w:val="0"/>
              <w:suppressLineNumbers w:val="0"/>
              <w:spacing w:before="0" w:beforeAutospacing="0" w:after="0" w:afterAutospacing="0" w:line="360" w:lineRule="auto"/>
              <w:ind w:left="0" w:right="0"/>
              <w:rPr>
                <w:rFonts w:hint="default" w:ascii="楷体" w:hAnsi="楷体" w:eastAsia="楷体"/>
                <w:b/>
                <w:spacing w:val="14"/>
                <w:sz w:val="32"/>
                <w:szCs w:val="32"/>
                <w:highlight w:val="none"/>
                <w:lang w:val="en-US" w:eastAsia="zh-CN"/>
              </w:rPr>
            </w:pPr>
            <w:r>
              <w:rPr>
                <w:rFonts w:hint="eastAsia" w:ascii="楷体" w:hAnsi="楷体" w:eastAsia="楷体"/>
                <w:spacing w:val="14"/>
                <w:sz w:val="32"/>
                <w:szCs w:val="32"/>
                <w:highlight w:val="none"/>
                <w:lang w:val="en-US" w:eastAsia="zh-CN"/>
              </w:rPr>
              <w:t>永州市道县</w:t>
            </w:r>
          </w:p>
        </w:tc>
      </w:tr>
      <w:tr w14:paraId="3EB928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697" w:type="dxa"/>
            <w:vAlign w:val="center"/>
          </w:tcPr>
          <w:p w14:paraId="5C448620">
            <w:pPr>
              <w:keepNext w:val="0"/>
              <w:keepLines w:val="0"/>
              <w:suppressLineNumbers w:val="0"/>
              <w:spacing w:before="0" w:beforeAutospacing="0" w:after="0" w:afterAutospacing="0" w:line="360" w:lineRule="auto"/>
              <w:ind w:left="0" w:right="0"/>
              <w:rPr>
                <w:rFonts w:ascii="楷体" w:hAnsi="楷体" w:eastAsia="楷体"/>
                <w:b/>
                <w:spacing w:val="14"/>
                <w:sz w:val="32"/>
                <w:szCs w:val="32"/>
                <w:highlight w:val="none"/>
              </w:rPr>
            </w:pPr>
          </w:p>
        </w:tc>
        <w:tc>
          <w:tcPr>
            <w:tcW w:w="8063" w:type="dxa"/>
            <w:vAlign w:val="center"/>
          </w:tcPr>
          <w:p w14:paraId="4D1A4099">
            <w:pPr>
              <w:keepNext w:val="0"/>
              <w:keepLines w:val="0"/>
              <w:suppressLineNumbers w:val="0"/>
              <w:spacing w:before="0" w:beforeAutospacing="0" w:after="0" w:afterAutospacing="0" w:line="360" w:lineRule="auto"/>
              <w:ind w:left="0" w:right="0"/>
              <w:rPr>
                <w:rFonts w:hint="default" w:ascii="楷体" w:hAnsi="楷体" w:eastAsia="楷体"/>
                <w:b/>
                <w:spacing w:val="14"/>
                <w:sz w:val="32"/>
                <w:szCs w:val="32"/>
                <w:highlight w:val="none"/>
                <w:lang w:val="en-US" w:eastAsia="zh-CN"/>
              </w:rPr>
            </w:pPr>
            <w:r>
              <w:rPr>
                <w:rFonts w:hint="eastAsia" w:ascii="楷体" w:hAnsi="楷体" w:eastAsia="楷体"/>
                <w:b w:val="0"/>
                <w:bCs/>
                <w:spacing w:val="14"/>
                <w:sz w:val="32"/>
                <w:szCs w:val="32"/>
                <w:highlight w:val="none"/>
                <w:lang w:val="en-US" w:eastAsia="zh-CN"/>
              </w:rPr>
              <w:t>出让</w:t>
            </w:r>
          </w:p>
        </w:tc>
      </w:tr>
      <w:tr w14:paraId="3CE44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4" w:hRule="atLeast"/>
        </w:trPr>
        <w:tc>
          <w:tcPr>
            <w:tcW w:w="1697" w:type="dxa"/>
            <w:vAlign w:val="center"/>
          </w:tcPr>
          <w:p w14:paraId="20F0D39E">
            <w:pPr>
              <w:keepNext w:val="0"/>
              <w:keepLines w:val="0"/>
              <w:suppressLineNumbers w:val="0"/>
              <w:spacing w:before="0" w:beforeAutospacing="0" w:after="0" w:afterAutospacing="0" w:line="360" w:lineRule="auto"/>
              <w:ind w:left="0" w:right="0"/>
              <w:rPr>
                <w:rFonts w:ascii="楷体" w:hAnsi="楷体" w:eastAsia="楷体"/>
                <w:b/>
                <w:spacing w:val="14"/>
                <w:sz w:val="32"/>
                <w:szCs w:val="32"/>
                <w:highlight w:val="none"/>
              </w:rPr>
            </w:pPr>
          </w:p>
        </w:tc>
        <w:tc>
          <w:tcPr>
            <w:tcW w:w="8063" w:type="dxa"/>
            <w:vAlign w:val="center"/>
          </w:tcPr>
          <w:p w14:paraId="2A0AE912">
            <w:pPr>
              <w:keepNext w:val="0"/>
              <w:keepLines w:val="0"/>
              <w:suppressLineNumbers w:val="0"/>
              <w:spacing w:before="0" w:beforeAutospacing="0" w:after="0" w:afterAutospacing="0" w:line="360" w:lineRule="auto"/>
              <w:ind w:left="0" w:right="0"/>
              <w:rPr>
                <w:rFonts w:hint="eastAsia" w:ascii="楷体" w:hAnsi="楷体" w:eastAsia="楷体"/>
                <w:b/>
                <w:spacing w:val="14"/>
                <w:sz w:val="32"/>
                <w:szCs w:val="32"/>
                <w:highlight w:val="none"/>
                <w:lang w:eastAsia="zh-CN"/>
              </w:rPr>
            </w:pPr>
            <w:r>
              <w:rPr>
                <w:rFonts w:hint="eastAsia" w:ascii="楷体" w:hAnsi="楷体" w:eastAsia="楷体"/>
                <w:spacing w:val="14"/>
                <w:sz w:val="32"/>
                <w:szCs w:val="32"/>
                <w:highlight w:val="none"/>
                <w:lang w:eastAsia="zh-CN"/>
              </w:rPr>
              <w:t>湖南兆财不动产规划评估有限公司</w:t>
            </w:r>
          </w:p>
        </w:tc>
      </w:tr>
      <w:tr w14:paraId="70487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697" w:type="dxa"/>
            <w:vAlign w:val="center"/>
          </w:tcPr>
          <w:p w14:paraId="6407B171">
            <w:pPr>
              <w:keepNext w:val="0"/>
              <w:keepLines w:val="0"/>
              <w:suppressLineNumbers w:val="0"/>
              <w:spacing w:before="0" w:beforeAutospacing="0" w:after="0" w:afterAutospacing="0" w:line="360" w:lineRule="auto"/>
              <w:ind w:left="0" w:right="0"/>
              <w:rPr>
                <w:rFonts w:ascii="楷体" w:hAnsi="楷体" w:eastAsia="楷体"/>
                <w:b/>
                <w:spacing w:val="14"/>
                <w:sz w:val="32"/>
                <w:szCs w:val="32"/>
                <w:highlight w:val="none"/>
              </w:rPr>
            </w:pPr>
          </w:p>
        </w:tc>
        <w:tc>
          <w:tcPr>
            <w:tcW w:w="8063" w:type="dxa"/>
            <w:vAlign w:val="center"/>
          </w:tcPr>
          <w:p w14:paraId="35060695">
            <w:pPr>
              <w:keepNext w:val="0"/>
              <w:keepLines w:val="0"/>
              <w:suppressLineNumbers w:val="0"/>
              <w:spacing w:before="0" w:beforeAutospacing="0" w:after="0" w:afterAutospacing="0" w:line="360" w:lineRule="auto"/>
              <w:ind w:left="0" w:right="0"/>
              <w:rPr>
                <w:rFonts w:hint="eastAsia" w:ascii="楷体" w:hAnsi="楷体" w:eastAsia="楷体"/>
                <w:b/>
                <w:spacing w:val="14"/>
                <w:sz w:val="32"/>
                <w:szCs w:val="32"/>
                <w:highlight w:val="none"/>
                <w:lang w:eastAsia="zh-CN"/>
              </w:rPr>
            </w:pPr>
            <w:r>
              <w:rPr>
                <w:rFonts w:hint="eastAsia" w:ascii="楷体" w:hAnsi="楷体" w:eastAsia="楷体" w:cs="楷体"/>
                <w:spacing w:val="-20"/>
                <w:sz w:val="32"/>
                <w:szCs w:val="32"/>
                <w:highlight w:val="none"/>
                <w:lang w:eastAsia="zh-CN"/>
              </w:rPr>
              <w:t>二〇二</w:t>
            </w:r>
            <w:r>
              <w:rPr>
                <w:rFonts w:hint="eastAsia" w:ascii="楷体" w:hAnsi="楷体" w:eastAsia="楷体" w:cs="楷体"/>
                <w:spacing w:val="-20"/>
                <w:sz w:val="32"/>
                <w:szCs w:val="32"/>
                <w:highlight w:val="none"/>
                <w:lang w:val="en-US" w:eastAsia="zh-CN"/>
              </w:rPr>
              <w:t>六</w:t>
            </w:r>
            <w:r>
              <w:rPr>
                <w:rFonts w:hint="eastAsia" w:ascii="楷体" w:hAnsi="楷体" w:eastAsia="楷体" w:cs="楷体"/>
                <w:spacing w:val="-20"/>
                <w:sz w:val="32"/>
                <w:szCs w:val="32"/>
                <w:highlight w:val="none"/>
                <w:lang w:eastAsia="zh-CN"/>
              </w:rPr>
              <w:t>年</w:t>
            </w:r>
          </w:p>
        </w:tc>
      </w:tr>
    </w:tbl>
    <w:p w14:paraId="2AEC821A">
      <w:pPr>
        <w:pStyle w:val="17"/>
        <w:spacing w:before="120" w:beforeLines="50" w:after="240" w:afterLines="100" w:line="440" w:lineRule="exact"/>
        <w:ind w:firstLine="643"/>
        <w:jc w:val="center"/>
        <w:outlineLvl w:val="0"/>
        <w:rPr>
          <w:rFonts w:hint="eastAsia" w:ascii="宋体" w:hAnsi="宋体" w:eastAsia="宋体" w:cs="仿宋_GB2312"/>
          <w:b/>
          <w:sz w:val="32"/>
          <w:szCs w:val="32"/>
          <w:highlight w:val="none"/>
        </w:rPr>
        <w:sectPr>
          <w:headerReference r:id="rId12" w:type="default"/>
          <w:footerReference r:id="rId13" w:type="default"/>
          <w:pgSz w:w="11906" w:h="16838"/>
          <w:pgMar w:top="1440" w:right="1800" w:bottom="1440" w:left="1800" w:header="851" w:footer="992" w:gutter="0"/>
          <w:pgNumType w:fmt="decimal"/>
          <w:cols w:space="0" w:num="1"/>
          <w:rtlGutter w:val="0"/>
          <w:docGrid w:type="lines" w:linePitch="312" w:charSpace="0"/>
        </w:sectPr>
      </w:pPr>
    </w:p>
    <w:p w14:paraId="6DD7AAB7">
      <w:pPr>
        <w:pStyle w:val="17"/>
        <w:spacing w:before="120" w:beforeLines="50" w:after="240" w:afterLines="100" w:line="440" w:lineRule="exact"/>
        <w:ind w:firstLine="643"/>
        <w:jc w:val="center"/>
        <w:outlineLvl w:val="0"/>
        <w:rPr>
          <w:rFonts w:ascii="宋体" w:hAnsi="宋体" w:eastAsia="宋体" w:cs="仿宋_GB2312"/>
          <w:b/>
          <w:sz w:val="32"/>
          <w:szCs w:val="32"/>
          <w:highlight w:val="none"/>
        </w:rPr>
      </w:pPr>
      <w:r>
        <w:rPr>
          <w:rFonts w:hint="eastAsia" w:ascii="宋体" w:hAnsi="宋体" w:eastAsia="宋体" w:cs="仿宋_GB2312"/>
          <w:b/>
          <w:sz w:val="32"/>
          <w:szCs w:val="32"/>
          <w:highlight w:val="none"/>
        </w:rPr>
        <w:t>土地估价技术报告（评估工作底稿）</w:t>
      </w:r>
    </w:p>
    <w:p w14:paraId="73CF586B">
      <w:pPr>
        <w:pStyle w:val="17"/>
        <w:spacing w:before="120" w:beforeLines="50" w:after="240" w:afterLines="100" w:line="440" w:lineRule="exact"/>
        <w:ind w:firstLine="0" w:firstLineChars="0"/>
        <w:jc w:val="center"/>
        <w:outlineLvl w:val="0"/>
        <w:rPr>
          <w:rFonts w:ascii="宋体" w:hAnsi="宋体" w:eastAsia="宋体" w:cs="宋体"/>
          <w:b/>
          <w:color w:val="auto"/>
          <w:sz w:val="32"/>
          <w:szCs w:val="32"/>
          <w:highlight w:val="none"/>
        </w:rPr>
      </w:pPr>
      <w:r>
        <w:rPr>
          <w:rFonts w:hint="eastAsia" w:ascii="宋体" w:hAnsi="宋体" w:eastAsia="宋体" w:cs="宋体"/>
          <w:b/>
          <w:color w:val="auto"/>
          <w:sz w:val="32"/>
          <w:szCs w:val="32"/>
          <w:highlight w:val="none"/>
        </w:rPr>
        <w:t>第一部分  摘要</w:t>
      </w:r>
    </w:p>
    <w:p w14:paraId="36FB8671">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GB" w:eastAsia="zh-CN"/>
        </w:rPr>
        <w:t>一、估价项目名称</w:t>
      </w:r>
    </w:p>
    <w:p w14:paraId="2B955637">
      <w:pPr>
        <w:pStyle w:val="11"/>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bCs/>
          <w:color w:val="auto"/>
          <w:sz w:val="28"/>
          <w:szCs w:val="28"/>
          <w:highlight w:val="none"/>
          <w:lang w:val="en-US" w:eastAsia="zh-CN"/>
        </w:rPr>
      </w:pPr>
      <w:r>
        <w:rPr>
          <w:rFonts w:hint="default" w:ascii="仿宋_GB2312" w:hAnsi="仿宋_GB2312" w:eastAsia="仿宋_GB2312" w:cs="仿宋_GB2312"/>
          <w:b w:val="0"/>
          <w:bCs/>
          <w:color w:val="auto"/>
          <w:kern w:val="2"/>
          <w:sz w:val="28"/>
          <w:szCs w:val="28"/>
          <w:highlight w:val="none"/>
          <w:lang w:val="en-US" w:eastAsia="zh-CN" w:bidi="ar-SA"/>
        </w:rPr>
        <w:t>道县自然资源局办理土地使用权出让手续涉及的位于道县月岩西路的一宗住宅用途国有建设用地使用权市场价格评估</w:t>
      </w:r>
      <w:r>
        <w:rPr>
          <w:rFonts w:hint="eastAsia" w:ascii="仿宋_GB2312" w:hAnsi="仿宋_GB2312" w:cs="仿宋_GB2312"/>
          <w:b w:val="0"/>
          <w:bCs/>
          <w:color w:val="auto"/>
          <w:kern w:val="2"/>
          <w:sz w:val="28"/>
          <w:szCs w:val="28"/>
          <w:highlight w:val="none"/>
          <w:lang w:val="en-US" w:eastAsia="zh-CN" w:bidi="ar-SA"/>
        </w:rPr>
        <w:t>（永州市道县）</w:t>
      </w:r>
    </w:p>
    <w:p w14:paraId="03D5CD03">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US" w:eastAsia="zh-CN"/>
        </w:rPr>
        <w:t>二、</w:t>
      </w:r>
      <w:r>
        <w:rPr>
          <w:rFonts w:hint="eastAsia" w:ascii="仿宋_GB2312" w:hAnsi="仿宋_GB2312" w:eastAsia="仿宋_GB2312" w:cs="仿宋_GB2312"/>
          <w:b/>
          <w:bCs w:val="0"/>
          <w:color w:val="auto"/>
          <w:sz w:val="28"/>
          <w:szCs w:val="28"/>
          <w:highlight w:val="none"/>
          <w:lang w:val="en-GB" w:eastAsia="zh-CN"/>
        </w:rPr>
        <w:t>委托估价方</w:t>
      </w:r>
    </w:p>
    <w:p w14:paraId="669BFFA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委托估价方</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：道县自然资源局 </w:t>
      </w:r>
    </w:p>
    <w:p w14:paraId="1301D90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社会统一信用代码：11431124006598189Q</w:t>
      </w:r>
    </w:p>
    <w:p w14:paraId="6D22E12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负责人：杨安良</w:t>
      </w:r>
    </w:p>
    <w:p w14:paraId="68EF767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机构性质：机关</w:t>
      </w:r>
    </w:p>
    <w:p w14:paraId="3E1B058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机构地址：道县道州北路153号</w:t>
      </w:r>
    </w:p>
    <w:p w14:paraId="67777A6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联 系 人：</w:t>
      </w:r>
      <w:r>
        <w:rPr>
          <w:rFonts w:hint="eastAsia" w:ascii="仿宋_GB2312" w:eastAsia="仿宋_GB2312"/>
          <w:color w:val="000000" w:themeColor="text1"/>
          <w:sz w:val="28"/>
          <w:szCs w:val="30"/>
          <w:highlight w:val="none"/>
          <w:lang w:val="en-US" w:eastAsia="zh-CN"/>
          <w14:textFill>
            <w14:solidFill>
              <w14:schemeClr w14:val="tx1"/>
            </w14:solidFill>
          </w14:textFill>
        </w:rPr>
        <w:t>周</w:t>
      </w:r>
      <w:r>
        <w:rPr>
          <w:rFonts w:hint="eastAsia" w:ascii="仿宋_GB2312" w:eastAsia="仿宋_GB2312"/>
          <w:color w:val="000000" w:themeColor="text1"/>
          <w:sz w:val="28"/>
          <w:szCs w:val="30"/>
          <w:highlight w:val="none"/>
          <w14:textFill>
            <w14:solidFill>
              <w14:schemeClr w14:val="tx1"/>
            </w14:solidFill>
          </w14:textFill>
        </w:rPr>
        <w:t>先生</w:t>
      </w:r>
    </w:p>
    <w:p w14:paraId="1411AF8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联系电话：13874668219</w:t>
      </w:r>
    </w:p>
    <w:p w14:paraId="22B0146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邮    编：425300</w:t>
      </w:r>
    </w:p>
    <w:p w14:paraId="14F7699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highlight w:val="none"/>
          <w:lang w:val="en-US" w:eastAsia="zh-CN"/>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与估价对象土地使用者之间的关系：</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委托方为道县自然资源局，土地使用者为王汝冲</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58B898B9">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US" w:eastAsia="zh-CN"/>
        </w:rPr>
        <w:t>三、受委托估价方</w:t>
      </w:r>
    </w:p>
    <w:p w14:paraId="28EC2EC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GB" w:eastAsia="zh-CN"/>
        </w:rPr>
        <w:t>名    称：湖南兆财不动产规划评估有限公司</w:t>
      </w:r>
    </w:p>
    <w:p w14:paraId="5C5120B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GB" w:eastAsia="zh-CN"/>
        </w:rPr>
        <w:t>类    型：有限责任公司（自然人投资或控股）</w:t>
      </w:r>
    </w:p>
    <w:p w14:paraId="4047D00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GB" w:eastAsia="zh-CN"/>
        </w:rPr>
        <w:t>住所：湖南省长沙市芙蓉区荷花园街道远大一路348号东方摩卡二楼201房-584号</w:t>
      </w:r>
    </w:p>
    <w:p w14:paraId="2DB71AA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GB" w:eastAsia="zh-CN"/>
        </w:rPr>
        <w:t>法定代表人：</w:t>
      </w:r>
      <w:r>
        <w:rPr>
          <w:rFonts w:hint="eastAsia" w:ascii="仿宋_GB2312" w:hAnsi="仿宋_GB2312" w:eastAsia="仿宋_GB2312" w:cs="仿宋_GB2312"/>
          <w:bCs/>
          <w:color w:val="auto"/>
          <w:sz w:val="28"/>
          <w:szCs w:val="28"/>
          <w:highlight w:val="none"/>
          <w:lang w:val="en-US" w:eastAsia="zh-CN"/>
        </w:rPr>
        <w:t>彭翀</w:t>
      </w:r>
    </w:p>
    <w:p w14:paraId="066E5E2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GB" w:eastAsia="zh-CN"/>
        </w:rPr>
        <w:t>注册资本：贰佰万元整</w:t>
      </w:r>
    </w:p>
    <w:p w14:paraId="2ADB809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GB" w:eastAsia="zh-CN"/>
        </w:rPr>
        <w:t>成立日期：20</w:t>
      </w:r>
      <w:r>
        <w:rPr>
          <w:rFonts w:hint="eastAsia" w:ascii="仿宋_GB2312" w:hAnsi="仿宋_GB2312" w:eastAsia="仿宋_GB2312" w:cs="仿宋_GB2312"/>
          <w:bCs/>
          <w:color w:val="auto"/>
          <w:sz w:val="28"/>
          <w:szCs w:val="28"/>
          <w:highlight w:val="none"/>
          <w:lang w:val="en-US" w:eastAsia="zh-CN"/>
        </w:rPr>
        <w:t>21</w:t>
      </w:r>
      <w:r>
        <w:rPr>
          <w:rFonts w:hint="eastAsia" w:ascii="仿宋_GB2312" w:hAnsi="仿宋_GB2312" w:eastAsia="仿宋_GB2312" w:cs="仿宋_GB2312"/>
          <w:bCs/>
          <w:color w:val="auto"/>
          <w:sz w:val="28"/>
          <w:szCs w:val="28"/>
          <w:highlight w:val="none"/>
          <w:lang w:val="en-GB" w:eastAsia="zh-CN"/>
        </w:rPr>
        <w:t>年</w:t>
      </w:r>
      <w:r>
        <w:rPr>
          <w:rFonts w:hint="eastAsia" w:ascii="仿宋_GB2312" w:hAnsi="仿宋_GB2312" w:eastAsia="仿宋_GB2312" w:cs="仿宋_GB2312"/>
          <w:bCs/>
          <w:color w:val="auto"/>
          <w:sz w:val="28"/>
          <w:szCs w:val="28"/>
          <w:highlight w:val="none"/>
          <w:lang w:val="en-US" w:eastAsia="zh-CN"/>
        </w:rPr>
        <w:t>11</w:t>
      </w:r>
      <w:r>
        <w:rPr>
          <w:rFonts w:hint="eastAsia" w:ascii="仿宋_GB2312" w:hAnsi="仿宋_GB2312" w:eastAsia="仿宋_GB2312" w:cs="仿宋_GB2312"/>
          <w:bCs/>
          <w:color w:val="auto"/>
          <w:sz w:val="28"/>
          <w:szCs w:val="28"/>
          <w:highlight w:val="none"/>
          <w:lang w:val="en-GB" w:eastAsia="zh-CN"/>
        </w:rPr>
        <w:t>月</w:t>
      </w:r>
      <w:r>
        <w:rPr>
          <w:rFonts w:hint="eastAsia" w:ascii="仿宋_GB2312" w:hAnsi="仿宋_GB2312" w:eastAsia="仿宋_GB2312" w:cs="仿宋_GB2312"/>
          <w:bCs/>
          <w:color w:val="auto"/>
          <w:sz w:val="28"/>
          <w:szCs w:val="28"/>
          <w:highlight w:val="none"/>
          <w:lang w:val="en-US" w:eastAsia="zh-CN"/>
        </w:rPr>
        <w:t>22</w:t>
      </w:r>
      <w:r>
        <w:rPr>
          <w:rFonts w:hint="eastAsia" w:ascii="仿宋_GB2312" w:hAnsi="仿宋_GB2312" w:eastAsia="仿宋_GB2312" w:cs="仿宋_GB2312"/>
          <w:bCs/>
          <w:color w:val="auto"/>
          <w:sz w:val="28"/>
          <w:szCs w:val="28"/>
          <w:highlight w:val="none"/>
          <w:lang w:val="en-GB" w:eastAsia="zh-CN"/>
        </w:rPr>
        <w:t>日</w:t>
      </w:r>
    </w:p>
    <w:p w14:paraId="66536C0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GB" w:eastAsia="zh-CN"/>
        </w:rPr>
        <w:t>经营范围：经营范围包括许可项目：国土空间规划编制；测绘服务（依法须经批准的项目，经相关部门批准后方可开展经营活动，具体经营项目以相关部门批准文件或许可证件为准）一般项目：土地调查评估服务；土地整治服务；不动产登记代理服务；土地使用权租赁；农业专业及辅助性活动；规划设计管理；环保咨询服务；数据处理和存储支持服务；工程技术服务（规划管理、勘察、设计、监理除外）；信息技术咨询服务；卫星遥感应用系统集成；工业设计服务；水土流失防治服务；工程造价咨询业务；水利相关咨询服务；信息咨询服务（不含许可类信息咨询服务）；房地产评估；房地产咨询；地理遥感信息服务；社会稳定风险评估；基础地质勘查；地质勘查技术服务；资产评估；矿产资源储量估算和报告编制服务（须在中国矿业权评估师协会完成登记备案后方可从事经营活动）；矿业权评估服务；矿产资源储量评估服务（须在中国矿业权评估师协会完成登记备案后方可从事经营活动）（除依法须经批准的项目外，凭营业执照依法自主开展经营活动）。</w:t>
      </w:r>
    </w:p>
    <w:p w14:paraId="3C2664D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GB" w:eastAsia="zh-CN"/>
        </w:rPr>
        <w:t>机构</w:t>
      </w:r>
      <w:r>
        <w:rPr>
          <w:rFonts w:hint="eastAsia" w:ascii="仿宋_GB2312" w:hAnsi="仿宋_GB2312" w:eastAsia="仿宋_GB2312" w:cs="仿宋_GB2312"/>
          <w:bCs/>
          <w:color w:val="auto"/>
          <w:sz w:val="28"/>
          <w:szCs w:val="28"/>
          <w:highlight w:val="none"/>
          <w:lang w:val="en-US" w:eastAsia="zh-CN"/>
        </w:rPr>
        <w:t>备案编号</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2022430010</w:t>
      </w:r>
    </w:p>
    <w:p w14:paraId="6235E5A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GB" w:eastAsia="zh-CN"/>
        </w:rPr>
        <w:t>联 系 人：</w:t>
      </w:r>
      <w:r>
        <w:rPr>
          <w:rFonts w:hint="eastAsia" w:ascii="仿宋_GB2312" w:hAnsi="仿宋_GB2312" w:eastAsia="仿宋_GB2312" w:cs="仿宋_GB2312"/>
          <w:bCs/>
          <w:color w:val="auto"/>
          <w:sz w:val="28"/>
          <w:szCs w:val="28"/>
          <w:highlight w:val="none"/>
          <w:lang w:val="en-US" w:eastAsia="zh-CN"/>
        </w:rPr>
        <w:t>彭翀</w:t>
      </w:r>
    </w:p>
    <w:p w14:paraId="523DD7C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GB" w:eastAsia="zh-CN"/>
        </w:rPr>
        <w:t>联系电话：</w:t>
      </w:r>
      <w:r>
        <w:rPr>
          <w:rFonts w:hint="eastAsia" w:ascii="仿宋_GB2312" w:hAnsi="仿宋_GB2312" w:eastAsia="仿宋_GB2312" w:cs="仿宋_GB2312"/>
          <w:bCs/>
          <w:color w:val="auto"/>
          <w:sz w:val="28"/>
          <w:szCs w:val="28"/>
          <w:highlight w:val="none"/>
          <w:lang w:val="en-US" w:eastAsia="zh-CN"/>
        </w:rPr>
        <w:t>15388005188</w:t>
      </w:r>
    </w:p>
    <w:p w14:paraId="3980F95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GB" w:eastAsia="zh-CN"/>
        </w:rPr>
        <w:t>邮    编：4100</w:t>
      </w:r>
      <w:r>
        <w:rPr>
          <w:rFonts w:hint="eastAsia" w:ascii="仿宋_GB2312" w:hAnsi="仿宋_GB2312" w:eastAsia="仿宋_GB2312" w:cs="仿宋_GB2312"/>
          <w:bCs/>
          <w:color w:val="auto"/>
          <w:sz w:val="28"/>
          <w:szCs w:val="28"/>
          <w:highlight w:val="none"/>
          <w:lang w:val="en-US" w:eastAsia="zh-CN"/>
        </w:rPr>
        <w:t>00</w:t>
      </w:r>
    </w:p>
    <w:p w14:paraId="5C7F693B">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red"/>
          <w:lang w:val="en-GB" w:eastAsia="zh-CN"/>
        </w:rPr>
      </w:pPr>
      <w:r>
        <w:rPr>
          <w:rFonts w:hint="eastAsia" w:ascii="仿宋_GB2312" w:hAnsi="仿宋_GB2312" w:eastAsia="仿宋_GB2312" w:cs="仿宋_GB2312"/>
          <w:b/>
          <w:bCs w:val="0"/>
          <w:color w:val="auto"/>
          <w:sz w:val="28"/>
          <w:szCs w:val="28"/>
          <w:highlight w:val="none"/>
          <w:lang w:val="en-US" w:eastAsia="zh-CN"/>
        </w:rPr>
        <w:t>四、</w:t>
      </w:r>
      <w:r>
        <w:rPr>
          <w:rFonts w:hint="eastAsia" w:ascii="仿宋_GB2312" w:hAnsi="仿宋_GB2312" w:eastAsia="仿宋_GB2312" w:cs="仿宋_GB2312"/>
          <w:b/>
          <w:bCs w:val="0"/>
          <w:color w:val="auto"/>
          <w:sz w:val="28"/>
          <w:szCs w:val="28"/>
          <w:highlight w:val="none"/>
          <w:lang w:val="en-GB" w:eastAsia="zh-CN"/>
        </w:rPr>
        <w:t>估价目的</w:t>
      </w:r>
    </w:p>
    <w:p w14:paraId="7F51D74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rFonts w:hint="default" w:ascii="仿宋_GB2312" w:hAnsi="仿宋_GB2312" w:eastAsia="仿宋_GB2312" w:cs="仿宋_GB2312"/>
          <w:bCs/>
          <w:color w:val="auto"/>
          <w:sz w:val="28"/>
          <w:szCs w:val="28"/>
          <w:highlight w:val="none"/>
          <w:lang w:val="en-US" w:eastAsia="zh-CN"/>
        </w:rPr>
        <w:t>根据</w:t>
      </w:r>
      <w:r>
        <w:rPr>
          <w:rFonts w:hint="default" w:ascii="仿宋_GB2312" w:hAnsi="仿宋_GB2312" w:eastAsia="仿宋_GB2312" w:cs="仿宋_GB2312"/>
          <w:bCs/>
          <w:color w:val="auto"/>
          <w:sz w:val="28"/>
          <w:szCs w:val="28"/>
          <w:highlight w:val="none"/>
          <w:lang w:val="en-GB" w:eastAsia="zh-CN"/>
        </w:rPr>
        <w:t>《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w:t>
      </w:r>
      <w:r>
        <w:rPr>
          <w:rFonts w:hint="default" w:ascii="仿宋_GB2312" w:hAnsi="仿宋_GB2312" w:eastAsia="仿宋_GB2312" w:cs="仿宋_GB2312"/>
          <w:bCs/>
          <w:color w:val="auto"/>
          <w:sz w:val="28"/>
          <w:szCs w:val="28"/>
          <w:highlight w:val="none"/>
          <w:lang w:val="en-US" w:eastAsia="zh-CN"/>
        </w:rPr>
        <w:t>委托方提供的《评估委托书》，</w:t>
      </w:r>
      <w:r>
        <w:rPr>
          <w:rFonts w:hint="eastAsia" w:ascii="仿宋_GB2312" w:hAnsi="仿宋_GB2312" w:eastAsia="仿宋_GB2312" w:cs="仿宋_GB2312"/>
          <w:bCs/>
          <w:color w:val="auto"/>
          <w:sz w:val="28"/>
          <w:szCs w:val="28"/>
          <w:highlight w:val="none"/>
          <w:lang w:val="en-US" w:eastAsia="zh-CN"/>
        </w:rPr>
        <w:t>道县自然资源局</w:t>
      </w:r>
      <w:r>
        <w:rPr>
          <w:rFonts w:hint="default" w:ascii="仿宋_GB2312" w:hAnsi="仿宋_GB2312" w:eastAsia="仿宋_GB2312" w:cs="仿宋_GB2312"/>
          <w:bCs/>
          <w:color w:val="auto"/>
          <w:sz w:val="28"/>
          <w:szCs w:val="28"/>
          <w:highlight w:val="none"/>
          <w:lang w:val="en-GB" w:eastAsia="zh-CN"/>
        </w:rPr>
        <w:t>拟了解一宗位于</w:t>
      </w:r>
      <w:r>
        <w:rPr>
          <w:rFonts w:hint="default" w:ascii="仿宋_GB2312" w:hAnsi="仿宋_GB2312" w:eastAsia="仿宋_GB2312" w:cs="仿宋_GB2312"/>
          <w:b w:val="0"/>
          <w:bCs/>
          <w:color w:val="auto"/>
          <w:kern w:val="2"/>
          <w:sz w:val="28"/>
          <w:szCs w:val="28"/>
          <w:highlight w:val="none"/>
          <w:lang w:val="en-US" w:eastAsia="zh-CN" w:bidi="ar-SA"/>
        </w:rPr>
        <w:t>道县月岩西路</w:t>
      </w:r>
      <w:r>
        <w:rPr>
          <w:rFonts w:hint="default" w:ascii="仿宋_GB2312" w:hAnsi="仿宋_GB2312" w:eastAsia="仿宋_GB2312" w:cs="仿宋_GB2312"/>
          <w:bCs/>
          <w:color w:val="auto"/>
          <w:sz w:val="28"/>
          <w:szCs w:val="28"/>
          <w:highlight w:val="none"/>
          <w:lang w:val="en-GB" w:eastAsia="zh-CN"/>
        </w:rPr>
        <w:t>的国有土地使用权价值，特委托</w:t>
      </w:r>
      <w:r>
        <w:rPr>
          <w:rFonts w:hint="eastAsia" w:ascii="仿宋_GB2312" w:hAnsi="仿宋_GB2312" w:eastAsia="仿宋_GB2312" w:cs="仿宋_GB2312"/>
          <w:bCs/>
          <w:color w:val="auto"/>
          <w:sz w:val="28"/>
          <w:szCs w:val="28"/>
          <w:highlight w:val="none"/>
          <w:lang w:val="en-GB" w:eastAsia="zh-CN"/>
        </w:rPr>
        <w:t>湖南兆财不动产规划评估有限公司</w:t>
      </w:r>
      <w:r>
        <w:rPr>
          <w:rFonts w:hint="default" w:ascii="仿宋_GB2312" w:hAnsi="仿宋_GB2312" w:eastAsia="仿宋_GB2312" w:cs="仿宋_GB2312"/>
          <w:bCs/>
          <w:color w:val="auto"/>
          <w:sz w:val="28"/>
          <w:szCs w:val="28"/>
          <w:highlight w:val="none"/>
          <w:lang w:val="en-GB" w:eastAsia="zh-CN"/>
        </w:rPr>
        <w:t>对</w:t>
      </w:r>
      <w:r>
        <w:rPr>
          <w:rFonts w:hint="eastAsia" w:ascii="仿宋_GB2312" w:hAnsi="仿宋_GB2312" w:eastAsia="仿宋_GB2312" w:cs="仿宋_GB2312"/>
          <w:bCs/>
          <w:color w:val="auto"/>
          <w:sz w:val="28"/>
          <w:szCs w:val="28"/>
          <w:highlight w:val="none"/>
          <w:lang w:val="en-US" w:eastAsia="zh-CN"/>
        </w:rPr>
        <w:t>估价对象</w:t>
      </w:r>
      <w:r>
        <w:rPr>
          <w:rFonts w:hint="default" w:ascii="仿宋_GB2312" w:hAnsi="仿宋_GB2312" w:eastAsia="仿宋_GB2312" w:cs="仿宋_GB2312"/>
          <w:bCs/>
          <w:color w:val="auto"/>
          <w:sz w:val="28"/>
          <w:szCs w:val="28"/>
          <w:highlight w:val="none"/>
          <w:lang w:val="en-GB" w:eastAsia="zh-CN"/>
        </w:rPr>
        <w:t>在现状利用条件下的</w:t>
      </w:r>
      <w:r>
        <w:rPr>
          <w:rFonts w:hint="eastAsia" w:ascii="仿宋_GB2312" w:hAnsi="仿宋_GB2312" w:eastAsia="仿宋_GB2312" w:cs="仿宋_GB2312"/>
          <w:bCs/>
          <w:color w:val="auto"/>
          <w:sz w:val="28"/>
          <w:szCs w:val="28"/>
          <w:highlight w:val="none"/>
          <w:lang w:val="en-US" w:eastAsia="zh-CN"/>
        </w:rPr>
        <w:t>国有土地使用权出让</w:t>
      </w:r>
      <w:r>
        <w:rPr>
          <w:rFonts w:hint="default" w:ascii="仿宋_GB2312" w:hAnsi="仿宋_GB2312" w:eastAsia="仿宋_GB2312" w:cs="仿宋_GB2312"/>
          <w:bCs/>
          <w:color w:val="auto"/>
          <w:sz w:val="28"/>
          <w:szCs w:val="28"/>
          <w:highlight w:val="none"/>
          <w:lang w:val="en-GB" w:eastAsia="zh-CN"/>
        </w:rPr>
        <w:t>土地使用权价格进行评估，为其办理土地使用权出让手续提供</w:t>
      </w:r>
      <w:r>
        <w:rPr>
          <w:rFonts w:hint="eastAsia" w:ascii="仿宋_GB2312" w:hAnsi="仿宋_GB2312" w:eastAsia="仿宋_GB2312" w:cs="仿宋_GB2312"/>
          <w:bCs/>
          <w:color w:val="auto"/>
          <w:sz w:val="28"/>
          <w:szCs w:val="28"/>
          <w:highlight w:val="none"/>
          <w:lang w:val="en-US" w:eastAsia="zh-CN"/>
        </w:rPr>
        <w:t>客观、公正、合理的</w:t>
      </w:r>
      <w:r>
        <w:rPr>
          <w:rFonts w:hint="default" w:ascii="仿宋_GB2312" w:hAnsi="仿宋_GB2312" w:eastAsia="仿宋_GB2312" w:cs="仿宋_GB2312"/>
          <w:bCs/>
          <w:color w:val="auto"/>
          <w:sz w:val="28"/>
          <w:szCs w:val="28"/>
          <w:highlight w:val="none"/>
          <w:lang w:val="en-GB" w:eastAsia="zh-CN"/>
        </w:rPr>
        <w:t>价格参考</w:t>
      </w:r>
      <w:r>
        <w:rPr>
          <w:rFonts w:hint="eastAsia" w:ascii="仿宋_GB2312" w:hAnsi="仿宋_GB2312" w:eastAsia="仿宋_GB2312" w:cs="仿宋_GB2312"/>
          <w:bCs/>
          <w:color w:val="auto"/>
          <w:sz w:val="28"/>
          <w:szCs w:val="28"/>
          <w:highlight w:val="none"/>
          <w:lang w:val="en-US" w:eastAsia="zh-CN"/>
        </w:rPr>
        <w:t>依据</w:t>
      </w:r>
      <w:r>
        <w:rPr>
          <w:rFonts w:hint="eastAsia" w:ascii="仿宋_GB2312" w:eastAsia="仿宋_GB2312"/>
          <w:color w:val="000000" w:themeColor="text1"/>
          <w:sz w:val="28"/>
          <w:szCs w:val="30"/>
          <w:highlight w:val="none"/>
          <w:lang w:eastAsia="zh-CN"/>
          <w14:textFill>
            <w14:solidFill>
              <w14:schemeClr w14:val="tx1"/>
            </w14:solidFill>
          </w14:textFill>
        </w:rPr>
        <w:t>。</w:t>
      </w:r>
    </w:p>
    <w:p w14:paraId="46B01681">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US" w:eastAsia="zh-CN"/>
        </w:rPr>
        <w:t>五、估价依据</w:t>
      </w:r>
    </w:p>
    <w:p w14:paraId="1BD9E5B3">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（一）国家有关部门颁布的法律法规及相关文件</w:t>
      </w:r>
    </w:p>
    <w:p w14:paraId="60401104">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1、《中华人民共和国民法典》（2020年5月28日第十三届全国人民代表大会第三次会议通过，2020年5月28日中华人民共和国主席令第四十五号公布，自2021年1月1日起施行）；</w:t>
      </w:r>
    </w:p>
    <w:p w14:paraId="16E3D26F">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2、《中华人民共和国资产评估法》（2016年7月2日第十二届全国人民代表大会常务委员会第二十一次会议通过，2016年7月2日中华人民共和国主席令第四十六号公布，自2016年12月1日起施行）；</w:t>
      </w:r>
    </w:p>
    <w:p w14:paraId="74B16D83">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3、《中华人民共和国土地管理法》（1986年6月25日第六届全国人民代表大会常务委员会第十六次会议通过，中华人民共和国主席令第四十一号公布；根据2019年8月26日《全国人民代表大会常务委员会关于修改&lt;中华人民共和国土地管理法&gt;、&lt;中华人民共和国城市房地产管理法&gt;的决定》第三次修正，2019年8月26日中华人民共和国主席令第三十二号公布，自2020年1月1日起施行）；</w:t>
      </w:r>
    </w:p>
    <w:p w14:paraId="60FB3CA8">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4、《中华人民共和国城市房地产管理法》（1994年7月5日第八届全国人民代表大会常务委员会第八次会议通过，中华人民共和国主席令第二十九号公布；根据2019年8月26日第十三届全国人民代表大会常务委员会第十二次会议《关于修改〈中华人民共和国土地管理法〉、〈中华人民共和国城市房地产管理法〉的决定》第三次修正，2019年8月26日中华人民共和国主席令第三十二号公布，自2020年1月1日起施行）；</w:t>
      </w:r>
    </w:p>
    <w:p w14:paraId="174F2B79">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5、《中华人民共和国城乡规划法》（2007年10月28日第十届全国人民代表大会常务委员会第三十次会通过，中华人民共和国主席令第二十九号公布；根据2019年4月23日第十三届全国人民代表大会常务委员会第十次会议《关于修改&lt;中华人民共和国建筑法&gt;等八部法律的决定》第二次修正，2019年4月23日中华人民共和国主席令第二十九号公布，自本决定公布之日起施行）；</w:t>
      </w:r>
    </w:p>
    <w:p w14:paraId="4D958F1F">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6</w:t>
      </w:r>
      <w:r>
        <w:rPr>
          <w:rFonts w:hint="eastAsia" w:ascii="仿宋_GB2312" w:hAnsi="仿宋_GB2312" w:eastAsia="仿宋_GB2312" w:cs="仿宋_GB2312"/>
          <w:sz w:val="28"/>
          <w:szCs w:val="28"/>
          <w:highlight w:val="none"/>
        </w:rPr>
        <w:t>、《中华人民共和国契税法》（2020年8月11日第十三届全国人民代表大会常务委员会第二十一次会议通过，中华人民共和国主席令第52号公布，自2021年9月1日起施行）；</w:t>
      </w:r>
    </w:p>
    <w:p w14:paraId="6552E3B5">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7</w:t>
      </w:r>
      <w:r>
        <w:rPr>
          <w:rFonts w:hint="eastAsia" w:ascii="仿宋_GB2312" w:hAnsi="仿宋_GB2312" w:eastAsia="仿宋_GB2312" w:cs="仿宋_GB2312"/>
          <w:sz w:val="28"/>
          <w:szCs w:val="28"/>
          <w:highlight w:val="none"/>
        </w:rPr>
        <w:t>、《中华人民共和国城市维护建设税法》（2020年8月11日第十三届全国人民代表大会常务委员会第二十一次会议通过，中华人民共和国主席令第51号公布，自2021年9月1日起施行）；</w:t>
      </w:r>
    </w:p>
    <w:p w14:paraId="2EA3AAAD">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lang w:eastAsia="zh-CN"/>
        </w:rPr>
      </w:pPr>
      <w:r>
        <w:rPr>
          <w:rFonts w:hint="eastAsia" w:ascii="仿宋_GB2312" w:hAnsi="仿宋_GB2312" w:eastAsia="仿宋_GB2312" w:cs="仿宋_GB2312"/>
          <w:sz w:val="28"/>
          <w:szCs w:val="28"/>
          <w:highlight w:val="none"/>
          <w:lang w:val="en-US" w:eastAsia="zh-CN"/>
        </w:rPr>
        <w:t>8</w:t>
      </w:r>
      <w:r>
        <w:rPr>
          <w:rFonts w:hint="eastAsia" w:ascii="仿宋_GB2312" w:hAnsi="仿宋_GB2312" w:eastAsia="仿宋_GB2312" w:cs="仿宋_GB2312"/>
          <w:sz w:val="28"/>
          <w:szCs w:val="28"/>
          <w:highlight w:val="none"/>
        </w:rPr>
        <w:t>、《中华人民共和国印花税法》（2021年6月10日第十三届全国人民代表大会常务委员会第二十九次会议通过，自2022年7月1日起施行）</w:t>
      </w:r>
      <w:r>
        <w:rPr>
          <w:rFonts w:hint="eastAsia" w:ascii="仿宋_GB2312" w:hAnsi="仿宋_GB2312" w:eastAsia="仿宋_GB2312" w:cs="仿宋_GB2312"/>
          <w:sz w:val="28"/>
          <w:szCs w:val="28"/>
          <w:highlight w:val="none"/>
          <w:lang w:eastAsia="zh-CN"/>
        </w:rPr>
        <w:t>；</w:t>
      </w:r>
    </w:p>
    <w:p w14:paraId="734C622D">
      <w:pPr>
        <w:keepNext w:val="0"/>
        <w:keepLines w:val="0"/>
        <w:pageBreakBefore w:val="0"/>
        <w:widowControl/>
        <w:kinsoku/>
        <w:wordWrap/>
        <w:overflowPunct/>
        <w:topLinePunct w:val="0"/>
        <w:autoSpaceDE/>
        <w:autoSpaceDN/>
        <w:bidi w:val="0"/>
        <w:spacing w:line="480" w:lineRule="exact"/>
        <w:ind w:right="0" w:firstLine="560" w:firstLineChars="200"/>
        <w:jc w:val="left"/>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9</w:t>
      </w:r>
      <w:r>
        <w:rPr>
          <w:rFonts w:hint="eastAsia" w:ascii="仿宋_GB2312" w:hAnsi="仿宋_GB2312" w:eastAsia="仿宋_GB2312" w:cs="仿宋_GB2312"/>
          <w:bCs/>
          <w:iCs/>
          <w:sz w:val="28"/>
          <w:szCs w:val="28"/>
          <w:highlight w:val="none"/>
        </w:rPr>
        <w:t>、《城市房地产开发经营管理条例》（1998年7月20日中华人民共和国国务院令第248号发布</w:t>
      </w:r>
      <w:r>
        <w:rPr>
          <w:rFonts w:hint="eastAsia" w:ascii="仿宋_GB2312" w:hAnsi="仿宋_GB2312" w:eastAsia="仿宋_GB2312" w:cs="仿宋_GB2312"/>
          <w:bCs/>
          <w:iCs/>
          <w:sz w:val="28"/>
          <w:szCs w:val="28"/>
          <w:highlight w:val="none"/>
          <w:lang w:eastAsia="zh-CN"/>
        </w:rPr>
        <w:t>；</w:t>
      </w:r>
      <w:r>
        <w:rPr>
          <w:rFonts w:hint="eastAsia" w:ascii="仿宋_GB2312" w:hAnsi="仿宋_GB2312" w:eastAsia="仿宋_GB2312" w:cs="仿宋_GB2312"/>
          <w:bCs/>
          <w:iCs/>
          <w:sz w:val="28"/>
          <w:szCs w:val="28"/>
          <w:highlight w:val="none"/>
        </w:rPr>
        <w:t>根据2020年11月29日《国务院关于修改和废止部分行政法规的决定》第五次修订）；</w:t>
      </w:r>
    </w:p>
    <w:p w14:paraId="26004C99">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10</w:t>
      </w:r>
      <w:r>
        <w:rPr>
          <w:rFonts w:hint="eastAsia" w:ascii="仿宋_GB2312" w:hAnsi="仿宋_GB2312" w:eastAsia="仿宋_GB2312" w:cs="仿宋_GB2312"/>
          <w:sz w:val="28"/>
          <w:szCs w:val="28"/>
          <w:highlight w:val="none"/>
        </w:rPr>
        <w:t>、《中华人民共和国城镇国有土地使用权出让和转让暂行条例》（1990年5月19日中华人民共和国国务院令第55号发布，自发布之日起施行；根据2020年11月29日中华人民共和国国务院令第732号修订）；</w:t>
      </w:r>
    </w:p>
    <w:p w14:paraId="096E2DC9">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11</w:t>
      </w:r>
      <w:r>
        <w:rPr>
          <w:rFonts w:hint="eastAsia" w:ascii="仿宋_GB2312" w:hAnsi="仿宋_GB2312" w:eastAsia="仿宋_GB2312" w:cs="仿宋_GB2312"/>
          <w:sz w:val="28"/>
          <w:szCs w:val="28"/>
          <w:highlight w:val="none"/>
        </w:rPr>
        <w:t>、《中华人民共和国土地管理法实施条例》（中华人民共和国国务院令第256号，2021年7月2日中华人民共和国国务院令第743号第三次修订）；</w:t>
      </w:r>
    </w:p>
    <w:p w14:paraId="0B130309">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12</w:t>
      </w:r>
      <w:r>
        <w:rPr>
          <w:rFonts w:hint="eastAsia" w:ascii="仿宋_GB2312" w:hAnsi="仿宋_GB2312" w:eastAsia="仿宋_GB2312" w:cs="仿宋_GB2312"/>
          <w:sz w:val="28"/>
          <w:szCs w:val="28"/>
          <w:highlight w:val="none"/>
        </w:rPr>
        <w:t>、《不动产登记暂行条例》（2014年11月24日中华人民共和国国务院令第656号公布，自2015年3月1日起施行；根据20</w:t>
      </w:r>
      <w:r>
        <w:rPr>
          <w:rFonts w:hint="eastAsia" w:ascii="仿宋_GB2312" w:hAnsi="仿宋_GB2312" w:eastAsia="仿宋_GB2312" w:cs="仿宋_GB2312"/>
          <w:sz w:val="28"/>
          <w:szCs w:val="28"/>
          <w:highlight w:val="none"/>
          <w:lang w:val="en-US" w:eastAsia="zh-CN"/>
        </w:rPr>
        <w:t>24</w:t>
      </w:r>
      <w:r>
        <w:rPr>
          <w:rFonts w:hint="eastAsia" w:ascii="仿宋_GB2312" w:hAnsi="仿宋_GB2312" w:eastAsia="仿宋_GB2312" w:cs="仿宋_GB2312"/>
          <w:sz w:val="28"/>
          <w:szCs w:val="28"/>
          <w:highlight w:val="none"/>
        </w:rPr>
        <w:t>年3月</w:t>
      </w:r>
      <w:r>
        <w:rPr>
          <w:rFonts w:hint="eastAsia" w:ascii="仿宋_GB2312" w:hAnsi="仿宋_GB2312" w:eastAsia="仿宋_GB2312" w:cs="仿宋_GB2312"/>
          <w:sz w:val="28"/>
          <w:szCs w:val="28"/>
          <w:highlight w:val="none"/>
          <w:lang w:val="en-US" w:eastAsia="zh-CN"/>
        </w:rPr>
        <w:t>10</w:t>
      </w:r>
      <w:r>
        <w:rPr>
          <w:rFonts w:hint="eastAsia" w:ascii="仿宋_GB2312" w:hAnsi="仿宋_GB2312" w:eastAsia="仿宋_GB2312" w:cs="仿宋_GB2312"/>
          <w:sz w:val="28"/>
          <w:szCs w:val="28"/>
          <w:highlight w:val="none"/>
        </w:rPr>
        <w:t>日中华人民共和国国务院令第7</w:t>
      </w:r>
      <w:r>
        <w:rPr>
          <w:rFonts w:hint="eastAsia" w:ascii="仿宋_GB2312" w:hAnsi="仿宋_GB2312" w:eastAsia="仿宋_GB2312" w:cs="仿宋_GB2312"/>
          <w:sz w:val="28"/>
          <w:szCs w:val="28"/>
          <w:highlight w:val="none"/>
          <w:lang w:val="en-US" w:eastAsia="zh-CN"/>
        </w:rPr>
        <w:t>77</w:t>
      </w:r>
      <w:r>
        <w:rPr>
          <w:rFonts w:hint="eastAsia" w:ascii="仿宋_GB2312" w:hAnsi="仿宋_GB2312" w:eastAsia="仿宋_GB2312" w:cs="仿宋_GB2312"/>
          <w:sz w:val="28"/>
          <w:szCs w:val="28"/>
          <w:highlight w:val="none"/>
        </w:rPr>
        <w:t>号《国务院关于修改和废止部分行政法规的决定》第</w:t>
      </w:r>
      <w:r>
        <w:rPr>
          <w:rFonts w:hint="eastAsia" w:ascii="仿宋_GB2312" w:hAnsi="仿宋_GB2312" w:eastAsia="仿宋_GB2312" w:cs="仿宋_GB2312"/>
          <w:sz w:val="28"/>
          <w:szCs w:val="28"/>
          <w:highlight w:val="none"/>
          <w:lang w:val="en-US" w:eastAsia="zh-CN"/>
        </w:rPr>
        <w:t>二</w:t>
      </w:r>
      <w:r>
        <w:rPr>
          <w:rFonts w:hint="eastAsia" w:ascii="仿宋_GB2312" w:hAnsi="仿宋_GB2312" w:eastAsia="仿宋_GB2312" w:cs="仿宋_GB2312"/>
          <w:sz w:val="28"/>
          <w:szCs w:val="28"/>
          <w:highlight w:val="none"/>
        </w:rPr>
        <w:t>次修订）；</w:t>
      </w:r>
    </w:p>
    <w:p w14:paraId="7AD17679">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13</w:t>
      </w:r>
      <w:r>
        <w:rPr>
          <w:rFonts w:hint="eastAsia" w:ascii="仿宋_GB2312" w:hAnsi="仿宋_GB2312" w:eastAsia="仿宋_GB2312" w:cs="仿宋_GB2312"/>
          <w:sz w:val="28"/>
          <w:szCs w:val="28"/>
          <w:highlight w:val="none"/>
        </w:rPr>
        <w:t>、《国务院关于深化改革严格土地管理的决定》（国发〔2004〕28号，2004年10月21日）；</w:t>
      </w:r>
    </w:p>
    <w:p w14:paraId="243BBBF2">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14</w:t>
      </w:r>
      <w:r>
        <w:rPr>
          <w:rFonts w:hint="eastAsia" w:ascii="仿宋_GB2312" w:hAnsi="仿宋_GB2312" w:eastAsia="仿宋_GB2312" w:cs="仿宋_GB2312"/>
          <w:sz w:val="28"/>
          <w:szCs w:val="28"/>
          <w:highlight w:val="none"/>
        </w:rPr>
        <w:t>、《国务院关于加强土地调控有关问题的通知》（国发〔2006〕31号，2006年8月31日）；</w:t>
      </w:r>
    </w:p>
    <w:p w14:paraId="6C53E6AB">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15</w:t>
      </w:r>
      <w:r>
        <w:rPr>
          <w:rFonts w:hint="eastAsia" w:ascii="仿宋_GB2312" w:hAnsi="仿宋_GB2312" w:eastAsia="仿宋_GB2312" w:cs="仿宋_GB2312"/>
          <w:sz w:val="28"/>
          <w:szCs w:val="28"/>
          <w:highlight w:val="none"/>
        </w:rPr>
        <w:t>、《国务院办公厅关于完善建设用地使用权转让、出租、抵押二级市场的指导意见》（国办发〔2019〕34号，2019年07月19日）；</w:t>
      </w:r>
    </w:p>
    <w:p w14:paraId="2D5112F5">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16</w:t>
      </w:r>
      <w:r>
        <w:rPr>
          <w:rFonts w:hint="eastAsia" w:ascii="仿宋_GB2312" w:hAnsi="仿宋_GB2312" w:eastAsia="仿宋_GB2312" w:cs="仿宋_GB2312"/>
          <w:sz w:val="28"/>
          <w:szCs w:val="28"/>
          <w:highlight w:val="none"/>
        </w:rPr>
        <w:t>、《协议出让国有土地使用权规定》（国土资源部令第21号，2003年8月1号）；</w:t>
      </w:r>
    </w:p>
    <w:p w14:paraId="4FD08B19">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17</w:t>
      </w:r>
      <w:r>
        <w:rPr>
          <w:rFonts w:hint="eastAsia" w:ascii="仿宋_GB2312" w:hAnsi="仿宋_GB2312" w:eastAsia="仿宋_GB2312" w:cs="仿宋_GB2312"/>
          <w:sz w:val="28"/>
          <w:szCs w:val="28"/>
          <w:highlight w:val="none"/>
        </w:rPr>
        <w:t>、《协议出让国有土地使用权规范》（试行）（国土资发〔2006〕114号，2006年5月31号）；</w:t>
      </w:r>
    </w:p>
    <w:p w14:paraId="0C0B13CF">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18</w:t>
      </w:r>
      <w:r>
        <w:rPr>
          <w:rFonts w:hint="eastAsia" w:ascii="仿宋_GB2312" w:hAnsi="仿宋_GB2312" w:eastAsia="仿宋_GB2312" w:cs="仿宋_GB2312"/>
          <w:sz w:val="28"/>
          <w:szCs w:val="28"/>
          <w:highlight w:val="none"/>
        </w:rPr>
        <w:t>、《国土资源部关于进一步加强城市地价动态监测工作的通知》（国土资发[2008]51号，2008年3月11日）；</w:t>
      </w:r>
    </w:p>
    <w:p w14:paraId="0C4F6057">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19</w:t>
      </w:r>
      <w:r>
        <w:rPr>
          <w:rFonts w:hint="eastAsia" w:ascii="仿宋_GB2312" w:hAnsi="仿宋_GB2312" w:eastAsia="仿宋_GB2312" w:cs="仿宋_GB2312"/>
          <w:sz w:val="28"/>
          <w:szCs w:val="28"/>
          <w:highlight w:val="none"/>
        </w:rPr>
        <w:t>、《国土资源部关于坚持和完善土地招标拍卖挂牌出让制度的意见》（国土资发〔2011〕63号，2011年5月13日）；</w:t>
      </w:r>
    </w:p>
    <w:p w14:paraId="7D6BD823">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20</w:t>
      </w:r>
      <w:r>
        <w:rPr>
          <w:rFonts w:hint="eastAsia" w:ascii="仿宋_GB2312" w:hAnsi="仿宋_GB2312" w:eastAsia="仿宋_GB2312" w:cs="仿宋_GB2312"/>
          <w:sz w:val="28"/>
          <w:szCs w:val="28"/>
          <w:highlight w:val="none"/>
        </w:rPr>
        <w:t>、《国土资源部办公厅关于实施电子化备案完善土地估价报告备案制度的通知》（国土资厅发[2012]35号，2012年6月14日）；</w:t>
      </w:r>
    </w:p>
    <w:p w14:paraId="06E5657C">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21</w:t>
      </w:r>
      <w:r>
        <w:rPr>
          <w:rFonts w:hint="eastAsia" w:ascii="仿宋_GB2312" w:hAnsi="仿宋_GB2312" w:eastAsia="仿宋_GB2312" w:cs="仿宋_GB2312"/>
          <w:sz w:val="28"/>
          <w:szCs w:val="28"/>
          <w:highlight w:val="none"/>
        </w:rPr>
        <w:t>、《节约集约利用土地规定》（2014年5月22日国土资源部第61号令公布，根据2019年7月16日自然资源部第2次部务会议《自然资源部第一批废止和修改的部门规章的决定》修正）；</w:t>
      </w:r>
    </w:p>
    <w:p w14:paraId="5ADD7D13">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22</w:t>
      </w:r>
      <w:r>
        <w:rPr>
          <w:rFonts w:hint="eastAsia" w:ascii="仿宋_GB2312" w:hAnsi="仿宋_GB2312" w:eastAsia="仿宋_GB2312" w:cs="仿宋_GB2312"/>
          <w:sz w:val="28"/>
          <w:szCs w:val="28"/>
          <w:highlight w:val="none"/>
        </w:rPr>
        <w:t>、《不动产登记暂行条例实施细则》（2016年1月1日国土资源部令第63号公布，根据20</w:t>
      </w:r>
      <w:r>
        <w:rPr>
          <w:rFonts w:hint="eastAsia" w:ascii="仿宋_GB2312" w:hAnsi="仿宋_GB2312" w:eastAsia="仿宋_GB2312" w:cs="仿宋_GB2312"/>
          <w:sz w:val="28"/>
          <w:szCs w:val="28"/>
          <w:highlight w:val="none"/>
          <w:lang w:val="en-US" w:eastAsia="zh-CN"/>
        </w:rPr>
        <w:t>24</w:t>
      </w:r>
      <w:r>
        <w:rPr>
          <w:rFonts w:hint="eastAsia" w:ascii="仿宋_GB2312" w:hAnsi="仿宋_GB2312" w:eastAsia="仿宋_GB2312" w:cs="仿宋_GB2312"/>
          <w:sz w:val="28"/>
          <w:szCs w:val="28"/>
          <w:highlight w:val="none"/>
        </w:rPr>
        <w:t>年</w:t>
      </w:r>
      <w:r>
        <w:rPr>
          <w:rFonts w:hint="eastAsia" w:ascii="仿宋_GB2312" w:hAnsi="仿宋_GB2312" w:eastAsia="仿宋_GB2312" w:cs="仿宋_GB2312"/>
          <w:sz w:val="28"/>
          <w:szCs w:val="28"/>
          <w:highlight w:val="none"/>
          <w:lang w:val="en-US" w:eastAsia="zh-CN"/>
        </w:rPr>
        <w:t>5</w:t>
      </w:r>
      <w:r>
        <w:rPr>
          <w:rFonts w:hint="eastAsia" w:ascii="仿宋_GB2312" w:hAnsi="仿宋_GB2312" w:eastAsia="仿宋_GB2312" w:cs="仿宋_GB2312"/>
          <w:sz w:val="28"/>
          <w:szCs w:val="28"/>
          <w:highlight w:val="none"/>
        </w:rPr>
        <w:t>月</w:t>
      </w:r>
      <w:r>
        <w:rPr>
          <w:rFonts w:hint="eastAsia" w:ascii="仿宋_GB2312" w:hAnsi="仿宋_GB2312" w:eastAsia="仿宋_GB2312" w:cs="仿宋_GB2312"/>
          <w:sz w:val="28"/>
          <w:szCs w:val="28"/>
          <w:highlight w:val="none"/>
          <w:lang w:val="en-US" w:eastAsia="zh-CN"/>
        </w:rPr>
        <w:t>9</w:t>
      </w:r>
      <w:r>
        <w:rPr>
          <w:rFonts w:hint="eastAsia" w:ascii="仿宋_GB2312" w:hAnsi="仿宋_GB2312" w:eastAsia="仿宋_GB2312" w:cs="仿宋_GB2312"/>
          <w:sz w:val="28"/>
          <w:szCs w:val="28"/>
          <w:highlight w:val="none"/>
        </w:rPr>
        <w:t>日自然资源部第2次部务会议《自然资源部关于第六批修改的部门规章的决定》修正）；</w:t>
      </w:r>
    </w:p>
    <w:p w14:paraId="1D36572C">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kern w:val="0"/>
          <w:sz w:val="28"/>
          <w:szCs w:val="28"/>
          <w:highlight w:val="none"/>
        </w:rPr>
      </w:pPr>
      <w:r>
        <w:rPr>
          <w:rFonts w:hint="eastAsia" w:ascii="仿宋_GB2312" w:hAnsi="仿宋_GB2312" w:eastAsia="仿宋_GB2312" w:cs="仿宋_GB2312"/>
          <w:sz w:val="28"/>
          <w:szCs w:val="28"/>
          <w:highlight w:val="none"/>
          <w:lang w:val="en-US" w:eastAsia="zh-CN"/>
        </w:rPr>
        <w:t>23</w:t>
      </w:r>
      <w:r>
        <w:rPr>
          <w:rFonts w:hint="eastAsia" w:ascii="仿宋_GB2312" w:hAnsi="仿宋_GB2312" w:eastAsia="仿宋_GB2312" w:cs="仿宋_GB2312"/>
          <w:sz w:val="28"/>
          <w:szCs w:val="28"/>
          <w:highlight w:val="none"/>
        </w:rPr>
        <w:t>、《国土资源部关于贯彻实施&lt;中华人民共和国资产评估法&gt;的通知》（国土资发[2016]181号，2016年11月25日）；</w:t>
      </w:r>
    </w:p>
    <w:p w14:paraId="4CA9424F">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24</w:t>
      </w:r>
      <w:r>
        <w:rPr>
          <w:rFonts w:hint="eastAsia" w:ascii="仿宋_GB2312" w:hAnsi="仿宋_GB2312" w:eastAsia="仿宋_GB2312" w:cs="仿宋_GB2312"/>
          <w:color w:val="000000"/>
          <w:sz w:val="28"/>
          <w:szCs w:val="28"/>
          <w:highlight w:val="none"/>
        </w:rPr>
        <w:t>、《国土资源部 国家发展和改革委员会 财政部 住房和城乡建设部 农业部 中国人民银行 国家林业局 中国银行业监督管理委员会关于扩大国有土地有偿使用范围的意见》（国土资规[2016]20号，2016年12月31日）；</w:t>
      </w:r>
    </w:p>
    <w:p w14:paraId="399A6095">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25</w:t>
      </w:r>
      <w:r>
        <w:rPr>
          <w:rFonts w:hint="eastAsia" w:ascii="仿宋_GB2312" w:hAnsi="仿宋_GB2312" w:eastAsia="仿宋_GB2312" w:cs="仿宋_GB2312"/>
          <w:color w:val="000000"/>
          <w:sz w:val="28"/>
          <w:szCs w:val="28"/>
          <w:highlight w:val="none"/>
        </w:rPr>
        <w:t>、《国土资源部办公厅关于发布&lt;国有建设用地使用权出让地价评估技术规范&gt;的通知》（国土资厅发[2018]4号，2018年4月9日）；</w:t>
      </w:r>
    </w:p>
    <w:p w14:paraId="58EC570A">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26</w:t>
      </w:r>
      <w:r>
        <w:rPr>
          <w:rFonts w:hint="eastAsia" w:ascii="仿宋_GB2312" w:hAnsi="仿宋_GB2312" w:eastAsia="仿宋_GB2312" w:cs="仿宋_GB2312"/>
          <w:color w:val="000000"/>
          <w:sz w:val="28"/>
          <w:szCs w:val="28"/>
          <w:highlight w:val="none"/>
        </w:rPr>
        <w:t>、《自然资源部办公厅关于印发&lt;产业用地政策实施工作指引（2019年版）&gt;的通知》（自然资办发[2019]31号，2019年4月24日）；</w:t>
      </w:r>
    </w:p>
    <w:p w14:paraId="1EE0D843">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27、</w:t>
      </w:r>
      <w:r>
        <w:rPr>
          <w:rFonts w:hint="eastAsia" w:ascii="仿宋_GB2312" w:hAnsi="仿宋_GB2312" w:eastAsia="仿宋_GB2312" w:cs="仿宋_GB2312"/>
          <w:color w:val="000000"/>
          <w:sz w:val="28"/>
          <w:szCs w:val="28"/>
          <w:highlight w:val="none"/>
        </w:rPr>
        <w:t>《自然资源部办公厅关于做好2021年度自然资源评价评估有关工作的通知》（自然资办发〔2021〕39号，2021年5月12日）；</w:t>
      </w:r>
    </w:p>
    <w:p w14:paraId="6E6EB963">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28</w:t>
      </w:r>
      <w:r>
        <w:rPr>
          <w:rFonts w:hint="eastAsia" w:ascii="仿宋_GB2312" w:hAnsi="仿宋_GB2312" w:eastAsia="仿宋_GB2312" w:cs="仿宋_GB2312"/>
          <w:color w:val="000000"/>
          <w:sz w:val="28"/>
          <w:szCs w:val="28"/>
          <w:highlight w:val="none"/>
        </w:rPr>
        <w:t>、《自然资源部办公厅关于做好2022年度自然资源评价评估有工作的通知》（自然资办发〔2022〕13号，2022年4月13日）；</w:t>
      </w:r>
    </w:p>
    <w:p w14:paraId="2A191043">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29</w:t>
      </w:r>
      <w:r>
        <w:rPr>
          <w:rFonts w:hint="eastAsia" w:ascii="仿宋_GB2312" w:hAnsi="仿宋_GB2312" w:eastAsia="仿宋_GB2312" w:cs="仿宋_GB2312"/>
          <w:color w:val="000000"/>
          <w:sz w:val="28"/>
          <w:szCs w:val="28"/>
          <w:highlight w:val="none"/>
        </w:rPr>
        <w:t xml:space="preserve">、《自然资源部办公厅关于土地估价机构备案工作的通知》（自然资办发〔2022〕42号，2022年9月27日）； </w:t>
      </w:r>
    </w:p>
    <w:p w14:paraId="0D5540BE">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lang w:val="en-US" w:eastAsia="zh-CN"/>
        </w:rPr>
      </w:pPr>
      <w:r>
        <w:rPr>
          <w:rFonts w:hint="eastAsia" w:ascii="仿宋_GB2312" w:hAnsi="仿宋_GB2312" w:eastAsia="仿宋_GB2312" w:cs="仿宋_GB2312"/>
          <w:color w:val="000000"/>
          <w:sz w:val="28"/>
          <w:szCs w:val="28"/>
          <w:highlight w:val="none"/>
          <w:lang w:val="en-US" w:eastAsia="zh-CN"/>
        </w:rPr>
        <w:t>30、《自然资源部办公厅关于做好2024年住宅用地供应有关工作的通知》（自然资办函〔2024〕918号，2024年4月29日）；</w:t>
      </w:r>
    </w:p>
    <w:p w14:paraId="7BC0063C">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31</w:t>
      </w:r>
      <w:r>
        <w:rPr>
          <w:rFonts w:hint="eastAsia" w:ascii="仿宋_GB2312" w:hAnsi="仿宋_GB2312" w:eastAsia="仿宋_GB2312" w:cs="仿宋_GB2312"/>
          <w:bCs/>
          <w:iCs/>
          <w:sz w:val="28"/>
          <w:szCs w:val="28"/>
          <w:highlight w:val="none"/>
        </w:rPr>
        <w:t>、《关于全面推开营业税改征增值税试点的通知》（财税〔2016〕36号，2016年3月23日）；</w:t>
      </w:r>
    </w:p>
    <w:p w14:paraId="238222E5">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32</w:t>
      </w:r>
      <w:r>
        <w:rPr>
          <w:rFonts w:hint="eastAsia" w:ascii="仿宋_GB2312" w:hAnsi="仿宋_GB2312" w:eastAsia="仿宋_GB2312" w:cs="仿宋_GB2312"/>
          <w:bCs/>
          <w:iCs/>
          <w:sz w:val="28"/>
          <w:szCs w:val="28"/>
          <w:highlight w:val="none"/>
        </w:rPr>
        <w:t>、《关于全面推开营业税改征增值税试点有关税收征收管理事项的公告》（国家税务总局公告2016年第23号，2016年4月19日）；</w:t>
      </w:r>
    </w:p>
    <w:p w14:paraId="2A93F6C5">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33</w:t>
      </w:r>
      <w:r>
        <w:rPr>
          <w:rFonts w:hint="eastAsia" w:ascii="仿宋_GB2312" w:hAnsi="仿宋_GB2312" w:eastAsia="仿宋_GB2312" w:cs="仿宋_GB2312"/>
          <w:bCs/>
          <w:iCs/>
          <w:sz w:val="28"/>
          <w:szCs w:val="28"/>
          <w:highlight w:val="none"/>
        </w:rPr>
        <w:t>、《关于营改增后契税、房产税、土地增值税、个人所得税计税依据问题的通知》（财税[2016]43号，2016年4月25日）；</w:t>
      </w:r>
    </w:p>
    <w:p w14:paraId="651B6E1F">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34</w:t>
      </w:r>
      <w:r>
        <w:rPr>
          <w:rFonts w:hint="eastAsia" w:ascii="仿宋_GB2312" w:hAnsi="仿宋_GB2312" w:eastAsia="仿宋_GB2312" w:cs="仿宋_GB2312"/>
          <w:bCs/>
          <w:iCs/>
          <w:sz w:val="28"/>
          <w:szCs w:val="28"/>
          <w:highlight w:val="none"/>
        </w:rPr>
        <w:t>、《财政部税务总局关于调整增值税税率的通知》[财税（2018）32号，2018年5月1日]；</w:t>
      </w:r>
    </w:p>
    <w:p w14:paraId="0D120F35">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lang w:val="en-US" w:eastAsia="zh-CN"/>
        </w:rPr>
        <w:t>35</w:t>
      </w:r>
      <w:r>
        <w:rPr>
          <w:rFonts w:hint="eastAsia" w:ascii="仿宋_GB2312" w:hAnsi="仿宋_GB2312" w:eastAsia="仿宋_GB2312" w:cs="仿宋_GB2312"/>
          <w:bCs/>
          <w:iCs/>
          <w:sz w:val="28"/>
          <w:szCs w:val="28"/>
          <w:highlight w:val="none"/>
        </w:rPr>
        <w:t>、《财政部税务总局 海关总署关于深化增值税改革有关政策的公告》（财政部 税务总局 海关总署公告2019年第39号，2019年3月20日）</w:t>
      </w:r>
      <w:r>
        <w:rPr>
          <w:rFonts w:hint="eastAsia" w:ascii="仿宋_GB2312" w:hAnsi="仿宋_GB2312" w:eastAsia="仿宋_GB2312" w:cs="仿宋_GB2312"/>
          <w:bCs/>
          <w:iCs/>
          <w:sz w:val="28"/>
          <w:szCs w:val="28"/>
          <w:highlight w:val="none"/>
          <w:lang w:eastAsia="zh-CN"/>
        </w:rPr>
        <w:t>。</w:t>
      </w:r>
    </w:p>
    <w:p w14:paraId="22209DF4">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lang w:val="en-US" w:eastAsia="zh-CN"/>
        </w:rPr>
        <w:t>36、</w:t>
      </w:r>
      <w:r>
        <w:rPr>
          <w:rFonts w:hint="eastAsia" w:ascii="仿宋_GB2312" w:hAnsi="仿宋_GB2312" w:eastAsia="仿宋_GB2312" w:cs="仿宋_GB2312"/>
          <w:bCs/>
          <w:iCs/>
          <w:sz w:val="28"/>
          <w:szCs w:val="28"/>
          <w:highlight w:val="none"/>
          <w:lang w:eastAsia="zh-CN"/>
        </w:rPr>
        <w:t>《</w:t>
      </w:r>
      <w:r>
        <w:rPr>
          <w:rFonts w:hint="eastAsia" w:ascii="仿宋_GB2312" w:hAnsi="仿宋_GB2312" w:eastAsia="仿宋_GB2312" w:cs="仿宋_GB2312"/>
          <w:bCs/>
          <w:iCs/>
          <w:sz w:val="28"/>
          <w:szCs w:val="28"/>
          <w:highlight w:val="none"/>
        </w:rPr>
        <w:t>财政部税务总局关于进一步支持小微企业和个体工商户发展有关税费政策的公告</w:t>
      </w:r>
      <w:r>
        <w:rPr>
          <w:rFonts w:hint="eastAsia" w:ascii="仿宋_GB2312" w:hAnsi="仿宋_GB2312" w:eastAsia="仿宋_GB2312" w:cs="仿宋_GB2312"/>
          <w:bCs/>
          <w:iCs/>
          <w:sz w:val="28"/>
          <w:szCs w:val="28"/>
          <w:highlight w:val="none"/>
          <w:lang w:eastAsia="zh-CN"/>
        </w:rPr>
        <w:t>》（财政部 税务总局公告2023年第12号，</w:t>
      </w:r>
      <w:r>
        <w:rPr>
          <w:rFonts w:hint="eastAsia" w:ascii="仿宋_GB2312" w:hAnsi="仿宋_GB2312" w:eastAsia="仿宋_GB2312" w:cs="仿宋_GB2312"/>
          <w:bCs/>
          <w:iCs/>
          <w:sz w:val="28"/>
          <w:szCs w:val="28"/>
          <w:highlight w:val="none"/>
          <w:lang w:val="en-US" w:eastAsia="zh-CN"/>
        </w:rPr>
        <w:t>2023年8月2日</w:t>
      </w:r>
      <w:r>
        <w:rPr>
          <w:rFonts w:hint="eastAsia" w:ascii="仿宋_GB2312" w:hAnsi="仿宋_GB2312" w:eastAsia="仿宋_GB2312" w:cs="仿宋_GB2312"/>
          <w:bCs/>
          <w:iCs/>
          <w:sz w:val="28"/>
          <w:szCs w:val="28"/>
          <w:highlight w:val="none"/>
          <w:lang w:eastAsia="zh-CN"/>
        </w:rPr>
        <w:t>）；</w:t>
      </w:r>
    </w:p>
    <w:p w14:paraId="72C842C4">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lang w:val="en-US" w:eastAsia="zh-CN"/>
        </w:rPr>
        <w:t>37、</w:t>
      </w:r>
      <w:r>
        <w:rPr>
          <w:rFonts w:hint="eastAsia" w:ascii="仿宋_GB2312" w:hAnsi="仿宋_GB2312" w:eastAsia="仿宋_GB2312" w:cs="仿宋_GB2312"/>
          <w:bCs/>
          <w:iCs/>
          <w:sz w:val="28"/>
          <w:szCs w:val="28"/>
          <w:highlight w:val="none"/>
          <w:lang w:eastAsia="zh-CN"/>
        </w:rPr>
        <w:t>《中华人民共和国增值税法》（2024年12月25日第十四届全国人民代表大会常务委员会第十三次会议通过，</w:t>
      </w:r>
      <w:r>
        <w:rPr>
          <w:rFonts w:hint="eastAsia" w:ascii="仿宋_GB2312" w:hAnsi="仿宋_GB2312" w:eastAsia="仿宋_GB2312" w:cs="仿宋_GB2312"/>
          <w:bCs/>
          <w:iCs/>
          <w:sz w:val="28"/>
          <w:szCs w:val="28"/>
          <w:highlight w:val="none"/>
        </w:rPr>
        <w:t>2024年12月25日</w:t>
      </w:r>
      <w:r>
        <w:rPr>
          <w:rFonts w:hint="eastAsia" w:ascii="仿宋_GB2312" w:hAnsi="仿宋_GB2312" w:eastAsia="仿宋_GB2312" w:cs="仿宋_GB2312"/>
          <w:bCs/>
          <w:iCs/>
          <w:sz w:val="28"/>
          <w:szCs w:val="28"/>
          <w:highlight w:val="none"/>
          <w:lang w:eastAsia="zh-CN"/>
        </w:rPr>
        <w:t>）；</w:t>
      </w:r>
    </w:p>
    <w:p w14:paraId="1CF12CA2">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lang w:val="en-US" w:eastAsia="zh-CN"/>
        </w:rPr>
        <w:t>38、</w:t>
      </w:r>
      <w:r>
        <w:rPr>
          <w:rFonts w:hint="eastAsia" w:ascii="仿宋_GB2312" w:hAnsi="仿宋_GB2312" w:eastAsia="仿宋_GB2312" w:cs="仿宋_GB2312"/>
          <w:bCs/>
          <w:iCs/>
          <w:sz w:val="28"/>
          <w:szCs w:val="28"/>
          <w:highlight w:val="none"/>
          <w:lang w:eastAsia="zh-CN"/>
        </w:rPr>
        <w:t>《财政部税务总局关于增值税法施行后增值税优惠政策衔接事项的公告》（财政部 税务总局公告2026年第10号，</w:t>
      </w:r>
      <w:r>
        <w:rPr>
          <w:rFonts w:hint="eastAsia" w:ascii="仿宋_GB2312" w:hAnsi="仿宋_GB2312" w:eastAsia="仿宋_GB2312" w:cs="仿宋_GB2312"/>
          <w:bCs/>
          <w:iCs/>
          <w:sz w:val="28"/>
          <w:szCs w:val="28"/>
          <w:highlight w:val="none"/>
          <w:lang w:val="en-US" w:eastAsia="zh-CN"/>
        </w:rPr>
        <w:t>2026年1月30日</w:t>
      </w:r>
      <w:r>
        <w:rPr>
          <w:rFonts w:hint="eastAsia" w:ascii="仿宋_GB2312" w:hAnsi="仿宋_GB2312" w:eastAsia="仿宋_GB2312" w:cs="仿宋_GB2312"/>
          <w:bCs/>
          <w:iCs/>
          <w:sz w:val="28"/>
          <w:szCs w:val="28"/>
          <w:highlight w:val="none"/>
          <w:lang w:eastAsia="zh-CN"/>
        </w:rPr>
        <w:t>）；</w:t>
      </w:r>
    </w:p>
    <w:p w14:paraId="5DCDA4A2">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（二）地方有关部门颁布的法规及相关文件</w:t>
      </w:r>
    </w:p>
    <w:p w14:paraId="4BAF9E18">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rPr>
        <w:t>1、《湖南省实施&lt;中华人民共和国土地管理法&gt;办法》（2022年1月19日湖南省第十三届人民代表大会第五次会议通过）；</w:t>
      </w:r>
    </w:p>
    <w:p w14:paraId="2042D56F">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rPr>
        <w:t>2、《湖南省实施&lt;中华人民共和国城乡规划法&gt;办法》（2015年12月4日湖南省第十二届人民代表大会常务委员会第十九次会议通过，自2016年5月1日起施行）；</w:t>
      </w:r>
    </w:p>
    <w:p w14:paraId="7D8326B3">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rPr>
        <w:t>3、《湖南省城镇划拨土地使用权管理条例》（1997年1月24日湖南省第八届人民代表大会常务委员会第二十六次会议通过  根据2002年6月3日湖南省第九届人民代表大会常务委员会第二十九次会议《关于修改&lt;湖南省城镇划拨土地使用权管理条例&gt;的决定》第一次修正  根据2020年7月30日湖南省第十三届人民代表大会常务委员会第十九次会议《关于修改&lt;湖南省燃气管理条例&gt;等十件地方性法规的决定》第二次修正）；</w:t>
      </w:r>
    </w:p>
    <w:p w14:paraId="024DABF7">
      <w:pPr>
        <w:keepNext w:val="0"/>
        <w:keepLines w:val="0"/>
        <w:pageBreakBefore w:val="0"/>
        <w:widowControl w:val="0"/>
        <w:kinsoku/>
        <w:wordWrap/>
        <w:overflowPunct/>
        <w:topLinePunct w:val="0"/>
        <w:autoSpaceDE/>
        <w:autoSpaceDN/>
        <w:bidi w:val="0"/>
        <w:adjustRightInd w:val="0"/>
        <w:spacing w:line="480" w:lineRule="exact"/>
        <w:ind w:right="0" w:firstLine="560" w:firstLineChars="200"/>
        <w:textAlignment w:val="auto"/>
        <w:rPr>
          <w:rFonts w:hint="eastAsia" w:ascii="仿宋_GB2312" w:hAnsi="仿宋_GB2312" w:eastAsia="仿宋_GB2312" w:cs="仿宋_GB2312"/>
          <w:sz w:val="28"/>
          <w:highlight w:val="none"/>
        </w:rPr>
      </w:pPr>
      <w:r>
        <w:rPr>
          <w:rFonts w:hint="eastAsia" w:ascii="仿宋_GB2312" w:hAnsi="仿宋_GB2312" w:eastAsia="仿宋_GB2312" w:cs="仿宋_GB2312"/>
          <w:sz w:val="28"/>
          <w:highlight w:val="none"/>
          <w:lang w:val="en-US" w:eastAsia="zh-CN"/>
        </w:rPr>
        <w:t>4</w:t>
      </w:r>
      <w:r>
        <w:rPr>
          <w:rFonts w:hint="eastAsia" w:ascii="仿宋_GB2312" w:hAnsi="仿宋_GB2312" w:eastAsia="仿宋_GB2312" w:cs="仿宋_GB2312"/>
          <w:sz w:val="28"/>
          <w:highlight w:val="none"/>
        </w:rPr>
        <w:t xml:space="preserve">、《湖南省人民代表大会常务委员会关于契税具体适用税率等事项的决定》（2021年5月27日湖南省第十三届人民代表大会常务委员会第二十四次会议通过）； </w:t>
      </w:r>
    </w:p>
    <w:p w14:paraId="0DB81A44">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lang w:val="en-US" w:eastAsia="zh-CN"/>
        </w:rPr>
        <w:t>5</w:t>
      </w:r>
      <w:r>
        <w:rPr>
          <w:rFonts w:hint="eastAsia" w:ascii="仿宋_GB2312" w:hAnsi="仿宋_GB2312" w:eastAsia="仿宋_GB2312" w:cs="仿宋_GB2312"/>
          <w:sz w:val="28"/>
          <w:szCs w:val="24"/>
          <w:highlight w:val="none"/>
        </w:rPr>
        <w:t>、《湖南省城镇国有土地使用权出让和转让实施办法》（1994年11月19日湖南省人民政府发布；根据1997年12月30日《湖南省人民政府关于修改〈湖南省城镇国有土地使用权出让和转让实施办法〉的决定》修正；根据2002年3月7日《湖南省人民政府关于修改2001年底以前发布的部分规章的决定》第二次修正）；</w:t>
      </w:r>
    </w:p>
    <w:p w14:paraId="1DCF73DE">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lang w:val="en-US" w:eastAsia="zh-CN"/>
        </w:rPr>
        <w:t>6</w:t>
      </w:r>
      <w:r>
        <w:rPr>
          <w:rFonts w:hint="eastAsia" w:ascii="仿宋_GB2312" w:hAnsi="仿宋_GB2312" w:eastAsia="仿宋_GB2312" w:cs="仿宋_GB2312"/>
          <w:sz w:val="28"/>
          <w:szCs w:val="24"/>
          <w:highlight w:val="none"/>
        </w:rPr>
        <w:t>、《湖南省土地市场管理办法》（2004年12月31日湖南省人民政府第48次常务会议审议通过，2005年1月20日湖南省人民政府令第195号公布，自2005年3月1日起施行；根据2011年1月30日《湖南省人民政府关于废止和修改部分省政府规章的决定》修正）；</w:t>
      </w:r>
    </w:p>
    <w:p w14:paraId="25A3A312">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lang w:val="en-US" w:eastAsia="zh-CN"/>
        </w:rPr>
        <w:t>7</w:t>
      </w:r>
      <w:r>
        <w:rPr>
          <w:rFonts w:hint="eastAsia" w:ascii="仿宋_GB2312" w:hAnsi="仿宋_GB2312" w:eastAsia="仿宋_GB2312" w:cs="仿宋_GB2312"/>
          <w:sz w:val="28"/>
          <w:szCs w:val="24"/>
          <w:highlight w:val="none"/>
        </w:rPr>
        <w:t>、《湖南省人民政府关于深化改革严格土地管理的意见》（湘政发[2005]4号，2005年2月19日）；</w:t>
      </w:r>
    </w:p>
    <w:p w14:paraId="3D2E3E67">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lang w:val="en-US" w:eastAsia="zh-CN"/>
        </w:rPr>
        <w:t>8</w:t>
      </w:r>
      <w:r>
        <w:rPr>
          <w:rFonts w:hint="eastAsia" w:ascii="仿宋_GB2312" w:hAnsi="仿宋_GB2312" w:eastAsia="仿宋_GB2312" w:cs="仿宋_GB2312"/>
          <w:sz w:val="28"/>
          <w:szCs w:val="24"/>
          <w:highlight w:val="none"/>
        </w:rPr>
        <w:t>、《湖南省教育费附加和地方教育附加征收管理办法》（湖南省人民政府令第218号，2007年12月31日）；</w:t>
      </w:r>
    </w:p>
    <w:p w14:paraId="3F2D111F">
      <w:pPr>
        <w:keepNext w:val="0"/>
        <w:keepLines w:val="0"/>
        <w:pageBreakBefore w:val="0"/>
        <w:widowControl w:val="0"/>
        <w:kinsoku/>
        <w:wordWrap/>
        <w:overflowPunct/>
        <w:topLinePunct w:val="0"/>
        <w:autoSpaceDE/>
        <w:autoSpaceDN/>
        <w:bidi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9</w:t>
      </w:r>
      <w:r>
        <w:rPr>
          <w:rFonts w:hint="eastAsia" w:ascii="仿宋_GB2312" w:hAnsi="仿宋_GB2312" w:eastAsia="仿宋_GB2312" w:cs="仿宋_GB2312"/>
          <w:sz w:val="28"/>
          <w:szCs w:val="28"/>
          <w:highlight w:val="none"/>
        </w:rPr>
        <w:t>、《湖南省人民政府办公厅关于印发&lt;湖南省国有土地使用权出让收支管理办法&gt;的通知》（湘政办发[2015]1号，2015年3月12日）；</w:t>
      </w:r>
    </w:p>
    <w:p w14:paraId="14E4F623">
      <w:pPr>
        <w:keepNext w:val="0"/>
        <w:keepLines w:val="0"/>
        <w:pageBreakBefore w:val="0"/>
        <w:widowControl w:val="0"/>
        <w:kinsoku/>
        <w:wordWrap/>
        <w:overflowPunct/>
        <w:topLinePunct w:val="0"/>
        <w:autoSpaceDE/>
        <w:autoSpaceDN/>
        <w:bidi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10</w:t>
      </w:r>
      <w:r>
        <w:rPr>
          <w:rFonts w:hint="eastAsia" w:ascii="仿宋_GB2312" w:hAnsi="仿宋_GB2312" w:eastAsia="仿宋_GB2312" w:cs="仿宋_GB2312"/>
          <w:sz w:val="28"/>
          <w:szCs w:val="28"/>
          <w:highlight w:val="none"/>
        </w:rPr>
        <w:t xml:space="preserve">、《关于转发&lt;国土资源部 国家发展和改革委员会 财政部 住房和城乡建设部 农业部 中国人民银行 国家林业局 中国银行业监督管理委员会关于扩大国有土地有偿使用范围的意见&gt;的通知》（湘国土资发[2018]2号，2018年1月15日）； </w:t>
      </w:r>
    </w:p>
    <w:p w14:paraId="10A034CB">
      <w:pPr>
        <w:keepNext w:val="0"/>
        <w:keepLines w:val="0"/>
        <w:pageBreakBefore w:val="0"/>
        <w:widowControl w:val="0"/>
        <w:kinsoku/>
        <w:wordWrap/>
        <w:overflowPunct/>
        <w:topLinePunct w:val="0"/>
        <w:autoSpaceDE/>
        <w:autoSpaceDN/>
        <w:bidi w:val="0"/>
        <w:adjustRightInd w:val="0"/>
        <w:spacing w:line="480" w:lineRule="exact"/>
        <w:ind w:right="0" w:firstLine="560" w:firstLineChars="200"/>
        <w:textAlignment w:val="auto"/>
        <w:rPr>
          <w:rFonts w:hint="eastAsia" w:ascii="仿宋_GB2312" w:hAnsi="仿宋_GB2312" w:eastAsia="仿宋_GB2312" w:cs="仿宋_GB2312"/>
          <w:sz w:val="28"/>
          <w:highlight w:val="none"/>
        </w:rPr>
      </w:pPr>
      <w:r>
        <w:rPr>
          <w:rFonts w:hint="eastAsia" w:ascii="仿宋_GB2312" w:hAnsi="仿宋_GB2312" w:eastAsia="仿宋_GB2312" w:cs="仿宋_GB2312"/>
          <w:sz w:val="28"/>
          <w:highlight w:val="none"/>
          <w:lang w:val="en-US" w:eastAsia="zh-CN"/>
        </w:rPr>
        <w:t>11</w:t>
      </w:r>
      <w:r>
        <w:rPr>
          <w:rFonts w:hint="eastAsia" w:ascii="仿宋_GB2312" w:hAnsi="仿宋_GB2312" w:eastAsia="仿宋_GB2312" w:cs="仿宋_GB2312"/>
          <w:sz w:val="28"/>
          <w:highlight w:val="none"/>
        </w:rPr>
        <w:t>、</w:t>
      </w:r>
      <w:r>
        <w:rPr>
          <w:rFonts w:hint="eastAsia" w:ascii="仿宋_GB2312" w:hAnsi="仿宋_GB2312" w:eastAsia="仿宋_GB2312" w:cs="仿宋_GB2312"/>
          <w:sz w:val="28"/>
          <w:szCs w:val="28"/>
          <w:highlight w:val="none"/>
        </w:rPr>
        <w:t>《湖南省财政厅 国家税务总局湖南省税务局关于明确地方教育附加征收标准的通知》（湘财综〔2018〕35号，2018年11月5日）</w:t>
      </w:r>
      <w:r>
        <w:rPr>
          <w:rFonts w:hint="eastAsia" w:ascii="仿宋_GB2312" w:hAnsi="仿宋_GB2312" w:eastAsia="仿宋_GB2312" w:cs="仿宋_GB2312"/>
          <w:sz w:val="28"/>
          <w:highlight w:val="none"/>
        </w:rPr>
        <w:t>；</w:t>
      </w:r>
    </w:p>
    <w:p w14:paraId="30BF33D9">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12</w:t>
      </w:r>
      <w:r>
        <w:rPr>
          <w:rFonts w:hint="eastAsia" w:ascii="仿宋_GB2312" w:hAnsi="仿宋_GB2312" w:eastAsia="仿宋_GB2312" w:cs="仿宋_GB2312"/>
          <w:sz w:val="28"/>
          <w:szCs w:val="28"/>
          <w:highlight w:val="none"/>
        </w:rPr>
        <w:t xml:space="preserve">、《湖南省自然资源厅关于进一步规范土地出让管理工作的通知》（湘自然资发〔2019〕33号，2019年11月28日）； </w:t>
      </w:r>
    </w:p>
    <w:p w14:paraId="3C3F4FCD">
      <w:pPr>
        <w:keepNext w:val="0"/>
        <w:keepLines w:val="0"/>
        <w:pageBreakBefore w:val="0"/>
        <w:widowControl w:val="0"/>
        <w:kinsoku/>
        <w:wordWrap/>
        <w:overflowPunct/>
        <w:topLinePunct w:val="0"/>
        <w:autoSpaceDE/>
        <w:autoSpaceDN/>
        <w:bidi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13</w:t>
      </w:r>
      <w:r>
        <w:rPr>
          <w:rFonts w:hint="eastAsia" w:ascii="仿宋_GB2312" w:hAnsi="仿宋_GB2312" w:eastAsia="仿宋_GB2312" w:cs="仿宋_GB2312"/>
          <w:sz w:val="28"/>
          <w:szCs w:val="28"/>
          <w:highlight w:val="none"/>
        </w:rPr>
        <w:t>、《湖南省自然资源厅办公室关于转发&lt;自然资源部办公厅关于做好2022年度自然资源评价评估有工作的通知&gt;的通知》（湘自资办发[2022]40号，2022年5月15日）；</w:t>
      </w:r>
    </w:p>
    <w:p w14:paraId="633A417B">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lang w:eastAsia="zh-CN"/>
        </w:rPr>
      </w:pPr>
      <w:r>
        <w:rPr>
          <w:rFonts w:hint="eastAsia" w:ascii="仿宋_GB2312" w:hAnsi="仿宋_GB2312" w:eastAsia="仿宋_GB2312" w:cs="仿宋_GB2312"/>
          <w:sz w:val="28"/>
          <w:szCs w:val="28"/>
          <w:highlight w:val="none"/>
          <w:lang w:val="en-US" w:eastAsia="zh-CN"/>
        </w:rPr>
        <w:t>14</w:t>
      </w:r>
      <w:r>
        <w:rPr>
          <w:rFonts w:hint="eastAsia" w:ascii="仿宋_GB2312" w:hAnsi="仿宋_GB2312" w:eastAsia="仿宋_GB2312" w:cs="仿宋_GB2312"/>
          <w:sz w:val="28"/>
          <w:szCs w:val="28"/>
          <w:highlight w:val="none"/>
        </w:rPr>
        <w:t>、</w:t>
      </w:r>
      <w:r>
        <w:rPr>
          <w:rFonts w:hint="eastAsia" w:ascii="仿宋_GB2312" w:hAnsi="仿宋_GB2312" w:eastAsia="仿宋_GB2312" w:cs="仿宋_GB2312"/>
          <w:sz w:val="28"/>
          <w:szCs w:val="28"/>
          <w:highlight w:val="none"/>
          <w:lang w:eastAsia="zh-CN"/>
        </w:rPr>
        <w:t>《湖南省发展和改革委员会关于我省公共资源交易服务收费的通知》（湘发改价费规〔2024〕292号，</w:t>
      </w:r>
      <w:r>
        <w:rPr>
          <w:rFonts w:hint="eastAsia" w:ascii="仿宋_GB2312" w:hAnsi="仿宋_GB2312" w:eastAsia="仿宋_GB2312" w:cs="仿宋_GB2312"/>
          <w:sz w:val="28"/>
          <w:szCs w:val="28"/>
          <w:highlight w:val="none"/>
          <w:lang w:val="en-US" w:eastAsia="zh-CN"/>
        </w:rPr>
        <w:t>2024年5月11日</w:t>
      </w:r>
      <w:r>
        <w:rPr>
          <w:rFonts w:hint="eastAsia" w:ascii="仿宋_GB2312" w:hAnsi="仿宋_GB2312" w:eastAsia="仿宋_GB2312" w:cs="仿宋_GB2312"/>
          <w:sz w:val="28"/>
          <w:szCs w:val="28"/>
          <w:highlight w:val="none"/>
          <w:lang w:eastAsia="zh-CN"/>
        </w:rPr>
        <w:t>）；</w:t>
      </w:r>
    </w:p>
    <w:p w14:paraId="18C3F5FA">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（三）有关技术标准</w:t>
      </w:r>
    </w:p>
    <w:p w14:paraId="076D15AA">
      <w:pPr>
        <w:keepNext w:val="0"/>
        <w:keepLines w:val="0"/>
        <w:pageBreakBefore w:val="0"/>
        <w:kinsoku/>
        <w:wordWrap/>
        <w:overflowPunct/>
        <w:topLinePunct w:val="0"/>
        <w:autoSpaceDE/>
        <w:autoSpaceDN/>
        <w:bidi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rPr>
        <w:t>1、中华人民共和国国家标准《城镇土地估价规程》（GB/T 18508-2014，2014年7月24日）</w:t>
      </w:r>
      <w:r>
        <w:rPr>
          <w:rFonts w:hint="eastAsia" w:ascii="仿宋_GB2312" w:hAnsi="仿宋_GB2312" w:eastAsia="仿宋_GB2312" w:cs="仿宋_GB2312"/>
          <w:bCs/>
          <w:iCs/>
          <w:sz w:val="28"/>
          <w:szCs w:val="28"/>
          <w:highlight w:val="none"/>
          <w:lang w:eastAsia="zh-CN"/>
        </w:rPr>
        <w:t>；</w:t>
      </w:r>
    </w:p>
    <w:p w14:paraId="34CDBE04">
      <w:pPr>
        <w:keepNext w:val="0"/>
        <w:keepLines w:val="0"/>
        <w:pageBreakBefore w:val="0"/>
        <w:kinsoku/>
        <w:wordWrap/>
        <w:overflowPunct/>
        <w:topLinePunct w:val="0"/>
        <w:autoSpaceDE/>
        <w:autoSpaceDN/>
        <w:bidi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rPr>
        <w:t>2、中华人民共和国国家标准《城镇土地分等定级规程》（GB/T 18507-2014，2014年7月24日）</w:t>
      </w:r>
      <w:r>
        <w:rPr>
          <w:rFonts w:hint="eastAsia" w:ascii="仿宋_GB2312" w:hAnsi="仿宋_GB2312" w:eastAsia="仿宋_GB2312" w:cs="仿宋_GB2312"/>
          <w:bCs/>
          <w:iCs/>
          <w:sz w:val="28"/>
          <w:szCs w:val="28"/>
          <w:highlight w:val="none"/>
          <w:lang w:eastAsia="zh-CN"/>
        </w:rPr>
        <w:t>；</w:t>
      </w:r>
    </w:p>
    <w:p w14:paraId="19299E3D">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3、中华人民共和国国家标准《土地利用现状分类》（GB/T 21010-2017，2017年11月1日）；</w:t>
      </w:r>
    </w:p>
    <w:p w14:paraId="400156BF">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4、中华人民共和国国家标准《城市用地分类与规划建设用地标准》（GB50137-2011，2011年1月1日）；</w:t>
      </w:r>
    </w:p>
    <w:p w14:paraId="411F2EA0">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5、《自然资源部关于印发&lt;国土空间调查、规划、用途管制用地用海分类指南&gt;的通知》（自然资发〔2023〕234号）；</w:t>
      </w:r>
    </w:p>
    <w:p w14:paraId="627FB318">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6、《自然资源分等定级通则》（TD/T1060-2021）；</w:t>
      </w:r>
    </w:p>
    <w:p w14:paraId="11AD924F">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rPr>
        <w:t>7、《自然资源价格评估通则》（TD/T1061-2021）</w:t>
      </w:r>
      <w:r>
        <w:rPr>
          <w:rFonts w:hint="eastAsia" w:ascii="仿宋_GB2312" w:hAnsi="仿宋_GB2312" w:eastAsia="仿宋_GB2312" w:cs="仿宋_GB2312"/>
          <w:bCs/>
          <w:iCs/>
          <w:sz w:val="28"/>
          <w:szCs w:val="28"/>
          <w:highlight w:val="none"/>
          <w:lang w:eastAsia="zh-CN"/>
        </w:rPr>
        <w:t>；</w:t>
      </w:r>
    </w:p>
    <w:p w14:paraId="3504D8EE">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val="en-US" w:eastAsia="zh-CN"/>
        </w:rPr>
      </w:pPr>
      <w:r>
        <w:rPr>
          <w:rFonts w:hint="eastAsia" w:ascii="仿宋_GB2312" w:hAnsi="仿宋_GB2312" w:eastAsia="仿宋_GB2312" w:cs="仿宋_GB2312"/>
          <w:bCs/>
          <w:iCs/>
          <w:sz w:val="28"/>
          <w:szCs w:val="28"/>
          <w:highlight w:val="none"/>
          <w:lang w:val="en-US" w:eastAsia="zh-CN"/>
        </w:rPr>
        <w:t>8、《土地估价参数调查测算指引》（T/CREVA 1101-2023）；</w:t>
      </w:r>
    </w:p>
    <w:p w14:paraId="7506EE62">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lang w:val="en-US" w:eastAsia="zh-CN"/>
        </w:rPr>
        <w:t>9</w:t>
      </w:r>
      <w:r>
        <w:rPr>
          <w:rFonts w:hint="eastAsia" w:ascii="仿宋_GB2312" w:hAnsi="仿宋_GB2312" w:eastAsia="仿宋_GB2312" w:cs="仿宋_GB2312"/>
          <w:bCs/>
          <w:iCs/>
          <w:sz w:val="28"/>
          <w:szCs w:val="28"/>
          <w:highlight w:val="none"/>
        </w:rPr>
        <w:t>、《土地估价报告审查技术规范》（DB43T 1693-2019）</w:t>
      </w:r>
      <w:r>
        <w:rPr>
          <w:rFonts w:hint="eastAsia" w:ascii="仿宋_GB2312" w:hAnsi="仿宋_GB2312" w:eastAsia="仿宋_GB2312" w:cs="仿宋_GB2312"/>
          <w:bCs/>
          <w:iCs/>
          <w:sz w:val="28"/>
          <w:szCs w:val="28"/>
          <w:highlight w:val="none"/>
          <w:lang w:eastAsia="zh-CN"/>
        </w:rPr>
        <w:t>；</w:t>
      </w:r>
    </w:p>
    <w:p w14:paraId="789FBED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（四）委托估价方提供的资料</w:t>
      </w:r>
    </w:p>
    <w:p w14:paraId="005DDDC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332DB63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0C16A41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3.估价对象《房屋所有权证》（道房权证字第713000590号）；</w:t>
      </w:r>
    </w:p>
    <w:p w14:paraId="79C1497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4.估价对象《户室面积对照表》；</w:t>
      </w:r>
    </w:p>
    <w:p w14:paraId="1CCCD6F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5.估价对象《土地分摊表》；</w:t>
      </w:r>
    </w:p>
    <w:p w14:paraId="0035DE2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6.估价对象《土地权属及性质证明》（2026年5月19日）；</w:t>
      </w:r>
    </w:p>
    <w:p w14:paraId="5BE5EE8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7.估价对象《关于县科工局及所属破产企业单位房改房集资房办理不动产登记有关事项的会议纪要》（道科工字〔2020〕114号）；</w:t>
      </w:r>
    </w:p>
    <w:p w14:paraId="621F9A0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8.估价对象《关于原县皮革厂属县二轻集体企业的说明》（2025年5月6日）；</w:t>
      </w:r>
    </w:p>
    <w:p w14:paraId="223550D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9.委托估价方提供的其它与土地估价相关的资料。</w:t>
      </w:r>
    </w:p>
    <w:p w14:paraId="771C47A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（五）受托估价方掌握的有关资料及土地估价师实地勘查、调查所获取的资料。</w:t>
      </w:r>
    </w:p>
    <w:p w14:paraId="091CF90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1.估价对象宗地现场查勘表;</w:t>
      </w:r>
    </w:p>
    <w:p w14:paraId="78493F3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2.估价对象现状利用资料（宗地照片、位置示意图）;</w:t>
      </w:r>
    </w:p>
    <w:p w14:paraId="5A3720E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3.宗地内外基础设施调查收集的资料;</w:t>
      </w:r>
    </w:p>
    <w:p w14:paraId="7E967F6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4.收益还原法比较实例所处位置、照片等资料；</w:t>
      </w:r>
    </w:p>
    <w:p w14:paraId="6F4AF7F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67ED714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6.宗地所在区域房地产市场情况；</w:t>
      </w:r>
    </w:p>
    <w:p w14:paraId="30534C1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7.宗地所在区域土地市场交易情况；</w:t>
      </w:r>
    </w:p>
    <w:p w14:paraId="0ECEF38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eastAsia="仿宋_GB2312"/>
          <w:b/>
          <w:sz w:val="28"/>
          <w:szCs w:val="28"/>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8.估价人员现场调查收集的其它相关资料。</w:t>
      </w:r>
    </w:p>
    <w:p w14:paraId="4432A836">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US" w:eastAsia="zh-CN"/>
        </w:rPr>
        <w:t>六、估价期日</w:t>
      </w:r>
    </w:p>
    <w:p w14:paraId="572DE54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本次土地估价师现场勘查日期为2026年5月18日，结合本次估价目的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委托估价方提供的《评估委托书》，</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本次估价设定</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估价期日为2026年5月18日。</w:t>
      </w:r>
    </w:p>
    <w:p w14:paraId="5592EB01">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t>七、估价日期</w:t>
      </w:r>
    </w:p>
    <w:p w14:paraId="7D34249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28"/>
          <w:highlight w:val="none"/>
          <w:lang w:eastAsia="zh-CN"/>
          <w14:textFill>
            <w14:solidFill>
              <w14:schemeClr w14:val="tx1"/>
            </w14:solidFill>
          </w14:textFill>
        </w:rPr>
      </w:pPr>
      <w:r>
        <w:rPr>
          <w:rFonts w:hint="eastAsia" w:ascii="仿宋_GB2312" w:eastAsia="仿宋_GB2312"/>
          <w:color w:val="000000" w:themeColor="text1"/>
          <w:sz w:val="28"/>
          <w:szCs w:val="28"/>
          <w:highlight w:val="none"/>
          <w:lang w:eastAsia="zh-CN"/>
          <w14:textFill>
            <w14:solidFill>
              <w14:schemeClr w14:val="tx1"/>
            </w14:solidFill>
          </w14:textFill>
        </w:rPr>
        <w:t>2026年5月18日至202</w:t>
      </w:r>
      <w:r>
        <w:rPr>
          <w:rFonts w:hint="eastAsia" w:ascii="仿宋_GB2312" w:eastAsia="仿宋_GB2312"/>
          <w:color w:val="000000" w:themeColor="text1"/>
          <w:sz w:val="28"/>
          <w:szCs w:val="28"/>
          <w:highlight w:val="none"/>
          <w:lang w:val="en-US" w:eastAsia="zh-CN"/>
          <w14:textFill>
            <w14:solidFill>
              <w14:schemeClr w14:val="tx1"/>
            </w14:solidFill>
          </w14:textFill>
        </w:rPr>
        <w:t>6</w:t>
      </w:r>
      <w:r>
        <w:rPr>
          <w:rFonts w:hint="eastAsia" w:ascii="仿宋_GB2312" w:eastAsia="仿宋_GB2312"/>
          <w:color w:val="000000" w:themeColor="text1"/>
          <w:sz w:val="28"/>
          <w:szCs w:val="28"/>
          <w:highlight w:val="none"/>
          <w:lang w:eastAsia="zh-CN"/>
          <w14:textFill>
            <w14:solidFill>
              <w14:schemeClr w14:val="tx1"/>
            </w14:solidFill>
          </w14:textFill>
        </w:rPr>
        <w:t>年</w:t>
      </w:r>
      <w:r>
        <w:rPr>
          <w:rFonts w:hint="eastAsia" w:ascii="仿宋_GB2312" w:eastAsia="仿宋_GB2312"/>
          <w:color w:val="000000" w:themeColor="text1"/>
          <w:sz w:val="28"/>
          <w:szCs w:val="28"/>
          <w:highlight w:val="none"/>
          <w:lang w:val="en-US" w:eastAsia="zh-CN"/>
          <w14:textFill>
            <w14:solidFill>
              <w14:schemeClr w14:val="tx1"/>
            </w14:solidFill>
          </w14:textFill>
        </w:rPr>
        <w:t>5</w:t>
      </w:r>
      <w:r>
        <w:rPr>
          <w:rFonts w:hint="eastAsia" w:ascii="仿宋_GB2312" w:eastAsia="仿宋_GB2312"/>
          <w:color w:val="000000" w:themeColor="text1"/>
          <w:sz w:val="28"/>
          <w:szCs w:val="28"/>
          <w:highlight w:val="none"/>
          <w:lang w:eastAsia="zh-CN"/>
          <w14:textFill>
            <w14:solidFill>
              <w14:schemeClr w14:val="tx1"/>
            </w14:solidFill>
          </w14:textFill>
        </w:rPr>
        <w:t>月</w:t>
      </w:r>
      <w:r>
        <w:rPr>
          <w:rFonts w:hint="eastAsia" w:ascii="仿宋_GB2312" w:eastAsia="仿宋_GB2312"/>
          <w:color w:val="000000" w:themeColor="text1"/>
          <w:sz w:val="28"/>
          <w:szCs w:val="28"/>
          <w:highlight w:val="none"/>
          <w:lang w:val="en-US" w:eastAsia="zh-CN"/>
          <w14:textFill>
            <w14:solidFill>
              <w14:schemeClr w14:val="tx1"/>
            </w14:solidFill>
          </w14:textFill>
        </w:rPr>
        <w:t>20</w:t>
      </w:r>
      <w:r>
        <w:rPr>
          <w:rFonts w:hint="eastAsia" w:ascii="仿宋_GB2312" w:eastAsia="仿宋_GB2312"/>
          <w:color w:val="000000" w:themeColor="text1"/>
          <w:sz w:val="28"/>
          <w:szCs w:val="28"/>
          <w:highlight w:val="none"/>
          <w:lang w:eastAsia="zh-CN"/>
          <w14:textFill>
            <w14:solidFill>
              <w14:schemeClr w14:val="tx1"/>
            </w14:solidFill>
          </w14:textFill>
        </w:rPr>
        <w:t>日</w:t>
      </w:r>
    </w:p>
    <w:p w14:paraId="0BD2BBE1">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t>八、地价定义</w:t>
      </w:r>
    </w:p>
    <w:p w14:paraId="3779BB29">
      <w:pPr>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sz w:val="28"/>
          <w:highlight w:val="none"/>
          <w:lang w:val="en-US" w:eastAsia="zh-CN"/>
        </w:rPr>
      </w:pPr>
      <w:r>
        <w:rPr>
          <w:rFonts w:hint="eastAsia" w:ascii="仿宋_GB2312" w:hAnsi="仿宋_GB2312" w:eastAsia="仿宋_GB2312" w:cs="仿宋_GB2312"/>
          <w:bCs/>
          <w:sz w:val="28"/>
          <w:szCs w:val="28"/>
          <w:highlight w:val="none"/>
          <w:lang w:eastAsia="zh-CN"/>
        </w:rPr>
        <w:t>根据</w:t>
      </w:r>
      <w:r>
        <w:rPr>
          <w:rFonts w:hint="eastAsia" w:ascii="仿宋_GB2312" w:hAnsi="仿宋_GB2312" w:eastAsia="仿宋_GB2312" w:cs="仿宋_GB2312"/>
          <w:bCs/>
          <w:sz w:val="28"/>
          <w:szCs w:val="28"/>
          <w:highlight w:val="none"/>
          <w:lang w:val="en-US" w:eastAsia="zh-CN"/>
        </w:rPr>
        <w:t>委托方</w:t>
      </w:r>
      <w:r>
        <w:rPr>
          <w:rFonts w:hint="eastAsia" w:ascii="仿宋_GB2312" w:hAnsi="仿宋_GB2312" w:eastAsia="仿宋_GB2312" w:cs="仿宋_GB2312"/>
          <w:bCs/>
          <w:sz w:val="28"/>
          <w:szCs w:val="28"/>
          <w:highlight w:val="none"/>
          <w:lang w:eastAsia="zh-CN"/>
        </w:rPr>
        <w:t>出具的</w:t>
      </w:r>
      <w:r>
        <w:rPr>
          <w:rFonts w:hint="eastAsia" w:ascii="仿宋_GB2312" w:hAnsi="仿宋_GB2312" w:eastAsia="仿宋_GB2312" w:cs="仿宋_GB2312"/>
          <w:bCs/>
          <w:sz w:val="28"/>
          <w:szCs w:val="28"/>
          <w:highlight w:val="none"/>
          <w:lang w:val="en-US" w:eastAsia="zh-CN"/>
        </w:rPr>
        <w:t>《评估委托书》</w:t>
      </w:r>
      <w:r>
        <w:rPr>
          <w:rFonts w:hint="eastAsia" w:ascii="仿宋_GB2312" w:hAnsi="仿宋_GB2312" w:eastAsia="仿宋_GB2312" w:cs="仿宋_GB2312"/>
          <w:bCs/>
          <w:sz w:val="28"/>
          <w:szCs w:val="28"/>
          <w:highlight w:val="none"/>
          <w:lang w:eastAsia="zh-CN"/>
        </w:rPr>
        <w:t>及现场勘查状况，估价对象</w:t>
      </w:r>
      <w:r>
        <w:rPr>
          <w:rFonts w:hint="eastAsia" w:ascii="仿宋_GB2312" w:hAnsi="仿宋_GB2312" w:eastAsia="仿宋_GB2312" w:cs="仿宋_GB2312"/>
          <w:bCs/>
          <w:sz w:val="28"/>
          <w:szCs w:val="28"/>
          <w:highlight w:val="none"/>
          <w:lang w:val="en-US" w:eastAsia="zh-CN"/>
        </w:rPr>
        <w:t>总土地面积为15.2平方米，</w:t>
      </w:r>
      <w:r>
        <w:rPr>
          <w:rFonts w:hint="eastAsia" w:ascii="仿宋_GB2312" w:hAnsi="仿宋_GB2312" w:eastAsia="仿宋_GB2312" w:cs="仿宋_GB2312"/>
          <w:bCs/>
          <w:sz w:val="28"/>
          <w:szCs w:val="28"/>
          <w:highlight w:val="none"/>
          <w:lang w:eastAsia="zh-CN"/>
        </w:rPr>
        <w:t>估价对象</w:t>
      </w:r>
      <w:r>
        <w:rPr>
          <w:rFonts w:hint="eastAsia" w:ascii="仿宋_GB2312" w:hAnsi="仿宋_GB2312" w:eastAsia="仿宋_GB2312" w:cs="仿宋_GB2312"/>
          <w:bCs/>
          <w:sz w:val="28"/>
          <w:szCs w:val="28"/>
          <w:highlight w:val="none"/>
          <w:lang w:val="en-US" w:eastAsia="zh-CN"/>
        </w:rPr>
        <w:t>设定</w:t>
      </w:r>
      <w:r>
        <w:rPr>
          <w:rFonts w:hint="eastAsia" w:ascii="仿宋_GB2312" w:hAnsi="仿宋_GB2312" w:eastAsia="仿宋_GB2312" w:cs="仿宋_GB2312"/>
          <w:bCs/>
          <w:sz w:val="28"/>
          <w:szCs w:val="28"/>
          <w:highlight w:val="none"/>
          <w:lang w:eastAsia="zh-CN"/>
        </w:rPr>
        <w:t>用途为</w:t>
      </w:r>
      <w:r>
        <w:rPr>
          <w:rFonts w:hint="eastAsia" w:ascii="仿宋_GB2312" w:hAnsi="仿宋_GB2312" w:eastAsia="仿宋_GB2312" w:cs="仿宋_GB2312"/>
          <w:bCs/>
          <w:sz w:val="28"/>
          <w:szCs w:val="28"/>
          <w:highlight w:val="none"/>
          <w:lang w:val="en-US" w:eastAsia="zh-CN"/>
        </w:rPr>
        <w:t>住宅用地</w:t>
      </w:r>
      <w:r>
        <w:rPr>
          <w:rFonts w:hint="eastAsia" w:ascii="仿宋_GB2312" w:hAnsi="仿宋_GB2312" w:eastAsia="仿宋_GB2312" w:cs="仿宋_GB2312"/>
          <w:bCs/>
          <w:sz w:val="28"/>
          <w:szCs w:val="28"/>
          <w:highlight w:val="none"/>
          <w:lang w:eastAsia="zh-CN"/>
        </w:rPr>
        <w:t>，至估价期日，估价对象现状为</w:t>
      </w:r>
      <w:r>
        <w:rPr>
          <w:rFonts w:hint="eastAsia" w:ascii="仿宋_GB2312" w:hAnsi="仿宋_GB2312" w:eastAsia="仿宋_GB2312" w:cs="仿宋_GB2312"/>
          <w:bCs/>
          <w:sz w:val="28"/>
          <w:szCs w:val="28"/>
          <w:highlight w:val="none"/>
          <w:lang w:val="en-US" w:eastAsia="zh-CN"/>
        </w:rPr>
        <w:t>已开发</w:t>
      </w:r>
      <w:r>
        <w:rPr>
          <w:rFonts w:hint="eastAsia" w:ascii="仿宋_GB2312" w:hAnsi="仿宋_GB2312" w:eastAsia="仿宋_GB2312" w:cs="仿宋_GB2312"/>
          <w:bCs/>
          <w:sz w:val="28"/>
          <w:szCs w:val="28"/>
          <w:highlight w:val="none"/>
          <w:lang w:eastAsia="zh-CN"/>
        </w:rPr>
        <w:t>建设用地，土地开发程度为宗地红线外“五通”（即通路、通电、供水、排水、通讯），宗地红线内场地平整</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411E76F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1.估价期日的设定</w:t>
      </w:r>
    </w:p>
    <w:p w14:paraId="65DB887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本次土地估价师现场勘查日期为2026年</w:t>
      </w:r>
      <w:r>
        <w:rPr>
          <w:rFonts w:hint="eastAsia" w:ascii="仿宋_GB2312" w:hAnsi="仿宋_GB2312" w:eastAsia="仿宋_GB2312" w:cs="仿宋_GB2312"/>
          <w:bCs/>
          <w:sz w:val="28"/>
          <w:szCs w:val="28"/>
          <w:highlight w:val="none"/>
          <w:lang w:val="en-US" w:eastAsia="zh-CN"/>
        </w:rPr>
        <w:t>5</w:t>
      </w:r>
      <w:r>
        <w:rPr>
          <w:rFonts w:hint="eastAsia" w:ascii="仿宋_GB2312" w:hAnsi="仿宋_GB2312" w:eastAsia="仿宋_GB2312" w:cs="仿宋_GB2312"/>
          <w:bCs/>
          <w:sz w:val="28"/>
          <w:szCs w:val="28"/>
          <w:highlight w:val="none"/>
          <w:lang w:eastAsia="zh-CN"/>
        </w:rPr>
        <w:t>月</w:t>
      </w:r>
      <w:r>
        <w:rPr>
          <w:rFonts w:hint="eastAsia" w:ascii="仿宋_GB2312" w:hAnsi="仿宋_GB2312" w:eastAsia="仿宋_GB2312" w:cs="仿宋_GB2312"/>
          <w:bCs/>
          <w:sz w:val="28"/>
          <w:szCs w:val="28"/>
          <w:highlight w:val="none"/>
          <w:lang w:val="en-US" w:eastAsia="zh-CN"/>
        </w:rPr>
        <w:t>18</w:t>
      </w:r>
      <w:r>
        <w:rPr>
          <w:rFonts w:hint="eastAsia" w:ascii="仿宋_GB2312" w:hAnsi="仿宋_GB2312" w:eastAsia="仿宋_GB2312" w:cs="仿宋_GB2312"/>
          <w:bCs/>
          <w:sz w:val="28"/>
          <w:szCs w:val="28"/>
          <w:highlight w:val="none"/>
          <w:lang w:eastAsia="zh-CN"/>
        </w:rPr>
        <w:t>日，</w:t>
      </w:r>
      <w:r>
        <w:rPr>
          <w:rFonts w:hint="eastAsia" w:ascii="仿宋_GB2312" w:hAnsi="仿宋_GB2312" w:eastAsia="仿宋_GB2312" w:cs="仿宋_GB2312"/>
          <w:bCs/>
          <w:sz w:val="28"/>
          <w:szCs w:val="28"/>
          <w:highlight w:val="none"/>
          <w:lang w:val="en-US" w:eastAsia="zh-CN"/>
        </w:rPr>
        <w:t>根据《评估委托书》本次估价设定</w:t>
      </w:r>
      <w:r>
        <w:rPr>
          <w:rFonts w:hint="eastAsia" w:ascii="仿宋_GB2312" w:hAnsi="仿宋_GB2312" w:eastAsia="仿宋_GB2312" w:cs="仿宋_GB2312"/>
          <w:bCs/>
          <w:sz w:val="28"/>
          <w:szCs w:val="28"/>
          <w:highlight w:val="none"/>
          <w:lang w:eastAsia="zh-CN"/>
        </w:rPr>
        <w:t>估价期日为2026年</w:t>
      </w:r>
      <w:r>
        <w:rPr>
          <w:rFonts w:hint="eastAsia" w:ascii="仿宋_GB2312" w:hAnsi="仿宋_GB2312" w:eastAsia="仿宋_GB2312" w:cs="仿宋_GB2312"/>
          <w:bCs/>
          <w:sz w:val="28"/>
          <w:szCs w:val="28"/>
          <w:highlight w:val="none"/>
          <w:lang w:val="en-US" w:eastAsia="zh-CN"/>
        </w:rPr>
        <w:t>5</w:t>
      </w:r>
      <w:r>
        <w:rPr>
          <w:rFonts w:hint="eastAsia" w:ascii="仿宋_GB2312" w:hAnsi="仿宋_GB2312" w:eastAsia="仿宋_GB2312" w:cs="仿宋_GB2312"/>
          <w:bCs/>
          <w:sz w:val="28"/>
          <w:szCs w:val="28"/>
          <w:highlight w:val="none"/>
          <w:lang w:eastAsia="zh-CN"/>
        </w:rPr>
        <w:t>月1</w:t>
      </w:r>
      <w:r>
        <w:rPr>
          <w:rFonts w:hint="eastAsia" w:ascii="仿宋_GB2312" w:hAnsi="仿宋_GB2312" w:eastAsia="仿宋_GB2312" w:cs="仿宋_GB2312"/>
          <w:bCs/>
          <w:sz w:val="28"/>
          <w:szCs w:val="28"/>
          <w:highlight w:val="none"/>
          <w:lang w:val="en-US" w:eastAsia="zh-CN"/>
        </w:rPr>
        <w:t>8</w:t>
      </w:r>
      <w:r>
        <w:rPr>
          <w:rFonts w:hint="eastAsia" w:ascii="仿宋_GB2312" w:hAnsi="仿宋_GB2312" w:eastAsia="仿宋_GB2312" w:cs="仿宋_GB2312"/>
          <w:bCs/>
          <w:sz w:val="28"/>
          <w:szCs w:val="28"/>
          <w:highlight w:val="none"/>
          <w:lang w:eastAsia="zh-CN"/>
        </w:rPr>
        <w:t>日。</w:t>
      </w:r>
    </w:p>
    <w:p w14:paraId="5320AF20">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2.土地用途的设定</w:t>
      </w:r>
    </w:p>
    <w:p w14:paraId="7EB82A10">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auto"/>
          <w:sz w:val="28"/>
          <w:szCs w:val="28"/>
          <w:highlight w:val="none"/>
          <w:lang w:val="en-US" w:eastAsia="zh-CN"/>
        </w:rPr>
        <w:t>土地用途的设定：</w:t>
      </w:r>
      <w:r>
        <w:rPr>
          <w:rFonts w:hint="default" w:ascii="仿宋_GB2312" w:hAnsi="仿宋_GB2312" w:eastAsia="仿宋_GB2312" w:cs="仿宋_GB2312"/>
          <w:bCs/>
          <w:color w:val="auto"/>
          <w:sz w:val="28"/>
          <w:szCs w:val="28"/>
          <w:highlight w:val="none"/>
          <w:lang w:val="en-GB" w:eastAsia="zh-CN"/>
        </w:rPr>
        <w:t>根据</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评估委托书</w:t>
      </w:r>
      <w:r>
        <w:rPr>
          <w:rFonts w:hint="eastAsia" w:ascii="仿宋_GB2312" w:hAnsi="仿宋_GB2312" w:eastAsia="仿宋_GB2312" w:cs="仿宋_GB2312"/>
          <w:bCs/>
          <w:color w:val="auto"/>
          <w:sz w:val="28"/>
          <w:szCs w:val="28"/>
          <w:highlight w:val="none"/>
          <w:lang w:val="en-GB" w:eastAsia="zh-CN"/>
        </w:rPr>
        <w:t>》</w:t>
      </w:r>
      <w:r>
        <w:rPr>
          <w:rFonts w:hint="default" w:ascii="仿宋_GB2312" w:hAnsi="仿宋_GB2312" w:eastAsia="仿宋_GB2312" w:cs="仿宋_GB2312"/>
          <w:bCs/>
          <w:color w:val="auto"/>
          <w:sz w:val="28"/>
          <w:szCs w:val="28"/>
          <w:highlight w:val="none"/>
          <w:lang w:val="en-GB" w:eastAsia="zh-CN"/>
        </w:rPr>
        <w:t>，估价对象</w:t>
      </w:r>
      <w:r>
        <w:rPr>
          <w:rFonts w:hint="eastAsia" w:ascii="仿宋_GB2312" w:hAnsi="仿宋_GB2312" w:eastAsia="仿宋_GB2312" w:cs="仿宋_GB2312"/>
          <w:bCs/>
          <w:color w:val="auto"/>
          <w:sz w:val="28"/>
          <w:szCs w:val="28"/>
          <w:highlight w:val="none"/>
          <w:lang w:val="en-GB" w:eastAsia="zh-CN"/>
        </w:rPr>
        <w:t>土地用途为</w:t>
      </w:r>
      <w:r>
        <w:rPr>
          <w:rFonts w:hint="eastAsia" w:ascii="仿宋_GB2312" w:hAnsi="仿宋_GB2312" w:eastAsia="仿宋_GB2312" w:cs="仿宋_GB2312"/>
          <w:bCs/>
          <w:color w:val="auto"/>
          <w:sz w:val="28"/>
          <w:szCs w:val="28"/>
          <w:highlight w:val="none"/>
          <w:lang w:val="en-US" w:eastAsia="zh-CN"/>
        </w:rPr>
        <w:t>住宅用地</w:t>
      </w:r>
      <w:r>
        <w:rPr>
          <w:rFonts w:hint="default" w:ascii="仿宋_GB2312" w:hAnsi="仿宋_GB2312" w:eastAsia="仿宋_GB2312" w:cs="仿宋_GB2312"/>
          <w:bCs/>
          <w:color w:val="auto"/>
          <w:sz w:val="28"/>
          <w:szCs w:val="28"/>
          <w:highlight w:val="none"/>
          <w:lang w:val="en-GB" w:eastAsia="zh-CN"/>
        </w:rPr>
        <w:t>。估价对象现状用途为住宅</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所处宗地有一栋混合结构住宅，</w:t>
      </w:r>
      <w:r>
        <w:rPr>
          <w:rFonts w:hint="eastAsia" w:ascii="仿宋_GB2312" w:hAnsi="仿宋_GB2312" w:eastAsia="仿宋_GB2312" w:cs="仿宋_GB2312"/>
          <w:bCs/>
          <w:color w:val="auto"/>
          <w:sz w:val="28"/>
          <w:szCs w:val="28"/>
          <w:highlight w:val="none"/>
          <w:lang w:val="en-GB" w:eastAsia="zh-CN"/>
        </w:rPr>
        <w:t>对照《城市用地分类与规划建设用地标准》（GB50137-2011），结合《土地利用现状分类》（GB/T 21010-2017），此次评估设定估价对象土地用途为住宅用地</w:t>
      </w:r>
      <w:r>
        <w:rPr>
          <w:rFonts w:hint="eastAsia" w:ascii="仿宋_GB2312" w:hAnsi="仿宋_GB2312" w:eastAsia="仿宋_GB2312" w:cs="仿宋_GB2312"/>
          <w:bCs/>
          <w:sz w:val="28"/>
          <w:szCs w:val="28"/>
          <w:highlight w:val="none"/>
          <w:lang w:eastAsia="zh-CN"/>
        </w:rPr>
        <w:t>。</w:t>
      </w:r>
    </w:p>
    <w:p w14:paraId="0124C0F3">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3.土地使用权类型</w:t>
      </w:r>
      <w:r>
        <w:rPr>
          <w:rFonts w:hint="eastAsia" w:ascii="仿宋_GB2312" w:hAnsi="仿宋_GB2312" w:eastAsia="仿宋_GB2312" w:cs="仿宋_GB2312"/>
          <w:bCs/>
          <w:sz w:val="28"/>
          <w:szCs w:val="28"/>
          <w:highlight w:val="none"/>
          <w:lang w:val="en-US" w:eastAsia="zh-CN"/>
        </w:rPr>
        <w:t>的</w:t>
      </w:r>
      <w:r>
        <w:rPr>
          <w:rFonts w:hint="eastAsia" w:ascii="仿宋_GB2312" w:hAnsi="仿宋_GB2312" w:eastAsia="仿宋_GB2312" w:cs="仿宋_GB2312"/>
          <w:bCs/>
          <w:sz w:val="28"/>
          <w:szCs w:val="28"/>
          <w:highlight w:val="none"/>
          <w:lang w:eastAsia="zh-CN"/>
        </w:rPr>
        <w:t>设定</w:t>
      </w:r>
    </w:p>
    <w:p w14:paraId="1343CDEC">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default" w:ascii="仿宋_GB2312" w:hAnsi="仿宋_GB2312" w:eastAsia="仿宋_GB2312" w:cs="仿宋_GB2312"/>
          <w:bCs/>
          <w:color w:val="auto"/>
          <w:sz w:val="28"/>
          <w:szCs w:val="28"/>
          <w:highlight w:val="none"/>
          <w:lang w:val="en-US" w:eastAsia="zh-CN"/>
        </w:rPr>
        <w:t>根据委托方提供的估价对象</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评估委托书</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和道县集中化解房地产办证信访突出问题工作领导小组办公室出具的《土地权属及性质证明》（2026年5月19日）</w:t>
      </w:r>
      <w:r>
        <w:rPr>
          <w:rFonts w:hint="default" w:ascii="仿宋_GB2312" w:hAnsi="仿宋_GB2312" w:eastAsia="仿宋_GB2312" w:cs="仿宋_GB2312"/>
          <w:bCs/>
          <w:color w:val="auto"/>
          <w:sz w:val="28"/>
          <w:szCs w:val="28"/>
          <w:highlight w:val="none"/>
          <w:lang w:val="en-US" w:eastAsia="zh-CN"/>
        </w:rPr>
        <w:t>，估价对象土地使用权类型为</w:t>
      </w:r>
      <w:r>
        <w:rPr>
          <w:rFonts w:hint="eastAsia" w:ascii="仿宋_GB2312" w:hAnsi="仿宋_GB2312" w:eastAsia="仿宋_GB2312" w:cs="仿宋_GB2312"/>
          <w:bCs/>
          <w:color w:val="auto"/>
          <w:sz w:val="28"/>
          <w:szCs w:val="28"/>
          <w:highlight w:val="none"/>
          <w:lang w:val="en-US" w:eastAsia="zh-CN"/>
        </w:rPr>
        <w:t>国有划拨</w:t>
      </w:r>
      <w:r>
        <w:rPr>
          <w:rFonts w:hint="default" w:ascii="仿宋_GB2312" w:hAnsi="仿宋_GB2312" w:eastAsia="仿宋_GB2312" w:cs="仿宋_GB2312"/>
          <w:bCs/>
          <w:color w:val="auto"/>
          <w:sz w:val="28"/>
          <w:szCs w:val="28"/>
          <w:highlight w:val="none"/>
          <w:lang w:val="en-US" w:eastAsia="zh-CN"/>
        </w:rPr>
        <w:t>，委托方拟按现状利用条件为其办理土地使用权出让手续，根据此次评估目的，设定估价对象土地使用权类型为出让</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10D25B60">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4.土地使用年期的设定</w:t>
      </w:r>
    </w:p>
    <w:p w14:paraId="4BB5623D">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sz w:val="28"/>
          <w:szCs w:val="28"/>
          <w:highlight w:val="none"/>
          <w:lang w:val="en-US" w:eastAsia="zh-CN"/>
        </w:rPr>
        <w:t>根据《中华人民共和国城镇国有土地使用权出让和转让暂行条例》（1990年5月19日国务院令第55号）规定，</w:t>
      </w:r>
      <w:r>
        <w:rPr>
          <w:rFonts w:hint="eastAsia" w:ascii="仿宋_GB2312" w:hAnsi="仿宋_GB2312" w:eastAsia="仿宋_GB2312" w:cs="仿宋_GB2312"/>
          <w:bCs/>
          <w:sz w:val="28"/>
          <w:szCs w:val="28"/>
          <w:highlight w:val="none"/>
          <w:lang w:eastAsia="zh-CN"/>
        </w:rPr>
        <w:t>土地使用权出让最高年限为</w:t>
      </w:r>
      <w:r>
        <w:rPr>
          <w:rFonts w:hint="eastAsia" w:ascii="仿宋_GB2312" w:hAnsi="仿宋_GB2312" w:eastAsia="仿宋_GB2312" w:cs="仿宋_GB2312"/>
          <w:bCs/>
          <w:sz w:val="28"/>
          <w:szCs w:val="28"/>
          <w:highlight w:val="none"/>
          <w:lang w:val="en-US" w:eastAsia="zh-CN"/>
        </w:rPr>
        <w:t>住宅</w:t>
      </w:r>
      <w:r>
        <w:rPr>
          <w:rFonts w:hint="eastAsia" w:ascii="仿宋_GB2312" w:hAnsi="仿宋_GB2312" w:eastAsia="仿宋_GB2312" w:cs="仿宋_GB2312"/>
          <w:bCs/>
          <w:sz w:val="28"/>
          <w:szCs w:val="28"/>
          <w:highlight w:val="none"/>
          <w:lang w:eastAsia="zh-CN"/>
        </w:rPr>
        <w:t>用地</w:t>
      </w:r>
      <w:r>
        <w:rPr>
          <w:rFonts w:hint="eastAsia" w:ascii="仿宋_GB2312" w:hAnsi="仿宋_GB2312" w:eastAsia="仿宋_GB2312" w:cs="仿宋_GB2312"/>
          <w:bCs/>
          <w:sz w:val="28"/>
          <w:szCs w:val="28"/>
          <w:highlight w:val="none"/>
          <w:lang w:val="en-US" w:eastAsia="zh-CN"/>
        </w:rPr>
        <w:t>70</w:t>
      </w:r>
      <w:r>
        <w:rPr>
          <w:rFonts w:hint="eastAsia" w:ascii="仿宋_GB2312" w:hAnsi="仿宋_GB2312" w:eastAsia="仿宋_GB2312" w:cs="仿宋_GB2312"/>
          <w:bCs/>
          <w:sz w:val="28"/>
          <w:szCs w:val="28"/>
          <w:highlight w:val="none"/>
          <w:lang w:eastAsia="zh-CN"/>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本次评估根据《评估委托书》约定和估价目的，设定土地使用权年限为住宅用地70年。</w:t>
      </w:r>
    </w:p>
    <w:p w14:paraId="575C54D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5.土地开发程度的设定</w:t>
      </w:r>
    </w:p>
    <w:p w14:paraId="483E531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根据土地估价师实地勘查，估价对象于估价期日2026年</w:t>
      </w:r>
      <w:r>
        <w:rPr>
          <w:rFonts w:hint="eastAsia" w:ascii="仿宋_GB2312" w:hAnsi="仿宋_GB2312" w:eastAsia="仿宋_GB2312" w:cs="仿宋_GB2312"/>
          <w:bCs/>
          <w:sz w:val="28"/>
          <w:szCs w:val="28"/>
          <w:highlight w:val="none"/>
          <w:lang w:val="en-US" w:eastAsia="zh-CN"/>
        </w:rPr>
        <w:t>5</w:t>
      </w:r>
      <w:r>
        <w:rPr>
          <w:rFonts w:hint="eastAsia" w:ascii="仿宋_GB2312" w:hAnsi="仿宋_GB2312" w:eastAsia="仿宋_GB2312" w:cs="仿宋_GB2312"/>
          <w:bCs/>
          <w:sz w:val="28"/>
          <w:szCs w:val="28"/>
          <w:highlight w:val="none"/>
          <w:lang w:eastAsia="zh-CN"/>
        </w:rPr>
        <w:t>月1</w:t>
      </w:r>
      <w:r>
        <w:rPr>
          <w:rFonts w:hint="eastAsia" w:ascii="仿宋_GB2312" w:hAnsi="仿宋_GB2312" w:eastAsia="仿宋_GB2312" w:cs="仿宋_GB2312"/>
          <w:bCs/>
          <w:sz w:val="28"/>
          <w:szCs w:val="28"/>
          <w:highlight w:val="none"/>
          <w:lang w:val="en-US" w:eastAsia="zh-CN"/>
        </w:rPr>
        <w:t>8</w:t>
      </w:r>
      <w:r>
        <w:rPr>
          <w:rFonts w:hint="eastAsia" w:ascii="仿宋_GB2312" w:hAnsi="仿宋_GB2312" w:eastAsia="仿宋_GB2312" w:cs="仿宋_GB2312"/>
          <w:bCs/>
          <w:sz w:val="28"/>
          <w:szCs w:val="28"/>
          <w:highlight w:val="none"/>
          <w:lang w:eastAsia="zh-CN"/>
        </w:rPr>
        <w:t>日实际开发程度为宗地红线外“五通”（即通路、通电、供水、排水、通讯），宗地红线内场地平整。结合估价目的及实际情况，本次评估设定土地开发程度为宗地红线外“五通”（即通路、通电、供水、排水、通讯），宗地红线内场地平整。</w:t>
      </w:r>
    </w:p>
    <w:p w14:paraId="1083300D">
      <w:pPr>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val="en-US" w:eastAsia="zh-CN"/>
        </w:rPr>
        <w:t>6.土地</w:t>
      </w:r>
      <w:r>
        <w:rPr>
          <w:rFonts w:hint="eastAsia" w:ascii="仿宋_GB2312" w:hAnsi="仿宋_GB2312" w:eastAsia="仿宋_GB2312" w:cs="仿宋_GB2312"/>
          <w:bCs/>
          <w:sz w:val="28"/>
          <w:szCs w:val="28"/>
          <w:highlight w:val="none"/>
          <w:lang w:eastAsia="zh-CN"/>
        </w:rPr>
        <w:t>利用条件的设定</w:t>
      </w:r>
    </w:p>
    <w:p w14:paraId="5806493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highlight w:val="none"/>
          <w:lang w:eastAsia="zh-CN"/>
        </w:rPr>
      </w:pPr>
      <w:r>
        <w:rPr>
          <w:rFonts w:hint="eastAsia" w:ascii="仿宋_GB2312" w:hAnsi="仿宋_GB2312" w:eastAsia="仿宋_GB2312" w:cs="仿宋_GB2312"/>
          <w:bCs/>
          <w:color w:val="auto"/>
          <w:sz w:val="28"/>
          <w:szCs w:val="28"/>
          <w:highlight w:val="none"/>
          <w:lang w:val="en-GB" w:eastAsia="zh-CN"/>
        </w:rPr>
        <w:t>经估价人员现场查勘，估价对象为已建成用地，地上有一栋</w:t>
      </w:r>
      <w:r>
        <w:rPr>
          <w:rFonts w:hint="eastAsia" w:ascii="仿宋_GB2312" w:hAnsi="仿宋_GB2312" w:eastAsia="仿宋_GB2312" w:cs="仿宋_GB2312"/>
          <w:bCs/>
          <w:color w:val="auto"/>
          <w:sz w:val="28"/>
          <w:szCs w:val="28"/>
          <w:highlight w:val="none"/>
          <w:lang w:val="en-US" w:eastAsia="zh-CN"/>
        </w:rPr>
        <w:t>5层</w:t>
      </w:r>
      <w:r>
        <w:rPr>
          <w:rFonts w:hint="eastAsia" w:ascii="仿宋_GB2312" w:hAnsi="仿宋_GB2312" w:eastAsia="仿宋_GB2312" w:cs="仿宋_GB2312"/>
          <w:bCs/>
          <w:color w:val="auto"/>
          <w:sz w:val="28"/>
          <w:szCs w:val="28"/>
          <w:highlight w:val="none"/>
          <w:lang w:val="en-GB" w:eastAsia="zh-CN"/>
        </w:rPr>
        <w:t>住宅楼。</w:t>
      </w:r>
      <w:r>
        <w:rPr>
          <w:rFonts w:hint="default" w:ascii="仿宋_GB2312" w:hAnsi="仿宋_GB2312" w:eastAsia="仿宋_GB2312" w:cs="仿宋_GB2312"/>
          <w:bCs/>
          <w:color w:val="auto"/>
          <w:sz w:val="28"/>
          <w:szCs w:val="28"/>
          <w:highlight w:val="none"/>
          <w:lang w:val="en-GB" w:eastAsia="zh-CN"/>
        </w:rPr>
        <w:t>根据</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评估委托书</w:t>
      </w:r>
      <w:r>
        <w:rPr>
          <w:rFonts w:hint="eastAsia" w:ascii="仿宋_GB2312" w:hAnsi="仿宋_GB2312" w:eastAsia="仿宋_GB2312" w:cs="仿宋_GB2312"/>
          <w:bCs/>
          <w:color w:val="auto"/>
          <w:sz w:val="28"/>
          <w:szCs w:val="28"/>
          <w:highlight w:val="none"/>
          <w:lang w:val="en-GB" w:eastAsia="zh-CN"/>
        </w:rPr>
        <w:t>》</w:t>
      </w:r>
      <w:r>
        <w:rPr>
          <w:rFonts w:hint="default" w:ascii="仿宋_GB2312" w:hAnsi="仿宋_GB2312" w:eastAsia="仿宋_GB2312" w:cs="仿宋_GB2312"/>
          <w:bCs/>
          <w:color w:val="auto"/>
          <w:sz w:val="28"/>
          <w:szCs w:val="28"/>
          <w:highlight w:val="none"/>
          <w:lang w:val="en-GB" w:eastAsia="zh-CN"/>
        </w:rPr>
        <w:t>，委托方拟按估价对象现状使用条件进行出让</w:t>
      </w:r>
      <w:r>
        <w:rPr>
          <w:rFonts w:hint="eastAsia" w:ascii="仿宋_GB2312" w:hAnsi="仿宋_GB2312" w:eastAsia="仿宋_GB2312" w:cs="仿宋_GB2312"/>
          <w:bCs/>
          <w:color w:val="auto"/>
          <w:sz w:val="28"/>
          <w:szCs w:val="28"/>
          <w:highlight w:val="none"/>
          <w:lang w:val="en-GB" w:eastAsia="zh-CN"/>
        </w:rPr>
        <w:t>。</w:t>
      </w:r>
      <w:r>
        <w:rPr>
          <w:rFonts w:hint="default" w:ascii="仿宋_GB2312" w:hAnsi="仿宋_GB2312" w:eastAsia="仿宋_GB2312" w:cs="仿宋_GB2312"/>
          <w:bCs/>
          <w:color w:val="auto"/>
          <w:sz w:val="28"/>
          <w:szCs w:val="28"/>
          <w:highlight w:val="none"/>
          <w:lang w:val="en-GB" w:eastAsia="zh-CN"/>
        </w:rPr>
        <w:t>根据委托方提供的估价对象</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户室面积对照表</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和</w:t>
      </w:r>
      <w:r>
        <w:rPr>
          <w:rFonts w:hint="eastAsia" w:ascii="仿宋_GB2312" w:hAnsi="仿宋_GB2312" w:eastAsia="仿宋_GB2312" w:cs="仿宋_GB2312"/>
          <w:bCs/>
          <w:color w:val="auto"/>
          <w:sz w:val="28"/>
          <w:szCs w:val="28"/>
          <w:highlight w:val="none"/>
          <w:lang w:val="en-GB" w:eastAsia="zh-CN"/>
        </w:rPr>
        <w:t>《土地分摊表》，</w:t>
      </w:r>
      <w:r>
        <w:rPr>
          <w:rFonts w:hint="default" w:ascii="仿宋_GB2312" w:hAnsi="仿宋_GB2312" w:eastAsia="仿宋_GB2312" w:cs="仿宋_GB2312"/>
          <w:bCs/>
          <w:color w:val="auto"/>
          <w:sz w:val="28"/>
          <w:szCs w:val="28"/>
          <w:highlight w:val="none"/>
          <w:lang w:val="en-GB" w:eastAsia="zh-CN"/>
        </w:rPr>
        <w:t>估价对象建筑</w:t>
      </w:r>
      <w:r>
        <w:rPr>
          <w:rFonts w:hint="eastAsia" w:ascii="仿宋_GB2312" w:hAnsi="仿宋_GB2312" w:eastAsia="仿宋_GB2312" w:cs="仿宋_GB2312"/>
          <w:bCs/>
          <w:color w:val="auto"/>
          <w:sz w:val="28"/>
          <w:szCs w:val="28"/>
          <w:highlight w:val="none"/>
          <w:lang w:val="en-US" w:eastAsia="zh-CN"/>
        </w:rPr>
        <w:t>总</w:t>
      </w:r>
      <w:r>
        <w:rPr>
          <w:rFonts w:hint="default" w:ascii="仿宋_GB2312" w:hAnsi="仿宋_GB2312" w:eastAsia="仿宋_GB2312" w:cs="仿宋_GB2312"/>
          <w:bCs/>
          <w:color w:val="auto"/>
          <w:sz w:val="28"/>
          <w:szCs w:val="28"/>
          <w:highlight w:val="none"/>
          <w:lang w:val="en-GB" w:eastAsia="zh-CN"/>
        </w:rPr>
        <w:t>面积为</w:t>
      </w:r>
      <w:r>
        <w:rPr>
          <w:rFonts w:hint="eastAsia" w:ascii="仿宋_GB2312" w:hAnsi="仿宋_GB2312" w:eastAsia="仿宋_GB2312" w:cs="仿宋_GB2312"/>
          <w:bCs/>
          <w:color w:val="auto"/>
          <w:sz w:val="28"/>
          <w:szCs w:val="28"/>
          <w:highlight w:val="none"/>
          <w:lang w:val="en-US" w:eastAsia="zh-CN"/>
        </w:rPr>
        <w:t>73.415平方米</w:t>
      </w:r>
      <w:r>
        <w:rPr>
          <w:rFonts w:hint="default" w:ascii="仿宋_GB2312" w:hAnsi="仿宋_GB2312" w:eastAsia="仿宋_GB2312" w:cs="仿宋_GB2312"/>
          <w:bCs/>
          <w:color w:val="auto"/>
          <w:sz w:val="28"/>
          <w:szCs w:val="28"/>
          <w:highlight w:val="none"/>
          <w:lang w:val="en-GB" w:eastAsia="zh-CN"/>
        </w:rPr>
        <w:t>，估价对象分摊土地面积为</w:t>
      </w:r>
      <w:r>
        <w:rPr>
          <w:rFonts w:hint="eastAsia" w:ascii="仿宋_GB2312" w:hAnsi="仿宋_GB2312" w:eastAsia="仿宋_GB2312" w:cs="仿宋_GB2312"/>
          <w:bCs/>
          <w:color w:val="auto"/>
          <w:sz w:val="28"/>
          <w:szCs w:val="28"/>
          <w:highlight w:val="none"/>
          <w:lang w:val="en-US" w:eastAsia="zh-CN"/>
        </w:rPr>
        <w:t>15.2平方米</w:t>
      </w:r>
      <w:r>
        <w:rPr>
          <w:rFonts w:hint="default" w:ascii="仿宋_GB2312" w:hAnsi="仿宋_GB2312" w:eastAsia="仿宋_GB2312" w:cs="仿宋_GB2312"/>
          <w:bCs/>
          <w:color w:val="auto"/>
          <w:sz w:val="28"/>
          <w:szCs w:val="28"/>
          <w:highlight w:val="none"/>
          <w:lang w:val="en-GB" w:eastAsia="zh-CN"/>
        </w:rPr>
        <w:t>，则估价对象现状容积率</w:t>
      </w:r>
      <w:r>
        <w:rPr>
          <w:rFonts w:hint="eastAsia" w:ascii="仿宋_GB2312" w:hAnsi="仿宋_GB2312" w:eastAsia="仿宋_GB2312" w:cs="仿宋_GB2312"/>
          <w:bCs/>
          <w:color w:val="auto"/>
          <w:sz w:val="28"/>
          <w:szCs w:val="28"/>
          <w:highlight w:val="none"/>
          <w:lang w:val="en-GB" w:eastAsia="zh-CN"/>
        </w:rPr>
        <w:t>为</w:t>
      </w:r>
      <w:r>
        <w:rPr>
          <w:rFonts w:hint="eastAsia" w:ascii="仿宋_GB2312" w:hAnsi="仿宋_GB2312" w:eastAsia="仿宋_GB2312" w:cs="仿宋_GB2312"/>
          <w:bCs/>
          <w:color w:val="auto"/>
          <w:sz w:val="28"/>
          <w:szCs w:val="28"/>
          <w:highlight w:val="none"/>
          <w:lang w:val="en-US" w:eastAsia="zh-CN"/>
        </w:rPr>
        <w:t>4.83</w:t>
      </w:r>
      <w:r>
        <w:rPr>
          <w:rFonts w:hint="default" w:ascii="仿宋_GB2312" w:hAnsi="仿宋_GB2312" w:eastAsia="仿宋_GB2312" w:cs="仿宋_GB2312"/>
          <w:bCs/>
          <w:color w:val="auto"/>
          <w:sz w:val="28"/>
          <w:szCs w:val="28"/>
          <w:highlight w:val="none"/>
          <w:lang w:val="en-GB" w:eastAsia="zh-CN"/>
        </w:rPr>
        <w:t>。本次评估设定土地容积率</w:t>
      </w:r>
      <w:r>
        <w:rPr>
          <w:rFonts w:hint="eastAsia" w:ascii="仿宋_GB2312" w:hAnsi="仿宋_GB2312" w:eastAsia="仿宋_GB2312" w:cs="仿宋_GB2312"/>
          <w:bCs/>
          <w:color w:val="auto"/>
          <w:sz w:val="28"/>
          <w:szCs w:val="28"/>
          <w:highlight w:val="none"/>
          <w:lang w:val="en-GB" w:eastAsia="zh-CN"/>
        </w:rPr>
        <w:t>为</w:t>
      </w:r>
      <w:r>
        <w:rPr>
          <w:rFonts w:hint="eastAsia" w:ascii="仿宋_GB2312" w:hAnsi="仿宋_GB2312" w:eastAsia="仿宋_GB2312" w:cs="仿宋_GB2312"/>
          <w:bCs/>
          <w:color w:val="auto"/>
          <w:sz w:val="28"/>
          <w:szCs w:val="28"/>
          <w:highlight w:val="none"/>
          <w:lang w:val="en-US" w:eastAsia="zh-CN"/>
        </w:rPr>
        <w:t>4.83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77E6397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7.价格类型的设定</w:t>
      </w:r>
    </w:p>
    <w:p w14:paraId="5212CA6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根据委托方提供的资料及估价人员调查所获取的资料，估价对象为国有出让建设用地使用权，未设立抵押权、租赁权、地役权、地上权等附加权利。本次评估设定估价对象为未设立抵押权、租赁权、地役权、地上权等附加权利下的国有建设用地使用权。</w:t>
      </w:r>
    </w:p>
    <w:p w14:paraId="4E14664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 w:val="28"/>
          <w:highlight w:val="none"/>
          <w:lang w:val="en-US" w:eastAsia="zh-CN"/>
        </w:rPr>
      </w:pPr>
      <w:r>
        <w:rPr>
          <w:rFonts w:hint="eastAsia" w:ascii="仿宋_GB2312" w:hAnsi="仿宋_GB2312" w:eastAsia="仿宋_GB2312" w:cs="仿宋_GB2312"/>
          <w:bCs/>
          <w:sz w:val="28"/>
          <w:szCs w:val="28"/>
          <w:highlight w:val="none"/>
          <w:lang w:eastAsia="zh-CN"/>
        </w:rPr>
        <w:t>综上所述，</w:t>
      </w:r>
      <w:r>
        <w:rPr>
          <w:rFonts w:hint="eastAsia" w:ascii="仿宋_GB2312" w:hAnsi="仿宋_GB2312" w:eastAsia="仿宋_GB2312" w:cs="仿宋_GB2312"/>
          <w:color w:val="auto"/>
          <w:sz w:val="28"/>
          <w:highlight w:val="none"/>
          <w:lang w:val="en-US" w:eastAsia="zh-CN"/>
        </w:rPr>
        <w:t>本次估价的地价内涵是指：估价对象在公开市场条件下，于估价期日2026年5月18日，土地面积</w:t>
      </w:r>
      <w:r>
        <w:rPr>
          <w:rFonts w:hint="eastAsia" w:ascii="仿宋_GB2312" w:hAnsi="仿宋_GB2312" w:eastAsia="仿宋_GB2312" w:cs="仿宋_GB2312"/>
          <w:bCs/>
          <w:sz w:val="28"/>
          <w:szCs w:val="28"/>
          <w:highlight w:val="none"/>
          <w:lang w:val="en-US" w:eastAsia="zh-CN"/>
        </w:rPr>
        <w:t>15.2平方米，</w:t>
      </w:r>
      <w:r>
        <w:rPr>
          <w:rFonts w:hint="eastAsia" w:ascii="仿宋_GB2312" w:hAnsi="仿宋_GB2312" w:eastAsia="仿宋_GB2312" w:cs="仿宋_GB2312"/>
          <w:color w:val="auto"/>
          <w:sz w:val="28"/>
          <w:highlight w:val="none"/>
          <w:lang w:val="en-US" w:eastAsia="zh-CN"/>
        </w:rPr>
        <w:t>土地用途设定为住宅用地，出让使用年期为</w:t>
      </w:r>
      <w:r>
        <w:rPr>
          <w:rFonts w:hint="eastAsia" w:ascii="仿宋_GB2312" w:hAnsi="仿宋_GB2312" w:eastAsia="仿宋_GB2312" w:cs="仿宋_GB2312"/>
          <w:bCs/>
          <w:sz w:val="28"/>
          <w:szCs w:val="28"/>
          <w:highlight w:val="none"/>
          <w:lang w:val="en-US" w:eastAsia="zh-CN"/>
        </w:rPr>
        <w:t>住宅</w:t>
      </w:r>
      <w:r>
        <w:rPr>
          <w:rFonts w:hint="eastAsia" w:ascii="仿宋_GB2312" w:hAnsi="仿宋_GB2312" w:eastAsia="仿宋_GB2312" w:cs="仿宋_GB2312"/>
          <w:bCs/>
          <w:sz w:val="28"/>
          <w:szCs w:val="28"/>
          <w:highlight w:val="none"/>
          <w:lang w:eastAsia="zh-CN"/>
        </w:rPr>
        <w:t>用地</w:t>
      </w:r>
      <w:r>
        <w:rPr>
          <w:rFonts w:hint="eastAsia" w:ascii="仿宋_GB2312" w:hAnsi="仿宋_GB2312" w:eastAsia="仿宋_GB2312" w:cs="仿宋_GB2312"/>
          <w:bCs/>
          <w:sz w:val="28"/>
          <w:szCs w:val="28"/>
          <w:highlight w:val="none"/>
          <w:lang w:val="en-US" w:eastAsia="zh-CN"/>
        </w:rPr>
        <w:t>70</w:t>
      </w:r>
      <w:r>
        <w:rPr>
          <w:rFonts w:hint="eastAsia" w:ascii="仿宋_GB2312" w:hAnsi="仿宋_GB2312" w:eastAsia="仿宋_GB2312" w:cs="仿宋_GB2312"/>
          <w:bCs/>
          <w:sz w:val="28"/>
          <w:szCs w:val="28"/>
          <w:highlight w:val="none"/>
          <w:lang w:eastAsia="zh-CN"/>
        </w:rPr>
        <w:t>年</w:t>
      </w:r>
      <w:r>
        <w:rPr>
          <w:rFonts w:hint="eastAsia" w:ascii="仿宋_GB2312" w:hAnsi="仿宋_GB2312" w:eastAsia="仿宋_GB2312" w:cs="仿宋_GB2312"/>
          <w:color w:val="auto"/>
          <w:sz w:val="28"/>
          <w:highlight w:val="none"/>
          <w:lang w:val="en-US" w:eastAsia="zh-CN"/>
        </w:rPr>
        <w:t>，容积率为4.83，土地开发程度设定为</w:t>
      </w:r>
      <w:r>
        <w:rPr>
          <w:rFonts w:hint="eastAsia" w:ascii="仿宋_GB2312" w:hAnsi="仿宋_GB2312" w:eastAsia="仿宋_GB2312" w:cs="仿宋_GB2312"/>
          <w:bCs/>
          <w:sz w:val="28"/>
          <w:szCs w:val="28"/>
          <w:highlight w:val="none"/>
          <w:lang w:eastAsia="zh-CN"/>
        </w:rPr>
        <w:t>宗地红线外“五通”（即通路、通电、供水、排水、通讯），宗地红线内场地平整</w:t>
      </w:r>
      <w:r>
        <w:rPr>
          <w:rFonts w:hint="eastAsia" w:ascii="仿宋_GB2312" w:hAnsi="仿宋_GB2312" w:eastAsia="仿宋_GB2312" w:cs="仿宋_GB2312"/>
          <w:color w:val="auto"/>
          <w:sz w:val="28"/>
          <w:highlight w:val="none"/>
          <w:lang w:val="en-US" w:eastAsia="zh-CN"/>
        </w:rPr>
        <w:t>下的土地使用权市场价格</w:t>
      </w:r>
    </w:p>
    <w:p w14:paraId="46A5A624">
      <w:pPr>
        <w:rPr>
          <w:rFonts w:hint="eastAsia"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br w:type="page"/>
      </w:r>
    </w:p>
    <w:p w14:paraId="638B3827">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t>九、估价结果</w:t>
      </w:r>
    </w:p>
    <w:p w14:paraId="13741726">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（一）估价结论</w:t>
      </w:r>
    </w:p>
    <w:p w14:paraId="65B2B82C">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自然资源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委托评估的，位于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道县月岩西路</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的一宗国有土地，土地面积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15.2平方米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，于估价期日2026年5月18日，评估设定土地用途为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auto"/>
          <w:sz w:val="28"/>
          <w:szCs w:val="30"/>
          <w:highlight w:val="none"/>
          <w:lang w:val="en-US" w:eastAsia="zh-CN"/>
        </w:rPr>
        <w:t>土地使用权出让年期为住宅用地70年</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设定土地开发程度为宗地红线外“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”（即通路、通电、供水、排水、通讯）及红线内场地平整，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现状</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利用条件下的土地使用权出让价格如下（币种：人民币）：</w:t>
      </w:r>
    </w:p>
    <w:p w14:paraId="1ADE2AC9">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宗地数量：共一宗</w:t>
      </w:r>
    </w:p>
    <w:p w14:paraId="4051F0FF">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w:t>
      </w:r>
      <w:r>
        <w:rPr>
          <w:rFonts w:hint="eastAsia" w:ascii="仿宋_GB2312" w:eastAsia="仿宋_GB2312"/>
          <w:b/>
          <w:bCs/>
          <w:color w:val="000000" w:themeColor="text1"/>
          <w:sz w:val="28"/>
          <w:szCs w:val="22"/>
          <w:highlight w:val="none"/>
          <w14:textFill>
            <w14:solidFill>
              <w14:schemeClr w14:val="tx1"/>
            </w14:solidFill>
          </w14:textFill>
        </w:rPr>
        <w:t>土地</w:t>
      </w:r>
      <w:r>
        <w:rPr>
          <w:rFonts w:hint="eastAsia" w:ascii="仿宋_GB2312" w:eastAsia="仿宋_GB2312"/>
          <w:b/>
          <w:bCs/>
          <w:color w:val="000000" w:themeColor="text1"/>
          <w:sz w:val="28"/>
          <w:szCs w:val="22"/>
          <w:highlight w:val="none"/>
          <w:lang w:val="en-US" w:eastAsia="zh-CN"/>
          <w14:textFill>
            <w14:solidFill>
              <w14:schemeClr w14:val="tx1"/>
            </w14:solidFill>
          </w14:textFill>
        </w:rPr>
        <w:t>总</w:t>
      </w:r>
      <w:r>
        <w:rPr>
          <w:rFonts w:hint="eastAsia" w:ascii="仿宋_GB2312" w:eastAsia="仿宋_GB2312"/>
          <w:b/>
          <w:bCs/>
          <w:color w:val="000000" w:themeColor="text1"/>
          <w:sz w:val="28"/>
          <w:szCs w:val="22"/>
          <w:highlight w:val="none"/>
          <w14:textFill>
            <w14:solidFill>
              <w14:schemeClr w14:val="tx1"/>
            </w14:solidFill>
          </w14:textFill>
        </w:rPr>
        <w:t>面积：</w:t>
      </w:r>
      <w:r>
        <w:rPr>
          <w:rFonts w:hint="eastAsia" w:ascii="仿宋_GB2312" w:eastAsia="仿宋_GB2312"/>
          <w:b/>
          <w:bCs/>
          <w:color w:val="000000" w:themeColor="text1"/>
          <w:sz w:val="28"/>
          <w:szCs w:val="22"/>
          <w:highlight w:val="none"/>
          <w:lang w:val="en-US" w:eastAsia="zh-CN"/>
          <w14:textFill>
            <w14:solidFill>
              <w14:schemeClr w14:val="tx1"/>
            </w14:solidFill>
          </w14:textFill>
        </w:rPr>
        <w:t>15.2平方米</w:t>
      </w:r>
    </w:p>
    <w:p w14:paraId="2FCBAF2B">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lang w:val="en-US"/>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估价对象土地单价：2511.0元/平方米</w:t>
      </w:r>
      <w:r>
        <w:rPr>
          <w:rFonts w:hint="eastAsia" w:ascii="仿宋" w:hAnsi="仿宋" w:eastAsia="仿宋"/>
          <w:b/>
          <w:bCs/>
          <w:sz w:val="28"/>
          <w:szCs w:val="28"/>
          <w:highlight w:val="none"/>
        </w:rPr>
        <w:t>（折合</w:t>
      </w:r>
      <w:r>
        <w:rPr>
          <w:rFonts w:hint="eastAsia" w:ascii="仿宋" w:hAnsi="仿宋" w:eastAsia="仿宋"/>
          <w:b/>
          <w:bCs/>
          <w:sz w:val="28"/>
          <w:szCs w:val="28"/>
          <w:highlight w:val="none"/>
          <w:lang w:val="en-US" w:eastAsia="zh-CN"/>
        </w:rPr>
        <w:t>167.4</w:t>
      </w:r>
      <w:r>
        <w:rPr>
          <w:rFonts w:hint="eastAsia" w:ascii="仿宋" w:hAnsi="仿宋" w:eastAsia="仿宋"/>
          <w:b/>
          <w:bCs/>
          <w:sz w:val="28"/>
          <w:szCs w:val="28"/>
          <w:highlight w:val="none"/>
        </w:rPr>
        <w:t>万元/亩）</w:t>
      </w:r>
    </w:p>
    <w:p w14:paraId="7DA2BF7D">
      <w:pPr>
        <w:keepNext w:val="0"/>
        <w:keepLines w:val="0"/>
        <w:pageBreakBefore w:val="0"/>
        <w:widowControl w:val="0"/>
        <w:kinsoku/>
        <w:wordWrap/>
        <w:overflowPunct/>
        <w:topLinePunct w:val="0"/>
        <w:autoSpaceDE w:val="0"/>
        <w:autoSpaceDN w:val="0"/>
        <w:bidi w:val="0"/>
        <w:adjustRightInd w:val="0"/>
        <w:snapToGrid w:val="0"/>
        <w:spacing w:line="480" w:lineRule="exact"/>
        <w:ind w:left="0" w:leftChars="0" w:firstLine="562" w:firstLineChars="200"/>
        <w:textAlignment w:val="auto"/>
        <w:rPr>
          <w:rFonts w:hint="default"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估价对象楼面地价：519.88元/平方米</w:t>
      </w:r>
    </w:p>
    <w:p w14:paraId="11561689">
      <w:pPr>
        <w:keepNext w:val="0"/>
        <w:keepLines w:val="0"/>
        <w:pageBreakBefore w:val="0"/>
        <w:widowControl w:val="0"/>
        <w:kinsoku/>
        <w:wordWrap/>
        <w:overflowPunct/>
        <w:topLinePunct w:val="0"/>
        <w:autoSpaceDE w:val="0"/>
        <w:autoSpaceDN w:val="0"/>
        <w:bidi w:val="0"/>
        <w:adjustRightInd w:val="0"/>
        <w:snapToGrid w:val="0"/>
        <w:spacing w:line="480" w:lineRule="exact"/>
        <w:ind w:left="0" w:leftChars="0" w:firstLine="562" w:firstLineChars="200"/>
        <w:textAlignment w:val="auto"/>
        <w:rPr>
          <w:rFonts w:hint="eastAsia" w:ascii="仿宋_GB2312" w:eastAsia="仿宋_GB2312"/>
          <w:b/>
          <w:bCs/>
          <w:color w:val="000000" w:themeColor="text1"/>
          <w:sz w:val="28"/>
          <w:szCs w:val="22"/>
          <w:highlight w:val="none"/>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估计对象土地</w:t>
      </w:r>
      <w:r>
        <w:rPr>
          <w:rFonts w:hint="eastAsia" w:ascii="仿宋_GB2312" w:eastAsia="仿宋_GB2312"/>
          <w:b/>
          <w:bCs/>
          <w:color w:val="000000" w:themeColor="text1"/>
          <w:sz w:val="28"/>
          <w:szCs w:val="22"/>
          <w:highlight w:val="none"/>
          <w14:textFill>
            <w14:solidFill>
              <w14:schemeClr w14:val="tx1"/>
            </w14:solidFill>
          </w14:textFill>
        </w:rPr>
        <w:t>总价：</w:t>
      </w:r>
      <w:r>
        <w:rPr>
          <w:rFonts w:hint="eastAsia" w:ascii="仿宋_GB2312" w:eastAsia="仿宋_GB2312"/>
          <w:b/>
          <w:bCs/>
          <w:color w:val="000000" w:themeColor="text1"/>
          <w:sz w:val="28"/>
          <w:szCs w:val="22"/>
          <w:highlight w:val="none"/>
          <w:lang w:val="en-US" w:eastAsia="zh-CN"/>
          <w14:textFill>
            <w14:solidFill>
              <w14:schemeClr w14:val="tx1"/>
            </w14:solidFill>
          </w14:textFill>
        </w:rPr>
        <w:t>3.82</w:t>
      </w:r>
      <w:r>
        <w:rPr>
          <w:rFonts w:hint="eastAsia" w:ascii="仿宋_GB2312" w:eastAsia="仿宋_GB2312"/>
          <w:b/>
          <w:bCs/>
          <w:color w:val="000000" w:themeColor="text1"/>
          <w:sz w:val="28"/>
          <w:szCs w:val="22"/>
          <w:highlight w:val="none"/>
          <w14:textFill>
            <w14:solidFill>
              <w14:schemeClr w14:val="tx1"/>
            </w14:solidFill>
          </w14:textFill>
        </w:rPr>
        <w:t>万元</w:t>
      </w:r>
    </w:p>
    <w:p w14:paraId="71D97317">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14:textFill>
            <w14:solidFill>
              <w14:schemeClr w14:val="tx1"/>
            </w14:solidFill>
          </w14:textFill>
        </w:rPr>
      </w:pPr>
      <w:r>
        <w:rPr>
          <w:rFonts w:hint="eastAsia" w:ascii="仿宋_GB2312" w:eastAsia="仿宋_GB2312"/>
          <w:b/>
          <w:bCs/>
          <w:color w:val="000000" w:themeColor="text1"/>
          <w:sz w:val="28"/>
          <w:szCs w:val="22"/>
          <w:highlight w:val="none"/>
          <w14:textFill>
            <w14:solidFill>
              <w14:schemeClr w14:val="tx1"/>
            </w14:solidFill>
          </w14:textFill>
        </w:rPr>
        <w:t>大写：人民币</w:t>
      </w:r>
      <w:r>
        <w:rPr>
          <w:rFonts w:hint="eastAsia" w:ascii="仿宋_GB2312" w:eastAsia="仿宋_GB2312"/>
          <w:b/>
          <w:bCs/>
          <w:color w:val="000000" w:themeColor="text1"/>
          <w:sz w:val="28"/>
          <w:szCs w:val="22"/>
          <w:highlight w:val="none"/>
          <w:lang w:val="en-US" w:eastAsia="zh-CN"/>
          <w14:textFill>
            <w14:solidFill>
              <w14:schemeClr w14:val="tx1"/>
            </w14:solidFill>
          </w14:textFill>
        </w:rPr>
        <w:t>叁万捌仟贰佰</w:t>
      </w:r>
      <w:r>
        <w:rPr>
          <w:rFonts w:hint="eastAsia" w:ascii="仿宋_GB2312" w:eastAsia="仿宋_GB2312"/>
          <w:b/>
          <w:bCs/>
          <w:color w:val="000000" w:themeColor="text1"/>
          <w:sz w:val="28"/>
          <w:szCs w:val="22"/>
          <w:highlight w:val="none"/>
          <w14:textFill>
            <w14:solidFill>
              <w14:schemeClr w14:val="tx1"/>
            </w14:solidFill>
          </w14:textFill>
        </w:rPr>
        <w:t>元整</w:t>
      </w:r>
    </w:p>
    <w:p w14:paraId="35FF023C">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outlineLvl w:val="9"/>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pPr>
      <w:r>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t>详见《土地估价结果一览表》。</w:t>
      </w:r>
    </w:p>
    <w:p w14:paraId="0CC7C2E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（二）出让底价建议</w:t>
      </w:r>
    </w:p>
    <w:p w14:paraId="6A9AB6F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auto"/>
          <w:sz w:val="28"/>
          <w:szCs w:val="28"/>
          <w:highlight w:val="none"/>
          <w:lang w:val="en-US" w:eastAsia="zh-CN"/>
        </w:rPr>
        <w:t>根据《国土资源部办公厅关于印发&lt;国有建设用地使用权出让地价评估技术规范&gt;的通知》（国土资厅发[2018]4号），“协议出让评估需在土地估价报告中测算并对比说明该建议出让底价是否符合当地的协议出让最低价标准。当地未公布协议出让最低价标准的，按拟出让土地所在级别基准地价的70％测算对比”，道县未公布协议出让最低价标准，</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道县城镇基准地价估价期日为2019年5月1日，本次估价期日为2026年5月18日，距估价期日超过六年，其基准地价已不具有现势性。</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土地市场情况及有关法律法规和政策规定，该地区土地出让底价由选定的估价机构的估价结果水平及具体宗地的实际情况综合确定。建议估价对象出让底价与本次估价结果相一致，具体由出让方根据出让土地的实际情况综合确定。</w:t>
      </w:r>
    </w:p>
    <w:p w14:paraId="49AA72E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建议出让地价的理由：</w:t>
      </w:r>
    </w:p>
    <w:p w14:paraId="65046853">
      <w:pPr>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color w:val="auto"/>
          <w:sz w:val="28"/>
          <w:szCs w:val="30"/>
          <w:highlight w:val="none"/>
          <w:lang w:eastAsia="zh-CN"/>
        </w:rPr>
      </w:pPr>
      <w:r>
        <w:rPr>
          <w:rFonts w:hint="eastAsia" w:ascii="仿宋_GB2312" w:hAnsi="仿宋_GB2312" w:eastAsia="仿宋_GB2312" w:cs="仿宋_GB2312"/>
          <w:color w:val="auto"/>
          <w:sz w:val="28"/>
          <w:szCs w:val="30"/>
          <w:highlight w:val="none"/>
          <w:lang w:val="en-US" w:eastAsia="zh-CN"/>
        </w:rPr>
        <w:t>1.</w:t>
      </w:r>
      <w:r>
        <w:rPr>
          <w:rFonts w:hint="eastAsia" w:ascii="仿宋_GB2312" w:hAnsi="仿宋_GB2312" w:eastAsia="仿宋_GB2312" w:cs="仿宋_GB2312"/>
          <w:color w:val="auto"/>
          <w:sz w:val="28"/>
          <w:szCs w:val="30"/>
          <w:highlight w:val="none"/>
          <w:lang w:eastAsia="zh-CN"/>
        </w:rPr>
        <w:t>评估操作过程技术合理，本次评估技术操作方面严格参照《城镇土地估价规程》(GB／T18508-2014)及《关于印发&lt;国有建设用地使用权出让地价评估技术规范&gt;的通知》（国土资厅发〔2018〕4号，2018年3月9日）要求，本次评估采用</w:t>
      </w:r>
      <w:r>
        <w:rPr>
          <w:rFonts w:hint="eastAsia" w:ascii="仿宋_GB2312" w:hAnsi="仿宋_GB2312" w:eastAsia="仿宋_GB2312" w:cs="仿宋_GB2312"/>
          <w:color w:val="auto"/>
          <w:sz w:val="28"/>
          <w:szCs w:val="30"/>
          <w:highlight w:val="none"/>
          <w:lang w:val="en-US" w:eastAsia="zh-CN"/>
        </w:rPr>
        <w:t>成本逼近法</w:t>
      </w:r>
      <w:r>
        <w:rPr>
          <w:rFonts w:hint="eastAsia" w:ascii="仿宋_GB2312" w:hAnsi="仿宋_GB2312" w:eastAsia="仿宋_GB2312" w:cs="仿宋_GB2312"/>
          <w:color w:val="auto"/>
          <w:sz w:val="28"/>
          <w:szCs w:val="30"/>
          <w:highlight w:val="none"/>
          <w:lang w:eastAsia="zh-CN"/>
        </w:rPr>
        <w:t>、</w:t>
      </w:r>
      <w:r>
        <w:rPr>
          <w:rFonts w:hint="eastAsia" w:ascii="仿宋_GB2312" w:hAnsi="仿宋_GB2312" w:eastAsia="仿宋_GB2312" w:cs="仿宋_GB2312"/>
          <w:color w:val="auto"/>
          <w:sz w:val="28"/>
          <w:szCs w:val="30"/>
          <w:highlight w:val="none"/>
          <w:lang w:val="en-US" w:eastAsia="zh-CN"/>
        </w:rPr>
        <w:t>收益还原法</w:t>
      </w:r>
      <w:r>
        <w:rPr>
          <w:rFonts w:hint="eastAsia" w:ascii="仿宋_GB2312" w:hAnsi="仿宋_GB2312" w:eastAsia="仿宋_GB2312" w:cs="仿宋_GB2312"/>
          <w:color w:val="auto"/>
          <w:sz w:val="28"/>
          <w:szCs w:val="30"/>
          <w:highlight w:val="none"/>
          <w:lang w:eastAsia="zh-CN"/>
        </w:rPr>
        <w:t>分别进行测算，综合考虑评估宗地所在区域的地价水平，</w:t>
      </w:r>
      <w:r>
        <w:rPr>
          <w:rFonts w:hint="default" w:ascii="仿宋_GB2312" w:hAnsi="仿宋_GB2312" w:eastAsia="仿宋_GB2312" w:cs="仿宋_GB2312"/>
          <w:color w:val="auto"/>
          <w:sz w:val="28"/>
          <w:szCs w:val="30"/>
          <w:highlight w:val="none"/>
          <w:lang w:eastAsia="zh-CN"/>
        </w:rPr>
        <w:t>成本逼近法是以土地开发所耗费的成本构成来推算土地价格的方法</w:t>
      </w:r>
      <w:r>
        <w:rPr>
          <w:rFonts w:hint="eastAsia" w:ascii="仿宋_GB2312" w:hAnsi="仿宋_GB2312" w:eastAsia="仿宋_GB2312" w:cs="仿宋_GB2312"/>
          <w:color w:val="auto"/>
          <w:sz w:val="28"/>
          <w:szCs w:val="30"/>
          <w:highlight w:val="none"/>
          <w:lang w:eastAsia="zh-CN"/>
        </w:rPr>
        <w:t>;</w:t>
      </w:r>
      <w:r>
        <w:rPr>
          <w:rFonts w:hint="eastAsia" w:ascii="仿宋_GB2312" w:hAnsi="仿宋_GB2312" w:eastAsia="仿宋_GB2312" w:cs="仿宋_GB2312"/>
          <w:color w:val="auto"/>
          <w:sz w:val="28"/>
          <w:szCs w:val="30"/>
          <w:highlight w:val="none"/>
          <w:lang w:val="en-US" w:eastAsia="zh-CN"/>
        </w:rPr>
        <w:t>收益还原法是在估算估价对象在未来每年预期纯收益（正常年纯收益）的基础上，以一定的土地还原率，将评估对象在未来每年的纯收益折算为估价期日收益总和的一种方法</w:t>
      </w:r>
      <w:r>
        <w:rPr>
          <w:rFonts w:hint="eastAsia" w:ascii="仿宋_GB2312" w:hAnsi="仿宋_GB2312" w:eastAsia="仿宋_GB2312" w:cs="仿宋_GB2312"/>
          <w:color w:val="auto"/>
          <w:sz w:val="28"/>
          <w:szCs w:val="30"/>
          <w:highlight w:val="none"/>
          <w:lang w:eastAsia="zh-CN"/>
        </w:rPr>
        <w:t>，能够比较真实的反映估价对象的客观合理的市场价格；</w:t>
      </w:r>
      <w:r>
        <w:rPr>
          <w:rFonts w:hint="eastAsia" w:ascii="仿宋_GB2312" w:hAnsi="仿宋_GB2312" w:eastAsia="仿宋_GB2312" w:cs="仿宋_GB2312"/>
          <w:color w:val="auto"/>
          <w:sz w:val="28"/>
          <w:szCs w:val="30"/>
          <w:highlight w:val="none"/>
          <w:lang w:val="en-US" w:eastAsia="zh-CN"/>
        </w:rPr>
        <w:t>收益还原法</w:t>
      </w:r>
      <w:r>
        <w:rPr>
          <w:rFonts w:hint="eastAsia" w:ascii="仿宋_GB2312" w:hAnsi="仿宋_GB2312" w:eastAsia="仿宋_GB2312" w:cs="仿宋_GB2312"/>
          <w:color w:val="auto"/>
          <w:sz w:val="28"/>
          <w:szCs w:val="30"/>
          <w:highlight w:val="none"/>
          <w:lang w:eastAsia="zh-CN"/>
        </w:rPr>
        <w:t>可信度高，因此</w:t>
      </w:r>
      <w:r>
        <w:rPr>
          <w:rFonts w:hint="eastAsia" w:ascii="仿宋_GB2312" w:hAnsi="仿宋_GB2312" w:eastAsia="仿宋_GB2312" w:cs="仿宋_GB2312"/>
          <w:color w:val="auto"/>
          <w:sz w:val="28"/>
          <w:szCs w:val="30"/>
          <w:highlight w:val="none"/>
          <w:lang w:val="en-US" w:eastAsia="zh-CN"/>
        </w:rPr>
        <w:t>取收益还原法</w:t>
      </w:r>
      <w:r>
        <w:rPr>
          <w:rFonts w:hint="eastAsia" w:ascii="仿宋_GB2312" w:hAnsi="仿宋_GB2312" w:eastAsia="仿宋_GB2312" w:cs="仿宋_GB2312"/>
          <w:color w:val="auto"/>
          <w:sz w:val="28"/>
          <w:szCs w:val="30"/>
          <w:highlight w:val="none"/>
          <w:lang w:eastAsia="zh-CN"/>
        </w:rPr>
        <w:t>估价结果为最终结果。</w:t>
      </w:r>
    </w:p>
    <w:p w14:paraId="198A791D">
      <w:pPr>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2</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.通过湖南省国土资源网上交易系统、中国土地交易市场网查询，</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近期通过“招拍挂”途径出让的估价对象周边土地单位面积地价与估价结果较为接近，估价结果符合该区域规划发展的趋势。</w:t>
      </w:r>
    </w:p>
    <w:p w14:paraId="46CCDD3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依据财政部、自然资源部、中国人民银行《关于加强土地成交价款管理规范资金缴库行为的通知》（财综[2009]89号，2009年12月31日），与土地出让有关的评估费、交易服务费等经营服务性成本费用应纳入土地出让底价。前述建议底价未包含契税、评估费及交易服务费等价外税费及经营服务性费用</w:t>
      </w:r>
      <w:r>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t>。</w:t>
      </w:r>
    </w:p>
    <w:p w14:paraId="599F8CCD">
      <w:pPr>
        <w:pStyle w:val="18"/>
        <w:rPr>
          <w:rFonts w:hint="eastAsia" w:ascii="仿宋_GB2312" w:hAnsi="仿宋_GB2312" w:eastAsia="仿宋_GB2312" w:cs="仿宋_GB2312"/>
          <w:b/>
          <w:bCs w:val="0"/>
          <w:color w:val="auto"/>
          <w:sz w:val="28"/>
          <w:szCs w:val="28"/>
          <w:highlight w:val="none"/>
          <w:lang w:val="en-GB" w:eastAsia="zh-CN"/>
        </w:rPr>
      </w:pPr>
    </w:p>
    <w:p w14:paraId="479C495C">
      <w:pPr>
        <w:keepNext w:val="0"/>
        <w:keepLines w:val="0"/>
        <w:pageBreakBefore w:val="0"/>
        <w:widowControl w:val="0"/>
        <w:kinsoku/>
        <w:wordWrap/>
        <w:overflowPunct/>
        <w:topLinePunct w:val="0"/>
        <w:autoSpaceDE/>
        <w:autoSpaceDN/>
        <w:bidi w:val="0"/>
        <w:adjustRightInd w:val="0"/>
        <w:snapToGrid w:val="0"/>
        <w:spacing w:line="480" w:lineRule="exact"/>
        <w:jc w:val="both"/>
        <w:textAlignment w:val="auto"/>
        <w:rPr>
          <w:rFonts w:hint="eastAsia" w:ascii="仿宋_GB2312" w:hAnsi="仿宋_GB2312" w:eastAsia="仿宋_GB2312" w:cs="仿宋_GB2312"/>
          <w:bCs/>
          <w:color w:val="auto"/>
          <w:sz w:val="21"/>
          <w:szCs w:val="21"/>
          <w:highlight w:val="none"/>
          <w:lang w:val="en-US" w:eastAsia="zh-CN"/>
        </w:rPr>
      </w:pPr>
    </w:p>
    <w:p w14:paraId="44C4A2EF">
      <w:pPr>
        <w:rPr>
          <w:rFonts w:hint="eastAsia" w:ascii="仿宋_GB2312" w:hAnsi="仿宋_GB2312" w:eastAsia="仿宋_GB2312" w:cs="仿宋_GB2312"/>
          <w:bCs/>
          <w:color w:val="auto"/>
          <w:sz w:val="21"/>
          <w:szCs w:val="21"/>
          <w:highlight w:val="none"/>
          <w:lang w:val="en-US" w:eastAsia="zh-CN"/>
        </w:rPr>
        <w:sectPr>
          <w:headerReference r:id="rId14" w:type="default"/>
          <w:footerReference r:id="rId15" w:type="default"/>
          <w:pgSz w:w="11906" w:h="16838"/>
          <w:pgMar w:top="1440" w:right="1800" w:bottom="1440" w:left="1800" w:header="851" w:footer="992" w:gutter="0"/>
          <w:pgNumType w:fmt="decimal"/>
          <w:cols w:space="0" w:num="1"/>
          <w:rtlGutter w:val="0"/>
          <w:docGrid w:type="lines" w:linePitch="312" w:charSpace="0"/>
        </w:sectPr>
      </w:pPr>
    </w:p>
    <w:p w14:paraId="48347854">
      <w:pPr>
        <w:keepNext w:val="0"/>
        <w:keepLines w:val="0"/>
        <w:pageBreakBefore w:val="0"/>
        <w:widowControl w:val="0"/>
        <w:kinsoku/>
        <w:wordWrap/>
        <w:overflowPunct/>
        <w:topLinePunct w:val="0"/>
        <w:autoSpaceDE w:val="0"/>
        <w:autoSpaceDN w:val="0"/>
        <w:bidi w:val="0"/>
        <w:adjustRightInd w:val="0"/>
        <w:snapToGrid w:val="0"/>
        <w:spacing w:line="360" w:lineRule="auto"/>
        <w:ind w:left="0" w:hanging="537" w:hangingChars="192"/>
        <w:jc w:val="center"/>
        <w:textAlignment w:val="auto"/>
        <w:outlineLvl w:val="2"/>
        <w:rPr>
          <w:rFonts w:ascii="仿宋_GB2312" w:eastAsia="仿宋_GB2312"/>
          <w:b/>
          <w:bCs/>
          <w:sz w:val="28"/>
          <w:highlight w:val="none"/>
        </w:rPr>
      </w:pPr>
      <w:r>
        <w:rPr>
          <w:rFonts w:hint="eastAsia" w:ascii="仿宋_GB2312" w:eastAsia="仿宋_GB2312"/>
          <w:sz w:val="28"/>
          <w:highlight w:val="none"/>
        </w:rPr>
        <w:t xml:space="preserve"> </w:t>
      </w:r>
      <w:r>
        <w:rPr>
          <w:rFonts w:hint="eastAsia" w:ascii="仿宋_GB2312" w:eastAsia="仿宋_GB2312"/>
          <w:b/>
          <w:bCs/>
          <w:sz w:val="28"/>
          <w:highlight w:val="none"/>
        </w:rPr>
        <w:t xml:space="preserve">  土地估价结果一览表</w:t>
      </w:r>
    </w:p>
    <w:p w14:paraId="65A6565D">
      <w:pPr>
        <w:spacing w:line="240" w:lineRule="exact"/>
        <w:ind w:left="-2478" w:leftChars="-1180" w:right="-227" w:firstLine="2625" w:firstLineChars="1250"/>
        <w:rPr>
          <w:rFonts w:hint="eastAsia" w:ascii="仿宋_GB2312" w:hAnsi="仿宋_GB2312" w:eastAsia="仿宋_GB2312" w:cs="仿宋_GB2312"/>
          <w:szCs w:val="21"/>
          <w:highlight w:val="none"/>
          <w:lang w:eastAsia="zh-CN"/>
        </w:rPr>
      </w:pPr>
      <w:r>
        <w:rPr>
          <w:rFonts w:hint="eastAsia" w:ascii="仿宋_GB2312" w:hAnsi="仿宋_GB2312" w:eastAsia="仿宋_GB2312" w:cs="仿宋_GB2312"/>
          <w:szCs w:val="21"/>
          <w:highlight w:val="none"/>
        </w:rPr>
        <w:t>估价机构：湖南兆财不动产规划评估有限公司                                                          估价期日：</w:t>
      </w:r>
      <w:r>
        <w:rPr>
          <w:rFonts w:hint="eastAsia" w:ascii="仿宋_GB2312" w:hAnsi="仿宋_GB2312" w:eastAsia="仿宋_GB2312" w:cs="仿宋_GB2312"/>
          <w:szCs w:val="21"/>
          <w:highlight w:val="none"/>
          <w:lang w:eastAsia="zh-CN"/>
        </w:rPr>
        <w:t>2026年5月18日</w:t>
      </w:r>
    </w:p>
    <w:p w14:paraId="678175D9">
      <w:pPr>
        <w:spacing w:line="240" w:lineRule="exact"/>
        <w:ind w:right="-227" w:firstLine="105" w:firstLineChars="50"/>
        <w:rPr>
          <w:rFonts w:hint="default" w:ascii="仿宋_GB2312" w:hAnsi="仿宋_GB2312" w:eastAsia="仿宋_GB2312" w:cs="仿宋_GB2312"/>
          <w:szCs w:val="21"/>
          <w:highlight w:val="none"/>
          <w:lang w:val="en-US" w:eastAsia="zh-CN"/>
        </w:rPr>
      </w:pPr>
      <w:r>
        <w:rPr>
          <w:rFonts w:hint="eastAsia" w:ascii="仿宋_GB2312" w:hAnsi="仿宋_GB2312" w:eastAsia="仿宋_GB2312" w:cs="仿宋_GB2312"/>
          <w:szCs w:val="21"/>
          <w:highlight w:val="none"/>
        </w:rPr>
        <w:t>估价报告编号：</w:t>
      </w:r>
      <w:r>
        <w:rPr>
          <w:rFonts w:hint="eastAsia" w:ascii="仿宋_GB2312" w:eastAsia="仿宋_GB2312"/>
          <w:spacing w:val="-6"/>
          <w:highlight w:val="none"/>
          <w:lang w:eastAsia="zh-CN"/>
        </w:rPr>
        <w:t>（湖南）湘兆财土地[202</w:t>
      </w:r>
      <w:r>
        <w:rPr>
          <w:rFonts w:hint="eastAsia" w:ascii="仿宋_GB2312" w:eastAsia="仿宋_GB2312"/>
          <w:spacing w:val="-6"/>
          <w:highlight w:val="none"/>
          <w:lang w:val="en-US" w:eastAsia="zh-CN"/>
        </w:rPr>
        <w:t>6</w:t>
      </w:r>
      <w:r>
        <w:rPr>
          <w:rFonts w:hint="eastAsia" w:ascii="仿宋_GB2312" w:eastAsia="仿宋_GB2312"/>
          <w:spacing w:val="-6"/>
          <w:highlight w:val="none"/>
          <w:lang w:eastAsia="zh-CN"/>
        </w:rPr>
        <w:t>]（</w:t>
      </w:r>
      <w:r>
        <w:rPr>
          <w:rFonts w:hint="eastAsia" w:ascii="仿宋_GB2312" w:eastAsia="仿宋_GB2312"/>
          <w:spacing w:val="-6"/>
          <w:highlight w:val="none"/>
          <w:lang w:val="en-US" w:eastAsia="zh-CN"/>
        </w:rPr>
        <w:t>技</w:t>
      </w:r>
      <w:r>
        <w:rPr>
          <w:rFonts w:hint="eastAsia" w:ascii="仿宋_GB2312" w:eastAsia="仿宋_GB2312"/>
          <w:spacing w:val="-6"/>
          <w:highlight w:val="none"/>
          <w:lang w:eastAsia="zh-CN"/>
        </w:rPr>
        <w:t>）字第ZC0007号</w:t>
      </w:r>
      <w:r>
        <w:rPr>
          <w:rFonts w:hint="eastAsia" w:ascii="仿宋_GB2312" w:eastAsia="仿宋_GB2312"/>
          <w:szCs w:val="21"/>
          <w:highlight w:val="none"/>
        </w:rPr>
        <w:t xml:space="preserve"> </w:t>
      </w:r>
      <w:r>
        <w:rPr>
          <w:rFonts w:hint="eastAsia" w:ascii="仿宋_GB2312" w:hAnsi="仿宋_GB2312" w:eastAsia="仿宋_GB2312" w:cs="仿宋_GB2312"/>
          <w:szCs w:val="21"/>
          <w:highlight w:val="none"/>
        </w:rPr>
        <w:t xml:space="preserve">          估价目的：</w:t>
      </w:r>
      <w:r>
        <w:rPr>
          <w:rFonts w:hint="eastAsia" w:ascii="仿宋_GB2312" w:hAnsi="仿宋_GB2312" w:eastAsia="仿宋_GB2312" w:cs="仿宋_GB2312"/>
          <w:szCs w:val="21"/>
          <w:highlight w:val="none"/>
          <w:lang w:val="en-US" w:eastAsia="zh-CN"/>
        </w:rPr>
        <w:t>出让</w:t>
      </w:r>
      <w:r>
        <w:rPr>
          <w:rFonts w:hint="eastAsia" w:ascii="仿宋_GB2312" w:hAnsi="仿宋_GB2312" w:eastAsia="仿宋_GB2312" w:cs="仿宋_GB2312"/>
          <w:szCs w:val="21"/>
          <w:highlight w:val="none"/>
        </w:rPr>
        <w:t xml:space="preserve">                  估价期日的土地使用权性质：</w:t>
      </w:r>
      <w:r>
        <w:rPr>
          <w:rFonts w:hint="eastAsia" w:ascii="仿宋_GB2312" w:hAnsi="仿宋_GB2312" w:eastAsia="仿宋_GB2312" w:cs="仿宋_GB2312"/>
          <w:szCs w:val="21"/>
          <w:highlight w:val="none"/>
          <w:lang w:val="en-US" w:eastAsia="zh-CN"/>
        </w:rPr>
        <w:t>划拨</w:t>
      </w:r>
    </w:p>
    <w:tbl>
      <w:tblPr>
        <w:tblStyle w:val="12"/>
        <w:tblW w:w="509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4"/>
        <w:gridCol w:w="642"/>
        <w:gridCol w:w="868"/>
        <w:gridCol w:w="676"/>
        <w:gridCol w:w="794"/>
        <w:gridCol w:w="648"/>
        <w:gridCol w:w="588"/>
        <w:gridCol w:w="426"/>
        <w:gridCol w:w="559"/>
        <w:gridCol w:w="574"/>
        <w:gridCol w:w="1250"/>
        <w:gridCol w:w="1264"/>
        <w:gridCol w:w="899"/>
        <w:gridCol w:w="838"/>
        <w:gridCol w:w="946"/>
        <w:gridCol w:w="892"/>
        <w:gridCol w:w="811"/>
        <w:gridCol w:w="1120"/>
      </w:tblGrid>
      <w:tr w14:paraId="317A8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223" w:type="pct"/>
            <w:vMerge w:val="restart"/>
            <w:vAlign w:val="center"/>
          </w:tcPr>
          <w:p w14:paraId="2A4D74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估价期日土地使用者</w:t>
            </w:r>
          </w:p>
        </w:tc>
        <w:tc>
          <w:tcPr>
            <w:tcW w:w="222" w:type="pct"/>
            <w:vMerge w:val="restart"/>
            <w:vAlign w:val="center"/>
          </w:tcPr>
          <w:p w14:paraId="2A6BDF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宗地</w:t>
            </w:r>
          </w:p>
          <w:p w14:paraId="50AB2CC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编号</w:t>
            </w:r>
          </w:p>
        </w:tc>
        <w:tc>
          <w:tcPr>
            <w:tcW w:w="300" w:type="pct"/>
            <w:vMerge w:val="restart"/>
            <w:vAlign w:val="center"/>
          </w:tcPr>
          <w:p w14:paraId="7C1B88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宗地</w:t>
            </w:r>
          </w:p>
          <w:p w14:paraId="55435D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名称</w:t>
            </w:r>
          </w:p>
        </w:tc>
        <w:tc>
          <w:tcPr>
            <w:tcW w:w="234" w:type="pct"/>
            <w:vMerge w:val="restart"/>
            <w:vAlign w:val="center"/>
          </w:tcPr>
          <w:p w14:paraId="619B296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土地使用证编号</w:t>
            </w:r>
          </w:p>
        </w:tc>
        <w:tc>
          <w:tcPr>
            <w:tcW w:w="702" w:type="pct"/>
            <w:gridSpan w:val="3"/>
            <w:vAlign w:val="center"/>
          </w:tcPr>
          <w:p w14:paraId="75C504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估价期日的用途</w:t>
            </w:r>
          </w:p>
        </w:tc>
        <w:tc>
          <w:tcPr>
            <w:tcW w:w="539" w:type="pct"/>
            <w:gridSpan w:val="3"/>
            <w:vAlign w:val="center"/>
          </w:tcPr>
          <w:p w14:paraId="42768A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容积率</w:t>
            </w:r>
          </w:p>
        </w:tc>
        <w:tc>
          <w:tcPr>
            <w:tcW w:w="432" w:type="pct"/>
            <w:vMerge w:val="restart"/>
            <w:vAlign w:val="center"/>
          </w:tcPr>
          <w:p w14:paraId="0F048C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估价期日实际土地开发程度</w:t>
            </w:r>
          </w:p>
        </w:tc>
        <w:tc>
          <w:tcPr>
            <w:tcW w:w="437" w:type="pct"/>
            <w:vMerge w:val="restart"/>
            <w:vAlign w:val="center"/>
          </w:tcPr>
          <w:p w14:paraId="66A0B64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估价设定土地开发程度</w:t>
            </w:r>
          </w:p>
        </w:tc>
        <w:tc>
          <w:tcPr>
            <w:tcW w:w="311" w:type="pct"/>
            <w:vMerge w:val="restart"/>
            <w:vAlign w:val="center"/>
          </w:tcPr>
          <w:p w14:paraId="4472F4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剩余土地使用权年期（年）</w:t>
            </w:r>
          </w:p>
        </w:tc>
        <w:tc>
          <w:tcPr>
            <w:tcW w:w="290" w:type="pct"/>
            <w:vMerge w:val="restart"/>
            <w:vAlign w:val="center"/>
          </w:tcPr>
          <w:p w14:paraId="64773D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面积(㎡)</w:t>
            </w:r>
          </w:p>
        </w:tc>
        <w:tc>
          <w:tcPr>
            <w:tcW w:w="327" w:type="pct"/>
            <w:vMerge w:val="restart"/>
            <w:vAlign w:val="center"/>
          </w:tcPr>
          <w:p w14:paraId="28AA18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地面地价(元/㎡)</w:t>
            </w:r>
          </w:p>
        </w:tc>
        <w:tc>
          <w:tcPr>
            <w:tcW w:w="308" w:type="pct"/>
            <w:vMerge w:val="restart"/>
            <w:vAlign w:val="center"/>
          </w:tcPr>
          <w:p w14:paraId="6292B8B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楼面地价(元/㎡)</w:t>
            </w:r>
          </w:p>
        </w:tc>
        <w:tc>
          <w:tcPr>
            <w:tcW w:w="280" w:type="pct"/>
            <w:vMerge w:val="restart"/>
            <w:vAlign w:val="center"/>
          </w:tcPr>
          <w:p w14:paraId="26D5036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总价</w:t>
            </w:r>
          </w:p>
          <w:p w14:paraId="41147F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(万元)</w:t>
            </w:r>
          </w:p>
        </w:tc>
        <w:tc>
          <w:tcPr>
            <w:tcW w:w="387" w:type="pct"/>
            <w:vMerge w:val="restart"/>
            <w:vAlign w:val="center"/>
          </w:tcPr>
          <w:p w14:paraId="75406F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备注</w:t>
            </w:r>
          </w:p>
        </w:tc>
      </w:tr>
      <w:tr w14:paraId="63391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23" w:type="pct"/>
            <w:vMerge w:val="continue"/>
            <w:vAlign w:val="center"/>
          </w:tcPr>
          <w:p w14:paraId="4CEE40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222" w:type="pct"/>
            <w:vMerge w:val="continue"/>
            <w:vAlign w:val="center"/>
          </w:tcPr>
          <w:p w14:paraId="5195F4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300" w:type="pct"/>
            <w:vMerge w:val="continue"/>
            <w:vAlign w:val="center"/>
          </w:tcPr>
          <w:p w14:paraId="6CA4CA4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234" w:type="pct"/>
            <w:vMerge w:val="continue"/>
            <w:vAlign w:val="center"/>
          </w:tcPr>
          <w:p w14:paraId="14F0DA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274" w:type="pct"/>
            <w:vAlign w:val="center"/>
          </w:tcPr>
          <w:p w14:paraId="31FACF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证载（或批准）</w:t>
            </w:r>
          </w:p>
        </w:tc>
        <w:tc>
          <w:tcPr>
            <w:tcW w:w="224" w:type="pct"/>
            <w:vAlign w:val="center"/>
          </w:tcPr>
          <w:p w14:paraId="0EAEED5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实际</w:t>
            </w:r>
          </w:p>
        </w:tc>
        <w:tc>
          <w:tcPr>
            <w:tcW w:w="203" w:type="pct"/>
            <w:vAlign w:val="center"/>
          </w:tcPr>
          <w:p w14:paraId="137368E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设定</w:t>
            </w:r>
          </w:p>
        </w:tc>
        <w:tc>
          <w:tcPr>
            <w:tcW w:w="147" w:type="pct"/>
            <w:vAlign w:val="center"/>
          </w:tcPr>
          <w:p w14:paraId="34FE518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规划</w:t>
            </w:r>
          </w:p>
        </w:tc>
        <w:tc>
          <w:tcPr>
            <w:tcW w:w="193" w:type="pct"/>
            <w:vAlign w:val="center"/>
          </w:tcPr>
          <w:p w14:paraId="6956E3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实际</w:t>
            </w:r>
          </w:p>
        </w:tc>
        <w:tc>
          <w:tcPr>
            <w:tcW w:w="198" w:type="pct"/>
            <w:vAlign w:val="center"/>
          </w:tcPr>
          <w:p w14:paraId="67218DF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设定</w:t>
            </w:r>
          </w:p>
        </w:tc>
        <w:tc>
          <w:tcPr>
            <w:tcW w:w="432" w:type="pct"/>
            <w:vMerge w:val="continue"/>
            <w:vAlign w:val="center"/>
          </w:tcPr>
          <w:p w14:paraId="03FB57C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437" w:type="pct"/>
            <w:vMerge w:val="continue"/>
            <w:vAlign w:val="center"/>
          </w:tcPr>
          <w:p w14:paraId="20B4E87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311" w:type="pct"/>
            <w:vMerge w:val="continue"/>
            <w:vAlign w:val="center"/>
          </w:tcPr>
          <w:p w14:paraId="3A359E7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290" w:type="pct"/>
            <w:vMerge w:val="continue"/>
            <w:vAlign w:val="center"/>
          </w:tcPr>
          <w:p w14:paraId="6C2243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327" w:type="pct"/>
            <w:vMerge w:val="continue"/>
            <w:vAlign w:val="center"/>
          </w:tcPr>
          <w:p w14:paraId="3BA19A9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308" w:type="pct"/>
            <w:vMerge w:val="continue"/>
            <w:vAlign w:val="center"/>
          </w:tcPr>
          <w:p w14:paraId="25C6E68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280" w:type="pct"/>
            <w:vMerge w:val="continue"/>
            <w:vAlign w:val="center"/>
          </w:tcPr>
          <w:p w14:paraId="4D5D53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387" w:type="pct"/>
            <w:vMerge w:val="continue"/>
            <w:vAlign w:val="center"/>
          </w:tcPr>
          <w:p w14:paraId="2680ED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r>
      <w:tr w14:paraId="0C907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9" w:hRule="atLeast"/>
          <w:jc w:val="center"/>
        </w:trPr>
        <w:tc>
          <w:tcPr>
            <w:tcW w:w="223" w:type="pct"/>
            <w:vAlign w:val="center"/>
          </w:tcPr>
          <w:p w14:paraId="00C838A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王汝冲</w:t>
            </w:r>
          </w:p>
        </w:tc>
        <w:tc>
          <w:tcPr>
            <w:tcW w:w="222" w:type="pct"/>
            <w:vAlign w:val="center"/>
          </w:tcPr>
          <w:p w14:paraId="3A09ED6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w:t>
            </w:r>
          </w:p>
        </w:tc>
        <w:tc>
          <w:tcPr>
            <w:tcW w:w="300" w:type="pct"/>
            <w:vAlign w:val="center"/>
          </w:tcPr>
          <w:p w14:paraId="4B3F548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道县月岩西路</w:t>
            </w: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w:t>
            </w:r>
          </w:p>
        </w:tc>
        <w:tc>
          <w:tcPr>
            <w:tcW w:w="234" w:type="pct"/>
            <w:vAlign w:val="center"/>
          </w:tcPr>
          <w:p w14:paraId="53A081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w:t>
            </w:r>
          </w:p>
        </w:tc>
        <w:tc>
          <w:tcPr>
            <w:tcW w:w="274" w:type="pct"/>
            <w:vAlign w:val="center"/>
          </w:tcPr>
          <w:p w14:paraId="1D91D8A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w:t>
            </w:r>
          </w:p>
        </w:tc>
        <w:tc>
          <w:tcPr>
            <w:tcW w:w="224" w:type="pct"/>
            <w:vAlign w:val="center"/>
          </w:tcPr>
          <w:p w14:paraId="245276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住宅用地</w:t>
            </w:r>
          </w:p>
        </w:tc>
        <w:tc>
          <w:tcPr>
            <w:tcW w:w="203" w:type="pct"/>
            <w:vAlign w:val="center"/>
          </w:tcPr>
          <w:p w14:paraId="4B71C20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住宅用地</w:t>
            </w:r>
          </w:p>
        </w:tc>
        <w:tc>
          <w:tcPr>
            <w:tcW w:w="147" w:type="pct"/>
            <w:vAlign w:val="center"/>
          </w:tcPr>
          <w:p w14:paraId="23FB44B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w:t>
            </w:r>
          </w:p>
        </w:tc>
        <w:tc>
          <w:tcPr>
            <w:tcW w:w="193" w:type="pct"/>
            <w:vAlign w:val="center"/>
          </w:tcPr>
          <w:p w14:paraId="58A660C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4.83</w:t>
            </w:r>
          </w:p>
        </w:tc>
        <w:tc>
          <w:tcPr>
            <w:tcW w:w="198" w:type="pct"/>
            <w:vAlign w:val="center"/>
          </w:tcPr>
          <w:p w14:paraId="2B1B381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4.83</w:t>
            </w:r>
          </w:p>
        </w:tc>
        <w:tc>
          <w:tcPr>
            <w:tcW w:w="432" w:type="pct"/>
            <w:vAlign w:val="center"/>
          </w:tcPr>
          <w:p w14:paraId="1048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宗地红线外“五通”，红线内场地平整</w:t>
            </w:r>
          </w:p>
        </w:tc>
        <w:tc>
          <w:tcPr>
            <w:tcW w:w="437" w:type="pct"/>
            <w:vAlign w:val="center"/>
          </w:tcPr>
          <w:p w14:paraId="3AE3CE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宗地红线外“五通”，红线内场地平整</w:t>
            </w:r>
          </w:p>
        </w:tc>
        <w:tc>
          <w:tcPr>
            <w:tcW w:w="311" w:type="pct"/>
            <w:vAlign w:val="center"/>
          </w:tcPr>
          <w:p w14:paraId="6DB88E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70</w:t>
            </w:r>
          </w:p>
        </w:tc>
        <w:tc>
          <w:tcPr>
            <w:tcW w:w="290" w:type="pct"/>
            <w:vAlign w:val="center"/>
          </w:tcPr>
          <w:p w14:paraId="745602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15.2</w:t>
            </w:r>
          </w:p>
        </w:tc>
        <w:tc>
          <w:tcPr>
            <w:tcW w:w="327" w:type="pct"/>
            <w:vAlign w:val="center"/>
          </w:tcPr>
          <w:p w14:paraId="28D4FC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2511</w:t>
            </w:r>
          </w:p>
        </w:tc>
        <w:tc>
          <w:tcPr>
            <w:tcW w:w="308" w:type="pct"/>
            <w:vAlign w:val="center"/>
          </w:tcPr>
          <w:p w14:paraId="248731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519.88</w:t>
            </w:r>
          </w:p>
        </w:tc>
        <w:tc>
          <w:tcPr>
            <w:tcW w:w="280" w:type="pct"/>
            <w:shd w:val="clear" w:color="auto" w:fill="auto"/>
            <w:vAlign w:val="center"/>
          </w:tcPr>
          <w:p w14:paraId="1A8D4CF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3.82</w:t>
            </w:r>
          </w:p>
        </w:tc>
        <w:tc>
          <w:tcPr>
            <w:tcW w:w="387" w:type="pct"/>
            <w:vAlign w:val="center"/>
          </w:tcPr>
          <w:p w14:paraId="6B3DCD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pacing w:val="-20"/>
                <w:szCs w:val="21"/>
                <w:highlight w:val="none"/>
                <w:lang w:val="en-US" w:eastAsia="zh-CN"/>
              </w:rPr>
              <w:t>折合</w:t>
            </w:r>
            <w:r>
              <w:rPr>
                <w:rFonts w:hint="eastAsia" w:ascii="仿宋_GB2312" w:hAnsi="仿宋_GB2312" w:eastAsia="仿宋_GB2312" w:cs="仿宋_GB2312"/>
                <w:spacing w:val="-20"/>
                <w:szCs w:val="21"/>
                <w:highlight w:val="none"/>
                <w:lang w:val="en-US" w:eastAsia="zh-CN"/>
              </w:rPr>
              <w:t>167.4</w:t>
            </w:r>
            <w:r>
              <w:rPr>
                <w:rFonts w:hint="default" w:ascii="仿宋_GB2312" w:hAnsi="仿宋_GB2312" w:eastAsia="仿宋_GB2312" w:cs="仿宋_GB2312"/>
                <w:spacing w:val="-20"/>
                <w:szCs w:val="21"/>
                <w:highlight w:val="none"/>
                <w:lang w:val="en-US" w:eastAsia="zh-CN"/>
              </w:rPr>
              <w:t>万元/亩</w:t>
            </w:r>
          </w:p>
        </w:tc>
      </w:tr>
    </w:tbl>
    <w:p w14:paraId="4181B966">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default" w:ascii="仿宋_GB2312" w:hAnsi="仿宋_GB2312" w:eastAsia="仿宋_GB2312" w:cs="仿宋_GB2312"/>
          <w:szCs w:val="21"/>
          <w:highlight w:val="none"/>
          <w:lang w:val="en-US" w:eastAsia="zh-CN"/>
        </w:rPr>
      </w:pPr>
      <w:r>
        <w:rPr>
          <w:rFonts w:hint="eastAsia" w:ascii="仿宋_GB2312" w:hAnsi="仿宋_GB2312" w:eastAsia="仿宋_GB2312" w:cs="仿宋_GB2312"/>
          <w:szCs w:val="21"/>
          <w:highlight w:val="none"/>
        </w:rPr>
        <w:t>注：上表中“</w:t>
      </w:r>
      <w:r>
        <w:rPr>
          <w:rFonts w:hint="eastAsia" w:ascii="仿宋_GB2312" w:hAnsi="仿宋_GB2312" w:eastAsia="仿宋_GB2312" w:cs="仿宋_GB2312"/>
          <w:szCs w:val="21"/>
          <w:highlight w:val="none"/>
          <w:lang w:val="en-US" w:eastAsia="zh-CN"/>
        </w:rPr>
        <w:t>五</w:t>
      </w:r>
      <w:r>
        <w:rPr>
          <w:rFonts w:hint="eastAsia" w:ascii="仿宋_GB2312" w:hAnsi="仿宋_GB2312" w:eastAsia="仿宋_GB2312" w:cs="仿宋_GB2312"/>
          <w:szCs w:val="21"/>
          <w:highlight w:val="none"/>
        </w:rPr>
        <w:t>通”指宗地红外围通路、通电</w:t>
      </w:r>
      <w:r>
        <w:rPr>
          <w:rFonts w:hint="eastAsia" w:ascii="仿宋_GB2312" w:hAnsi="仿宋_GB2312" w:eastAsia="仿宋_GB2312" w:cs="仿宋_GB2312"/>
          <w:szCs w:val="21"/>
          <w:highlight w:val="none"/>
          <w:lang w:eastAsia="zh-CN"/>
        </w:rPr>
        <w:t>、</w:t>
      </w:r>
      <w:r>
        <w:rPr>
          <w:rFonts w:hint="eastAsia" w:ascii="仿宋_GB2312" w:hAnsi="仿宋_GB2312" w:eastAsia="仿宋_GB2312" w:cs="仿宋_GB2312"/>
          <w:szCs w:val="21"/>
          <w:highlight w:val="none"/>
          <w:lang w:val="en-US" w:eastAsia="zh-CN"/>
        </w:rPr>
        <w:t>通讯、供水、排水。</w:t>
      </w:r>
    </w:p>
    <w:p w14:paraId="18C268C4">
      <w:pPr>
        <w:keepNext w:val="0"/>
        <w:keepLines w:val="0"/>
        <w:pageBreakBefore w:val="0"/>
        <w:widowControl w:val="0"/>
        <w:tabs>
          <w:tab w:val="left" w:pos="560"/>
        </w:tabs>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szCs w:val="21"/>
          <w:highlight w:val="none"/>
        </w:rPr>
      </w:pPr>
      <w:r>
        <w:rPr>
          <w:rFonts w:hint="eastAsia" w:ascii="仿宋_GB2312" w:hAnsi="仿宋_GB2312" w:eastAsia="仿宋_GB2312" w:cs="仿宋_GB2312"/>
          <w:szCs w:val="21"/>
          <w:highlight w:val="none"/>
        </w:rPr>
        <w:t>一、上述土地估价结果的限定条</w:t>
      </w:r>
      <w:r>
        <w:rPr>
          <w:rFonts w:hint="eastAsia" w:ascii="仿宋_GB2312" w:hAnsi="仿宋_GB2312" w:eastAsia="仿宋_GB2312" w:cs="仿宋_GB2312"/>
          <w:color w:val="auto"/>
          <w:szCs w:val="21"/>
          <w:highlight w:val="none"/>
        </w:rPr>
        <w:t>件</w:t>
      </w:r>
      <w:r>
        <w:rPr>
          <w:rFonts w:hint="eastAsia" w:ascii="仿宋_GB2312" w:hAnsi="仿宋_GB2312" w:eastAsia="仿宋_GB2312" w:cs="仿宋_GB2312"/>
          <w:color w:val="auto"/>
          <w:szCs w:val="21"/>
          <w:highlight w:val="none"/>
          <w:lang w:eastAsia="zh-CN"/>
        </w:rPr>
        <w:t>：</w:t>
      </w:r>
      <w:r>
        <w:rPr>
          <w:rFonts w:hint="eastAsia" w:ascii="仿宋_GB2312" w:hAnsi="仿宋_GB2312" w:eastAsia="仿宋_GB2312" w:cs="仿宋_GB2312"/>
          <w:color w:val="auto"/>
          <w:szCs w:val="21"/>
          <w:highlight w:val="none"/>
        </w:rPr>
        <w:t>1.根据《</w:t>
      </w:r>
      <w:r>
        <w:rPr>
          <w:rFonts w:hint="eastAsia" w:ascii="仿宋_GB2312" w:hAnsi="仿宋_GB2312" w:eastAsia="仿宋_GB2312" w:cs="仿宋_GB2312"/>
          <w:color w:val="auto"/>
          <w:szCs w:val="21"/>
          <w:highlight w:val="none"/>
          <w:lang w:val="en-US" w:eastAsia="zh-CN"/>
        </w:rPr>
        <w:t>评估委托书</w:t>
      </w:r>
      <w:r>
        <w:rPr>
          <w:rFonts w:hint="eastAsia" w:ascii="仿宋_GB2312" w:hAnsi="仿宋_GB2312" w:eastAsia="仿宋_GB2312" w:cs="仿宋_GB2312"/>
          <w:color w:val="auto"/>
          <w:szCs w:val="21"/>
          <w:highlight w:val="none"/>
        </w:rPr>
        <w:t>》</w:t>
      </w:r>
      <w:r>
        <w:rPr>
          <w:rFonts w:hint="eastAsia" w:ascii="仿宋_GB2312" w:hAnsi="仿宋_GB2312" w:eastAsia="仿宋_GB2312" w:cs="仿宋_GB2312"/>
          <w:color w:val="auto"/>
          <w:szCs w:val="21"/>
          <w:highlight w:val="none"/>
          <w:lang w:val="en-US" w:eastAsia="zh-CN"/>
        </w:rPr>
        <w:t>和</w:t>
      </w:r>
      <w:r>
        <w:rPr>
          <w:rFonts w:hint="eastAsia" w:ascii="仿宋_GB2312" w:hAnsi="仿宋_GB2312" w:eastAsia="仿宋_GB2312" w:cs="仿宋_GB2312"/>
          <w:color w:val="auto"/>
          <w:szCs w:val="21"/>
          <w:highlight w:val="none"/>
        </w:rPr>
        <w:t>道县集中化解房地产办证信访突出问题工作领导小组办公室出具的《土地权属及性质证明》（2026年5月19日），估价对象位于</w:t>
      </w: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道县月岩西路</w:t>
      </w:r>
      <w:r>
        <w:rPr>
          <w:rFonts w:hint="eastAsia" w:ascii="仿宋_GB2312" w:hAnsi="仿宋_GB2312" w:eastAsia="仿宋_GB2312" w:cs="仿宋_GB2312"/>
          <w:color w:val="auto"/>
          <w:szCs w:val="21"/>
          <w:highlight w:val="none"/>
          <w:lang w:eastAsia="zh-CN"/>
        </w:rPr>
        <w:t>，</w:t>
      </w:r>
      <w:r>
        <w:rPr>
          <w:rFonts w:hint="eastAsia" w:ascii="仿宋_GB2312" w:hAnsi="仿宋_GB2312" w:eastAsia="仿宋_GB2312" w:cs="仿宋_GB2312"/>
          <w:color w:val="auto"/>
          <w:szCs w:val="21"/>
          <w:highlight w:val="none"/>
        </w:rPr>
        <w:t>估价对象土地所有权为国有，土地使用权性质为</w:t>
      </w:r>
      <w:r>
        <w:rPr>
          <w:rFonts w:hint="eastAsia" w:ascii="仿宋_GB2312" w:hAnsi="仿宋_GB2312" w:eastAsia="仿宋_GB2312" w:cs="仿宋_GB2312"/>
          <w:color w:val="auto"/>
          <w:szCs w:val="21"/>
          <w:highlight w:val="none"/>
          <w:lang w:val="en-US" w:eastAsia="zh-CN"/>
        </w:rPr>
        <w:t>划拨</w:t>
      </w:r>
      <w:r>
        <w:rPr>
          <w:rFonts w:hint="eastAsia" w:ascii="仿宋_GB2312" w:hAnsi="仿宋_GB2312" w:eastAsia="仿宋_GB2312" w:cs="仿宋_GB2312"/>
          <w:color w:val="auto"/>
          <w:szCs w:val="21"/>
          <w:highlight w:val="none"/>
        </w:rPr>
        <w:t>，土地使用者</w:t>
      </w:r>
      <w:r>
        <w:rPr>
          <w:rFonts w:hint="eastAsia" w:ascii="仿宋_GB2312" w:hAnsi="仿宋_GB2312" w:eastAsia="仿宋_GB2312" w:cs="仿宋_GB2312"/>
          <w:color w:val="auto"/>
          <w:szCs w:val="21"/>
          <w:highlight w:val="none"/>
          <w:lang w:val="en-US" w:eastAsia="zh-CN"/>
        </w:rPr>
        <w:t>为王汝冲</w:t>
      </w:r>
      <w:r>
        <w:rPr>
          <w:rFonts w:hint="eastAsia" w:ascii="仿宋_GB2312" w:hAnsi="仿宋_GB2312" w:eastAsia="仿宋_GB2312" w:cs="仿宋_GB2312"/>
          <w:color w:val="auto"/>
          <w:szCs w:val="21"/>
          <w:highlight w:val="none"/>
        </w:rPr>
        <w:t>。根据委托方提供相关资料和估价人员调查结果</w:t>
      </w:r>
      <w:r>
        <w:rPr>
          <w:rFonts w:hint="eastAsia" w:ascii="仿宋_GB2312" w:hAnsi="仿宋_GB2312" w:eastAsia="仿宋_GB2312" w:cs="仿宋_GB2312"/>
          <w:szCs w:val="21"/>
          <w:highlight w:val="none"/>
        </w:rPr>
        <w:t>，截至估价期日估价对象未有抵押权、地役权、租赁权等他项权利登记，本次评估设定估价对象地上无抵押权、地役权、租赁权等他项权利登记；2.基础设施条件：估价对象土地实际开发程度为宗地红线外“</w:t>
      </w:r>
      <w:r>
        <w:rPr>
          <w:rFonts w:hint="eastAsia" w:ascii="仿宋_GB2312" w:hAnsi="仿宋_GB2312" w:eastAsia="仿宋_GB2312" w:cs="仿宋_GB2312"/>
          <w:szCs w:val="21"/>
          <w:highlight w:val="none"/>
          <w:lang w:val="en-US" w:eastAsia="zh-CN"/>
        </w:rPr>
        <w:t>五通</w:t>
      </w:r>
      <w:r>
        <w:rPr>
          <w:rFonts w:hint="eastAsia" w:ascii="仿宋_GB2312" w:hAnsi="仿宋_GB2312" w:eastAsia="仿宋_GB2312" w:cs="仿宋_GB2312"/>
          <w:szCs w:val="21"/>
          <w:highlight w:val="none"/>
        </w:rPr>
        <w:t>”（即通路、通讯</w:t>
      </w:r>
      <w:r>
        <w:rPr>
          <w:rFonts w:hint="eastAsia" w:ascii="仿宋_GB2312" w:hAnsi="仿宋_GB2312" w:eastAsia="仿宋_GB2312" w:cs="仿宋_GB2312"/>
          <w:szCs w:val="21"/>
          <w:highlight w:val="none"/>
          <w:lang w:eastAsia="zh-CN"/>
        </w:rPr>
        <w:t>、</w:t>
      </w:r>
      <w:r>
        <w:rPr>
          <w:rFonts w:hint="eastAsia" w:ascii="仿宋_GB2312" w:hAnsi="仿宋_GB2312" w:eastAsia="仿宋_GB2312" w:cs="仿宋_GB2312"/>
          <w:szCs w:val="21"/>
          <w:highlight w:val="none"/>
          <w:lang w:val="en-US" w:eastAsia="zh-CN"/>
        </w:rPr>
        <w:t>供水、排水</w:t>
      </w:r>
      <w:r>
        <w:rPr>
          <w:rFonts w:hint="eastAsia" w:ascii="仿宋_GB2312" w:hAnsi="仿宋_GB2312" w:eastAsia="仿宋_GB2312" w:cs="仿宋_GB2312"/>
          <w:szCs w:val="21"/>
          <w:highlight w:val="none"/>
        </w:rPr>
        <w:t>、通讯），</w:t>
      </w:r>
      <w:r>
        <w:rPr>
          <w:rFonts w:hint="eastAsia" w:ascii="仿宋_GB2312" w:hAnsi="仿宋_GB2312" w:eastAsia="仿宋_GB2312" w:cs="仿宋_GB2312"/>
          <w:szCs w:val="21"/>
          <w:highlight w:val="none"/>
          <w:lang w:eastAsia="zh-CN"/>
        </w:rPr>
        <w:t>红线内场地平整</w:t>
      </w:r>
      <w:r>
        <w:rPr>
          <w:rFonts w:hint="eastAsia" w:ascii="仿宋_GB2312" w:hAnsi="仿宋_GB2312" w:eastAsia="仿宋_GB2312" w:cs="仿宋_GB2312"/>
          <w:szCs w:val="21"/>
          <w:highlight w:val="none"/>
          <w:lang w:val="en-US" w:eastAsia="zh-CN"/>
        </w:rPr>
        <w:t>无</w:t>
      </w:r>
      <w:r>
        <w:rPr>
          <w:rFonts w:hint="eastAsia" w:ascii="仿宋_GB2312" w:hAnsi="仿宋_GB2312" w:eastAsia="仿宋_GB2312" w:cs="仿宋_GB2312"/>
          <w:szCs w:val="21"/>
          <w:highlight w:val="none"/>
          <w:lang w:eastAsia="zh-CN"/>
        </w:rPr>
        <w:t>建筑物</w:t>
      </w:r>
      <w:r>
        <w:rPr>
          <w:rFonts w:hint="eastAsia" w:ascii="仿宋_GB2312" w:hAnsi="仿宋_GB2312" w:eastAsia="仿宋_GB2312" w:cs="仿宋_GB2312"/>
          <w:szCs w:val="21"/>
          <w:highlight w:val="none"/>
        </w:rPr>
        <w:t>，详见下表。</w:t>
      </w:r>
    </w:p>
    <w:tbl>
      <w:tblPr>
        <w:tblStyle w:val="12"/>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6"/>
        <w:gridCol w:w="2129"/>
        <w:gridCol w:w="2429"/>
        <w:gridCol w:w="1652"/>
        <w:gridCol w:w="2191"/>
        <w:gridCol w:w="3906"/>
      </w:tblGrid>
      <w:tr w14:paraId="6DEB0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655" w:type="pct"/>
            <w:noWrap w:val="0"/>
            <w:vAlign w:val="center"/>
          </w:tcPr>
          <w:p w14:paraId="5FCDCD2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18"/>
                <w:szCs w:val="18"/>
                <w:highlight w:val="none"/>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地面平整状况</w:t>
            </w:r>
          </w:p>
        </w:tc>
        <w:tc>
          <w:tcPr>
            <w:tcW w:w="751" w:type="pct"/>
            <w:noWrap w:val="0"/>
            <w:vAlign w:val="center"/>
          </w:tcPr>
          <w:p w14:paraId="1433140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周围道路状况</w:t>
            </w:r>
          </w:p>
        </w:tc>
        <w:tc>
          <w:tcPr>
            <w:tcW w:w="857" w:type="pct"/>
            <w:noWrap w:val="0"/>
            <w:vAlign w:val="center"/>
          </w:tcPr>
          <w:p w14:paraId="2D81424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供电状况</w:t>
            </w:r>
          </w:p>
        </w:tc>
        <w:tc>
          <w:tcPr>
            <w:tcW w:w="583" w:type="pct"/>
            <w:noWrap w:val="0"/>
            <w:vAlign w:val="center"/>
          </w:tcPr>
          <w:p w14:paraId="775D1B2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供水状况</w:t>
            </w:r>
          </w:p>
        </w:tc>
        <w:tc>
          <w:tcPr>
            <w:tcW w:w="773" w:type="pct"/>
            <w:noWrap w:val="0"/>
            <w:vAlign w:val="center"/>
          </w:tcPr>
          <w:p w14:paraId="313096D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排水状况</w:t>
            </w:r>
          </w:p>
        </w:tc>
        <w:tc>
          <w:tcPr>
            <w:tcW w:w="1378" w:type="pct"/>
            <w:noWrap w:val="0"/>
            <w:vAlign w:val="center"/>
          </w:tcPr>
          <w:p w14:paraId="4C48ADD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状况</w:t>
            </w:r>
          </w:p>
        </w:tc>
      </w:tr>
      <w:tr w14:paraId="5603A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655" w:type="pct"/>
            <w:noWrap w:val="0"/>
            <w:vAlign w:val="center"/>
          </w:tcPr>
          <w:p w14:paraId="2D7B06D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 w:hAnsi="仿宋" w:eastAsia="仿宋" w:cs="仿宋"/>
                <w:snapToGrid w:val="0"/>
                <w:color w:val="auto"/>
                <w:sz w:val="18"/>
                <w:szCs w:val="18"/>
                <w:highlight w:val="none"/>
                <w:lang w:val="en-US" w:eastAsia="zh-CN"/>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51" w:type="pct"/>
            <w:noWrap w:val="0"/>
            <w:vAlign w:val="center"/>
          </w:tcPr>
          <w:p w14:paraId="46628B51">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临文化西路、鹭鸶塘路，沥青路面，通行较顺畅</w:t>
            </w:r>
          </w:p>
        </w:tc>
        <w:tc>
          <w:tcPr>
            <w:tcW w:w="857" w:type="pct"/>
            <w:noWrap w:val="0"/>
            <w:vAlign w:val="center"/>
          </w:tcPr>
          <w:p w14:paraId="6AD27A9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区域内接市政双回路110KV供电管网，供电保证率高</w:t>
            </w:r>
          </w:p>
        </w:tc>
        <w:tc>
          <w:tcPr>
            <w:tcW w:w="583" w:type="pct"/>
            <w:noWrap w:val="0"/>
            <w:vAlign w:val="center"/>
          </w:tcPr>
          <w:p w14:paraId="420A55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773" w:type="pct"/>
            <w:noWrap w:val="0"/>
            <w:vAlign w:val="center"/>
          </w:tcPr>
          <w:p w14:paraId="1D6115C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378" w:type="pct"/>
            <w:noWrap w:val="0"/>
            <w:vAlign w:val="center"/>
          </w:tcPr>
          <w:p w14:paraId="603FB5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3AE5E28C">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szCs w:val="21"/>
          <w:highlight w:val="none"/>
        </w:rPr>
      </w:pPr>
      <w:r>
        <w:rPr>
          <w:rFonts w:hint="eastAsia" w:ascii="仿宋_GB2312" w:hAnsi="仿宋_GB2312" w:eastAsia="仿宋_GB2312" w:cs="仿宋_GB2312"/>
          <w:szCs w:val="21"/>
          <w:highlight w:val="none"/>
        </w:rPr>
        <w:t>3.规划限制条件：根据</w:t>
      </w:r>
      <w:r>
        <w:rPr>
          <w:rFonts w:hint="eastAsia" w:ascii="仿宋_GB2312" w:hAnsi="仿宋_GB2312" w:eastAsia="仿宋_GB2312" w:cs="仿宋_GB2312"/>
          <w:szCs w:val="21"/>
          <w:highlight w:val="none"/>
          <w:lang w:eastAsia="zh-CN"/>
        </w:rPr>
        <w:t>《</w:t>
      </w:r>
      <w:r>
        <w:rPr>
          <w:rFonts w:hint="eastAsia" w:ascii="仿宋_GB2312" w:hAnsi="仿宋_GB2312" w:eastAsia="仿宋_GB2312" w:cs="仿宋_GB2312"/>
          <w:szCs w:val="21"/>
          <w:highlight w:val="none"/>
          <w:lang w:val="en-US" w:eastAsia="zh-CN"/>
        </w:rPr>
        <w:t>评估委托书</w:t>
      </w:r>
      <w:r>
        <w:rPr>
          <w:rFonts w:hint="eastAsia" w:ascii="仿宋_GB2312" w:hAnsi="仿宋_GB2312" w:eastAsia="仿宋_GB2312" w:cs="仿宋_GB2312"/>
          <w:szCs w:val="21"/>
          <w:highlight w:val="none"/>
          <w:lang w:eastAsia="zh-CN"/>
        </w:rPr>
        <w:t>》</w:t>
      </w:r>
      <w:r>
        <w:rPr>
          <w:rFonts w:hint="eastAsia" w:ascii="仿宋_GB2312" w:hAnsi="仿宋_GB2312" w:eastAsia="仿宋_GB2312" w:cs="仿宋_GB2312"/>
          <w:szCs w:val="21"/>
          <w:highlight w:val="none"/>
        </w:rPr>
        <w:t>，估价对象位于</w:t>
      </w:r>
      <w:r>
        <w:rPr>
          <w:rFonts w:hint="eastAsia" w:ascii="仿宋_GB2312" w:hAnsi="仿宋_GB2312" w:eastAsia="仿宋_GB2312" w:cs="仿宋_GB2312"/>
          <w:szCs w:val="21"/>
          <w:highlight w:val="none"/>
          <w:lang w:val="en-US" w:eastAsia="zh-CN"/>
        </w:rPr>
        <w:t>道县月岩西路</w:t>
      </w:r>
      <w:r>
        <w:rPr>
          <w:rFonts w:hint="eastAsia" w:ascii="仿宋_GB2312" w:hAnsi="仿宋_GB2312" w:eastAsia="仿宋_GB2312" w:cs="仿宋_GB2312"/>
          <w:szCs w:val="21"/>
          <w:highlight w:val="none"/>
        </w:rPr>
        <w:t>，用地面积</w:t>
      </w:r>
      <w:r>
        <w:rPr>
          <w:rFonts w:hint="eastAsia" w:ascii="仿宋_GB2312" w:hAnsi="仿宋_GB2312" w:eastAsia="仿宋_GB2312" w:cs="仿宋_GB2312"/>
          <w:szCs w:val="21"/>
          <w:highlight w:val="none"/>
          <w:lang w:val="en-US" w:eastAsia="zh-CN"/>
        </w:rPr>
        <w:t>15.2平方米</w:t>
      </w:r>
      <w:r>
        <w:rPr>
          <w:rFonts w:hint="eastAsia" w:ascii="仿宋_GB2312" w:hAnsi="仿宋_GB2312" w:eastAsia="仿宋_GB2312" w:cs="仿宋_GB2312"/>
          <w:szCs w:val="21"/>
          <w:highlight w:val="none"/>
        </w:rPr>
        <w:t>。4.影响土地价值的其他限定条件：无。</w:t>
      </w:r>
    </w:p>
    <w:p w14:paraId="34AE8249">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szCs w:val="21"/>
          <w:highlight w:val="none"/>
        </w:rPr>
      </w:pPr>
      <w:r>
        <w:rPr>
          <w:rFonts w:hint="eastAsia" w:ascii="仿宋_GB2312" w:hAnsi="仿宋_GB2312" w:eastAsia="仿宋_GB2312" w:cs="仿宋_GB2312"/>
          <w:szCs w:val="21"/>
          <w:highlight w:val="none"/>
        </w:rPr>
        <w:t xml:space="preserve">二、其他需要说明的事项 </w:t>
      </w:r>
    </w:p>
    <w:p w14:paraId="358E896A">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ascii="仿宋_GB2312" w:hAnsi="仿宋_GB2312" w:eastAsia="仿宋_GB2312" w:cs="仿宋_GB2312"/>
          <w:bCs/>
          <w:color w:val="auto"/>
          <w:kern w:val="2"/>
          <w:sz w:val="21"/>
          <w:szCs w:val="21"/>
          <w:highlight w:val="none"/>
          <w:lang w:val="en-GB" w:eastAsia="zh-CN" w:bidi="ar-SA"/>
        </w:rPr>
      </w:pPr>
      <w:r>
        <w:rPr>
          <w:rFonts w:hint="eastAsia" w:ascii="仿宋_GB2312" w:hAnsi="仿宋_GB2312" w:eastAsia="仿宋_GB2312" w:cs="仿宋_GB2312"/>
          <w:bCs/>
          <w:color w:val="auto"/>
          <w:kern w:val="2"/>
          <w:sz w:val="21"/>
          <w:szCs w:val="21"/>
          <w:highlight w:val="none"/>
          <w:lang w:val="en-GB" w:eastAsia="zh-CN" w:bidi="ar-SA"/>
        </w:rPr>
        <w:t>1、评估价格仅为委托方了解土地使用权价值提供客观、公正、合理的价格参考依据。</w:t>
      </w:r>
    </w:p>
    <w:p w14:paraId="328A1E1E">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ascii="仿宋_GB2312" w:hAnsi="仿宋_GB2312" w:eastAsia="仿宋_GB2312" w:cs="仿宋_GB2312"/>
          <w:bCs/>
          <w:color w:val="auto"/>
          <w:kern w:val="2"/>
          <w:sz w:val="21"/>
          <w:szCs w:val="21"/>
          <w:highlight w:val="none"/>
          <w:lang w:val="en-GB" w:eastAsia="zh-CN" w:bidi="ar-SA"/>
        </w:rPr>
      </w:pPr>
      <w:r>
        <w:rPr>
          <w:rFonts w:hint="eastAsia" w:ascii="仿宋_GB2312" w:hAnsi="仿宋_GB2312" w:eastAsia="仿宋_GB2312" w:cs="仿宋_GB2312"/>
          <w:bCs/>
          <w:color w:val="auto"/>
          <w:kern w:val="2"/>
          <w:sz w:val="21"/>
          <w:szCs w:val="21"/>
          <w:highlight w:val="none"/>
          <w:lang w:val="en-GB" w:eastAsia="zh-CN" w:bidi="ar-SA"/>
        </w:rPr>
        <w:t>2、评估结果自报告提交之日起壹年内有效。</w:t>
      </w:r>
    </w:p>
    <w:p w14:paraId="2537357C">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ascii="仿宋_GB2312" w:hAnsi="仿宋_GB2312" w:eastAsia="仿宋_GB2312" w:cs="仿宋_GB2312"/>
          <w:bCs/>
          <w:color w:val="auto"/>
          <w:kern w:val="2"/>
          <w:sz w:val="21"/>
          <w:szCs w:val="21"/>
          <w:highlight w:val="none"/>
          <w:lang w:val="en-GB" w:eastAsia="zh-CN" w:bidi="ar-SA"/>
        </w:rPr>
      </w:pPr>
      <w:r>
        <w:rPr>
          <w:rFonts w:hint="eastAsia" w:ascii="仿宋_GB2312" w:hAnsi="仿宋_GB2312" w:eastAsia="仿宋_GB2312" w:cs="仿宋_GB2312"/>
          <w:bCs/>
          <w:color w:val="auto"/>
          <w:kern w:val="2"/>
          <w:sz w:val="21"/>
          <w:szCs w:val="21"/>
          <w:highlight w:val="none"/>
          <w:lang w:val="en-GB" w:eastAsia="zh-CN" w:bidi="ar-SA"/>
        </w:rPr>
        <w:t>3、此次评估结果是估价对象于估价期日在设定土地用途、设定使用年期、设定容积率、现状利用条件下的土地使用权价格。</w:t>
      </w:r>
    </w:p>
    <w:p w14:paraId="5A0A419F">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default" w:ascii="仿宋_GB2312" w:hAnsi="仿宋_GB2312" w:eastAsia="仿宋_GB2312" w:cs="仿宋_GB2312"/>
          <w:bCs/>
          <w:color w:val="auto"/>
          <w:kern w:val="2"/>
          <w:sz w:val="21"/>
          <w:szCs w:val="21"/>
          <w:highlight w:val="none"/>
          <w:lang w:val="en-US" w:eastAsia="zh-CN" w:bidi="ar-SA"/>
        </w:rPr>
      </w:pPr>
      <w:r>
        <w:rPr>
          <w:rFonts w:hint="eastAsia" w:ascii="仿宋_GB2312" w:hAnsi="仿宋_GB2312" w:eastAsia="仿宋_GB2312" w:cs="仿宋_GB2312"/>
          <w:bCs/>
          <w:color w:val="auto"/>
          <w:kern w:val="2"/>
          <w:sz w:val="21"/>
          <w:szCs w:val="21"/>
          <w:highlight w:val="none"/>
          <w:lang w:val="en-GB" w:eastAsia="zh-CN" w:bidi="ar-SA"/>
        </w:rPr>
        <w:t>4、估价对象土地权属以</w:t>
      </w:r>
      <w:r>
        <w:rPr>
          <w:rFonts w:hint="eastAsia" w:ascii="仿宋_GB2312" w:hAnsi="仿宋_GB2312" w:eastAsia="仿宋_GB2312" w:cs="仿宋_GB2312"/>
          <w:color w:val="auto"/>
          <w:szCs w:val="21"/>
          <w:highlight w:val="none"/>
        </w:rPr>
        <w:t>道县集中化解房地产办证信访突出问题工作领导小组办公室出具的《土地权属及性质证明》（2026年5月19日）</w:t>
      </w:r>
      <w:r>
        <w:rPr>
          <w:rFonts w:hint="eastAsia" w:ascii="仿宋_GB2312" w:hAnsi="仿宋_GB2312" w:eastAsia="仿宋_GB2312" w:cs="仿宋_GB2312"/>
          <w:bCs/>
          <w:color w:val="auto"/>
          <w:kern w:val="2"/>
          <w:sz w:val="21"/>
          <w:szCs w:val="21"/>
          <w:highlight w:val="none"/>
          <w:lang w:val="en-GB" w:eastAsia="zh-CN" w:bidi="ar-SA"/>
        </w:rPr>
        <w:t>为依据，建筑面积</w:t>
      </w:r>
      <w:r>
        <w:rPr>
          <w:rFonts w:hint="eastAsia" w:ascii="仿宋_GB2312" w:hAnsi="仿宋_GB2312" w:eastAsia="仿宋_GB2312" w:cs="仿宋_GB2312"/>
          <w:bCs/>
          <w:color w:val="auto"/>
          <w:kern w:val="2"/>
          <w:sz w:val="21"/>
          <w:szCs w:val="21"/>
          <w:highlight w:val="none"/>
          <w:lang w:val="en-US" w:eastAsia="zh-CN" w:bidi="ar-SA"/>
        </w:rPr>
        <w:t>以</w:t>
      </w:r>
      <w:r>
        <w:rPr>
          <w:rFonts w:hint="eastAsia" w:ascii="仿宋_GB2312" w:hAnsi="仿宋_GB2312" w:eastAsia="仿宋_GB2312" w:cs="仿宋_GB2312"/>
          <w:sz w:val="21"/>
          <w:szCs w:val="21"/>
          <w:highlight w:val="none"/>
          <w:lang w:val="en-US" w:eastAsia="zh-CN"/>
        </w:rPr>
        <w:t>《户室面积对照表》为依据，</w:t>
      </w:r>
      <w:r>
        <w:rPr>
          <w:rFonts w:hint="eastAsia" w:ascii="仿宋_GB2312" w:hAnsi="仿宋_GB2312" w:eastAsia="仿宋_GB2312" w:cs="仿宋_GB2312"/>
          <w:bCs/>
          <w:color w:val="auto"/>
          <w:kern w:val="2"/>
          <w:sz w:val="21"/>
          <w:szCs w:val="21"/>
          <w:highlight w:val="none"/>
          <w:lang w:val="en-US" w:eastAsia="zh-CN" w:bidi="ar-SA"/>
        </w:rPr>
        <w:t>土地使用权面积以</w:t>
      </w:r>
      <w:r>
        <w:rPr>
          <w:rFonts w:hint="eastAsia" w:ascii="仿宋_GB2312" w:hAnsi="仿宋_GB2312" w:eastAsia="仿宋_GB2312" w:cs="仿宋_GB2312"/>
          <w:sz w:val="21"/>
          <w:szCs w:val="21"/>
          <w:highlight w:val="none"/>
          <w:lang w:val="en-US" w:eastAsia="zh-CN"/>
        </w:rPr>
        <w:t>《土地分摊表》和《评估委托书》</w:t>
      </w:r>
      <w:r>
        <w:rPr>
          <w:rFonts w:hint="eastAsia" w:ascii="仿宋_GB2312" w:hAnsi="仿宋_GB2312" w:eastAsia="仿宋_GB2312" w:cs="仿宋_GB2312"/>
          <w:bCs/>
          <w:color w:val="auto"/>
          <w:kern w:val="2"/>
          <w:sz w:val="21"/>
          <w:szCs w:val="21"/>
          <w:highlight w:val="none"/>
          <w:lang w:val="en-GB" w:eastAsia="zh-CN" w:bidi="ar-SA"/>
        </w:rPr>
        <w:t>为依据，确定本次评估面积为</w:t>
      </w:r>
      <w:r>
        <w:rPr>
          <w:rFonts w:hint="eastAsia" w:ascii="仿宋_GB2312" w:hAnsi="仿宋_GB2312" w:eastAsia="仿宋_GB2312" w:cs="仿宋_GB2312"/>
          <w:bCs/>
          <w:color w:val="auto"/>
          <w:kern w:val="2"/>
          <w:sz w:val="21"/>
          <w:szCs w:val="21"/>
          <w:highlight w:val="none"/>
          <w:lang w:val="en-US" w:eastAsia="zh-CN" w:bidi="ar-SA"/>
        </w:rPr>
        <w:t>15.2平方米</w:t>
      </w:r>
      <w:r>
        <w:rPr>
          <w:rFonts w:hint="eastAsia" w:ascii="仿宋_GB2312" w:hAnsi="仿宋_GB2312" w:eastAsia="仿宋_GB2312" w:cs="仿宋_GB2312"/>
          <w:bCs/>
          <w:color w:val="auto"/>
          <w:kern w:val="2"/>
          <w:sz w:val="21"/>
          <w:szCs w:val="21"/>
          <w:highlight w:val="none"/>
          <w:lang w:val="en-GB" w:eastAsia="zh-CN" w:bidi="ar-SA"/>
        </w:rPr>
        <w:t>，最终土地面积以当地自然资源局核定面积为准，若土地面积发生变化，评估结果应做相应调整。</w:t>
      </w:r>
      <w:r>
        <w:rPr>
          <w:rFonts w:hint="eastAsia" w:ascii="仿宋_GB2312" w:hAnsi="仿宋_GB2312" w:eastAsia="仿宋_GB2312" w:cs="仿宋_GB2312"/>
          <w:bCs/>
          <w:color w:val="auto"/>
          <w:kern w:val="2"/>
          <w:sz w:val="21"/>
          <w:szCs w:val="21"/>
          <w:highlight w:val="none"/>
          <w:lang w:val="en-US" w:eastAsia="zh-CN" w:bidi="ar-SA"/>
        </w:rPr>
        <w:t xml:space="preserve">  </w:t>
      </w:r>
    </w:p>
    <w:p w14:paraId="24A972BC">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szCs w:val="21"/>
          <w:highlight w:val="none"/>
        </w:rPr>
      </w:pPr>
      <w:r>
        <w:rPr>
          <w:rFonts w:hint="eastAsia" w:ascii="仿宋_GB2312" w:hAnsi="仿宋_GB2312" w:eastAsia="仿宋_GB2312" w:cs="仿宋_GB2312"/>
          <w:bCs/>
          <w:color w:val="auto"/>
          <w:kern w:val="2"/>
          <w:sz w:val="21"/>
          <w:szCs w:val="21"/>
          <w:highlight w:val="none"/>
          <w:lang w:val="en-GB" w:eastAsia="zh-CN" w:bidi="ar-SA"/>
        </w:rPr>
        <w:t>5、其他特殊说明事项详见本报告第</w:t>
      </w:r>
      <w:r>
        <w:rPr>
          <w:rFonts w:hint="eastAsia" w:ascii="仿宋_GB2312" w:hAnsi="仿宋_GB2312" w:eastAsia="仿宋_GB2312" w:cs="仿宋_GB2312"/>
          <w:bCs/>
          <w:color w:val="auto"/>
          <w:kern w:val="2"/>
          <w:sz w:val="21"/>
          <w:szCs w:val="21"/>
          <w:highlight w:val="none"/>
          <w:lang w:val="en-US" w:eastAsia="zh-CN" w:bidi="ar-SA"/>
        </w:rPr>
        <w:t>一</w:t>
      </w:r>
      <w:r>
        <w:rPr>
          <w:rFonts w:hint="eastAsia" w:ascii="仿宋_GB2312" w:hAnsi="仿宋_GB2312" w:eastAsia="仿宋_GB2312" w:cs="仿宋_GB2312"/>
          <w:bCs/>
          <w:color w:val="auto"/>
          <w:kern w:val="2"/>
          <w:sz w:val="21"/>
          <w:szCs w:val="21"/>
          <w:highlight w:val="none"/>
          <w:lang w:val="en-GB" w:eastAsia="zh-CN" w:bidi="ar-SA"/>
        </w:rPr>
        <w:t>部分第</w:t>
      </w:r>
      <w:r>
        <w:rPr>
          <w:rFonts w:hint="eastAsia" w:ascii="仿宋_GB2312" w:hAnsi="仿宋_GB2312" w:eastAsia="仿宋_GB2312" w:cs="仿宋_GB2312"/>
          <w:bCs/>
          <w:color w:val="auto"/>
          <w:kern w:val="2"/>
          <w:sz w:val="21"/>
          <w:szCs w:val="21"/>
          <w:highlight w:val="none"/>
          <w:lang w:val="en-US" w:eastAsia="zh-CN" w:bidi="ar-SA"/>
        </w:rPr>
        <w:t>十</w:t>
      </w:r>
      <w:r>
        <w:rPr>
          <w:rFonts w:hint="eastAsia" w:ascii="仿宋_GB2312" w:hAnsi="仿宋_GB2312" w:eastAsia="仿宋_GB2312" w:cs="仿宋_GB2312"/>
          <w:bCs/>
          <w:color w:val="auto"/>
          <w:kern w:val="2"/>
          <w:sz w:val="21"/>
          <w:szCs w:val="21"/>
          <w:highlight w:val="none"/>
          <w:lang w:val="en-GB" w:eastAsia="zh-CN" w:bidi="ar-SA"/>
        </w:rPr>
        <w:t>项</w:t>
      </w:r>
      <w:r>
        <w:rPr>
          <w:rFonts w:hint="eastAsia" w:ascii="仿宋_GB2312" w:eastAsia="仿宋_GB2312"/>
          <w:szCs w:val="21"/>
          <w:highlight w:val="none"/>
        </w:rPr>
        <w:t>。</w:t>
      </w:r>
      <w:r>
        <w:rPr>
          <w:rFonts w:hint="eastAsia" w:ascii="仿宋_GB2312" w:hAnsi="仿宋_GB2312" w:eastAsia="仿宋_GB2312" w:cs="仿宋_GB2312"/>
          <w:szCs w:val="21"/>
          <w:highlight w:val="none"/>
        </w:rPr>
        <w:t xml:space="preserve"> </w:t>
      </w:r>
    </w:p>
    <w:p w14:paraId="3BC2BE87">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szCs w:val="21"/>
          <w:highlight w:val="none"/>
          <w:lang w:val="en-US" w:eastAsia="zh-CN"/>
        </w:rPr>
      </w:pPr>
      <w:r>
        <w:rPr>
          <w:rFonts w:hint="eastAsia" w:ascii="仿宋_GB2312" w:hAnsi="仿宋_GB2312" w:eastAsia="仿宋_GB2312" w:cs="仿宋_GB2312"/>
          <w:szCs w:val="21"/>
          <w:highlight w:val="none"/>
          <w:lang w:eastAsia="zh-CN"/>
        </w:rPr>
        <w:t>湖南兆财不动产规划评估有限公司</w:t>
      </w:r>
      <w:r>
        <w:rPr>
          <w:rFonts w:hint="eastAsia" w:ascii="仿宋_GB2312" w:hAnsi="仿宋_GB2312" w:eastAsia="仿宋_GB2312" w:cs="仿宋_GB2312"/>
          <w:szCs w:val="21"/>
          <w:highlight w:val="none"/>
          <w:lang w:val="en-US" w:eastAsia="zh-CN"/>
        </w:rPr>
        <w:t xml:space="preserve">                                                                                                                                                                                                                    </w:t>
      </w:r>
    </w:p>
    <w:p w14:paraId="0A221A1E">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center"/>
        <w:textAlignment w:val="auto"/>
        <w:outlineLvl w:val="9"/>
        <w:rPr>
          <w:rFonts w:hint="eastAsia" w:ascii="仿宋_GB2312" w:hAnsi="仿宋_GB2312" w:eastAsia="仿宋_GB2312" w:cs="仿宋_GB2312"/>
          <w:highlight w:val="none"/>
        </w:rPr>
        <w:sectPr>
          <w:endnotePr>
            <w:numFmt w:val="decimal"/>
          </w:endnotePr>
          <w:pgSz w:w="16838" w:h="11906" w:orient="landscape"/>
          <w:pgMar w:top="1191" w:right="1440" w:bottom="1191" w:left="1440" w:header="624" w:footer="624" w:gutter="0"/>
          <w:pgNumType w:fmt="decimal"/>
          <w:cols w:space="720" w:num="1"/>
          <w:docGrid w:linePitch="312" w:charSpace="0"/>
        </w:sectPr>
      </w:pPr>
      <w:r>
        <w:rPr>
          <w:rFonts w:hint="eastAsia" w:ascii="仿宋_GB2312" w:hAnsi="仿宋_GB2312" w:eastAsia="仿宋_GB2312" w:cs="仿宋_GB2312"/>
          <w:szCs w:val="21"/>
          <w:highlight w:val="none"/>
          <w:lang w:val="en-US" w:eastAsia="zh-CN"/>
        </w:rPr>
        <w:t xml:space="preserve">                                                                                                                  </w:t>
      </w:r>
      <w:r>
        <w:rPr>
          <w:rFonts w:hint="eastAsia" w:ascii="仿宋_GB2312" w:hAnsi="仿宋_GB2312" w:eastAsia="仿宋_GB2312" w:cs="仿宋_GB2312"/>
          <w:szCs w:val="21"/>
          <w:highlight w:val="none"/>
          <w:lang w:eastAsia="zh-CN"/>
        </w:rPr>
        <w:t>202</w:t>
      </w:r>
      <w:r>
        <w:rPr>
          <w:rFonts w:hint="eastAsia" w:ascii="仿宋_GB2312" w:hAnsi="仿宋_GB2312" w:eastAsia="仿宋_GB2312" w:cs="仿宋_GB2312"/>
          <w:szCs w:val="21"/>
          <w:highlight w:val="none"/>
          <w:lang w:val="en-US" w:eastAsia="zh-CN"/>
        </w:rPr>
        <w:t>6</w:t>
      </w:r>
      <w:r>
        <w:rPr>
          <w:rFonts w:hint="eastAsia" w:ascii="仿宋_GB2312" w:hAnsi="仿宋_GB2312" w:eastAsia="仿宋_GB2312" w:cs="仿宋_GB2312"/>
          <w:szCs w:val="21"/>
          <w:highlight w:val="none"/>
          <w:lang w:eastAsia="zh-CN"/>
        </w:rPr>
        <w:t>年</w:t>
      </w:r>
      <w:r>
        <w:rPr>
          <w:rFonts w:hint="eastAsia" w:ascii="仿宋_GB2312" w:hAnsi="仿宋_GB2312" w:eastAsia="仿宋_GB2312" w:cs="仿宋_GB2312"/>
          <w:szCs w:val="21"/>
          <w:highlight w:val="none"/>
          <w:lang w:val="en-US" w:eastAsia="zh-CN"/>
        </w:rPr>
        <w:t>5</w:t>
      </w:r>
      <w:r>
        <w:rPr>
          <w:rFonts w:hint="eastAsia" w:ascii="仿宋_GB2312" w:hAnsi="仿宋_GB2312" w:eastAsia="仿宋_GB2312" w:cs="仿宋_GB2312"/>
          <w:szCs w:val="21"/>
          <w:highlight w:val="none"/>
          <w:lang w:eastAsia="zh-CN"/>
        </w:rPr>
        <w:t>月</w:t>
      </w:r>
      <w:r>
        <w:rPr>
          <w:rFonts w:hint="eastAsia" w:ascii="仿宋_GB2312" w:hAnsi="仿宋_GB2312" w:eastAsia="仿宋_GB2312" w:cs="仿宋_GB2312"/>
          <w:szCs w:val="21"/>
          <w:highlight w:val="none"/>
          <w:lang w:val="en-US" w:eastAsia="zh-CN"/>
        </w:rPr>
        <w:t>20</w:t>
      </w:r>
      <w:r>
        <w:rPr>
          <w:rFonts w:hint="eastAsia" w:ascii="仿宋_GB2312" w:hAnsi="仿宋_GB2312" w:eastAsia="仿宋_GB2312" w:cs="仿宋_GB2312"/>
          <w:szCs w:val="21"/>
          <w:highlight w:val="none"/>
          <w:lang w:eastAsia="zh-CN"/>
        </w:rPr>
        <w:t>日</w:t>
      </w:r>
    </w:p>
    <w:p w14:paraId="0B024E4F">
      <w:pPr>
        <w:pStyle w:val="3"/>
        <w:keepLines w:val="0"/>
        <w:pageBreakBefore w:val="0"/>
        <w:widowControl w:val="0"/>
        <w:kinsoku/>
        <w:wordWrap/>
        <w:overflowPunct/>
        <w:topLinePunct w:val="0"/>
        <w:autoSpaceDE/>
        <w:autoSpaceDN/>
        <w:bidi w:val="0"/>
        <w:spacing w:line="480" w:lineRule="exact"/>
        <w:ind w:left="0" w:right="0" w:firstLine="562" w:firstLineChars="200"/>
        <w:jc w:val="left"/>
        <w:textAlignment w:val="auto"/>
        <w:rPr>
          <w:rFonts w:hint="default" w:ascii="仿宋_GB2312" w:hAnsi="仿宋_GB2312" w:eastAsia="仿宋_GB2312" w:cs="仿宋_GB2312"/>
          <w:b/>
          <w:bCs w:val="0"/>
          <w:color w:val="auto"/>
          <w:kern w:val="2"/>
          <w:sz w:val="28"/>
          <w:szCs w:val="28"/>
          <w:highlight w:val="none"/>
          <w:lang w:val="en-GB" w:eastAsia="zh-CN" w:bidi="ar-SA"/>
        </w:rPr>
      </w:pPr>
      <w:bookmarkStart w:id="18" w:name="_Toc4839"/>
      <w:bookmarkStart w:id="19" w:name="_Toc20425"/>
      <w:r>
        <w:rPr>
          <w:rFonts w:hint="eastAsia" w:ascii="仿宋_GB2312" w:hAnsi="仿宋_GB2312" w:eastAsia="仿宋_GB2312" w:cs="仿宋_GB2312"/>
          <w:b/>
          <w:bCs w:val="0"/>
          <w:color w:val="auto"/>
          <w:kern w:val="2"/>
          <w:sz w:val="28"/>
          <w:szCs w:val="28"/>
          <w:highlight w:val="none"/>
          <w:lang w:val="en-US" w:eastAsia="zh-CN" w:bidi="ar-SA"/>
        </w:rPr>
        <w:t>十</w:t>
      </w:r>
      <w:r>
        <w:rPr>
          <w:rFonts w:hint="default" w:ascii="仿宋_GB2312" w:hAnsi="仿宋_GB2312" w:eastAsia="仿宋_GB2312" w:cs="仿宋_GB2312"/>
          <w:b/>
          <w:bCs w:val="0"/>
          <w:color w:val="auto"/>
          <w:kern w:val="2"/>
          <w:sz w:val="28"/>
          <w:szCs w:val="28"/>
          <w:highlight w:val="none"/>
          <w:lang w:val="en-GB" w:eastAsia="zh-CN" w:bidi="ar-SA"/>
        </w:rPr>
        <w:t>、需要特殊说明的事项</w:t>
      </w:r>
      <w:bookmarkEnd w:id="18"/>
      <w:bookmarkEnd w:id="19"/>
    </w:p>
    <w:p w14:paraId="724E2028">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outlineLvl w:val="2"/>
        <w:rPr>
          <w:rFonts w:hint="default" w:ascii="仿宋_GB2312" w:hAnsi="仿宋_GB2312" w:eastAsia="仿宋_GB2312" w:cs="仿宋_GB2312"/>
          <w:bCs/>
          <w:color w:val="auto"/>
          <w:kern w:val="2"/>
          <w:sz w:val="28"/>
          <w:szCs w:val="28"/>
          <w:highlight w:val="none"/>
          <w:lang w:val="en-GB" w:eastAsia="zh-CN" w:bidi="ar-SA"/>
        </w:rPr>
      </w:pPr>
      <w:bookmarkStart w:id="20" w:name="_Toc19403"/>
      <w:bookmarkStart w:id="21" w:name="_Toc23550"/>
      <w:r>
        <w:rPr>
          <w:rFonts w:hint="default" w:ascii="仿宋_GB2312" w:hAnsi="仿宋_GB2312" w:eastAsia="仿宋_GB2312" w:cs="仿宋_GB2312"/>
          <w:bCs/>
          <w:color w:val="auto"/>
          <w:kern w:val="2"/>
          <w:sz w:val="28"/>
          <w:szCs w:val="28"/>
          <w:highlight w:val="none"/>
          <w:lang w:val="en-GB" w:eastAsia="zh-CN" w:bidi="ar-SA"/>
        </w:rPr>
        <w:t>（一）估价的前提条件和假设条件</w:t>
      </w:r>
    </w:p>
    <w:p w14:paraId="7B468138">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1、前提条件：</w:t>
      </w:r>
    </w:p>
    <w:p w14:paraId="320A57AD">
      <w:pPr>
        <w:pStyle w:val="11"/>
        <w:spacing w:line="480" w:lineRule="exact"/>
        <w:ind w:firstLine="560"/>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（1）本次估价以委托方提供的有关资料为重要依据，包括了</w:t>
      </w:r>
      <w:r>
        <w:rPr>
          <w:rFonts w:hint="eastAsia" w:ascii="仿宋_GB2312" w:hAnsi="仿宋_GB2312" w:cs="仿宋_GB2312"/>
          <w:bCs/>
          <w:color w:val="auto"/>
          <w:kern w:val="2"/>
          <w:sz w:val="28"/>
          <w:szCs w:val="28"/>
          <w:highlight w:val="none"/>
          <w:lang w:val="en-GB" w:eastAsia="zh-CN" w:bidi="ar-SA"/>
        </w:rPr>
        <w:t>估价对象《房屋所有权证》（道房权证字第713000590号）、《户室面积对照表》、《土地分摊表》、《土地权属及性质证明》（2026年5月19日）、《关于县科工局及所属破产企业单位房改房集资房办理不动产登记有关事项的会议纪要》（道科工字〔2020〕114号）、《关于原县皮革厂属县二轻集体企业的说明》（2025年5月6日）</w:t>
      </w:r>
      <w:r>
        <w:rPr>
          <w:rFonts w:hint="default" w:ascii="仿宋_GB2312" w:hAnsi="仿宋_GB2312" w:eastAsia="仿宋_GB2312" w:cs="仿宋_GB2312"/>
          <w:bCs/>
          <w:color w:val="auto"/>
          <w:kern w:val="2"/>
          <w:sz w:val="28"/>
          <w:szCs w:val="28"/>
          <w:highlight w:val="none"/>
          <w:lang w:val="en-GB" w:eastAsia="zh-CN" w:bidi="ar-SA"/>
        </w:rPr>
        <w:t>等，并以这些资料的合法性为前提。</w:t>
      </w:r>
    </w:p>
    <w:p w14:paraId="1DB4A633">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（2）估价对象与其它生产要素相结合，能满足设定土地使用年限内经营管理的正常进行，保证持续发展。</w:t>
      </w:r>
    </w:p>
    <w:p w14:paraId="0E7EF107">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（3）估价期日地产市场为公正、公开、公平的均衡市场。</w:t>
      </w:r>
    </w:p>
    <w:p w14:paraId="17EB4D8F">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（4）任何有关估价对象的运作方式、程序符合国家、地方的有关法律、法规。</w:t>
      </w:r>
    </w:p>
    <w:p w14:paraId="5A7A674C">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（5）估价对象按照设定用途，得到有效合理地利用，并会产生相应的土地收益。</w:t>
      </w:r>
    </w:p>
    <w:p w14:paraId="24826776">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2、假设条件</w:t>
      </w:r>
    </w:p>
    <w:p w14:paraId="418F2F91">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（1）估价期日设定为</w:t>
      </w:r>
      <w:r>
        <w:rPr>
          <w:rFonts w:hint="eastAsia" w:ascii="仿宋_GB2312" w:hAnsi="仿宋_GB2312" w:eastAsia="仿宋_GB2312" w:cs="仿宋_GB2312"/>
          <w:bCs/>
          <w:color w:val="auto"/>
          <w:kern w:val="2"/>
          <w:sz w:val="28"/>
          <w:szCs w:val="28"/>
          <w:highlight w:val="none"/>
          <w:lang w:val="en-GB" w:eastAsia="zh-CN" w:bidi="ar-SA"/>
        </w:rPr>
        <w:t>2026年</w:t>
      </w:r>
      <w:r>
        <w:rPr>
          <w:rFonts w:hint="eastAsia" w:ascii="仿宋_GB2312" w:hAnsi="仿宋_GB2312" w:eastAsia="仿宋_GB2312" w:cs="仿宋_GB2312"/>
          <w:bCs/>
          <w:color w:val="auto"/>
          <w:kern w:val="2"/>
          <w:sz w:val="28"/>
          <w:szCs w:val="28"/>
          <w:highlight w:val="none"/>
          <w:lang w:val="en-US" w:eastAsia="zh-CN" w:bidi="ar-SA"/>
        </w:rPr>
        <w:t>5</w:t>
      </w:r>
      <w:r>
        <w:rPr>
          <w:rFonts w:hint="eastAsia" w:ascii="仿宋_GB2312" w:hAnsi="仿宋_GB2312" w:eastAsia="仿宋_GB2312" w:cs="仿宋_GB2312"/>
          <w:bCs/>
          <w:color w:val="auto"/>
          <w:kern w:val="2"/>
          <w:sz w:val="28"/>
          <w:szCs w:val="28"/>
          <w:highlight w:val="none"/>
          <w:lang w:val="en-GB" w:eastAsia="zh-CN" w:bidi="ar-SA"/>
        </w:rPr>
        <w:t>月</w:t>
      </w:r>
      <w:r>
        <w:rPr>
          <w:rFonts w:hint="eastAsia" w:ascii="仿宋_GB2312" w:hAnsi="仿宋_GB2312" w:eastAsia="仿宋_GB2312" w:cs="仿宋_GB2312"/>
          <w:bCs/>
          <w:color w:val="auto"/>
          <w:kern w:val="2"/>
          <w:sz w:val="28"/>
          <w:szCs w:val="28"/>
          <w:highlight w:val="none"/>
          <w:lang w:val="en-US" w:eastAsia="zh-CN" w:bidi="ar-SA"/>
        </w:rPr>
        <w:t>18</w:t>
      </w:r>
      <w:r>
        <w:rPr>
          <w:rFonts w:hint="eastAsia" w:ascii="仿宋_GB2312" w:hAnsi="仿宋_GB2312" w:eastAsia="仿宋_GB2312" w:cs="仿宋_GB2312"/>
          <w:bCs/>
          <w:color w:val="auto"/>
          <w:kern w:val="2"/>
          <w:sz w:val="28"/>
          <w:szCs w:val="28"/>
          <w:highlight w:val="none"/>
          <w:lang w:val="en-GB" w:eastAsia="zh-CN" w:bidi="ar-SA"/>
        </w:rPr>
        <w:t>日</w:t>
      </w:r>
      <w:r>
        <w:rPr>
          <w:rFonts w:hint="default" w:ascii="仿宋_GB2312" w:hAnsi="仿宋_GB2312" w:eastAsia="仿宋_GB2312" w:cs="仿宋_GB2312"/>
          <w:bCs/>
          <w:color w:val="auto"/>
          <w:kern w:val="2"/>
          <w:sz w:val="28"/>
          <w:szCs w:val="28"/>
          <w:highlight w:val="none"/>
          <w:lang w:val="en-GB" w:eastAsia="zh-CN" w:bidi="ar-SA"/>
        </w:rPr>
        <w:t>。</w:t>
      </w:r>
    </w:p>
    <w:p w14:paraId="31B6369C">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（2）现状利用条件下的出让土地使用权价格的土地用途设定为</w:t>
      </w:r>
      <w:r>
        <w:rPr>
          <w:rFonts w:hint="eastAsia" w:ascii="仿宋_GB2312" w:hAnsi="仿宋_GB2312" w:eastAsia="仿宋_GB2312" w:cs="仿宋_GB2312"/>
          <w:bCs/>
          <w:color w:val="auto"/>
          <w:kern w:val="2"/>
          <w:sz w:val="28"/>
          <w:szCs w:val="28"/>
          <w:highlight w:val="none"/>
          <w:lang w:val="en-GB" w:eastAsia="zh-CN" w:bidi="ar-SA"/>
        </w:rPr>
        <w:t>住宅</w:t>
      </w:r>
      <w:r>
        <w:rPr>
          <w:rFonts w:hint="default" w:ascii="仿宋_GB2312" w:hAnsi="仿宋_GB2312" w:eastAsia="仿宋_GB2312" w:cs="仿宋_GB2312"/>
          <w:bCs/>
          <w:color w:val="auto"/>
          <w:kern w:val="2"/>
          <w:sz w:val="28"/>
          <w:szCs w:val="28"/>
          <w:highlight w:val="none"/>
          <w:lang w:val="en-GB" w:eastAsia="zh-CN" w:bidi="ar-SA"/>
        </w:rPr>
        <w:t>用地。</w:t>
      </w:r>
    </w:p>
    <w:p w14:paraId="567B05F5">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（3）现状利用条件下的出让土地使用权价格的容积率设定为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w:t>
      </w:r>
    </w:p>
    <w:p w14:paraId="09505F69">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（4）估价对象基础设施条件设定为宗地红线外“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通”（通路、通电、供水、排水、通讯）及宗地红线内场地平整。</w:t>
      </w:r>
    </w:p>
    <w:p w14:paraId="7FBC6CC7">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（5）土地使用权类型：</w:t>
      </w:r>
      <w:r>
        <w:rPr>
          <w:rFonts w:hint="eastAsia" w:ascii="仿宋_GB2312" w:hAnsi="仿宋_GB2312" w:eastAsia="仿宋_GB2312" w:cs="仿宋_GB2312"/>
          <w:bCs/>
          <w:color w:val="auto"/>
          <w:kern w:val="2"/>
          <w:sz w:val="28"/>
          <w:szCs w:val="28"/>
          <w:highlight w:val="none"/>
          <w:lang w:val="en-US" w:eastAsia="zh-CN" w:bidi="ar-SA"/>
        </w:rPr>
        <w:t>设定</w:t>
      </w:r>
      <w:r>
        <w:rPr>
          <w:rFonts w:hint="default" w:ascii="仿宋_GB2312" w:hAnsi="仿宋_GB2312" w:eastAsia="仿宋_GB2312" w:cs="仿宋_GB2312"/>
          <w:bCs/>
          <w:color w:val="auto"/>
          <w:kern w:val="2"/>
          <w:sz w:val="28"/>
          <w:szCs w:val="28"/>
          <w:highlight w:val="none"/>
          <w:lang w:val="en-GB" w:eastAsia="zh-CN" w:bidi="ar-SA"/>
        </w:rPr>
        <w:t>土地使用权类型为出让。</w:t>
      </w:r>
    </w:p>
    <w:p w14:paraId="7AFFAB3D">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（6）土地使用权年限</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设定</w:t>
      </w:r>
      <w:r>
        <w:rPr>
          <w:rFonts w:hint="default" w:ascii="仿宋_GB2312" w:hAnsi="仿宋_GB2312" w:eastAsia="仿宋_GB2312" w:cs="仿宋_GB2312"/>
          <w:bCs/>
          <w:color w:val="auto"/>
          <w:kern w:val="2"/>
          <w:sz w:val="28"/>
          <w:szCs w:val="28"/>
          <w:highlight w:val="none"/>
          <w:lang w:val="en-GB" w:eastAsia="zh-CN" w:bidi="ar-SA"/>
        </w:rPr>
        <w:t>土地使用权年限为</w:t>
      </w:r>
      <w:r>
        <w:rPr>
          <w:rFonts w:hint="eastAsia" w:ascii="仿宋_GB2312" w:hAnsi="仿宋_GB2312" w:eastAsia="仿宋_GB2312" w:cs="仿宋_GB2312"/>
          <w:bCs/>
          <w:color w:val="auto"/>
          <w:kern w:val="2"/>
          <w:sz w:val="28"/>
          <w:szCs w:val="28"/>
          <w:highlight w:val="none"/>
          <w:lang w:val="en-US" w:eastAsia="zh-CN" w:bidi="ar-SA"/>
        </w:rPr>
        <w:t>70年</w:t>
      </w:r>
      <w:r>
        <w:rPr>
          <w:rFonts w:hint="default" w:ascii="仿宋_GB2312" w:hAnsi="仿宋_GB2312" w:eastAsia="仿宋_GB2312" w:cs="仿宋_GB2312"/>
          <w:bCs/>
          <w:color w:val="auto"/>
          <w:kern w:val="2"/>
          <w:sz w:val="28"/>
          <w:szCs w:val="28"/>
          <w:highlight w:val="none"/>
          <w:lang w:val="en-GB" w:eastAsia="zh-CN" w:bidi="ar-SA"/>
        </w:rPr>
        <w:t>。</w:t>
      </w:r>
    </w:p>
    <w:p w14:paraId="4BC53428">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outlineLvl w:val="2"/>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（二）估价结果和估价报告的使用</w:t>
      </w:r>
    </w:p>
    <w:p w14:paraId="0E738688">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1、估价报告和估价结果发生效力的法律依据</w:t>
      </w:r>
    </w:p>
    <w:p w14:paraId="73D9F955">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（1）本次估价依据《中华人民共和国资产评估法》及中华人民共和国国家标准《城镇土地估价规程》（GB/T18508-2014）、《国土资源部办公厅关于发布&lt;国有建设用地使用权出让地价评估技术规范</w:t>
      </w:r>
      <w:r>
        <w:rPr>
          <w:rFonts w:hint="default" w:ascii="仿宋_GB2312" w:hAnsi="仿宋_GB2312" w:eastAsia="仿宋_GB2312" w:cs="仿宋_GB2312"/>
          <w:bCs/>
          <w:color w:val="auto"/>
          <w:kern w:val="2"/>
          <w:sz w:val="28"/>
          <w:szCs w:val="28"/>
          <w:highlight w:val="none"/>
          <w:lang w:val="en-US" w:eastAsia="zh-CN" w:bidi="ar-SA"/>
        </w:rPr>
        <w:t>&gt;</w:t>
      </w:r>
      <w:r>
        <w:rPr>
          <w:rFonts w:hint="default" w:ascii="仿宋_GB2312" w:hAnsi="仿宋_GB2312" w:eastAsia="仿宋_GB2312" w:cs="仿宋_GB2312"/>
          <w:bCs/>
          <w:color w:val="auto"/>
          <w:kern w:val="2"/>
          <w:sz w:val="28"/>
          <w:szCs w:val="28"/>
          <w:highlight w:val="none"/>
          <w:lang w:val="en-GB" w:eastAsia="zh-CN" w:bidi="ar-SA"/>
        </w:rPr>
        <w:t>的通知》（国土资厅发[2018]4号）等展开评估工作、撰写本估价报告、形成意见和结论。</w:t>
      </w:r>
    </w:p>
    <w:p w14:paraId="64ADAFB4">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（2）估价报告和估价结果的作用依照《中华人民共和国资产评估法》、《中华人民共和国土地管理法》等所列明法律、法规的有关规定发生法律效力。</w:t>
      </w:r>
    </w:p>
    <w:p w14:paraId="5011B67C">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（3）本报告需在取得电子备案号后，由土地估价师、土地机构法定代表人签名及土地估价机构盖章后方能生效。</w:t>
      </w:r>
    </w:p>
    <w:p w14:paraId="553D955D">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2、估价报告和估价结果使用的方向及限制条件</w:t>
      </w:r>
    </w:p>
    <w:p w14:paraId="2E08D616">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（1）本报告仅为委托方办理土地使用权出让手续提供价格参考，本次评估结果仅用于本次评估目的时才有效，报告使用人或其他第三方因不当引用本评估结果造成的损失，与本评估机构无关。</w:t>
      </w:r>
    </w:p>
    <w:p w14:paraId="43E4915B">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（2）《土地估价报告》和《土地估价技术报告（评估工作底稿）》均提供给委托方使用和土地上级行政主管部门备案审查。</w:t>
      </w:r>
    </w:p>
    <w:p w14:paraId="25F40DC6">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（3）本报告必须完整使用，对仅使用报告中的部分内容所导致的有关损失，估价机构不承担责任。任何单位和个人未经估价机构书面同意，不得以任何形式发表、肢解本报告。</w:t>
      </w:r>
    </w:p>
    <w:p w14:paraId="57DD314B">
      <w:pPr>
        <w:pStyle w:val="25"/>
        <w:keepLines w:val="0"/>
        <w:pageBreakBefore w:val="0"/>
        <w:widowControl w:val="0"/>
        <w:kinsoku/>
        <w:wordWrap/>
        <w:overflowPunct/>
        <w:topLinePunct w:val="0"/>
        <w:autoSpaceDE/>
        <w:autoSpaceDN/>
        <w:bidi w:val="0"/>
        <w:adjustRightInd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3、土地估价结果的有效期</w:t>
      </w:r>
    </w:p>
    <w:p w14:paraId="13C056E5">
      <w:pPr>
        <w:pStyle w:val="25"/>
        <w:keepLines w:val="0"/>
        <w:pageBreakBefore w:val="0"/>
        <w:widowControl w:val="0"/>
        <w:kinsoku/>
        <w:wordWrap/>
        <w:overflowPunct/>
        <w:topLinePunct w:val="0"/>
        <w:autoSpaceDE/>
        <w:autoSpaceDN/>
        <w:bidi w:val="0"/>
        <w:adjustRightInd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本估价报告和估价结果自报告提交之日起壹年内有效。</w:t>
      </w:r>
    </w:p>
    <w:p w14:paraId="5B7BC4F4">
      <w:pPr>
        <w:pStyle w:val="25"/>
        <w:keepLines w:val="0"/>
        <w:pageBreakBefore w:val="0"/>
        <w:widowControl w:val="0"/>
        <w:kinsoku/>
        <w:wordWrap/>
        <w:overflowPunct/>
        <w:topLinePunct w:val="0"/>
        <w:autoSpaceDE/>
        <w:autoSpaceDN/>
        <w:bidi w:val="0"/>
        <w:adjustRightInd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4、估价报告的使用权和解释权</w:t>
      </w:r>
    </w:p>
    <w:p w14:paraId="7CF11032">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本估价报告和估价结果的使用权归委托方所有，湖南</w:t>
      </w:r>
      <w:r>
        <w:rPr>
          <w:rFonts w:hint="eastAsia" w:ascii="仿宋_GB2312" w:hAnsi="仿宋_GB2312" w:eastAsia="仿宋_GB2312" w:cs="仿宋_GB2312"/>
          <w:bCs/>
          <w:color w:val="auto"/>
          <w:kern w:val="2"/>
          <w:sz w:val="28"/>
          <w:szCs w:val="28"/>
          <w:highlight w:val="none"/>
          <w:lang w:val="en-US" w:eastAsia="zh-CN" w:bidi="ar-SA"/>
        </w:rPr>
        <w:t>兆财不动产规划评估有限</w:t>
      </w:r>
      <w:r>
        <w:rPr>
          <w:rFonts w:hint="default" w:ascii="仿宋_GB2312" w:hAnsi="仿宋_GB2312" w:eastAsia="仿宋_GB2312" w:cs="仿宋_GB2312"/>
          <w:bCs/>
          <w:color w:val="auto"/>
          <w:kern w:val="2"/>
          <w:sz w:val="28"/>
          <w:szCs w:val="28"/>
          <w:highlight w:val="none"/>
          <w:lang w:val="en-GB" w:eastAsia="zh-CN" w:bidi="ar-SA"/>
        </w:rPr>
        <w:t>公司对估价结果有解释权。</w:t>
      </w:r>
    </w:p>
    <w:p w14:paraId="164A7E69">
      <w:pPr>
        <w:pStyle w:val="25"/>
        <w:keepLines w:val="0"/>
        <w:pageBreakBefore w:val="0"/>
        <w:widowControl w:val="0"/>
        <w:kinsoku/>
        <w:wordWrap/>
        <w:overflowPunct/>
        <w:topLinePunct w:val="0"/>
        <w:autoSpaceDE/>
        <w:autoSpaceDN/>
        <w:bidi w:val="0"/>
        <w:adjustRightInd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5、违规使用土地估价报告和估价结果的法律责任</w:t>
      </w:r>
    </w:p>
    <w:p w14:paraId="33508467">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违背规定或超越本报告特定目的及限制条件使用本土地估价报告和土地估价结果，土地估价机构不承担任何法律责任。</w:t>
      </w:r>
    </w:p>
    <w:p w14:paraId="20D5E804">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outlineLvl w:val="2"/>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（三）需要特殊说明的事项</w:t>
      </w:r>
    </w:p>
    <w:p w14:paraId="043FB7B8">
      <w:pPr>
        <w:keepLines w:val="0"/>
        <w:pageBreakBefore w:val="0"/>
        <w:widowControl w:val="0"/>
        <w:kinsoku/>
        <w:wordWrap/>
        <w:overflowPunct/>
        <w:topLinePunct w:val="0"/>
        <w:autoSpaceDE/>
        <w:autoSpaceDN/>
        <w:bidi w:val="0"/>
        <w:adjustRightInd w:val="0"/>
        <w:spacing w:line="480" w:lineRule="exact"/>
        <w:ind w:right="0" w:firstLine="560" w:firstLineChars="200"/>
        <w:textAlignment w:val="auto"/>
        <w:rPr>
          <w:rFonts w:hint="eastAsia" w:ascii="仿宋_GB2312" w:hAnsi="仿宋_GB2312" w:eastAsia="仿宋_GB2312" w:cs="仿宋_GB2312"/>
          <w:bCs/>
          <w:color w:val="auto"/>
          <w:kern w:val="2"/>
          <w:sz w:val="28"/>
          <w:szCs w:val="28"/>
          <w:highlight w:val="none"/>
          <w:lang w:val="en-US" w:eastAsia="zh-CN" w:bidi="ar-SA"/>
        </w:rPr>
      </w:pPr>
      <w:r>
        <w:rPr>
          <w:rFonts w:hint="default" w:ascii="仿宋_GB2312" w:hAnsi="仿宋_GB2312" w:eastAsia="仿宋_GB2312" w:cs="仿宋_GB2312"/>
          <w:bCs/>
          <w:color w:val="auto"/>
          <w:kern w:val="2"/>
          <w:sz w:val="28"/>
          <w:szCs w:val="28"/>
          <w:highlight w:val="none"/>
          <w:lang w:val="en-GB" w:eastAsia="zh-CN" w:bidi="ar-SA"/>
        </w:rPr>
        <w:t>1、有关资料来源</w:t>
      </w:r>
      <w:r>
        <w:rPr>
          <w:rFonts w:hint="eastAsia" w:ascii="仿宋_GB2312" w:hAnsi="仿宋_GB2312" w:eastAsia="仿宋_GB2312" w:cs="仿宋_GB2312"/>
          <w:bCs/>
          <w:color w:val="auto"/>
          <w:kern w:val="2"/>
          <w:sz w:val="28"/>
          <w:szCs w:val="28"/>
          <w:highlight w:val="none"/>
          <w:lang w:val="en-US" w:eastAsia="zh-CN" w:bidi="ar-SA"/>
        </w:rPr>
        <w:t>说明</w:t>
      </w:r>
    </w:p>
    <w:p w14:paraId="3D99DE54">
      <w:pPr>
        <w:keepNext w:val="0"/>
        <w:keepLines w:val="0"/>
        <w:pageBreakBefore w:val="0"/>
        <w:widowControl w:val="0"/>
        <w:kinsoku/>
        <w:wordWrap/>
        <w:overflowPunct/>
        <w:topLinePunct w:val="0"/>
        <w:autoSpaceDE/>
        <w:autoSpaceDN/>
        <w:bidi w:val="0"/>
        <w:adjustRightIn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（1）资料来源</w:t>
      </w:r>
    </w:p>
    <w:p w14:paraId="41C51814">
      <w:pPr>
        <w:pStyle w:val="11"/>
        <w:keepNext w:val="0"/>
        <w:keepLines w:val="0"/>
        <w:pageBreakBefore w:val="0"/>
        <w:widowControl w:val="0"/>
        <w:kinsoku/>
        <w:wordWrap/>
        <w:overflowPunct/>
        <w:topLinePunct w:val="0"/>
        <w:autoSpaceDE/>
        <w:autoSpaceDN/>
        <w:bidi w:val="0"/>
        <w:spacing w:line="480" w:lineRule="exact"/>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ja-JP" w:bidi="ar-SA"/>
        </w:rPr>
        <w:t>①</w:t>
      </w:r>
      <w:r>
        <w:rPr>
          <w:rFonts w:hint="default" w:ascii="仿宋_GB2312" w:hAnsi="仿宋_GB2312" w:eastAsia="仿宋_GB2312" w:cs="仿宋_GB2312"/>
          <w:bCs/>
          <w:color w:val="auto"/>
          <w:kern w:val="2"/>
          <w:sz w:val="28"/>
          <w:szCs w:val="28"/>
          <w:highlight w:val="none"/>
          <w:lang w:val="en-GB" w:eastAsia="zh-CN" w:bidi="ar-SA"/>
        </w:rPr>
        <w:t>估价对象的</w:t>
      </w:r>
      <w:r>
        <w:rPr>
          <w:rFonts w:hint="eastAsia" w:ascii="仿宋_GB2312" w:hAnsi="仿宋_GB2312" w:cs="仿宋_GB2312"/>
          <w:bCs/>
          <w:color w:val="auto"/>
          <w:kern w:val="2"/>
          <w:sz w:val="28"/>
          <w:szCs w:val="28"/>
          <w:highlight w:val="none"/>
          <w:lang w:val="en-GB" w:eastAsia="zh-CN" w:bidi="ar-SA"/>
        </w:rPr>
        <w:t>《房屋所有权证》（道房权证字第713000590号）、《户室面积对照表》、《土地分摊表》、《土地权属及性质证明》（2026年5月19日）、《关于县科工局及所属破产企业单位房改房集资房办理不动产登记有关事项的会议纪要》（道科工字〔2020〕114号）、《关于原县皮革厂属县二轻集体企业的说明》（2025年5月6日）</w:t>
      </w:r>
      <w:r>
        <w:rPr>
          <w:rFonts w:hint="default" w:ascii="仿宋_GB2312" w:hAnsi="仿宋_GB2312" w:eastAsia="仿宋_GB2312" w:cs="仿宋_GB2312"/>
          <w:bCs/>
          <w:color w:val="auto"/>
          <w:kern w:val="2"/>
          <w:sz w:val="28"/>
          <w:szCs w:val="28"/>
          <w:highlight w:val="none"/>
          <w:lang w:val="en-GB" w:eastAsia="zh-CN" w:bidi="ar-SA"/>
        </w:rPr>
        <w:t>等资料由委托方提供，现场估价人员已进行核对确认，为保证本报告所使用评估数据的准确性、有效性，委托方需要对所提供资料的真实性负责；估价机构对所收集资料的真实性、准确性负责。</w:t>
      </w:r>
    </w:p>
    <w:p w14:paraId="4A1A3CDE">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②估价对象的区位条件、土地利用现状照片及交易案例的现状条件等估价相关资料由估价人员实地调查取得。</w:t>
      </w:r>
    </w:p>
    <w:p w14:paraId="5821C120">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③区域经济发展状况、统计数据、城市规划资料、基准地价资料等由土地估价师向相关部门收集获取。</w:t>
      </w:r>
    </w:p>
    <w:p w14:paraId="1640B0FA">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④估价中的相关基础资料、地产市场交易案例资料，由</w:t>
      </w:r>
      <w:r>
        <w:rPr>
          <w:rFonts w:hint="eastAsia" w:ascii="仿宋_GB2312" w:hAnsi="仿宋_GB2312" w:eastAsia="仿宋_GB2312" w:cs="仿宋_GB2312"/>
          <w:bCs/>
          <w:color w:val="auto"/>
          <w:kern w:val="2"/>
          <w:sz w:val="28"/>
          <w:szCs w:val="28"/>
          <w:highlight w:val="none"/>
          <w:lang w:val="en-US" w:eastAsia="zh-CN" w:bidi="ar-SA"/>
        </w:rPr>
        <w:t>湖南兆财不动产规划评估有限公司</w:t>
      </w:r>
      <w:r>
        <w:rPr>
          <w:rFonts w:hint="default" w:ascii="仿宋_GB2312" w:hAnsi="仿宋_GB2312" w:eastAsia="仿宋_GB2312" w:cs="仿宋_GB2312"/>
          <w:bCs/>
          <w:color w:val="auto"/>
          <w:kern w:val="2"/>
          <w:sz w:val="28"/>
          <w:szCs w:val="28"/>
          <w:highlight w:val="none"/>
          <w:lang w:val="en-GB" w:eastAsia="zh-CN" w:bidi="ar-SA"/>
        </w:rPr>
        <w:t>的土地估价师通过政府部门相关文件规定、公开媒体、网络平台等多种途径获取。</w:t>
      </w:r>
    </w:p>
    <w:p w14:paraId="2184F06F">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⑤土地估价师结合执业经验，对上述相关评估资料的真实性、合法性、有效性、适用性进行了尽职核实和专业判断。</w:t>
      </w:r>
    </w:p>
    <w:p w14:paraId="2983FF67">
      <w:pPr>
        <w:keepLines w:val="0"/>
        <w:pageBreakBefore w:val="0"/>
        <w:widowControl w:val="0"/>
        <w:kinsoku/>
        <w:wordWrap/>
        <w:overflowPunct/>
        <w:topLinePunct w:val="0"/>
        <w:autoSpaceDE/>
        <w:autoSpaceDN/>
        <w:bidi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（2）估价人员对估价现场勘查仅限于可观察和可接触到的部分，对被遮盖、未暴露以及难以接触部分，因无法调查而不能实地确认，评估以委托方提供的资料和估价人员实地调查掌握的资料为准。</w:t>
      </w:r>
    </w:p>
    <w:p w14:paraId="61325C74">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2、估价中经济技术指标来源</w:t>
      </w:r>
    </w:p>
    <w:p w14:paraId="151BAD58">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（1）估价对象所在整体宗地的土地总面积以</w:t>
      </w:r>
      <w:r>
        <w:rPr>
          <w:rFonts w:hint="eastAsia" w:ascii="仿宋_GB2312" w:hAnsi="仿宋_GB2312" w:eastAsia="仿宋_GB2312" w:cs="仿宋_GB2312"/>
          <w:bCs/>
          <w:color w:val="auto"/>
          <w:kern w:val="2"/>
          <w:sz w:val="28"/>
          <w:szCs w:val="28"/>
          <w:highlight w:val="none"/>
          <w:lang w:val="en-GB" w:eastAsia="zh-CN" w:bidi="ar-SA"/>
        </w:rPr>
        <w:t>《土地分摊表》</w:t>
      </w:r>
      <w:r>
        <w:rPr>
          <w:rFonts w:hint="default" w:ascii="仿宋_GB2312" w:hAnsi="仿宋_GB2312" w:eastAsia="仿宋_GB2312" w:cs="仿宋_GB2312"/>
          <w:bCs/>
          <w:color w:val="auto"/>
          <w:kern w:val="2"/>
          <w:sz w:val="28"/>
          <w:szCs w:val="28"/>
          <w:highlight w:val="none"/>
          <w:lang w:val="en-GB" w:eastAsia="zh-CN" w:bidi="ar-SA"/>
        </w:rPr>
        <w:t>为依据，土地</w:t>
      </w:r>
      <w:r>
        <w:rPr>
          <w:rFonts w:hint="eastAsia" w:ascii="仿宋_GB2312" w:hAnsi="仿宋_GB2312" w:eastAsia="仿宋_GB2312" w:cs="仿宋_GB2312"/>
          <w:bCs/>
          <w:color w:val="auto"/>
          <w:kern w:val="2"/>
          <w:sz w:val="28"/>
          <w:szCs w:val="28"/>
          <w:highlight w:val="none"/>
          <w:lang w:val="en-US" w:eastAsia="zh-CN" w:bidi="ar-SA"/>
        </w:rPr>
        <w:t>分摊</w:t>
      </w:r>
      <w:r>
        <w:rPr>
          <w:rFonts w:hint="default" w:ascii="仿宋_GB2312" w:hAnsi="仿宋_GB2312" w:eastAsia="仿宋_GB2312" w:cs="仿宋_GB2312"/>
          <w:bCs/>
          <w:color w:val="auto"/>
          <w:kern w:val="2"/>
          <w:sz w:val="28"/>
          <w:szCs w:val="28"/>
          <w:highlight w:val="none"/>
          <w:lang w:val="en-GB" w:eastAsia="zh-CN" w:bidi="ar-SA"/>
        </w:rPr>
        <w:t>面积</w:t>
      </w:r>
      <w:r>
        <w:rPr>
          <w:rFonts w:hint="eastAsia" w:ascii="仿宋_GB2312" w:hAnsi="仿宋_GB2312" w:eastAsia="仿宋_GB2312" w:cs="仿宋_GB2312"/>
          <w:bCs/>
          <w:color w:val="auto"/>
          <w:kern w:val="2"/>
          <w:sz w:val="28"/>
          <w:szCs w:val="28"/>
          <w:highlight w:val="none"/>
          <w:lang w:val="en-US" w:eastAsia="zh-CN" w:bidi="ar-SA"/>
        </w:rPr>
        <w:t>15.2平方米，估价对象地上建筑物面积以</w:t>
      </w:r>
      <w:r>
        <w:rPr>
          <w:rFonts w:hint="eastAsia" w:ascii="仿宋_GB2312" w:hAnsi="仿宋_GB2312" w:eastAsia="仿宋_GB2312" w:cs="仿宋_GB2312"/>
          <w:bCs/>
          <w:color w:val="auto"/>
          <w:kern w:val="2"/>
          <w:sz w:val="28"/>
          <w:szCs w:val="28"/>
          <w:highlight w:val="none"/>
          <w:lang w:val="en-GB" w:eastAsia="zh-CN" w:bidi="ar-SA"/>
        </w:rPr>
        <w:t>《户室面积对照表》</w:t>
      </w:r>
      <w:r>
        <w:rPr>
          <w:rFonts w:hint="eastAsia" w:ascii="仿宋_GB2312" w:hAnsi="仿宋_GB2312" w:eastAsia="仿宋_GB2312" w:cs="仿宋_GB2312"/>
          <w:bCs/>
          <w:color w:val="auto"/>
          <w:kern w:val="2"/>
          <w:sz w:val="28"/>
          <w:szCs w:val="28"/>
          <w:highlight w:val="none"/>
          <w:lang w:val="en-US" w:eastAsia="zh-CN" w:bidi="ar-SA"/>
        </w:rPr>
        <w:t>为依据，建筑面积为73.415平方米，则估价对象现状容积率为4.83。</w:t>
      </w:r>
      <w:r>
        <w:rPr>
          <w:rFonts w:hint="default" w:ascii="仿宋_GB2312" w:hAnsi="仿宋_GB2312" w:eastAsia="仿宋_GB2312" w:cs="仿宋_GB2312"/>
          <w:bCs/>
          <w:color w:val="auto"/>
          <w:kern w:val="2"/>
          <w:sz w:val="28"/>
          <w:szCs w:val="28"/>
          <w:highlight w:val="none"/>
          <w:lang w:val="en-GB" w:eastAsia="zh-CN" w:bidi="ar-SA"/>
        </w:rPr>
        <w:t>根据估价目的，本次评估现状利用条件下的出让土地使用权价格容积率设定为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。实际需以当地自然资源部门核定为准。</w:t>
      </w:r>
    </w:p>
    <w:p w14:paraId="19DF72B5">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（2）其他经济技术指标</w:t>
      </w:r>
      <w:r>
        <w:rPr>
          <w:rFonts w:hint="eastAsia" w:ascii="仿宋_GB2312" w:hAnsi="仿宋_GB2312" w:eastAsia="仿宋_GB2312" w:cs="仿宋_GB2312"/>
          <w:bCs/>
          <w:color w:val="auto"/>
          <w:kern w:val="2"/>
          <w:sz w:val="28"/>
          <w:szCs w:val="28"/>
          <w:highlight w:val="none"/>
          <w:lang w:val="en-US" w:eastAsia="zh-CN" w:bidi="ar-SA"/>
        </w:rPr>
        <w:t>结合政府政策文件及</w:t>
      </w:r>
      <w:r>
        <w:rPr>
          <w:rFonts w:hint="default" w:ascii="仿宋_GB2312" w:hAnsi="仿宋_GB2312" w:eastAsia="仿宋_GB2312" w:cs="仿宋_GB2312"/>
          <w:bCs/>
          <w:color w:val="auto"/>
          <w:kern w:val="2"/>
          <w:sz w:val="28"/>
          <w:szCs w:val="28"/>
          <w:highlight w:val="none"/>
          <w:lang w:val="en-GB" w:eastAsia="zh-CN" w:bidi="ar-SA"/>
        </w:rPr>
        <w:t>地方税费文件等资料和市场调查综合确定</w:t>
      </w:r>
    </w:p>
    <w:p w14:paraId="5F3BFC0B">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3、对估价结果和估价工作可能产生影响的变化事项</w:t>
      </w:r>
    </w:p>
    <w:p w14:paraId="1EC647CE">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（1）估价对象的土地面积与现状利用条件以委托方提供的资料为依据，若土地面积和现状利用条件发生变化，评估结果应作相应调整。</w:t>
      </w:r>
    </w:p>
    <w:p w14:paraId="1A9BA537">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本报告估价结果是在满足地价定义所设定条件下的土地使用权价格，若估价对象的土地利用方式、估价期日、土地开发状况、土地使用年限、土地面积等影响地价的因素发生变化，该评估价格应作相应调整。</w:t>
      </w:r>
    </w:p>
    <w:p w14:paraId="47BF185D">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（3）本次评估中关于宗地开发程度的设定</w:t>
      </w:r>
    </w:p>
    <w:p w14:paraId="0379DCD5">
      <w:pPr>
        <w:pStyle w:val="11"/>
        <w:spacing w:line="480" w:lineRule="exact"/>
        <w:ind w:firstLine="560"/>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根据委托方提供的资料及估价人员的现场勘查，估价对象于估价期日实际开发程度为宗地红线内外“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通”（通路、通电、供水、排水、通讯）及宗地红线内场地平整，估价对象所在整体宗地上有一栋</w:t>
      </w:r>
      <w:r>
        <w:rPr>
          <w:rFonts w:hint="eastAsia" w:ascii="仿宋_GB2312" w:hAnsi="仿宋_GB2312" w:cs="仿宋_GB2312"/>
          <w:bCs/>
          <w:color w:val="auto"/>
          <w:kern w:val="2"/>
          <w:sz w:val="28"/>
          <w:szCs w:val="28"/>
          <w:highlight w:val="none"/>
          <w:lang w:val="en-US" w:eastAsia="zh-CN" w:bidi="ar-SA"/>
        </w:rPr>
        <w:t>5层</w:t>
      </w:r>
      <w:r>
        <w:rPr>
          <w:rFonts w:hint="default" w:ascii="仿宋_GB2312" w:hAnsi="仿宋_GB2312" w:eastAsia="仿宋_GB2312" w:cs="仿宋_GB2312"/>
          <w:bCs/>
          <w:color w:val="auto"/>
          <w:kern w:val="2"/>
          <w:sz w:val="28"/>
          <w:szCs w:val="28"/>
          <w:highlight w:val="none"/>
          <w:lang w:val="en-GB" w:eastAsia="zh-CN" w:bidi="ar-SA"/>
        </w:rPr>
        <w:t>混合结构</w:t>
      </w:r>
      <w:r>
        <w:rPr>
          <w:rFonts w:hint="eastAsia" w:ascii="仿宋_GB2312" w:hAnsi="仿宋_GB2312" w:eastAsia="仿宋_GB2312" w:cs="仿宋_GB2312"/>
          <w:bCs/>
          <w:color w:val="auto"/>
          <w:kern w:val="2"/>
          <w:sz w:val="28"/>
          <w:szCs w:val="28"/>
          <w:highlight w:val="none"/>
          <w:lang w:val="en-US" w:eastAsia="zh-CN" w:bidi="ar-SA"/>
        </w:rPr>
        <w:t>建筑物</w:t>
      </w:r>
      <w:r>
        <w:rPr>
          <w:rFonts w:hint="default" w:ascii="仿宋_GB2312" w:hAnsi="仿宋_GB2312" w:eastAsia="仿宋_GB2312" w:cs="仿宋_GB2312"/>
          <w:bCs/>
          <w:color w:val="auto"/>
          <w:kern w:val="2"/>
          <w:sz w:val="28"/>
          <w:szCs w:val="28"/>
          <w:highlight w:val="none"/>
          <w:lang w:val="en-GB" w:eastAsia="zh-CN" w:bidi="ar-SA"/>
        </w:rPr>
        <w:t>。根据估价目的，本次评估是为委托方办理土地使用权出让手续提供参考依据，宗地红线内的其他基础设施费用非出让方付出，不应将其重复计入土地价值，故本次评估设定待估宗地开发程度为宗地红线外“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通”（通路、通电、供水、排水、通讯）及宗地红线内场地平整。</w:t>
      </w:r>
    </w:p>
    <w:p w14:paraId="3919A25C">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4、估价对象的特殊性、估价中未考虑的因素及采取的特殊性处理</w:t>
      </w:r>
    </w:p>
    <w:p w14:paraId="10E1925E">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color w:val="auto"/>
          <w:kern w:val="2"/>
          <w:sz w:val="28"/>
          <w:szCs w:val="28"/>
          <w:highlight w:val="none"/>
          <w:lang w:val="en-GB" w:eastAsia="zh-CN" w:bidi="ar-SA"/>
        </w:rPr>
      </w:pPr>
      <w:r>
        <w:rPr>
          <w:rFonts w:hint="eastAsia" w:ascii="仿宋_GB2312" w:hAnsi="仿宋_GB2312" w:eastAsia="仿宋_GB2312" w:cs="仿宋_GB2312"/>
          <w:bCs/>
          <w:color w:val="auto"/>
          <w:kern w:val="2"/>
          <w:sz w:val="28"/>
          <w:szCs w:val="28"/>
          <w:highlight w:val="none"/>
          <w:lang w:val="en-GB" w:eastAsia="zh-CN" w:bidi="ar-SA"/>
        </w:rPr>
        <w:t>（1）估价对象的特殊性</w:t>
      </w:r>
    </w:p>
    <w:p w14:paraId="7DFC318B">
      <w:pPr>
        <w:pStyle w:val="11"/>
        <w:keepNext w:val="0"/>
        <w:keepLines w:val="0"/>
        <w:pageBreakBefore w:val="0"/>
        <w:widowControl w:val="0"/>
        <w:kinsoku/>
        <w:wordWrap/>
        <w:overflowPunct/>
        <w:topLinePunct w:val="0"/>
        <w:autoSpaceDE/>
        <w:autoSpaceDN/>
        <w:bidi w:val="0"/>
        <w:spacing w:line="480" w:lineRule="exact"/>
        <w:ind w:firstLine="560"/>
        <w:textAlignment w:val="auto"/>
        <w:rPr>
          <w:rFonts w:hint="default" w:ascii="仿宋_GB2312" w:hAnsi="仿宋_GB2312" w:eastAsia="仿宋_GB2312" w:cs="仿宋_GB2312"/>
          <w:bCs/>
          <w:color w:val="auto"/>
          <w:kern w:val="2"/>
          <w:sz w:val="28"/>
          <w:szCs w:val="28"/>
          <w:highlight w:val="none"/>
          <w:lang w:val="en-US" w:eastAsia="zh-CN" w:bidi="ar-SA"/>
        </w:rPr>
      </w:pPr>
      <w:r>
        <w:rPr>
          <w:rFonts w:hint="eastAsia" w:ascii="仿宋_GB2312" w:hAnsi="仿宋_GB2312" w:eastAsia="仿宋_GB2312" w:cs="仿宋_GB2312"/>
          <w:bCs/>
          <w:color w:val="auto"/>
          <w:kern w:val="2"/>
          <w:sz w:val="28"/>
          <w:szCs w:val="28"/>
          <w:highlight w:val="none"/>
          <w:lang w:val="en-US" w:eastAsia="zh-CN" w:bidi="ar-SA"/>
        </w:rPr>
        <w:t>①</w:t>
      </w:r>
      <w:r>
        <w:rPr>
          <w:rFonts w:hint="eastAsia" w:ascii="仿宋_GB2312" w:hAnsi="仿宋_GB2312" w:eastAsia="仿宋_GB2312" w:cs="仿宋_GB2312"/>
          <w:bCs/>
          <w:color w:val="auto"/>
          <w:kern w:val="2"/>
          <w:sz w:val="28"/>
          <w:szCs w:val="28"/>
          <w:highlight w:val="none"/>
          <w:lang w:val="en-GB" w:eastAsia="zh-CN" w:bidi="ar-SA"/>
        </w:rPr>
        <w:t>根据道县集中化解房地产办证信访突出问题工作领导小组办公室</w:t>
      </w:r>
      <w:r>
        <w:rPr>
          <w:rFonts w:hint="eastAsia" w:ascii="仿宋_GB2312" w:hAnsi="仿宋_GB2312" w:cs="仿宋_GB2312"/>
          <w:bCs/>
          <w:color w:val="auto"/>
          <w:kern w:val="2"/>
          <w:sz w:val="28"/>
          <w:szCs w:val="28"/>
          <w:highlight w:val="none"/>
          <w:lang w:val="en-US" w:eastAsia="zh-CN" w:bidi="ar-SA"/>
        </w:rPr>
        <w:t>出具的《土地权属及性质证明》（2026年5月19日），估价对象土地使用者为王汝冲，道县皮革厂工作人员，根据房改房政策于2004年购得位于道州月岩西路皮革厂家属楼3栋4层404住房一套，房产证号：道房权证字第713000590号，房屋登记面积74.55平方米。其房屋分摊土地使用权类型为国有划拨，因历史遗留问题，土地暂未办理土地权属登记，本次评估结合《评估委托书》和《土地权属及性质证明》（2026年5月19日），设定估价对象</w:t>
      </w:r>
      <w:r>
        <w:rPr>
          <w:rFonts w:hint="default" w:ascii="仿宋_GB2312" w:hAnsi="仿宋_GB2312" w:eastAsia="仿宋_GB2312" w:cs="仿宋_GB2312"/>
          <w:bCs/>
          <w:color w:val="auto"/>
          <w:kern w:val="2"/>
          <w:sz w:val="28"/>
          <w:szCs w:val="28"/>
          <w:highlight w:val="none"/>
          <w:lang w:val="en-GB" w:eastAsia="zh-CN" w:bidi="ar-SA"/>
        </w:rPr>
        <w:t>至估价期日</w:t>
      </w:r>
      <w:r>
        <w:rPr>
          <w:rFonts w:hint="eastAsia" w:ascii="仿宋_GB2312" w:hAnsi="仿宋_GB2312" w:cs="仿宋_GB2312"/>
          <w:bCs/>
          <w:color w:val="auto"/>
          <w:kern w:val="2"/>
          <w:sz w:val="28"/>
          <w:szCs w:val="28"/>
          <w:highlight w:val="none"/>
          <w:lang w:val="en-US" w:eastAsia="zh-CN" w:bidi="ar-SA"/>
        </w:rPr>
        <w:t>为国有</w:t>
      </w:r>
      <w:r>
        <w:rPr>
          <w:rFonts w:hint="eastAsia" w:ascii="仿宋_GB2312" w:hAnsi="仿宋_GB2312" w:eastAsia="仿宋_GB2312" w:cs="仿宋_GB2312"/>
          <w:bCs/>
          <w:color w:val="auto"/>
          <w:kern w:val="2"/>
          <w:sz w:val="28"/>
          <w:szCs w:val="28"/>
          <w:highlight w:val="none"/>
          <w:lang w:val="en-GB" w:eastAsia="zh-CN" w:bidi="ar-SA"/>
        </w:rPr>
        <w:t>划拨</w:t>
      </w:r>
      <w:r>
        <w:rPr>
          <w:rFonts w:hint="eastAsia" w:ascii="仿宋_GB2312" w:hAnsi="仿宋_GB2312" w:cs="仿宋_GB2312"/>
          <w:bCs/>
          <w:color w:val="auto"/>
          <w:kern w:val="2"/>
          <w:sz w:val="28"/>
          <w:szCs w:val="28"/>
          <w:highlight w:val="none"/>
          <w:lang w:val="en-US" w:eastAsia="zh-CN" w:bidi="ar-SA"/>
        </w:rPr>
        <w:t>土</w:t>
      </w:r>
      <w:r>
        <w:rPr>
          <w:rFonts w:hint="default" w:ascii="仿宋_GB2312" w:hAnsi="仿宋_GB2312" w:eastAsia="仿宋_GB2312" w:cs="仿宋_GB2312"/>
          <w:bCs/>
          <w:color w:val="auto"/>
          <w:kern w:val="2"/>
          <w:sz w:val="28"/>
          <w:szCs w:val="28"/>
          <w:highlight w:val="none"/>
          <w:lang w:val="en-GB" w:eastAsia="zh-CN" w:bidi="ar-SA"/>
        </w:rPr>
        <w:t>地</w:t>
      </w:r>
      <w:r>
        <w:rPr>
          <w:rFonts w:hint="eastAsia" w:ascii="仿宋_GB2312" w:hAnsi="仿宋_GB2312" w:cs="仿宋_GB2312"/>
          <w:bCs/>
          <w:color w:val="auto"/>
          <w:kern w:val="2"/>
          <w:sz w:val="28"/>
          <w:szCs w:val="28"/>
          <w:highlight w:val="none"/>
          <w:lang w:val="en-GB" w:eastAsia="zh-CN" w:bidi="ar-SA"/>
        </w:rPr>
        <w:t>，</w:t>
      </w:r>
      <w:r>
        <w:rPr>
          <w:rFonts w:hint="eastAsia" w:ascii="仿宋_GB2312" w:hAnsi="仿宋_GB2312" w:cs="仿宋_GB2312"/>
          <w:bCs/>
          <w:color w:val="auto"/>
          <w:kern w:val="2"/>
          <w:sz w:val="28"/>
          <w:szCs w:val="28"/>
          <w:highlight w:val="none"/>
          <w:lang w:val="en-US" w:eastAsia="zh-CN" w:bidi="ar-SA"/>
        </w:rPr>
        <w:t>土地使用权人为王汝冲。</w:t>
      </w:r>
    </w:p>
    <w:p w14:paraId="04DA0843">
      <w:pPr>
        <w:pStyle w:val="11"/>
        <w:keepNext w:val="0"/>
        <w:keepLines w:val="0"/>
        <w:pageBreakBefore w:val="0"/>
        <w:widowControl w:val="0"/>
        <w:kinsoku/>
        <w:wordWrap/>
        <w:overflowPunct/>
        <w:topLinePunct w:val="0"/>
        <w:autoSpaceDE/>
        <w:autoSpaceDN/>
        <w:bidi w:val="0"/>
        <w:spacing w:line="480" w:lineRule="exact"/>
        <w:ind w:firstLine="560"/>
        <w:textAlignment w:val="auto"/>
        <w:rPr>
          <w:rFonts w:hint="eastAsia" w:ascii="仿宋_GB2312" w:hAnsi="仿宋_GB2312" w:eastAsia="仿宋_GB2312" w:cs="仿宋_GB2312"/>
          <w:bCs/>
          <w:color w:val="auto"/>
          <w:kern w:val="2"/>
          <w:sz w:val="28"/>
          <w:szCs w:val="28"/>
          <w:highlight w:val="none"/>
          <w:lang w:val="en-GB" w:eastAsia="zh-CN" w:bidi="ar-SA"/>
        </w:rPr>
      </w:pPr>
      <w:r>
        <w:rPr>
          <w:rFonts w:hint="eastAsia" w:ascii="仿宋_GB2312" w:hAnsi="仿宋_GB2312" w:cs="仿宋_GB2312"/>
          <w:bCs/>
          <w:color w:val="auto"/>
          <w:kern w:val="2"/>
          <w:sz w:val="28"/>
          <w:szCs w:val="28"/>
          <w:highlight w:val="none"/>
          <w:lang w:val="en-US" w:eastAsia="zh-CN" w:bidi="ar-SA"/>
        </w:rPr>
        <w:t>②</w:t>
      </w:r>
      <w:r>
        <w:rPr>
          <w:rFonts w:hint="eastAsia" w:ascii="仿宋_GB2312" w:hAnsi="仿宋_GB2312" w:eastAsia="仿宋_GB2312" w:cs="仿宋_GB2312"/>
          <w:bCs/>
          <w:color w:val="auto"/>
          <w:kern w:val="2"/>
          <w:sz w:val="28"/>
          <w:szCs w:val="28"/>
          <w:highlight w:val="none"/>
          <w:lang w:val="en-GB" w:eastAsia="zh-CN" w:bidi="ar-SA"/>
        </w:rPr>
        <w:t>根据委托方提供的估价对象《房屋所有权证》（道房权证字第713000590号），</w:t>
      </w:r>
      <w:r>
        <w:rPr>
          <w:rFonts w:hint="eastAsia" w:ascii="仿宋_GB2312" w:hAnsi="仿宋_GB2312" w:cs="仿宋_GB2312"/>
          <w:bCs/>
          <w:color w:val="auto"/>
          <w:kern w:val="2"/>
          <w:sz w:val="28"/>
          <w:szCs w:val="28"/>
          <w:highlight w:val="none"/>
          <w:lang w:val="en-US" w:eastAsia="zh-CN" w:bidi="ar-SA"/>
        </w:rPr>
        <w:t>估价对象登记建筑面积为74.55平方米</w:t>
      </w:r>
      <w:r>
        <w:rPr>
          <w:rFonts w:hint="eastAsia" w:ascii="仿宋_GB2312" w:hAnsi="仿宋_GB2312" w:eastAsia="仿宋_GB2312" w:cs="仿宋_GB2312"/>
          <w:bCs/>
          <w:color w:val="auto"/>
          <w:kern w:val="2"/>
          <w:sz w:val="28"/>
          <w:szCs w:val="28"/>
          <w:highlight w:val="none"/>
          <w:lang w:val="en-US" w:eastAsia="zh-CN" w:bidi="ar-SA"/>
        </w:rPr>
        <w:t>，根据</w:t>
      </w:r>
      <w:r>
        <w:rPr>
          <w:rFonts w:hint="eastAsia" w:ascii="仿宋_GB2312" w:hAnsi="仿宋_GB2312" w:cs="仿宋_GB2312"/>
          <w:bCs/>
          <w:color w:val="auto"/>
          <w:kern w:val="2"/>
          <w:sz w:val="28"/>
          <w:szCs w:val="28"/>
          <w:highlight w:val="none"/>
          <w:lang w:val="en-US" w:eastAsia="zh-CN" w:bidi="ar-SA"/>
        </w:rPr>
        <w:t>《不动产测绘报告书》中的《户室面积对照表》，估价对象实测建筑面积73.415平方米，与证载面积不一致，根据《评估委托书》，建筑面积为73.415平方米，估价对象分摊土地面积以《土地分摊表》为依据15.2平方米</w:t>
      </w:r>
      <w:r>
        <w:rPr>
          <w:rFonts w:hint="eastAsia" w:ascii="仿宋_GB2312" w:hAnsi="仿宋_GB2312" w:eastAsia="仿宋_GB2312" w:cs="仿宋_GB2312"/>
          <w:bCs/>
          <w:color w:val="auto"/>
          <w:kern w:val="2"/>
          <w:sz w:val="28"/>
          <w:szCs w:val="28"/>
          <w:highlight w:val="none"/>
          <w:lang w:val="en-GB" w:eastAsia="zh-CN" w:bidi="ar-SA"/>
        </w:rPr>
        <w:t>。</w:t>
      </w:r>
    </w:p>
    <w:p w14:paraId="3DC6A4AB">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color w:val="auto"/>
          <w:kern w:val="2"/>
          <w:sz w:val="28"/>
          <w:szCs w:val="28"/>
          <w:highlight w:val="none"/>
          <w:lang w:val="en-GB" w:eastAsia="zh-CN" w:bidi="ar-SA"/>
        </w:rPr>
      </w:pPr>
      <w:r>
        <w:rPr>
          <w:rFonts w:hint="eastAsia" w:ascii="仿宋_GB2312" w:hAnsi="仿宋_GB2312" w:eastAsia="仿宋_GB2312" w:cs="仿宋_GB2312"/>
          <w:bCs/>
          <w:color w:val="auto"/>
          <w:kern w:val="2"/>
          <w:sz w:val="28"/>
          <w:szCs w:val="28"/>
          <w:highlight w:val="none"/>
          <w:lang w:val="en-GB" w:eastAsia="zh-CN" w:bidi="ar-SA"/>
        </w:rPr>
        <w:t>（2）估价中未考虑的因素</w:t>
      </w:r>
    </w:p>
    <w:p w14:paraId="45BAE90D">
      <w:pPr>
        <w:keepNext w:val="0"/>
        <w:keepLines w:val="0"/>
        <w:pageBreakBefore w:val="0"/>
        <w:widowControl w:val="0"/>
        <w:kinsoku/>
        <w:wordWrap/>
        <w:overflowPunct/>
        <w:topLinePunct w:val="0"/>
        <w:autoSpaceDE/>
        <w:autoSpaceDN/>
        <w:bidi w:val="0"/>
        <w:adjustRightInd w:val="0"/>
        <w:snapToGrid w:val="0"/>
        <w:spacing w:line="480" w:lineRule="atLeas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本次估价结果是反映估价对象在本次估价目的下的公开市场价格水平，估价时没有考虑未来国家宏观经济政策发生变化、市场供应变化、市场结构转变、遇有自然力和其他不可抗力等因素对土地使用权价值的影响，也没有考虑特殊交易方式下的特殊交易价格等对评估价值的影响。当上述条件发生变化时，评估结果应做相应调整。</w:t>
      </w:r>
    </w:p>
    <w:p w14:paraId="3161E12E">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（3）采取的特殊处理方式</w:t>
      </w:r>
    </w:p>
    <w:p w14:paraId="33C08FCB">
      <w:pPr>
        <w:keepNext w:val="0"/>
        <w:keepLines w:val="0"/>
        <w:pageBreakBefore w:val="0"/>
        <w:widowControl w:val="0"/>
        <w:kinsoku/>
        <w:wordWrap/>
        <w:overflowPunct/>
        <w:topLinePunct w:val="0"/>
        <w:autoSpaceDE/>
        <w:autoSpaceDN/>
        <w:bidi w:val="0"/>
        <w:adjustRightInd w:val="0"/>
        <w:snapToGrid w:val="0"/>
        <w:spacing w:line="42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估价对象于估价期日土地使用权类型为划拨，根据《国土资源部办公厅关于发布&lt;国有建设用地使用权出让地价评估技术规范&gt;的通知》（国土资厅发[2018]4号），划拨土地办理协议出让时，不改变土地及建筑物、构筑物现状的，应按本规范评估在现状利用条件下的出让土地使用权正常市场价格，减去划拨土地使用权价格。根据《土地资产评估委托书》和相关部门要求，本次评估仅需评估估价对象于估价日期在现状利用条件下的出让土地使用权价格，为</w:t>
      </w:r>
      <w:r>
        <w:rPr>
          <w:rFonts w:hint="eastAsia" w:ascii="仿宋_GB2312" w:hAnsi="仿宋_GB2312" w:eastAsia="仿宋_GB2312" w:cs="仿宋_GB2312"/>
          <w:bCs/>
          <w:color w:val="auto"/>
          <w:kern w:val="2"/>
          <w:sz w:val="28"/>
          <w:szCs w:val="28"/>
          <w:highlight w:val="none"/>
          <w:lang w:val="en-US" w:eastAsia="zh-CN" w:bidi="ar-SA"/>
        </w:rPr>
        <w:t>道县</w:t>
      </w:r>
      <w:r>
        <w:rPr>
          <w:rFonts w:hint="default" w:ascii="仿宋_GB2312" w:hAnsi="仿宋_GB2312" w:eastAsia="仿宋_GB2312" w:cs="仿宋_GB2312"/>
          <w:bCs/>
          <w:color w:val="auto"/>
          <w:kern w:val="2"/>
          <w:sz w:val="28"/>
          <w:szCs w:val="28"/>
          <w:highlight w:val="none"/>
          <w:lang w:val="en-GB" w:eastAsia="zh-CN" w:bidi="ar-SA"/>
        </w:rPr>
        <w:t>自然资源局办理土地使用权出让手续提供参考，故本报告未对估价对象的划拨土地使用权价格进行评估</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69748AF0">
      <w:pPr>
        <w:rPr>
          <w:rFonts w:hint="default" w:ascii="仿宋_GB2312" w:hAnsi="仿宋_GB2312" w:eastAsia="仿宋_GB2312" w:cs="仿宋_GB2312"/>
          <w:b/>
          <w:bCs w:val="0"/>
          <w:color w:val="auto"/>
          <w:kern w:val="2"/>
          <w:sz w:val="28"/>
          <w:szCs w:val="28"/>
          <w:highlight w:val="none"/>
          <w:lang w:val="en-GB" w:eastAsia="zh-CN" w:bidi="ar-SA"/>
        </w:rPr>
      </w:pPr>
      <w:r>
        <w:rPr>
          <w:rFonts w:hint="default" w:ascii="仿宋_GB2312" w:hAnsi="仿宋_GB2312" w:eastAsia="仿宋_GB2312" w:cs="仿宋_GB2312"/>
          <w:b/>
          <w:bCs w:val="0"/>
          <w:color w:val="auto"/>
          <w:kern w:val="2"/>
          <w:sz w:val="28"/>
          <w:szCs w:val="28"/>
          <w:highlight w:val="none"/>
          <w:lang w:val="en-GB" w:eastAsia="zh-CN" w:bidi="ar-SA"/>
        </w:rPr>
        <w:br w:type="page"/>
      </w:r>
    </w:p>
    <w:p w14:paraId="62EC9FBA">
      <w:pPr>
        <w:ind w:firstLine="562" w:firstLineChars="200"/>
        <w:outlineLvl w:val="1"/>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
          <w:bCs w:val="0"/>
          <w:color w:val="auto"/>
          <w:kern w:val="2"/>
          <w:sz w:val="28"/>
          <w:szCs w:val="28"/>
          <w:highlight w:val="none"/>
          <w:lang w:val="en-GB" w:eastAsia="zh-CN" w:bidi="ar-SA"/>
        </w:rPr>
        <w:t>十一、土地估价师签字</w:t>
      </w:r>
      <w:bookmarkEnd w:id="20"/>
      <w:bookmarkEnd w:id="21"/>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29965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1641" w:type="pct"/>
            <w:tcBorders>
              <w:tl2br w:val="nil"/>
              <w:tr2bl w:val="nil"/>
            </w:tcBorders>
            <w:vAlign w:val="center"/>
          </w:tcPr>
          <w:p w14:paraId="71109A33">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sz w:val="28"/>
                <w:szCs w:val="18"/>
                <w:highlight w:val="none"/>
              </w:rPr>
            </w:pPr>
            <w:r>
              <w:rPr>
                <w:rFonts w:hint="eastAsia" w:ascii="仿宋_GB2312" w:hAnsi="仿宋_GB2312" w:eastAsia="仿宋_GB2312" w:cs="仿宋_GB2312"/>
                <w:sz w:val="28"/>
                <w:szCs w:val="18"/>
                <w:highlight w:val="none"/>
              </w:rPr>
              <w:t>估价师姓名</w:t>
            </w:r>
          </w:p>
        </w:tc>
        <w:tc>
          <w:tcPr>
            <w:tcW w:w="1716" w:type="pct"/>
            <w:tcBorders>
              <w:tl2br w:val="nil"/>
              <w:tr2bl w:val="nil"/>
            </w:tcBorders>
            <w:vAlign w:val="center"/>
          </w:tcPr>
          <w:p w14:paraId="152C4036">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sz w:val="28"/>
                <w:szCs w:val="18"/>
                <w:highlight w:val="none"/>
              </w:rPr>
            </w:pPr>
            <w:r>
              <w:rPr>
                <w:rFonts w:hint="eastAsia" w:ascii="仿宋_GB2312" w:hAnsi="仿宋_GB2312" w:eastAsia="仿宋_GB2312" w:cs="仿宋_GB2312"/>
                <w:sz w:val="28"/>
                <w:szCs w:val="18"/>
                <w:highlight w:val="none"/>
              </w:rPr>
              <w:t>土地估价师资格证号</w:t>
            </w:r>
          </w:p>
        </w:tc>
        <w:tc>
          <w:tcPr>
            <w:tcW w:w="1642" w:type="pct"/>
            <w:tcBorders>
              <w:tl2br w:val="nil"/>
              <w:tr2bl w:val="nil"/>
            </w:tcBorders>
            <w:vAlign w:val="center"/>
          </w:tcPr>
          <w:p w14:paraId="765A3CED">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sz w:val="28"/>
                <w:szCs w:val="18"/>
                <w:highlight w:val="none"/>
              </w:rPr>
            </w:pPr>
            <w:r>
              <w:rPr>
                <w:rFonts w:hint="eastAsia" w:ascii="仿宋_GB2312" w:hAnsi="仿宋_GB2312" w:eastAsia="仿宋_GB2312" w:cs="仿宋_GB2312"/>
                <w:sz w:val="28"/>
                <w:szCs w:val="18"/>
                <w:highlight w:val="none"/>
              </w:rPr>
              <w:t>签    字</w:t>
            </w:r>
          </w:p>
        </w:tc>
      </w:tr>
      <w:tr w14:paraId="6D362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1641" w:type="pct"/>
            <w:tcBorders>
              <w:tl2br w:val="nil"/>
              <w:tr2bl w:val="nil"/>
            </w:tcBorders>
            <w:vAlign w:val="center"/>
          </w:tcPr>
          <w:p w14:paraId="2B36C455">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sz w:val="28"/>
                <w:szCs w:val="18"/>
                <w:highlight w:val="none"/>
                <w:lang w:val="en-US" w:eastAsia="zh-CN"/>
              </w:rPr>
            </w:pPr>
            <w:r>
              <w:rPr>
                <w:rFonts w:hint="eastAsia" w:ascii="仿宋_GB2312" w:hAnsi="仿宋_GB2312" w:eastAsia="仿宋_GB2312" w:cs="仿宋_GB2312"/>
                <w:sz w:val="28"/>
                <w:szCs w:val="18"/>
                <w:highlight w:val="none"/>
                <w:lang w:val="en-US" w:eastAsia="zh-CN"/>
              </w:rPr>
              <w:t>谢良元</w:t>
            </w:r>
          </w:p>
        </w:tc>
        <w:tc>
          <w:tcPr>
            <w:tcW w:w="1716" w:type="pct"/>
            <w:tcBorders>
              <w:tl2br w:val="nil"/>
              <w:tr2bl w:val="nil"/>
            </w:tcBorders>
            <w:vAlign w:val="center"/>
          </w:tcPr>
          <w:p w14:paraId="3A782436">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sz w:val="28"/>
                <w:szCs w:val="18"/>
                <w:highlight w:val="none"/>
                <w:lang w:eastAsia="zh-CN"/>
              </w:rPr>
            </w:pPr>
            <w:r>
              <w:rPr>
                <w:rFonts w:hint="eastAsia" w:ascii="仿宋_GB2312" w:hAnsi="仿宋_GB2312" w:eastAsia="仿宋_GB2312" w:cs="仿宋_GB2312"/>
                <w:sz w:val="28"/>
                <w:szCs w:val="18"/>
                <w:highlight w:val="none"/>
                <w:lang w:val="en-US" w:eastAsia="zh-CN"/>
              </w:rPr>
              <w:t>2019430003</w:t>
            </w:r>
          </w:p>
        </w:tc>
        <w:tc>
          <w:tcPr>
            <w:tcW w:w="1642" w:type="pct"/>
            <w:tcBorders>
              <w:tl2br w:val="nil"/>
              <w:tr2bl w:val="nil"/>
            </w:tcBorders>
          </w:tcPr>
          <w:p w14:paraId="5F8335E7">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sz w:val="28"/>
                <w:szCs w:val="18"/>
                <w:highlight w:val="none"/>
              </w:rPr>
            </w:pPr>
          </w:p>
        </w:tc>
      </w:tr>
      <w:tr w14:paraId="58152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1641" w:type="pct"/>
            <w:tcBorders>
              <w:tl2br w:val="nil"/>
              <w:tr2bl w:val="nil"/>
            </w:tcBorders>
            <w:vAlign w:val="center"/>
          </w:tcPr>
          <w:p w14:paraId="6B4F9B57">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sz w:val="28"/>
                <w:szCs w:val="18"/>
                <w:highlight w:val="none"/>
                <w:lang w:val="en-US" w:eastAsia="zh-CN"/>
              </w:rPr>
            </w:pPr>
            <w:r>
              <w:rPr>
                <w:rFonts w:hint="eastAsia" w:ascii="仿宋_GB2312" w:hAnsi="仿宋_GB2312" w:eastAsia="仿宋_GB2312" w:cs="仿宋_GB2312"/>
                <w:sz w:val="28"/>
                <w:szCs w:val="18"/>
                <w:highlight w:val="none"/>
                <w:lang w:val="en-US" w:eastAsia="zh-CN"/>
              </w:rPr>
              <w:t>彭翀</w:t>
            </w:r>
          </w:p>
        </w:tc>
        <w:tc>
          <w:tcPr>
            <w:tcW w:w="1716" w:type="pct"/>
            <w:tcBorders>
              <w:tl2br w:val="nil"/>
              <w:tr2bl w:val="nil"/>
            </w:tcBorders>
            <w:vAlign w:val="center"/>
          </w:tcPr>
          <w:p w14:paraId="75570887">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sz w:val="28"/>
                <w:szCs w:val="18"/>
                <w:highlight w:val="none"/>
                <w:lang w:eastAsia="zh-CN"/>
              </w:rPr>
            </w:pPr>
            <w:r>
              <w:rPr>
                <w:rFonts w:hint="eastAsia" w:ascii="仿宋_GB2312" w:hAnsi="仿宋_GB2312" w:eastAsia="仿宋_GB2312" w:cs="仿宋_GB2312"/>
                <w:sz w:val="28"/>
                <w:szCs w:val="18"/>
                <w:highlight w:val="none"/>
                <w:lang w:val="en-US" w:eastAsia="zh-CN"/>
              </w:rPr>
              <w:t>2004450008</w:t>
            </w:r>
          </w:p>
        </w:tc>
        <w:tc>
          <w:tcPr>
            <w:tcW w:w="1642" w:type="pct"/>
            <w:tcBorders>
              <w:tl2br w:val="nil"/>
              <w:tr2bl w:val="nil"/>
            </w:tcBorders>
          </w:tcPr>
          <w:p w14:paraId="1D92584B">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sz w:val="28"/>
                <w:szCs w:val="18"/>
                <w:highlight w:val="none"/>
              </w:rPr>
            </w:pPr>
          </w:p>
        </w:tc>
      </w:tr>
    </w:tbl>
    <w:p w14:paraId="0FB7E2C3">
      <w:pPr>
        <w:keepLines w:val="0"/>
        <w:pageBreakBefore w:val="0"/>
        <w:widowControl w:val="0"/>
        <w:kinsoku/>
        <w:wordWrap/>
        <w:overflowPunct/>
        <w:topLinePunct w:val="0"/>
        <w:autoSpaceDE/>
        <w:autoSpaceDN/>
        <w:bidi w:val="0"/>
        <w:spacing w:line="480" w:lineRule="exact"/>
        <w:ind w:right="0" w:firstLine="562" w:firstLineChars="200"/>
        <w:textAlignment w:val="auto"/>
        <w:outlineLvl w:val="1"/>
        <w:rPr>
          <w:rFonts w:hint="default" w:ascii="仿宋_GB2312" w:hAnsi="仿宋_GB2312" w:eastAsia="仿宋_GB2312" w:cs="仿宋_GB2312"/>
          <w:bCs/>
          <w:color w:val="auto"/>
          <w:kern w:val="2"/>
          <w:sz w:val="28"/>
          <w:szCs w:val="28"/>
          <w:highlight w:val="none"/>
          <w:lang w:val="en-GB" w:eastAsia="zh-CN" w:bidi="ar-SA"/>
        </w:rPr>
      </w:pPr>
      <w:bookmarkStart w:id="22" w:name="_Toc5315"/>
      <w:bookmarkStart w:id="23" w:name="_Toc9299"/>
      <w:r>
        <w:rPr>
          <w:rFonts w:hint="default" w:ascii="仿宋_GB2312" w:hAnsi="仿宋_GB2312" w:eastAsia="仿宋_GB2312" w:cs="仿宋_GB2312"/>
          <w:b/>
          <w:bCs w:val="0"/>
          <w:color w:val="auto"/>
          <w:kern w:val="2"/>
          <w:sz w:val="28"/>
          <w:szCs w:val="28"/>
          <w:highlight w:val="none"/>
          <w:lang w:val="en-GB" w:eastAsia="zh-CN" w:bidi="ar-SA"/>
        </w:rPr>
        <w:t>十二、土地估价机构</w:t>
      </w:r>
      <w:bookmarkEnd w:id="22"/>
      <w:bookmarkEnd w:id="23"/>
      <w:r>
        <w:rPr>
          <w:rFonts w:hint="default" w:ascii="仿宋_GB2312" w:hAnsi="仿宋_GB2312" w:eastAsia="仿宋_GB2312" w:cs="仿宋_GB2312"/>
          <w:bCs/>
          <w:color w:val="auto"/>
          <w:kern w:val="2"/>
          <w:sz w:val="28"/>
          <w:szCs w:val="28"/>
          <w:highlight w:val="none"/>
          <w:lang w:val="en-GB" w:eastAsia="zh-CN" w:bidi="ar-SA"/>
        </w:rPr>
        <w:t xml:space="preserve">                </w:t>
      </w:r>
    </w:p>
    <w:p w14:paraId="086F5309">
      <w:pPr>
        <w:keepLines w:val="0"/>
        <w:pageBreakBefore w:val="0"/>
        <w:widowControl w:val="0"/>
        <w:kinsoku/>
        <w:wordWrap/>
        <w:overflowPunct/>
        <w:topLinePunct w:val="0"/>
        <w:autoSpaceDE/>
        <w:autoSpaceDN/>
        <w:bidi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 xml:space="preserve"> 估价机构法定代表人签字：</w:t>
      </w:r>
    </w:p>
    <w:p w14:paraId="56F9AF5E">
      <w:pPr>
        <w:keepLines w:val="0"/>
        <w:pageBreakBefore w:val="0"/>
        <w:widowControl w:val="0"/>
        <w:kinsoku/>
        <w:wordWrap/>
        <w:overflowPunct/>
        <w:topLinePunct w:val="0"/>
        <w:autoSpaceDE/>
        <w:autoSpaceDN/>
        <w:bidi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p>
    <w:p w14:paraId="56FE67B4">
      <w:pPr>
        <w:pStyle w:val="11"/>
        <w:rPr>
          <w:rFonts w:hint="default"/>
          <w:highlight w:val="none"/>
          <w:lang w:val="en-GB" w:eastAsia="zh-CN"/>
        </w:rPr>
      </w:pPr>
    </w:p>
    <w:p w14:paraId="305A06C9">
      <w:pPr>
        <w:keepNext w:val="0"/>
        <w:keepLines w:val="0"/>
        <w:pageBreakBefore w:val="0"/>
        <w:widowControl w:val="0"/>
        <w:kinsoku/>
        <w:wordWrap/>
        <w:overflowPunct/>
        <w:topLinePunct w:val="0"/>
        <w:autoSpaceDE/>
        <w:autoSpaceDN/>
        <w:bidi w:val="0"/>
        <w:adjustRightInd/>
        <w:snapToGrid/>
        <w:spacing w:line="480" w:lineRule="exact"/>
        <w:ind w:right="0"/>
        <w:jc w:val="right"/>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湖南</w:t>
      </w:r>
      <w:r>
        <w:rPr>
          <w:rFonts w:hint="eastAsia" w:ascii="仿宋_GB2312" w:hAnsi="仿宋_GB2312" w:eastAsia="仿宋_GB2312" w:cs="仿宋_GB2312"/>
          <w:bCs/>
          <w:color w:val="auto"/>
          <w:kern w:val="2"/>
          <w:sz w:val="28"/>
          <w:szCs w:val="28"/>
          <w:highlight w:val="none"/>
          <w:lang w:val="en-US" w:eastAsia="zh-CN" w:bidi="ar-SA"/>
        </w:rPr>
        <w:t>兆财不动产规划评估有限</w:t>
      </w:r>
      <w:r>
        <w:rPr>
          <w:rFonts w:hint="default" w:ascii="仿宋_GB2312" w:hAnsi="仿宋_GB2312" w:eastAsia="仿宋_GB2312" w:cs="仿宋_GB2312"/>
          <w:bCs/>
          <w:color w:val="auto"/>
          <w:kern w:val="2"/>
          <w:sz w:val="28"/>
          <w:szCs w:val="28"/>
          <w:highlight w:val="none"/>
          <w:lang w:val="en-GB" w:eastAsia="zh-CN" w:bidi="ar-SA"/>
        </w:rPr>
        <w:t>公司</w:t>
      </w:r>
    </w:p>
    <w:p w14:paraId="6C36FAFD">
      <w:pPr>
        <w:keepNext w:val="0"/>
        <w:keepLines w:val="0"/>
        <w:pageBreakBefore w:val="0"/>
        <w:widowControl w:val="0"/>
        <w:kinsoku/>
        <w:wordWrap/>
        <w:overflowPunct/>
        <w:topLinePunct w:val="0"/>
        <w:autoSpaceDE/>
        <w:autoSpaceDN/>
        <w:bidi w:val="0"/>
        <w:adjustRightInd/>
        <w:snapToGrid/>
        <w:spacing w:line="480" w:lineRule="exact"/>
        <w:jc w:val="right"/>
        <w:textAlignment w:val="auto"/>
        <w:rPr>
          <w:rFonts w:hint="default" w:ascii="仿宋_GB2312" w:hAnsi="仿宋_GB2312" w:eastAsia="仿宋_GB2312" w:cs="仿宋_GB2312"/>
          <w:bCs/>
          <w:color w:val="auto"/>
          <w:kern w:val="2"/>
          <w:sz w:val="28"/>
          <w:szCs w:val="28"/>
          <w:highlight w:val="none"/>
          <w:lang w:val="en-GB" w:eastAsia="zh-CN" w:bidi="ar-SA"/>
        </w:rPr>
      </w:pPr>
      <w:r>
        <w:rPr>
          <w:rFonts w:hint="eastAsia" w:ascii="仿宋_GB2312" w:hAnsi="仿宋_GB2312" w:eastAsia="仿宋_GB2312" w:cs="仿宋_GB2312"/>
          <w:bCs/>
          <w:color w:val="auto"/>
          <w:kern w:val="2"/>
          <w:sz w:val="28"/>
          <w:szCs w:val="28"/>
          <w:highlight w:val="none"/>
          <w:lang w:val="en-US" w:eastAsia="zh-CN" w:bidi="ar-SA"/>
        </w:rPr>
        <w:t>二〇二六年五月二十日</w:t>
      </w:r>
    </w:p>
    <w:p w14:paraId="44068CE2">
      <w:pPr>
        <w:pStyle w:val="2"/>
        <w:ind w:firstLine="0"/>
        <w:jc w:val="center"/>
        <w:rPr>
          <w:rFonts w:hint="default" w:ascii="Times New Roman" w:hAnsi="Times New Roman" w:eastAsia="仿宋" w:cs="Times New Roman"/>
          <w:sz w:val="28"/>
          <w:szCs w:val="28"/>
          <w:highlight w:val="none"/>
        </w:rPr>
      </w:pPr>
      <w:r>
        <w:rPr>
          <w:rFonts w:hint="default" w:ascii="Times New Roman" w:hAnsi="Times New Roman" w:eastAsia="仿宋_GB2312" w:cs="Times New Roman"/>
          <w:color w:val="FF0000"/>
          <w:szCs w:val="28"/>
          <w:highlight w:val="none"/>
        </w:rPr>
        <w:br w:type="page"/>
      </w:r>
      <w:r>
        <w:rPr>
          <w:rFonts w:hint="eastAsia" w:asciiTheme="majorEastAsia" w:hAnsiTheme="majorEastAsia" w:eastAsiaTheme="majorEastAsia" w:cstheme="majorEastAsia"/>
          <w:b/>
          <w:bCs/>
          <w:sz w:val="32"/>
          <w:highlight w:val="none"/>
        </w:rPr>
        <w:t>第二部分  估价对象描述及地价影响因素分析</w:t>
      </w:r>
    </w:p>
    <w:p w14:paraId="5DC51525">
      <w:pPr>
        <w:pStyle w:val="3"/>
        <w:keepLines w:val="0"/>
        <w:pageBreakBefore w:val="0"/>
        <w:widowControl w:val="0"/>
        <w:kinsoku/>
        <w:wordWrap/>
        <w:overflowPunct/>
        <w:topLinePunct w:val="0"/>
        <w:autoSpaceDE/>
        <w:autoSpaceDN/>
        <w:bidi w:val="0"/>
        <w:adjustRightInd w:val="0"/>
        <w:snapToGrid w:val="0"/>
        <w:spacing w:line="480" w:lineRule="exact"/>
        <w:ind w:left="0" w:firstLine="0"/>
        <w:jc w:val="left"/>
        <w:textAlignment w:val="auto"/>
        <w:rPr>
          <w:rFonts w:hint="eastAsia" w:ascii="仿宋" w:hAnsi="仿宋" w:eastAsia="仿宋" w:cs="仿宋"/>
          <w:b/>
          <w:bCs w:val="0"/>
          <w:sz w:val="28"/>
          <w:szCs w:val="28"/>
          <w:highlight w:val="none"/>
        </w:rPr>
      </w:pPr>
      <w:r>
        <w:rPr>
          <w:rFonts w:hint="eastAsia" w:ascii="仿宋" w:hAnsi="仿宋" w:eastAsia="仿宋" w:cs="仿宋"/>
          <w:b/>
          <w:bCs w:val="0"/>
          <w:sz w:val="28"/>
          <w:szCs w:val="28"/>
          <w:highlight w:val="none"/>
        </w:rPr>
        <w:t>一、估价对象描述</w:t>
      </w:r>
    </w:p>
    <w:p w14:paraId="7FFDBF2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（一）土地登记状况</w:t>
      </w:r>
    </w:p>
    <w:p w14:paraId="2EC8EE1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土地权利类型：国有建设用地土地使用权；</w:t>
      </w:r>
    </w:p>
    <w:p w14:paraId="488A440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.土地权利性质：国有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划拨</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用地，现拟办理出让手续；</w:t>
      </w:r>
    </w:p>
    <w:p w14:paraId="051BABA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屋所有权证》（道房权证字第713000590号），估价对象位于道县月岩西路，根据《评估委托书》、《户室面积对照表》和《土地分摊表》，估价对象位于皮革厂家属楼3栋4层404房，建筑面积73.415平方米，分摊土地使用权面积15.2平方米，</w:t>
      </w:r>
      <w:r>
        <w:rPr>
          <w:rFonts w:hint="default" w:ascii="仿宋_GB2312" w:hAnsi="仿宋_GB2312" w:eastAsia="仿宋_GB2312" w:cs="仿宋_GB2312"/>
          <w:bCs/>
          <w:color w:val="auto"/>
          <w:kern w:val="2"/>
          <w:sz w:val="28"/>
          <w:szCs w:val="28"/>
          <w:highlight w:val="none"/>
          <w:lang w:val="en-GB" w:eastAsia="zh-CN" w:bidi="ar-SA"/>
        </w:rPr>
        <w:t>委托方拟按现状利用条件为其办理土地使用权出让手续。</w:t>
      </w:r>
      <w:r>
        <w:rPr>
          <w:rFonts w:hint="eastAsia" w:ascii="仿宋_GB2312" w:hAnsi="仿宋_GB2312" w:eastAsia="仿宋_GB2312" w:cs="仿宋_GB2312"/>
          <w:bCs/>
          <w:color w:val="auto"/>
          <w:kern w:val="2"/>
          <w:sz w:val="28"/>
          <w:szCs w:val="28"/>
          <w:highlight w:val="none"/>
          <w:lang w:val="en-US" w:eastAsia="zh-CN" w:bidi="ar-SA"/>
        </w:rPr>
        <w:t>根据道县集中化解房地产办证信访突出问题工作领导小组办公室出具的《土地权属及性质证明》（2026年5月19日），估价对象土地使用者为王汝冲，道县皮革厂工作人员，根据房改房政策于2004年购得位于道州月岩西路皮革厂家属楼3栋4层404住房一套，房产证号：道房权证字第713000590号，房屋登记面积74.55平方米。其房屋分摊土地使用权类型为国有划拨，因历史遗留问题，土地暂未办理土地权属登记。</w:t>
      </w:r>
    </w:p>
    <w:p w14:paraId="6D70150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.地理位置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及坐落</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道县月岩西路；</w:t>
      </w:r>
    </w:p>
    <w:p w14:paraId="486155F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.土地用途：根据《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评估委托书</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7B54F8C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.宗地四至：北临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建筑</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，南临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建筑</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，西临建筑，东临建筑；</w:t>
      </w:r>
    </w:p>
    <w:p w14:paraId="3576A94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.使用权面积：根据《土地分摊表》，宗地面积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15.2平方米</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62CB835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eastAsia="仿宋_GB2312"/>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lang w:val="en-US" w:eastAsia="zh-CN"/>
          <w14:textFill>
            <w14:solidFill>
              <w14:schemeClr w14:val="tx1"/>
            </w14:solidFill>
          </w14:textFill>
        </w:rPr>
        <w:t>8</w:t>
      </w:r>
      <w:r>
        <w:rPr>
          <w:rFonts w:hint="eastAsia" w:ascii="仿宋_GB2312" w:eastAsia="仿宋_GB2312"/>
          <w:color w:val="000000" w:themeColor="text1"/>
          <w:sz w:val="28"/>
          <w:highlight w:val="none"/>
          <w14:textFill>
            <w14:solidFill>
              <w14:schemeClr w14:val="tx1"/>
            </w14:solidFill>
          </w14:textFill>
        </w:rPr>
        <w:t>.土地级别：道县城镇基准地价的颁布实施时间为2019年11月22日，批准文号为道政函〔2019〕85号,文件名称为《关于更新城区基准地价和制订11个建制镇基准地价的通告》（道政函〔2019〕85号，2019年11月22日），批准机关为道县人民政府，估价期日为2019年5月1日，距估价期日超过六年</w:t>
      </w:r>
      <w:r>
        <w:rPr>
          <w:rFonts w:hint="eastAsia" w:ascii="仿宋_GB2312" w:eastAsia="仿宋_GB2312"/>
          <w:color w:val="000000" w:themeColor="text1"/>
          <w:sz w:val="28"/>
          <w:highlight w:val="none"/>
          <w:lang w:eastAsia="zh-CN"/>
          <w14:textFill>
            <w14:solidFill>
              <w14:schemeClr w14:val="tx1"/>
            </w14:solidFill>
          </w14:textFill>
        </w:rPr>
        <w:t>，</w:t>
      </w:r>
      <w:r>
        <w:rPr>
          <w:rFonts w:hint="eastAsia" w:ascii="仿宋_GB2312" w:eastAsia="仿宋_GB2312"/>
          <w:color w:val="000000" w:themeColor="text1"/>
          <w:sz w:val="28"/>
          <w:highlight w:val="none"/>
          <w:lang w:val="en-US" w:eastAsia="zh-CN"/>
          <w14:textFill>
            <w14:solidFill>
              <w14:schemeClr w14:val="tx1"/>
            </w14:solidFill>
          </w14:textFill>
        </w:rPr>
        <w:t>故暂无土地级别信息</w:t>
      </w:r>
      <w:r>
        <w:rPr>
          <w:rFonts w:hint="eastAsia" w:ascii="仿宋_GB2312" w:eastAsia="仿宋_GB2312"/>
          <w:color w:val="000000" w:themeColor="text1"/>
          <w:sz w:val="28"/>
          <w:highlight w:val="none"/>
          <w14:textFill>
            <w14:solidFill>
              <w14:schemeClr w14:val="tx1"/>
            </w14:solidFill>
          </w14:textFill>
        </w:rPr>
        <w:t>；</w:t>
      </w:r>
    </w:p>
    <w:p w14:paraId="135C2ED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9.土地使用年限：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w:t>
      </w:r>
      <w:r>
        <w:rPr>
          <w:rFonts w:hint="eastAsia" w:ascii="仿宋_GB2312" w:hAnsi="仿宋_GB2312" w:eastAsia="仿宋_GB2312" w:cs="仿宋_GB2312"/>
          <w:bCs/>
          <w:sz w:val="28"/>
          <w:szCs w:val="28"/>
          <w:highlight w:val="none"/>
          <w:lang w:eastAsia="zh-CN"/>
        </w:rPr>
        <w:t>土地使用权出让最高年限为</w:t>
      </w:r>
      <w:r>
        <w:rPr>
          <w:rFonts w:hint="eastAsia" w:ascii="仿宋_GB2312" w:hAnsi="仿宋_GB2312" w:eastAsia="仿宋_GB2312" w:cs="仿宋_GB2312"/>
          <w:bCs/>
          <w:sz w:val="28"/>
          <w:szCs w:val="28"/>
          <w:highlight w:val="none"/>
          <w:lang w:val="en-US" w:eastAsia="zh-CN"/>
        </w:rPr>
        <w:t>住宅</w:t>
      </w:r>
      <w:r>
        <w:rPr>
          <w:rFonts w:hint="eastAsia" w:ascii="仿宋_GB2312" w:hAnsi="仿宋_GB2312" w:eastAsia="仿宋_GB2312" w:cs="仿宋_GB2312"/>
          <w:bCs/>
          <w:sz w:val="28"/>
          <w:szCs w:val="28"/>
          <w:highlight w:val="none"/>
          <w:lang w:eastAsia="zh-CN"/>
        </w:rPr>
        <w:t>用地</w:t>
      </w:r>
      <w:r>
        <w:rPr>
          <w:rFonts w:hint="eastAsia" w:ascii="仿宋_GB2312" w:hAnsi="仿宋_GB2312" w:eastAsia="仿宋_GB2312" w:cs="仿宋_GB2312"/>
          <w:bCs/>
          <w:sz w:val="28"/>
          <w:szCs w:val="28"/>
          <w:highlight w:val="none"/>
          <w:lang w:val="en-US" w:eastAsia="zh-CN"/>
        </w:rPr>
        <w:t>70</w:t>
      </w:r>
      <w:r>
        <w:rPr>
          <w:rFonts w:hint="eastAsia" w:ascii="仿宋_GB2312" w:hAnsi="仿宋_GB2312" w:eastAsia="仿宋_GB2312" w:cs="仿宋_GB2312"/>
          <w:bCs/>
          <w:sz w:val="28"/>
          <w:szCs w:val="28"/>
          <w:highlight w:val="none"/>
          <w:lang w:eastAsia="zh-CN"/>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本次评估根据《评估委托书》约定和估价目的，估价对象土地使用权出让年限为住宅用地70年，此次评估设定土地使用权年限为住宅用地70年</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77F5572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10.权利证书号：</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6D81F02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不动产权证书编号：/</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7742C5D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12.权利人：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40FAA48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13.登记时间：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21CF924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14.地籍图号：/；</w:t>
      </w:r>
    </w:p>
    <w:p w14:paraId="55DCD5C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15.宗地号：/；</w:t>
      </w:r>
    </w:p>
    <w:p w14:paraId="7F57D2A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附记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5B5842E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划拨</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用地，未办理登记手续，故暂无土地权利证书编号、登记时间、地籍图号、宗地号、终止日期等相关信息。</w:t>
      </w:r>
    </w:p>
    <w:p w14:paraId="700678E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（二）土地权利状况</w:t>
      </w:r>
    </w:p>
    <w:p w14:paraId="2864F35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1.土地所有权状况：于</w:t>
      </w:r>
      <w:r>
        <w:rPr>
          <w:rFonts w:hint="default" w:ascii="仿宋_GB2312" w:hAnsi="仿宋_GB2312" w:eastAsia="仿宋_GB2312" w:cs="仿宋_GB2312"/>
          <w:bCs/>
          <w:color w:val="auto"/>
          <w:kern w:val="2"/>
          <w:sz w:val="28"/>
          <w:szCs w:val="28"/>
          <w:highlight w:val="none"/>
          <w:lang w:val="en-GB" w:eastAsia="zh-CN" w:bidi="ar-SA"/>
        </w:rPr>
        <w:t>估价对象的土地所有权属国家所有</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31CF0B9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2.土地使用权状况：</w:t>
      </w:r>
      <w:r>
        <w:rPr>
          <w:rFonts w:hint="default" w:ascii="仿宋_GB2312" w:hAnsi="仿宋_GB2312" w:eastAsia="仿宋_GB2312" w:cs="仿宋_GB2312"/>
          <w:bCs/>
          <w:color w:val="auto"/>
          <w:kern w:val="2"/>
          <w:sz w:val="28"/>
          <w:szCs w:val="28"/>
          <w:highlight w:val="none"/>
          <w:lang w:val="en-GB" w:eastAsia="zh-CN" w:bidi="ar-SA"/>
        </w:rPr>
        <w:t>根据委托方提供的</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评估委托书</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和道县集中化解房地产办证信访突出问题工作领导小组办公室出具的《土地权属及性质证明》（2026年5月19日）</w:t>
      </w:r>
      <w:r>
        <w:rPr>
          <w:rFonts w:hint="default" w:ascii="仿宋_GB2312" w:hAnsi="仿宋_GB2312" w:eastAsia="仿宋_GB2312" w:cs="仿宋_GB2312"/>
          <w:bCs/>
          <w:color w:val="auto"/>
          <w:kern w:val="2"/>
          <w:sz w:val="28"/>
          <w:szCs w:val="28"/>
          <w:highlight w:val="none"/>
          <w:lang w:val="en-GB" w:eastAsia="zh-CN" w:bidi="ar-SA"/>
        </w:rPr>
        <w:t>，估价对象现为</w:t>
      </w:r>
      <w:r>
        <w:rPr>
          <w:rFonts w:hint="eastAsia" w:ascii="仿宋_GB2312" w:hAnsi="仿宋_GB2312" w:eastAsia="仿宋_GB2312" w:cs="仿宋_GB2312"/>
          <w:bCs/>
          <w:color w:val="auto"/>
          <w:kern w:val="2"/>
          <w:sz w:val="28"/>
          <w:szCs w:val="28"/>
          <w:highlight w:val="none"/>
          <w:lang w:val="en-GB" w:eastAsia="zh-CN" w:bidi="ar-SA"/>
        </w:rPr>
        <w:t>划拨</w:t>
      </w:r>
      <w:r>
        <w:rPr>
          <w:rFonts w:hint="default" w:ascii="仿宋_GB2312" w:hAnsi="仿宋_GB2312" w:eastAsia="仿宋_GB2312" w:cs="仿宋_GB2312"/>
          <w:bCs/>
          <w:color w:val="auto"/>
          <w:kern w:val="2"/>
          <w:sz w:val="28"/>
          <w:szCs w:val="28"/>
          <w:highlight w:val="none"/>
          <w:lang w:val="en-GB" w:eastAsia="zh-CN" w:bidi="ar-SA"/>
        </w:rPr>
        <w:t>用地；至估价期日，仍为</w:t>
      </w:r>
      <w:r>
        <w:rPr>
          <w:rFonts w:hint="eastAsia" w:ascii="仿宋_GB2312" w:hAnsi="仿宋_GB2312" w:eastAsia="仿宋_GB2312" w:cs="仿宋_GB2312"/>
          <w:bCs/>
          <w:color w:val="auto"/>
          <w:kern w:val="2"/>
          <w:sz w:val="28"/>
          <w:szCs w:val="28"/>
          <w:highlight w:val="none"/>
          <w:lang w:val="en-GB" w:eastAsia="zh-CN" w:bidi="ar-SA"/>
        </w:rPr>
        <w:t>划拨</w:t>
      </w:r>
      <w:r>
        <w:rPr>
          <w:rFonts w:hint="default" w:ascii="仿宋_GB2312" w:hAnsi="仿宋_GB2312" w:eastAsia="仿宋_GB2312" w:cs="仿宋_GB2312"/>
          <w:bCs/>
          <w:color w:val="auto"/>
          <w:kern w:val="2"/>
          <w:sz w:val="28"/>
          <w:szCs w:val="28"/>
          <w:highlight w:val="none"/>
          <w:lang w:val="en-GB" w:eastAsia="zh-CN" w:bidi="ar-SA"/>
        </w:rPr>
        <w:t>用地，使用年期为无年期限制。委托方拟按现状办理出让手续，</w:t>
      </w:r>
      <w:r>
        <w:rPr>
          <w:rFonts w:hint="eastAsia" w:ascii="仿宋_GB2312" w:hAnsi="仿宋_GB2312" w:eastAsia="仿宋_GB2312" w:cs="仿宋_GB2312"/>
          <w:bCs/>
          <w:color w:val="auto"/>
          <w:kern w:val="2"/>
          <w:sz w:val="28"/>
          <w:szCs w:val="28"/>
          <w:highlight w:val="none"/>
          <w:lang w:val="en-US" w:eastAsia="zh-CN" w:bidi="ar-SA"/>
        </w:rPr>
        <w:t>土地使用年期为70年，</w:t>
      </w:r>
      <w:r>
        <w:rPr>
          <w:rFonts w:hint="default" w:ascii="仿宋_GB2312" w:hAnsi="仿宋_GB2312" w:eastAsia="仿宋_GB2312" w:cs="仿宋_GB2312"/>
          <w:bCs/>
          <w:color w:val="auto"/>
          <w:kern w:val="2"/>
          <w:sz w:val="28"/>
          <w:szCs w:val="28"/>
          <w:highlight w:val="none"/>
          <w:lang w:val="en-GB" w:eastAsia="zh-CN" w:bidi="ar-SA"/>
        </w:rPr>
        <w:t>根据评估目的并结合国务院第55号令《中华人民共和国城镇国有土地使用权出让和转让暂行条例》</w:t>
      </w:r>
      <w:r>
        <w:rPr>
          <w:rFonts w:hint="eastAsia" w:ascii="仿宋_GB2312" w:hAnsi="仿宋_GB2312" w:eastAsia="仿宋_GB2312" w:cs="仿宋_GB2312"/>
          <w:bCs/>
          <w:color w:val="auto"/>
          <w:kern w:val="2"/>
          <w:sz w:val="28"/>
          <w:szCs w:val="28"/>
          <w:highlight w:val="none"/>
          <w:lang w:val="en-US" w:eastAsia="zh-CN" w:bidi="ar-SA"/>
        </w:rPr>
        <w:t>和《土地资产评估委托书》</w:t>
      </w:r>
      <w:r>
        <w:rPr>
          <w:rFonts w:hint="default" w:ascii="仿宋_GB2312" w:hAnsi="仿宋_GB2312" w:eastAsia="仿宋_GB2312" w:cs="仿宋_GB2312"/>
          <w:bCs/>
          <w:color w:val="auto"/>
          <w:kern w:val="2"/>
          <w:sz w:val="28"/>
          <w:szCs w:val="28"/>
          <w:highlight w:val="none"/>
          <w:lang w:val="en-GB" w:eastAsia="zh-CN" w:bidi="ar-SA"/>
        </w:rPr>
        <w:t>，本次评估设定土地用途为住宅用地，本次评估现状利用条件下的出让土地使用权价格的土地使用权年限为</w:t>
      </w:r>
      <w:r>
        <w:rPr>
          <w:rFonts w:hint="eastAsia" w:ascii="仿宋_GB2312" w:hAnsi="仿宋_GB2312" w:eastAsia="仿宋_GB2312" w:cs="仿宋_GB2312"/>
          <w:bCs/>
          <w:color w:val="auto"/>
          <w:kern w:val="2"/>
          <w:sz w:val="28"/>
          <w:szCs w:val="28"/>
          <w:highlight w:val="none"/>
          <w:lang w:val="en-US" w:eastAsia="zh-CN" w:bidi="ar-SA"/>
        </w:rPr>
        <w:t>70年</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4705F3E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3.土地他项权利状况：根据委托估价方提供的资料，估价对象与相邻地地界分明，无地上地下相邻相关权利限制。至估价期日止，估价对象未设置抵押权、担保权、地役权、租赁权等他项权利限制。</w:t>
      </w:r>
    </w:p>
    <w:p w14:paraId="2B18BF0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4.相邻关系：估价对象权属清晰，四至界址明确，无权属纠纷，无相邻权利人道路通行权等相邻关系。</w:t>
      </w:r>
    </w:p>
    <w:p w14:paraId="566BC23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（三）土地利用状况</w:t>
      </w:r>
    </w:p>
    <w:p w14:paraId="100B04A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14:paraId="0ED1872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根据委托方提供的资料及估价人员的现场勘查，估价对象实际开发程度为红线内外“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通”（通路、通电、供水、排水、通讯）和红线内场地平整，估价对象所在整体宗地上有一栋混合结构</w:t>
      </w:r>
      <w:r>
        <w:rPr>
          <w:rFonts w:hint="eastAsia" w:ascii="仿宋_GB2312" w:hAnsi="仿宋_GB2312" w:eastAsia="仿宋_GB2312" w:cs="仿宋_GB2312"/>
          <w:bCs/>
          <w:color w:val="auto"/>
          <w:kern w:val="2"/>
          <w:sz w:val="28"/>
          <w:szCs w:val="28"/>
          <w:highlight w:val="none"/>
          <w:lang w:val="en-US" w:eastAsia="zh-CN" w:bidi="ar-SA"/>
        </w:rPr>
        <w:t>建筑物</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794674C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1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2CE5F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575A945B">
            <w:pPr>
              <w:pStyle w:val="18"/>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94610" cy="2584450"/>
                  <wp:effectExtent l="0" t="0" r="15240" b="6350"/>
                  <wp:docPr id="6" name="图片 6" descr="微信图片_20260515163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信图片_20260515163404"/>
                          <pic:cNvPicPr>
                            <a:picLocks noChangeAspect="1"/>
                          </pic:cNvPicPr>
                        </pic:nvPicPr>
                        <pic:blipFill>
                          <a:blip r:embed="rId19"/>
                          <a:stretch>
                            <a:fillRect/>
                          </a:stretch>
                        </pic:blipFill>
                        <pic:spPr>
                          <a:xfrm>
                            <a:off x="0" y="0"/>
                            <a:ext cx="2594610" cy="2584450"/>
                          </a:xfrm>
                          <a:prstGeom prst="rect">
                            <a:avLst/>
                          </a:prstGeom>
                        </pic:spPr>
                      </pic:pic>
                    </a:graphicData>
                  </a:graphic>
                </wp:inline>
              </w:drawing>
            </w:r>
          </w:p>
        </w:tc>
        <w:tc>
          <w:tcPr>
            <w:tcW w:w="2466" w:type="pct"/>
          </w:tcPr>
          <w:p w14:paraId="7949D1E2">
            <w:pPr>
              <w:pStyle w:val="18"/>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1585" cy="2574925"/>
                  <wp:effectExtent l="0" t="0" r="12065" b="15875"/>
                  <wp:docPr id="11" name="图片 11" descr="微信图片_2026051516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微信图片_20260515163412"/>
                          <pic:cNvPicPr>
                            <a:picLocks noChangeAspect="1"/>
                          </pic:cNvPicPr>
                        </pic:nvPicPr>
                        <pic:blipFill>
                          <a:blip r:embed="rId20"/>
                          <a:srcRect b="21567"/>
                          <a:stretch>
                            <a:fillRect/>
                          </a:stretch>
                        </pic:blipFill>
                        <pic:spPr>
                          <a:xfrm>
                            <a:off x="0" y="0"/>
                            <a:ext cx="2521585" cy="2574925"/>
                          </a:xfrm>
                          <a:prstGeom prst="rect">
                            <a:avLst/>
                          </a:prstGeom>
                        </pic:spPr>
                      </pic:pic>
                    </a:graphicData>
                  </a:graphic>
                </wp:inline>
              </w:drawing>
            </w:r>
          </w:p>
        </w:tc>
      </w:tr>
    </w:tbl>
    <w:p w14:paraId="7D0B05C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根据受托估价人员现场勘察，估价</w:t>
      </w:r>
      <w:r>
        <w:rPr>
          <w:rFonts w:hint="eastAsia" w:ascii="仿宋_GB2312" w:hAnsi="仿宋_GB2312" w:eastAsia="仿宋_GB2312" w:cs="仿宋_GB2312"/>
          <w:bCs/>
          <w:color w:val="auto"/>
          <w:kern w:val="2"/>
          <w:sz w:val="28"/>
          <w:szCs w:val="28"/>
          <w:highlight w:val="none"/>
          <w:lang w:val="en-US" w:eastAsia="zh-CN" w:bidi="ar-SA"/>
        </w:rPr>
        <w:t>对象位于月岩西路皮革厂家属楼3栋4层404房</w:t>
      </w:r>
      <w:r>
        <w:rPr>
          <w:rFonts w:hint="default" w:ascii="仿宋_GB2312" w:hAnsi="仿宋_GB2312" w:eastAsia="仿宋_GB2312" w:cs="仿宋_GB2312"/>
          <w:bCs/>
          <w:color w:val="auto"/>
          <w:kern w:val="2"/>
          <w:sz w:val="28"/>
          <w:szCs w:val="28"/>
          <w:highlight w:val="none"/>
          <w:lang w:val="en-GB" w:eastAsia="zh-CN" w:bidi="ar-SA"/>
        </w:rPr>
        <w:t>，所在宗地上有独栋建筑物，总层数为</w:t>
      </w:r>
      <w:r>
        <w:rPr>
          <w:rFonts w:hint="eastAsia" w:ascii="仿宋_GB2312" w:hAnsi="仿宋_GB2312" w:eastAsia="仿宋_GB2312" w:cs="仿宋_GB2312"/>
          <w:bCs/>
          <w:color w:val="auto"/>
          <w:kern w:val="2"/>
          <w:sz w:val="28"/>
          <w:szCs w:val="28"/>
          <w:highlight w:val="none"/>
          <w:lang w:val="en-US" w:eastAsia="zh-CN" w:bidi="ar-SA"/>
        </w:rPr>
        <w:t>5层</w:t>
      </w:r>
      <w:r>
        <w:rPr>
          <w:rFonts w:hint="default" w:ascii="仿宋_GB2312" w:hAnsi="仿宋_GB2312" w:eastAsia="仿宋_GB2312" w:cs="仿宋_GB2312"/>
          <w:bCs/>
          <w:color w:val="auto"/>
          <w:kern w:val="2"/>
          <w:sz w:val="28"/>
          <w:szCs w:val="28"/>
          <w:highlight w:val="none"/>
          <w:lang w:val="en-GB" w:eastAsia="zh-CN" w:bidi="ar-SA"/>
        </w:rPr>
        <w:t>，业主房屋所在层数为</w:t>
      </w:r>
      <w:r>
        <w:rPr>
          <w:rFonts w:hint="eastAsia" w:ascii="仿宋_GB2312" w:hAnsi="仿宋_GB2312" w:eastAsia="仿宋_GB2312" w:cs="仿宋_GB2312"/>
          <w:bCs/>
          <w:color w:val="auto"/>
          <w:kern w:val="2"/>
          <w:sz w:val="28"/>
          <w:szCs w:val="28"/>
          <w:highlight w:val="none"/>
          <w:lang w:val="en-US" w:eastAsia="zh-CN" w:bidi="ar-SA"/>
        </w:rPr>
        <w:t>4层</w:t>
      </w:r>
      <w:r>
        <w:rPr>
          <w:rFonts w:hint="default" w:ascii="仿宋_GB2312" w:hAnsi="仿宋_GB2312" w:eastAsia="仿宋_GB2312" w:cs="仿宋_GB2312"/>
          <w:bCs/>
          <w:color w:val="auto"/>
          <w:kern w:val="2"/>
          <w:sz w:val="28"/>
          <w:szCs w:val="28"/>
          <w:highlight w:val="none"/>
          <w:lang w:val="en-GB" w:eastAsia="zh-CN" w:bidi="ar-SA"/>
        </w:rPr>
        <w:t>，建筑物为</w:t>
      </w:r>
      <w:r>
        <w:rPr>
          <w:rFonts w:hint="eastAsia" w:ascii="仿宋_GB2312" w:hAnsi="仿宋_GB2312" w:eastAsia="仿宋_GB2312" w:cs="仿宋_GB2312"/>
          <w:bCs/>
          <w:color w:val="auto"/>
          <w:kern w:val="2"/>
          <w:sz w:val="28"/>
          <w:szCs w:val="28"/>
          <w:highlight w:val="none"/>
          <w:lang w:val="en-US" w:eastAsia="zh-CN" w:bidi="ar-SA"/>
        </w:rPr>
        <w:t>砖混</w:t>
      </w:r>
      <w:r>
        <w:rPr>
          <w:rFonts w:hint="default" w:ascii="仿宋_GB2312" w:hAnsi="仿宋_GB2312" w:eastAsia="仿宋_GB2312" w:cs="仿宋_GB2312"/>
          <w:bCs/>
          <w:color w:val="auto"/>
          <w:kern w:val="2"/>
          <w:sz w:val="28"/>
          <w:szCs w:val="28"/>
          <w:highlight w:val="none"/>
          <w:lang w:val="en-GB" w:eastAsia="zh-CN" w:bidi="ar-SA"/>
        </w:rPr>
        <w:t>结构，</w:t>
      </w:r>
      <w:r>
        <w:rPr>
          <w:rFonts w:hint="eastAsia" w:ascii="仿宋_GB2312" w:hAnsi="仿宋_GB2312" w:eastAsia="仿宋_GB2312" w:cs="仿宋_GB2312"/>
          <w:bCs/>
          <w:color w:val="auto"/>
          <w:kern w:val="2"/>
          <w:sz w:val="28"/>
          <w:szCs w:val="28"/>
          <w:highlight w:val="none"/>
          <w:lang w:val="en-US" w:eastAsia="zh-CN" w:bidi="ar-SA"/>
        </w:rPr>
        <w:t>不锈钢及木质入户门，塑钢窗户，铁艺防盗网，外墙双飞粉，屋内地贴瓷砖，顶棚木质装饰吊顶，简单装修，</w:t>
      </w:r>
      <w:r>
        <w:rPr>
          <w:rFonts w:hint="default" w:ascii="仿宋_GB2312" w:hAnsi="仿宋_GB2312" w:eastAsia="仿宋_GB2312" w:cs="仿宋_GB2312"/>
          <w:bCs/>
          <w:color w:val="auto"/>
          <w:kern w:val="2"/>
          <w:sz w:val="28"/>
          <w:szCs w:val="28"/>
          <w:highlight w:val="none"/>
          <w:lang w:val="en-GB" w:eastAsia="zh-CN" w:bidi="ar-SA"/>
        </w:rPr>
        <w:t>维护保养状况</w:t>
      </w:r>
      <w:r>
        <w:rPr>
          <w:rFonts w:hint="eastAsia" w:ascii="仿宋_GB2312" w:hAnsi="仿宋_GB2312" w:eastAsia="仿宋_GB2312" w:cs="仿宋_GB2312"/>
          <w:bCs/>
          <w:color w:val="auto"/>
          <w:kern w:val="2"/>
          <w:sz w:val="28"/>
          <w:szCs w:val="28"/>
          <w:highlight w:val="none"/>
          <w:lang w:val="en-US" w:eastAsia="zh-CN" w:bidi="ar-SA"/>
        </w:rPr>
        <w:t>一般</w:t>
      </w:r>
      <w:r>
        <w:rPr>
          <w:rFonts w:hint="default" w:ascii="仿宋_GB2312" w:hAnsi="仿宋_GB2312" w:eastAsia="仿宋_GB2312" w:cs="仿宋_GB2312"/>
          <w:bCs/>
          <w:color w:val="auto"/>
          <w:kern w:val="2"/>
          <w:sz w:val="28"/>
          <w:szCs w:val="28"/>
          <w:highlight w:val="none"/>
          <w:lang w:val="en-GB" w:eastAsia="zh-CN" w:bidi="ar-SA"/>
        </w:rPr>
        <w:t>，约</w:t>
      </w:r>
      <w:r>
        <w:rPr>
          <w:rFonts w:hint="eastAsia" w:ascii="仿宋_GB2312" w:hAnsi="仿宋_GB2312" w:eastAsia="仿宋_GB2312" w:cs="仿宋_GB2312"/>
          <w:bCs/>
          <w:color w:val="auto"/>
          <w:kern w:val="2"/>
          <w:sz w:val="28"/>
          <w:szCs w:val="28"/>
          <w:highlight w:val="none"/>
          <w:lang w:val="en-US" w:eastAsia="zh-CN" w:bidi="ar-SA"/>
        </w:rPr>
        <w:t>七成新</w:t>
      </w:r>
      <w:r>
        <w:rPr>
          <w:rFonts w:hint="default" w:ascii="仿宋_GB2312" w:hAnsi="仿宋_GB2312" w:eastAsia="仿宋_GB2312" w:cs="仿宋_GB2312"/>
          <w:bCs/>
          <w:color w:val="auto"/>
          <w:kern w:val="2"/>
          <w:sz w:val="28"/>
          <w:szCs w:val="28"/>
          <w:highlight w:val="none"/>
          <w:lang w:val="en-GB" w:eastAsia="zh-CN" w:bidi="ar-SA"/>
        </w:rPr>
        <w:t>，房屋整体经济耐用年限为50年，已使用</w:t>
      </w:r>
      <w:r>
        <w:rPr>
          <w:rFonts w:hint="eastAsia" w:ascii="仿宋_GB2312" w:hAnsi="仿宋_GB2312" w:eastAsia="仿宋_GB2312" w:cs="仿宋_GB2312"/>
          <w:bCs/>
          <w:color w:val="auto"/>
          <w:kern w:val="2"/>
          <w:sz w:val="28"/>
          <w:szCs w:val="28"/>
          <w:highlight w:val="none"/>
          <w:lang w:val="en-US" w:eastAsia="zh-CN" w:bidi="ar-SA"/>
        </w:rPr>
        <w:t>22年</w:t>
      </w:r>
      <w:r>
        <w:rPr>
          <w:rFonts w:hint="default" w:ascii="仿宋_GB2312" w:hAnsi="仿宋_GB2312" w:eastAsia="仿宋_GB2312" w:cs="仿宋_GB2312"/>
          <w:bCs/>
          <w:color w:val="auto"/>
          <w:kern w:val="2"/>
          <w:sz w:val="28"/>
          <w:szCs w:val="28"/>
          <w:highlight w:val="none"/>
          <w:lang w:val="en-GB" w:eastAsia="zh-CN" w:bidi="ar-SA"/>
        </w:rPr>
        <w:t>，剩余使用年限为</w:t>
      </w:r>
      <w:r>
        <w:rPr>
          <w:rFonts w:hint="eastAsia" w:ascii="仿宋_GB2312" w:hAnsi="仿宋_GB2312" w:eastAsia="仿宋_GB2312" w:cs="仿宋_GB2312"/>
          <w:bCs/>
          <w:color w:val="auto"/>
          <w:kern w:val="2"/>
          <w:sz w:val="28"/>
          <w:szCs w:val="28"/>
          <w:highlight w:val="none"/>
          <w:lang w:val="en-US" w:eastAsia="zh-CN" w:bidi="ar-SA"/>
        </w:rPr>
        <w:t>28</w:t>
      </w:r>
      <w:r>
        <w:rPr>
          <w:rFonts w:hint="default" w:ascii="仿宋_GB2312" w:hAnsi="仿宋_GB2312" w:eastAsia="仿宋_GB2312" w:cs="仿宋_GB2312"/>
          <w:bCs/>
          <w:color w:val="auto"/>
          <w:kern w:val="2"/>
          <w:sz w:val="28"/>
          <w:szCs w:val="28"/>
          <w:highlight w:val="none"/>
          <w:lang w:val="en-GB" w:eastAsia="zh-CN" w:bidi="ar-SA"/>
        </w:rPr>
        <w:t>年。根据委托方提供的估价对象</w:t>
      </w:r>
      <w:r>
        <w:rPr>
          <w:rFonts w:hint="eastAsia" w:ascii="仿宋_GB2312" w:eastAsia="仿宋_GB2312"/>
          <w:color w:val="000000" w:themeColor="text1"/>
          <w:sz w:val="28"/>
          <w:szCs w:val="30"/>
          <w:highlight w:val="none"/>
          <w:lang w:eastAsia="zh-CN"/>
          <w14:textFill>
            <w14:solidFill>
              <w14:schemeClr w14:val="tx1"/>
            </w14:solidFill>
          </w14:textFill>
        </w:rPr>
        <w:t>《户室面积对照表》、《土地分摊表》</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估价对象建筑面积为</w:t>
      </w:r>
      <w:r>
        <w:rPr>
          <w:rFonts w:hint="eastAsia" w:ascii="仿宋_GB2312" w:hAnsi="仿宋_GB2312" w:eastAsia="仿宋_GB2312" w:cs="仿宋_GB2312"/>
          <w:bCs/>
          <w:color w:val="auto"/>
          <w:kern w:val="2"/>
          <w:sz w:val="28"/>
          <w:szCs w:val="28"/>
          <w:highlight w:val="none"/>
          <w:lang w:val="en-US" w:eastAsia="zh-CN" w:bidi="ar-SA"/>
        </w:rPr>
        <w:t>73.415平方米，分摊土地使用权面积15.2平方米</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根据《评估委托书》</w:t>
      </w:r>
      <w:r>
        <w:rPr>
          <w:rFonts w:hint="default" w:ascii="仿宋_GB2312" w:hAnsi="仿宋_GB2312" w:eastAsia="仿宋_GB2312" w:cs="仿宋_GB2312"/>
          <w:bCs/>
          <w:color w:val="auto"/>
          <w:kern w:val="2"/>
          <w:sz w:val="28"/>
          <w:szCs w:val="28"/>
          <w:highlight w:val="none"/>
          <w:lang w:val="en-GB" w:eastAsia="zh-CN" w:bidi="ar-SA"/>
        </w:rPr>
        <w:t>委托方拟按估价对象现状使用条件进行出让</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则估价对象现状容积率</w:t>
      </w:r>
      <w:r>
        <w:rPr>
          <w:rFonts w:hint="eastAsia" w:ascii="仿宋_GB2312" w:hAnsi="仿宋_GB2312" w:eastAsia="仿宋_GB2312" w:cs="仿宋_GB2312"/>
          <w:bCs/>
          <w:color w:val="auto"/>
          <w:kern w:val="2"/>
          <w:sz w:val="28"/>
          <w:szCs w:val="28"/>
          <w:highlight w:val="none"/>
          <w:lang w:val="en-GB" w:eastAsia="zh-CN" w:bidi="ar-SA"/>
        </w:rPr>
        <w:t>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。根据估价目的，本次评估设定土地容积率为</w:t>
      </w:r>
      <w:r>
        <w:rPr>
          <w:rFonts w:hint="eastAsia" w:ascii="仿宋_GB2312" w:hAnsi="仿宋_GB2312" w:eastAsia="仿宋_GB2312" w:cs="仿宋_GB2312"/>
          <w:bCs/>
          <w:color w:val="auto"/>
          <w:kern w:val="2"/>
          <w:sz w:val="28"/>
          <w:szCs w:val="28"/>
          <w:highlight w:val="none"/>
          <w:lang w:val="en-US" w:eastAsia="zh-CN" w:bidi="ar-SA"/>
        </w:rPr>
        <w:t>4.83。</w:t>
      </w:r>
    </w:p>
    <w:p w14:paraId="42220F7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2CCAD71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3A29E70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w:t>
      </w:r>
      <w:r>
        <w:rPr>
          <w:rFonts w:hint="eastAsia" w:ascii="仿宋_GB2312" w:eastAsia="仿宋_GB2312"/>
          <w:color w:val="000000" w:themeColor="text1"/>
          <w:sz w:val="28"/>
          <w:szCs w:val="30"/>
          <w:highlight w:val="none"/>
          <w:lang w:eastAsia="zh-CN"/>
          <w14:textFill>
            <w14:solidFill>
              <w14:schemeClr w14:val="tx1"/>
            </w14:solidFill>
          </w14:textFill>
        </w:rPr>
        <w:t>《评估委托书》、《户室面积对照表》、《土地分摊表》</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及现场勘查状况，估价对象</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土地面积为15.2平方米，建筑面积73.415平方米，容积率为4.83。</w:t>
      </w:r>
    </w:p>
    <w:p w14:paraId="19615E2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306D340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现状</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利用下价值利用状况为最有效利用。故设定估价对象为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，设定容积率为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4.83，</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其余指标均取规划值为最佳利用方式。</w:t>
      </w:r>
    </w:p>
    <w:p w14:paraId="4BD9D76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2C0388C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788703E7">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default" w:ascii="仿宋_GB2312" w:hAnsi="仿宋_GB2312" w:eastAsia="仿宋_GB2312" w:cs="仿宋_GB2312"/>
          <w:b/>
          <w:bCs w:val="0"/>
          <w:color w:val="auto"/>
          <w:sz w:val="28"/>
          <w:szCs w:val="28"/>
          <w:highlight w:val="none"/>
          <w:lang w:val="en-US" w:eastAsia="zh-CN"/>
        </w:rPr>
      </w:pPr>
      <w:r>
        <w:rPr>
          <w:rFonts w:hint="default" w:ascii="仿宋_GB2312" w:hAnsi="仿宋_GB2312" w:eastAsia="仿宋_GB2312" w:cs="仿宋_GB2312"/>
          <w:b/>
          <w:bCs w:val="0"/>
          <w:color w:val="auto"/>
          <w:sz w:val="28"/>
          <w:szCs w:val="28"/>
          <w:highlight w:val="none"/>
          <w:lang w:val="en-US" w:eastAsia="zh-CN"/>
        </w:rPr>
        <w:t>二、地价影响因素分析</w:t>
      </w:r>
    </w:p>
    <w:p w14:paraId="23E1258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（一）土地登记状况</w:t>
      </w:r>
    </w:p>
    <w:p w14:paraId="21E1748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土地权利类型：国有建设用地土地使用权；</w:t>
      </w:r>
    </w:p>
    <w:p w14:paraId="214C2AA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.土地权利性质：国有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划拨</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用地，现拟办理出让手续；</w:t>
      </w:r>
    </w:p>
    <w:p w14:paraId="11878C7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屋所有权证》（道房权证字第713000590号），估价对象位于道县月岩西路，根据《评估委托书》、《户室面积对照表》和《土地分摊表》，估价对象位于皮革厂家属楼3栋4层404房，建筑面积73.415平方米，分摊土地使用权面积15.2平方米，</w:t>
      </w:r>
      <w:r>
        <w:rPr>
          <w:rFonts w:hint="default" w:ascii="仿宋_GB2312" w:hAnsi="仿宋_GB2312" w:eastAsia="仿宋_GB2312" w:cs="仿宋_GB2312"/>
          <w:bCs/>
          <w:color w:val="auto"/>
          <w:kern w:val="2"/>
          <w:sz w:val="28"/>
          <w:szCs w:val="28"/>
          <w:highlight w:val="none"/>
          <w:lang w:val="en-GB" w:eastAsia="zh-CN" w:bidi="ar-SA"/>
        </w:rPr>
        <w:t>委托方拟按现状利用条件为其办理土地使用权出让手续。</w:t>
      </w:r>
      <w:r>
        <w:rPr>
          <w:rFonts w:hint="eastAsia" w:ascii="仿宋_GB2312" w:hAnsi="仿宋_GB2312" w:eastAsia="仿宋_GB2312" w:cs="仿宋_GB2312"/>
          <w:bCs/>
          <w:color w:val="auto"/>
          <w:kern w:val="2"/>
          <w:sz w:val="28"/>
          <w:szCs w:val="28"/>
          <w:highlight w:val="none"/>
          <w:lang w:val="en-US" w:eastAsia="zh-CN" w:bidi="ar-SA"/>
        </w:rPr>
        <w:t>根据道县集中化解房地产办证信访突出问题工作领导小组办公室出具的《土地权属及性质证明》（2026年5月19日），估价对象土地使用者为王汝冲，道县皮革厂工作人员，根据房改房政策于2004年购得位于道州月岩西路皮革厂家属楼3栋4层404住房一套，房产证号：道房权证字第713000590号，房屋登记面积74.55平方米。其房屋分摊土地使用权类型为国有划拨，因历史遗留问题，土地暂未办理土地权属登记。</w:t>
      </w:r>
    </w:p>
    <w:p w14:paraId="735C6AE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.地理位置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及坐落</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道县月岩西路；</w:t>
      </w:r>
    </w:p>
    <w:p w14:paraId="3519439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.土地用途：根据《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评估委托书</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6CBEE24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.宗地四至：北临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建筑</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，南临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建筑</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，西临建筑，东临建筑；</w:t>
      </w:r>
    </w:p>
    <w:p w14:paraId="6251A48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.使用权面积：根据《土地分摊表》，宗地面积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15.2平方米</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4833D8D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eastAsia="仿宋_GB2312"/>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lang w:val="en-US" w:eastAsia="zh-CN"/>
          <w14:textFill>
            <w14:solidFill>
              <w14:schemeClr w14:val="tx1"/>
            </w14:solidFill>
          </w14:textFill>
        </w:rPr>
        <w:t>8</w:t>
      </w:r>
      <w:r>
        <w:rPr>
          <w:rFonts w:hint="eastAsia" w:ascii="仿宋_GB2312" w:eastAsia="仿宋_GB2312"/>
          <w:color w:val="000000" w:themeColor="text1"/>
          <w:sz w:val="28"/>
          <w:highlight w:val="none"/>
          <w14:textFill>
            <w14:solidFill>
              <w14:schemeClr w14:val="tx1"/>
            </w14:solidFill>
          </w14:textFill>
        </w:rPr>
        <w:t>.土地级别：道县城镇基准地价的颁布实施时间为2019年11月22日，批准文号为道政函〔2019〕85号,文件名称为《关于更新城区基准地价和制订11个建制镇基准地价的通告》（道政函〔2019〕85号，2019年11月22日），批准机关为道县人民政府，估价期日为2019年5月1日，距估价期日超过六年</w:t>
      </w:r>
      <w:r>
        <w:rPr>
          <w:rFonts w:hint="eastAsia" w:ascii="仿宋_GB2312" w:eastAsia="仿宋_GB2312"/>
          <w:color w:val="000000" w:themeColor="text1"/>
          <w:sz w:val="28"/>
          <w:highlight w:val="none"/>
          <w:lang w:eastAsia="zh-CN"/>
          <w14:textFill>
            <w14:solidFill>
              <w14:schemeClr w14:val="tx1"/>
            </w14:solidFill>
          </w14:textFill>
        </w:rPr>
        <w:t>，</w:t>
      </w:r>
      <w:r>
        <w:rPr>
          <w:rFonts w:hint="eastAsia" w:ascii="仿宋_GB2312" w:eastAsia="仿宋_GB2312"/>
          <w:color w:val="000000" w:themeColor="text1"/>
          <w:sz w:val="28"/>
          <w:highlight w:val="none"/>
          <w:lang w:val="en-US" w:eastAsia="zh-CN"/>
          <w14:textFill>
            <w14:solidFill>
              <w14:schemeClr w14:val="tx1"/>
            </w14:solidFill>
          </w14:textFill>
        </w:rPr>
        <w:t>故暂无土地级别信息</w:t>
      </w:r>
      <w:r>
        <w:rPr>
          <w:rFonts w:hint="eastAsia" w:ascii="仿宋_GB2312" w:eastAsia="仿宋_GB2312"/>
          <w:color w:val="000000" w:themeColor="text1"/>
          <w:sz w:val="28"/>
          <w:highlight w:val="none"/>
          <w14:textFill>
            <w14:solidFill>
              <w14:schemeClr w14:val="tx1"/>
            </w14:solidFill>
          </w14:textFill>
        </w:rPr>
        <w:t>；</w:t>
      </w:r>
    </w:p>
    <w:p w14:paraId="5553CF0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9.土地使用年限：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w:t>
      </w:r>
      <w:r>
        <w:rPr>
          <w:rFonts w:hint="eastAsia" w:ascii="仿宋_GB2312" w:hAnsi="仿宋_GB2312" w:eastAsia="仿宋_GB2312" w:cs="仿宋_GB2312"/>
          <w:bCs/>
          <w:sz w:val="28"/>
          <w:szCs w:val="28"/>
          <w:highlight w:val="none"/>
          <w:lang w:eastAsia="zh-CN"/>
        </w:rPr>
        <w:t>土地使用权出让最高年限为</w:t>
      </w:r>
      <w:r>
        <w:rPr>
          <w:rFonts w:hint="eastAsia" w:ascii="仿宋_GB2312" w:hAnsi="仿宋_GB2312" w:eastAsia="仿宋_GB2312" w:cs="仿宋_GB2312"/>
          <w:bCs/>
          <w:sz w:val="28"/>
          <w:szCs w:val="28"/>
          <w:highlight w:val="none"/>
          <w:lang w:val="en-US" w:eastAsia="zh-CN"/>
        </w:rPr>
        <w:t>住宅</w:t>
      </w:r>
      <w:r>
        <w:rPr>
          <w:rFonts w:hint="eastAsia" w:ascii="仿宋_GB2312" w:hAnsi="仿宋_GB2312" w:eastAsia="仿宋_GB2312" w:cs="仿宋_GB2312"/>
          <w:bCs/>
          <w:sz w:val="28"/>
          <w:szCs w:val="28"/>
          <w:highlight w:val="none"/>
          <w:lang w:eastAsia="zh-CN"/>
        </w:rPr>
        <w:t>用地</w:t>
      </w:r>
      <w:r>
        <w:rPr>
          <w:rFonts w:hint="eastAsia" w:ascii="仿宋_GB2312" w:hAnsi="仿宋_GB2312" w:eastAsia="仿宋_GB2312" w:cs="仿宋_GB2312"/>
          <w:bCs/>
          <w:sz w:val="28"/>
          <w:szCs w:val="28"/>
          <w:highlight w:val="none"/>
          <w:lang w:val="en-US" w:eastAsia="zh-CN"/>
        </w:rPr>
        <w:t>70</w:t>
      </w:r>
      <w:r>
        <w:rPr>
          <w:rFonts w:hint="eastAsia" w:ascii="仿宋_GB2312" w:hAnsi="仿宋_GB2312" w:eastAsia="仿宋_GB2312" w:cs="仿宋_GB2312"/>
          <w:bCs/>
          <w:sz w:val="28"/>
          <w:szCs w:val="28"/>
          <w:highlight w:val="none"/>
          <w:lang w:eastAsia="zh-CN"/>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本次评估根据《评估委托书》约定和估价目的，估价对象土地使用权出让年限为住宅用地70年，此次评估设定土地使用权年限为住宅用地70年</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146E950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10.权利证书号：</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6CEB289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不动产权证书编号：/</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60412B3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12.权利人：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68A1F62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13.登记时间：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55FBB0F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14.地籍图号：/；</w:t>
      </w:r>
    </w:p>
    <w:p w14:paraId="1490C3A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15.宗地号：/；</w:t>
      </w:r>
    </w:p>
    <w:p w14:paraId="142E738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附记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7DF2A6B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划拨</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用地，未办理登记手续，故暂无土地权利证书编号、登记时间、地籍图号、宗地号、终止日期等相关信息。</w:t>
      </w:r>
    </w:p>
    <w:p w14:paraId="27ADE04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（二）土地权利状况</w:t>
      </w:r>
    </w:p>
    <w:p w14:paraId="797CFFE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1.土地所有权状况：于</w:t>
      </w:r>
      <w:r>
        <w:rPr>
          <w:rFonts w:hint="default" w:ascii="仿宋_GB2312" w:hAnsi="仿宋_GB2312" w:eastAsia="仿宋_GB2312" w:cs="仿宋_GB2312"/>
          <w:bCs/>
          <w:color w:val="auto"/>
          <w:kern w:val="2"/>
          <w:sz w:val="28"/>
          <w:szCs w:val="28"/>
          <w:highlight w:val="none"/>
          <w:lang w:val="en-GB" w:eastAsia="zh-CN" w:bidi="ar-SA"/>
        </w:rPr>
        <w:t>估价对象的土地所有权属国家所有</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546D4B5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2.土地使用权状况：</w:t>
      </w:r>
      <w:r>
        <w:rPr>
          <w:rFonts w:hint="default" w:ascii="仿宋_GB2312" w:hAnsi="仿宋_GB2312" w:eastAsia="仿宋_GB2312" w:cs="仿宋_GB2312"/>
          <w:bCs/>
          <w:color w:val="auto"/>
          <w:kern w:val="2"/>
          <w:sz w:val="28"/>
          <w:szCs w:val="28"/>
          <w:highlight w:val="none"/>
          <w:lang w:val="en-GB" w:eastAsia="zh-CN" w:bidi="ar-SA"/>
        </w:rPr>
        <w:t>根据委托方提供的</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评估委托书</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和道县集中化解房地产办证信访突出问题工作领导小组办公室出具的《土地权属及性质证明》（2026年5月19日）</w:t>
      </w:r>
      <w:r>
        <w:rPr>
          <w:rFonts w:hint="default" w:ascii="仿宋_GB2312" w:hAnsi="仿宋_GB2312" w:eastAsia="仿宋_GB2312" w:cs="仿宋_GB2312"/>
          <w:bCs/>
          <w:color w:val="auto"/>
          <w:kern w:val="2"/>
          <w:sz w:val="28"/>
          <w:szCs w:val="28"/>
          <w:highlight w:val="none"/>
          <w:lang w:val="en-GB" w:eastAsia="zh-CN" w:bidi="ar-SA"/>
        </w:rPr>
        <w:t>，估价对象现为</w:t>
      </w:r>
      <w:r>
        <w:rPr>
          <w:rFonts w:hint="eastAsia" w:ascii="仿宋_GB2312" w:hAnsi="仿宋_GB2312" w:eastAsia="仿宋_GB2312" w:cs="仿宋_GB2312"/>
          <w:bCs/>
          <w:color w:val="auto"/>
          <w:kern w:val="2"/>
          <w:sz w:val="28"/>
          <w:szCs w:val="28"/>
          <w:highlight w:val="none"/>
          <w:lang w:val="en-GB" w:eastAsia="zh-CN" w:bidi="ar-SA"/>
        </w:rPr>
        <w:t>划拨</w:t>
      </w:r>
      <w:r>
        <w:rPr>
          <w:rFonts w:hint="default" w:ascii="仿宋_GB2312" w:hAnsi="仿宋_GB2312" w:eastAsia="仿宋_GB2312" w:cs="仿宋_GB2312"/>
          <w:bCs/>
          <w:color w:val="auto"/>
          <w:kern w:val="2"/>
          <w:sz w:val="28"/>
          <w:szCs w:val="28"/>
          <w:highlight w:val="none"/>
          <w:lang w:val="en-GB" w:eastAsia="zh-CN" w:bidi="ar-SA"/>
        </w:rPr>
        <w:t>用地；至估价期日，仍为</w:t>
      </w:r>
      <w:r>
        <w:rPr>
          <w:rFonts w:hint="eastAsia" w:ascii="仿宋_GB2312" w:hAnsi="仿宋_GB2312" w:eastAsia="仿宋_GB2312" w:cs="仿宋_GB2312"/>
          <w:bCs/>
          <w:color w:val="auto"/>
          <w:kern w:val="2"/>
          <w:sz w:val="28"/>
          <w:szCs w:val="28"/>
          <w:highlight w:val="none"/>
          <w:lang w:val="en-GB" w:eastAsia="zh-CN" w:bidi="ar-SA"/>
        </w:rPr>
        <w:t>划拨</w:t>
      </w:r>
      <w:r>
        <w:rPr>
          <w:rFonts w:hint="default" w:ascii="仿宋_GB2312" w:hAnsi="仿宋_GB2312" w:eastAsia="仿宋_GB2312" w:cs="仿宋_GB2312"/>
          <w:bCs/>
          <w:color w:val="auto"/>
          <w:kern w:val="2"/>
          <w:sz w:val="28"/>
          <w:szCs w:val="28"/>
          <w:highlight w:val="none"/>
          <w:lang w:val="en-GB" w:eastAsia="zh-CN" w:bidi="ar-SA"/>
        </w:rPr>
        <w:t>用地，使用年期为无年期限制。委托方拟按现状办理出让手续，</w:t>
      </w:r>
      <w:r>
        <w:rPr>
          <w:rFonts w:hint="eastAsia" w:ascii="仿宋_GB2312" w:hAnsi="仿宋_GB2312" w:eastAsia="仿宋_GB2312" w:cs="仿宋_GB2312"/>
          <w:bCs/>
          <w:color w:val="auto"/>
          <w:kern w:val="2"/>
          <w:sz w:val="28"/>
          <w:szCs w:val="28"/>
          <w:highlight w:val="none"/>
          <w:lang w:val="en-US" w:eastAsia="zh-CN" w:bidi="ar-SA"/>
        </w:rPr>
        <w:t>土地使用年期为70年，</w:t>
      </w:r>
      <w:r>
        <w:rPr>
          <w:rFonts w:hint="default" w:ascii="仿宋_GB2312" w:hAnsi="仿宋_GB2312" w:eastAsia="仿宋_GB2312" w:cs="仿宋_GB2312"/>
          <w:bCs/>
          <w:color w:val="auto"/>
          <w:kern w:val="2"/>
          <w:sz w:val="28"/>
          <w:szCs w:val="28"/>
          <w:highlight w:val="none"/>
          <w:lang w:val="en-GB" w:eastAsia="zh-CN" w:bidi="ar-SA"/>
        </w:rPr>
        <w:t>根据评估目的并结合国务院第55号令《中华人民共和国城镇国有土地使用权出让和转让暂行条例》</w:t>
      </w:r>
      <w:r>
        <w:rPr>
          <w:rFonts w:hint="eastAsia" w:ascii="仿宋_GB2312" w:hAnsi="仿宋_GB2312" w:eastAsia="仿宋_GB2312" w:cs="仿宋_GB2312"/>
          <w:bCs/>
          <w:color w:val="auto"/>
          <w:kern w:val="2"/>
          <w:sz w:val="28"/>
          <w:szCs w:val="28"/>
          <w:highlight w:val="none"/>
          <w:lang w:val="en-US" w:eastAsia="zh-CN" w:bidi="ar-SA"/>
        </w:rPr>
        <w:t>和《土地资产评估委托书》</w:t>
      </w:r>
      <w:r>
        <w:rPr>
          <w:rFonts w:hint="default" w:ascii="仿宋_GB2312" w:hAnsi="仿宋_GB2312" w:eastAsia="仿宋_GB2312" w:cs="仿宋_GB2312"/>
          <w:bCs/>
          <w:color w:val="auto"/>
          <w:kern w:val="2"/>
          <w:sz w:val="28"/>
          <w:szCs w:val="28"/>
          <w:highlight w:val="none"/>
          <w:lang w:val="en-GB" w:eastAsia="zh-CN" w:bidi="ar-SA"/>
        </w:rPr>
        <w:t>，本次评估设定土地用途为住宅用地，本次评估现状利用条件下的出让土地使用权价格的土地使用权年限为</w:t>
      </w:r>
      <w:r>
        <w:rPr>
          <w:rFonts w:hint="eastAsia" w:ascii="仿宋_GB2312" w:hAnsi="仿宋_GB2312" w:eastAsia="仿宋_GB2312" w:cs="仿宋_GB2312"/>
          <w:bCs/>
          <w:color w:val="auto"/>
          <w:kern w:val="2"/>
          <w:sz w:val="28"/>
          <w:szCs w:val="28"/>
          <w:highlight w:val="none"/>
          <w:lang w:val="en-US" w:eastAsia="zh-CN" w:bidi="ar-SA"/>
        </w:rPr>
        <w:t>70年</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14B9A40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3.土地他项权利状况：根据委托估价方提供的资料，估价对象与相邻地地界分明，无地上地下相邻相关权利限制。至估价期日止，估价对象未设置抵押权、担保权、地役权、租赁权等他项权利限制。</w:t>
      </w:r>
    </w:p>
    <w:p w14:paraId="1DE068E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4.相邻关系：估价对象权属清晰，四至界址明确，无权属纠纷，无相邻权利人道路通行权等相邻关系。</w:t>
      </w:r>
    </w:p>
    <w:p w14:paraId="616CAF5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（三）土地利用状况</w:t>
      </w:r>
    </w:p>
    <w:p w14:paraId="4D3BED0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14:paraId="07DAFF7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根据委托方提供的资料及估价人员的现场勘查，估价对象实际开发程度为红线内外“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通”（通路、通电、供水、排水、通讯）和红线内场地平整，估价对象所在整体宗地上有一栋混合结构</w:t>
      </w:r>
      <w:r>
        <w:rPr>
          <w:rFonts w:hint="eastAsia" w:ascii="仿宋_GB2312" w:hAnsi="仿宋_GB2312" w:eastAsia="仿宋_GB2312" w:cs="仿宋_GB2312"/>
          <w:bCs/>
          <w:color w:val="auto"/>
          <w:kern w:val="2"/>
          <w:sz w:val="28"/>
          <w:szCs w:val="28"/>
          <w:highlight w:val="none"/>
          <w:lang w:val="en-US" w:eastAsia="zh-CN" w:bidi="ar-SA"/>
        </w:rPr>
        <w:t>建筑物</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3063C86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1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020BC7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30415247">
            <w:pPr>
              <w:pStyle w:val="18"/>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94610" cy="2584450"/>
                  <wp:effectExtent l="0" t="0" r="15240" b="6350"/>
                  <wp:docPr id="12" name="图片 12" descr="微信图片_20260515163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微信图片_20260515163404"/>
                          <pic:cNvPicPr>
                            <a:picLocks noChangeAspect="1"/>
                          </pic:cNvPicPr>
                        </pic:nvPicPr>
                        <pic:blipFill>
                          <a:blip r:embed="rId19"/>
                          <a:stretch>
                            <a:fillRect/>
                          </a:stretch>
                        </pic:blipFill>
                        <pic:spPr>
                          <a:xfrm>
                            <a:off x="0" y="0"/>
                            <a:ext cx="2594610" cy="2584450"/>
                          </a:xfrm>
                          <a:prstGeom prst="rect">
                            <a:avLst/>
                          </a:prstGeom>
                        </pic:spPr>
                      </pic:pic>
                    </a:graphicData>
                  </a:graphic>
                </wp:inline>
              </w:drawing>
            </w:r>
          </w:p>
        </w:tc>
        <w:tc>
          <w:tcPr>
            <w:tcW w:w="2466" w:type="pct"/>
          </w:tcPr>
          <w:p w14:paraId="5A6BB49E">
            <w:pPr>
              <w:pStyle w:val="18"/>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1585" cy="2574925"/>
                  <wp:effectExtent l="0" t="0" r="12065" b="15875"/>
                  <wp:docPr id="13" name="图片 13" descr="微信图片_2026051516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微信图片_20260515163412"/>
                          <pic:cNvPicPr>
                            <a:picLocks noChangeAspect="1"/>
                          </pic:cNvPicPr>
                        </pic:nvPicPr>
                        <pic:blipFill>
                          <a:blip r:embed="rId20"/>
                          <a:srcRect b="21567"/>
                          <a:stretch>
                            <a:fillRect/>
                          </a:stretch>
                        </pic:blipFill>
                        <pic:spPr>
                          <a:xfrm>
                            <a:off x="0" y="0"/>
                            <a:ext cx="2521585" cy="2574925"/>
                          </a:xfrm>
                          <a:prstGeom prst="rect">
                            <a:avLst/>
                          </a:prstGeom>
                        </pic:spPr>
                      </pic:pic>
                    </a:graphicData>
                  </a:graphic>
                </wp:inline>
              </w:drawing>
            </w:r>
          </w:p>
        </w:tc>
      </w:tr>
    </w:tbl>
    <w:p w14:paraId="1807EDE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根据受托估价人员现场勘察，估价</w:t>
      </w:r>
      <w:r>
        <w:rPr>
          <w:rFonts w:hint="eastAsia" w:ascii="仿宋_GB2312" w:hAnsi="仿宋_GB2312" w:eastAsia="仿宋_GB2312" w:cs="仿宋_GB2312"/>
          <w:bCs/>
          <w:color w:val="auto"/>
          <w:kern w:val="2"/>
          <w:sz w:val="28"/>
          <w:szCs w:val="28"/>
          <w:highlight w:val="none"/>
          <w:lang w:val="en-US" w:eastAsia="zh-CN" w:bidi="ar-SA"/>
        </w:rPr>
        <w:t>对象位于月岩西路皮革厂家属楼3栋4层404房</w:t>
      </w:r>
      <w:r>
        <w:rPr>
          <w:rFonts w:hint="default" w:ascii="仿宋_GB2312" w:hAnsi="仿宋_GB2312" w:eastAsia="仿宋_GB2312" w:cs="仿宋_GB2312"/>
          <w:bCs/>
          <w:color w:val="auto"/>
          <w:kern w:val="2"/>
          <w:sz w:val="28"/>
          <w:szCs w:val="28"/>
          <w:highlight w:val="none"/>
          <w:lang w:val="en-GB" w:eastAsia="zh-CN" w:bidi="ar-SA"/>
        </w:rPr>
        <w:t>，所在宗地上有独栋建筑物，总层数为</w:t>
      </w:r>
      <w:r>
        <w:rPr>
          <w:rFonts w:hint="eastAsia" w:ascii="仿宋_GB2312" w:hAnsi="仿宋_GB2312" w:eastAsia="仿宋_GB2312" w:cs="仿宋_GB2312"/>
          <w:bCs/>
          <w:color w:val="auto"/>
          <w:kern w:val="2"/>
          <w:sz w:val="28"/>
          <w:szCs w:val="28"/>
          <w:highlight w:val="none"/>
          <w:lang w:val="en-US" w:eastAsia="zh-CN" w:bidi="ar-SA"/>
        </w:rPr>
        <w:t>5层</w:t>
      </w:r>
      <w:r>
        <w:rPr>
          <w:rFonts w:hint="default" w:ascii="仿宋_GB2312" w:hAnsi="仿宋_GB2312" w:eastAsia="仿宋_GB2312" w:cs="仿宋_GB2312"/>
          <w:bCs/>
          <w:color w:val="auto"/>
          <w:kern w:val="2"/>
          <w:sz w:val="28"/>
          <w:szCs w:val="28"/>
          <w:highlight w:val="none"/>
          <w:lang w:val="en-GB" w:eastAsia="zh-CN" w:bidi="ar-SA"/>
        </w:rPr>
        <w:t>，业主房屋所在层数为</w:t>
      </w:r>
      <w:r>
        <w:rPr>
          <w:rFonts w:hint="eastAsia" w:ascii="仿宋_GB2312" w:hAnsi="仿宋_GB2312" w:eastAsia="仿宋_GB2312" w:cs="仿宋_GB2312"/>
          <w:bCs/>
          <w:color w:val="auto"/>
          <w:kern w:val="2"/>
          <w:sz w:val="28"/>
          <w:szCs w:val="28"/>
          <w:highlight w:val="none"/>
          <w:lang w:val="en-US" w:eastAsia="zh-CN" w:bidi="ar-SA"/>
        </w:rPr>
        <w:t>4层</w:t>
      </w:r>
      <w:r>
        <w:rPr>
          <w:rFonts w:hint="default" w:ascii="仿宋_GB2312" w:hAnsi="仿宋_GB2312" w:eastAsia="仿宋_GB2312" w:cs="仿宋_GB2312"/>
          <w:bCs/>
          <w:color w:val="auto"/>
          <w:kern w:val="2"/>
          <w:sz w:val="28"/>
          <w:szCs w:val="28"/>
          <w:highlight w:val="none"/>
          <w:lang w:val="en-GB" w:eastAsia="zh-CN" w:bidi="ar-SA"/>
        </w:rPr>
        <w:t>，建筑物为</w:t>
      </w:r>
      <w:r>
        <w:rPr>
          <w:rFonts w:hint="eastAsia" w:ascii="仿宋_GB2312" w:hAnsi="仿宋_GB2312" w:eastAsia="仿宋_GB2312" w:cs="仿宋_GB2312"/>
          <w:bCs/>
          <w:color w:val="auto"/>
          <w:kern w:val="2"/>
          <w:sz w:val="28"/>
          <w:szCs w:val="28"/>
          <w:highlight w:val="none"/>
          <w:lang w:val="en-US" w:eastAsia="zh-CN" w:bidi="ar-SA"/>
        </w:rPr>
        <w:t>砖混</w:t>
      </w:r>
      <w:r>
        <w:rPr>
          <w:rFonts w:hint="default" w:ascii="仿宋_GB2312" w:hAnsi="仿宋_GB2312" w:eastAsia="仿宋_GB2312" w:cs="仿宋_GB2312"/>
          <w:bCs/>
          <w:color w:val="auto"/>
          <w:kern w:val="2"/>
          <w:sz w:val="28"/>
          <w:szCs w:val="28"/>
          <w:highlight w:val="none"/>
          <w:lang w:val="en-GB" w:eastAsia="zh-CN" w:bidi="ar-SA"/>
        </w:rPr>
        <w:t>结构，</w:t>
      </w:r>
      <w:r>
        <w:rPr>
          <w:rFonts w:hint="eastAsia" w:ascii="仿宋_GB2312" w:hAnsi="仿宋_GB2312" w:eastAsia="仿宋_GB2312" w:cs="仿宋_GB2312"/>
          <w:bCs/>
          <w:color w:val="auto"/>
          <w:kern w:val="2"/>
          <w:sz w:val="28"/>
          <w:szCs w:val="28"/>
          <w:highlight w:val="none"/>
          <w:lang w:val="en-US" w:eastAsia="zh-CN" w:bidi="ar-SA"/>
        </w:rPr>
        <w:t>不锈钢及木质入户门，塑钢窗户，铁艺防盗网，外墙双飞粉，屋内地贴瓷砖，顶棚木质装饰吊顶，简单装修，</w:t>
      </w:r>
      <w:r>
        <w:rPr>
          <w:rFonts w:hint="default" w:ascii="仿宋_GB2312" w:hAnsi="仿宋_GB2312" w:eastAsia="仿宋_GB2312" w:cs="仿宋_GB2312"/>
          <w:bCs/>
          <w:color w:val="auto"/>
          <w:kern w:val="2"/>
          <w:sz w:val="28"/>
          <w:szCs w:val="28"/>
          <w:highlight w:val="none"/>
          <w:lang w:val="en-GB" w:eastAsia="zh-CN" w:bidi="ar-SA"/>
        </w:rPr>
        <w:t>维护保养状况</w:t>
      </w:r>
      <w:r>
        <w:rPr>
          <w:rFonts w:hint="eastAsia" w:ascii="仿宋_GB2312" w:hAnsi="仿宋_GB2312" w:eastAsia="仿宋_GB2312" w:cs="仿宋_GB2312"/>
          <w:bCs/>
          <w:color w:val="auto"/>
          <w:kern w:val="2"/>
          <w:sz w:val="28"/>
          <w:szCs w:val="28"/>
          <w:highlight w:val="none"/>
          <w:lang w:val="en-US" w:eastAsia="zh-CN" w:bidi="ar-SA"/>
        </w:rPr>
        <w:t>一般</w:t>
      </w:r>
      <w:r>
        <w:rPr>
          <w:rFonts w:hint="default" w:ascii="仿宋_GB2312" w:hAnsi="仿宋_GB2312" w:eastAsia="仿宋_GB2312" w:cs="仿宋_GB2312"/>
          <w:bCs/>
          <w:color w:val="auto"/>
          <w:kern w:val="2"/>
          <w:sz w:val="28"/>
          <w:szCs w:val="28"/>
          <w:highlight w:val="none"/>
          <w:lang w:val="en-GB" w:eastAsia="zh-CN" w:bidi="ar-SA"/>
        </w:rPr>
        <w:t>，约</w:t>
      </w:r>
      <w:r>
        <w:rPr>
          <w:rFonts w:hint="eastAsia" w:ascii="仿宋_GB2312" w:hAnsi="仿宋_GB2312" w:eastAsia="仿宋_GB2312" w:cs="仿宋_GB2312"/>
          <w:bCs/>
          <w:color w:val="auto"/>
          <w:kern w:val="2"/>
          <w:sz w:val="28"/>
          <w:szCs w:val="28"/>
          <w:highlight w:val="none"/>
          <w:lang w:val="en-US" w:eastAsia="zh-CN" w:bidi="ar-SA"/>
        </w:rPr>
        <w:t>七成新</w:t>
      </w:r>
      <w:r>
        <w:rPr>
          <w:rFonts w:hint="default" w:ascii="仿宋_GB2312" w:hAnsi="仿宋_GB2312" w:eastAsia="仿宋_GB2312" w:cs="仿宋_GB2312"/>
          <w:bCs/>
          <w:color w:val="auto"/>
          <w:kern w:val="2"/>
          <w:sz w:val="28"/>
          <w:szCs w:val="28"/>
          <w:highlight w:val="none"/>
          <w:lang w:val="en-GB" w:eastAsia="zh-CN" w:bidi="ar-SA"/>
        </w:rPr>
        <w:t>，房屋整体经济耐用年限为50年，已使用</w:t>
      </w:r>
      <w:r>
        <w:rPr>
          <w:rFonts w:hint="eastAsia" w:ascii="仿宋_GB2312" w:hAnsi="仿宋_GB2312" w:eastAsia="仿宋_GB2312" w:cs="仿宋_GB2312"/>
          <w:bCs/>
          <w:color w:val="auto"/>
          <w:kern w:val="2"/>
          <w:sz w:val="28"/>
          <w:szCs w:val="28"/>
          <w:highlight w:val="none"/>
          <w:lang w:val="en-US" w:eastAsia="zh-CN" w:bidi="ar-SA"/>
        </w:rPr>
        <w:t>22年</w:t>
      </w:r>
      <w:r>
        <w:rPr>
          <w:rFonts w:hint="default" w:ascii="仿宋_GB2312" w:hAnsi="仿宋_GB2312" w:eastAsia="仿宋_GB2312" w:cs="仿宋_GB2312"/>
          <w:bCs/>
          <w:color w:val="auto"/>
          <w:kern w:val="2"/>
          <w:sz w:val="28"/>
          <w:szCs w:val="28"/>
          <w:highlight w:val="none"/>
          <w:lang w:val="en-GB" w:eastAsia="zh-CN" w:bidi="ar-SA"/>
        </w:rPr>
        <w:t>，剩余使用年限为</w:t>
      </w:r>
      <w:r>
        <w:rPr>
          <w:rFonts w:hint="eastAsia" w:ascii="仿宋_GB2312" w:hAnsi="仿宋_GB2312" w:eastAsia="仿宋_GB2312" w:cs="仿宋_GB2312"/>
          <w:bCs/>
          <w:color w:val="auto"/>
          <w:kern w:val="2"/>
          <w:sz w:val="28"/>
          <w:szCs w:val="28"/>
          <w:highlight w:val="none"/>
          <w:lang w:val="en-US" w:eastAsia="zh-CN" w:bidi="ar-SA"/>
        </w:rPr>
        <w:t>28</w:t>
      </w:r>
      <w:r>
        <w:rPr>
          <w:rFonts w:hint="default" w:ascii="仿宋_GB2312" w:hAnsi="仿宋_GB2312" w:eastAsia="仿宋_GB2312" w:cs="仿宋_GB2312"/>
          <w:bCs/>
          <w:color w:val="auto"/>
          <w:kern w:val="2"/>
          <w:sz w:val="28"/>
          <w:szCs w:val="28"/>
          <w:highlight w:val="none"/>
          <w:lang w:val="en-GB" w:eastAsia="zh-CN" w:bidi="ar-SA"/>
        </w:rPr>
        <w:t>年。根据委托方提供的估价对象</w:t>
      </w:r>
      <w:r>
        <w:rPr>
          <w:rFonts w:hint="eastAsia" w:ascii="仿宋_GB2312" w:eastAsia="仿宋_GB2312"/>
          <w:color w:val="000000" w:themeColor="text1"/>
          <w:sz w:val="28"/>
          <w:szCs w:val="30"/>
          <w:highlight w:val="none"/>
          <w:lang w:eastAsia="zh-CN"/>
          <w14:textFill>
            <w14:solidFill>
              <w14:schemeClr w14:val="tx1"/>
            </w14:solidFill>
          </w14:textFill>
        </w:rPr>
        <w:t>《户室面积对照表》、《土地分摊表》</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估价对象建筑面积为</w:t>
      </w:r>
      <w:r>
        <w:rPr>
          <w:rFonts w:hint="eastAsia" w:ascii="仿宋_GB2312" w:hAnsi="仿宋_GB2312" w:eastAsia="仿宋_GB2312" w:cs="仿宋_GB2312"/>
          <w:bCs/>
          <w:color w:val="auto"/>
          <w:kern w:val="2"/>
          <w:sz w:val="28"/>
          <w:szCs w:val="28"/>
          <w:highlight w:val="none"/>
          <w:lang w:val="en-US" w:eastAsia="zh-CN" w:bidi="ar-SA"/>
        </w:rPr>
        <w:t>73.415平方米，分摊土地使用权面积15.2平方米</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根据《评估委托书》</w:t>
      </w:r>
      <w:r>
        <w:rPr>
          <w:rFonts w:hint="default" w:ascii="仿宋_GB2312" w:hAnsi="仿宋_GB2312" w:eastAsia="仿宋_GB2312" w:cs="仿宋_GB2312"/>
          <w:bCs/>
          <w:color w:val="auto"/>
          <w:kern w:val="2"/>
          <w:sz w:val="28"/>
          <w:szCs w:val="28"/>
          <w:highlight w:val="none"/>
          <w:lang w:val="en-GB" w:eastAsia="zh-CN" w:bidi="ar-SA"/>
        </w:rPr>
        <w:t>委托方拟按估价对象现状使用条件进行出让</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则估价对象现状容积率</w:t>
      </w:r>
      <w:r>
        <w:rPr>
          <w:rFonts w:hint="eastAsia" w:ascii="仿宋_GB2312" w:hAnsi="仿宋_GB2312" w:eastAsia="仿宋_GB2312" w:cs="仿宋_GB2312"/>
          <w:bCs/>
          <w:color w:val="auto"/>
          <w:kern w:val="2"/>
          <w:sz w:val="28"/>
          <w:szCs w:val="28"/>
          <w:highlight w:val="none"/>
          <w:lang w:val="en-GB" w:eastAsia="zh-CN" w:bidi="ar-SA"/>
        </w:rPr>
        <w:t>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。根据估价目的，本次评估设定土地容积率为</w:t>
      </w:r>
      <w:r>
        <w:rPr>
          <w:rFonts w:hint="eastAsia" w:ascii="仿宋_GB2312" w:hAnsi="仿宋_GB2312" w:eastAsia="仿宋_GB2312" w:cs="仿宋_GB2312"/>
          <w:bCs/>
          <w:color w:val="auto"/>
          <w:kern w:val="2"/>
          <w:sz w:val="28"/>
          <w:szCs w:val="28"/>
          <w:highlight w:val="none"/>
          <w:lang w:val="en-US" w:eastAsia="zh-CN" w:bidi="ar-SA"/>
        </w:rPr>
        <w:t>4.83。</w:t>
      </w:r>
    </w:p>
    <w:p w14:paraId="4F3EE45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3C4C90C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49F5642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w:t>
      </w:r>
      <w:r>
        <w:rPr>
          <w:rFonts w:hint="eastAsia" w:ascii="仿宋_GB2312" w:eastAsia="仿宋_GB2312"/>
          <w:color w:val="000000" w:themeColor="text1"/>
          <w:sz w:val="28"/>
          <w:szCs w:val="30"/>
          <w:highlight w:val="none"/>
          <w:lang w:eastAsia="zh-CN"/>
          <w14:textFill>
            <w14:solidFill>
              <w14:schemeClr w14:val="tx1"/>
            </w14:solidFill>
          </w14:textFill>
        </w:rPr>
        <w:t>《评估委托书》、《户室面积对照表》、《土地分摊表》</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及现场勘查状况，估价对象</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土地面积为15.2平方米，建筑面积73.415平方米，容积率为4.83。</w:t>
      </w:r>
    </w:p>
    <w:p w14:paraId="4B11E69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035041E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现状</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利用下价值利用状况为最有效利用。故设定估价对象为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，设定容积率为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4.83，</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其余指标均取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现状</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值为最佳利用方式。</w:t>
      </w:r>
    </w:p>
    <w:p w14:paraId="12FEE72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0C8972B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highlight w:val="none"/>
          <w:lang w:val="en-US" w:eastAsia="zh-CN"/>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116EA5CF">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default"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t>四</w:t>
      </w:r>
      <w:r>
        <w:rPr>
          <w:rFonts w:hint="default" w:ascii="仿宋_GB2312" w:hAnsi="仿宋_GB2312" w:eastAsia="仿宋_GB2312" w:cs="仿宋_GB2312"/>
          <w:b/>
          <w:bCs w:val="0"/>
          <w:color w:val="auto"/>
          <w:sz w:val="28"/>
          <w:szCs w:val="28"/>
          <w:highlight w:val="none"/>
          <w:lang w:val="en-US" w:eastAsia="zh-CN"/>
        </w:rPr>
        <w:t>、地价影响因素分析</w:t>
      </w:r>
    </w:p>
    <w:p w14:paraId="0FAB045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2"/>
        <w:rPr>
          <w:rFonts w:hint="default" w:ascii="仿宋_GB2312" w:hAnsi="仿宋_GB2312" w:eastAsia="仿宋_GB2312" w:cs="仿宋_GB2312"/>
          <w:bCs/>
          <w:color w:val="auto"/>
          <w:sz w:val="28"/>
          <w:szCs w:val="28"/>
          <w:highlight w:val="none"/>
          <w:lang w:val="en-US" w:eastAsia="zh-CN"/>
        </w:rPr>
      </w:pPr>
      <w:r>
        <w:rPr>
          <w:rFonts w:hint="default" w:ascii="仿宋_GB2312" w:hAnsi="仿宋_GB2312" w:eastAsia="仿宋_GB2312" w:cs="仿宋_GB2312"/>
          <w:bCs/>
          <w:color w:val="auto"/>
          <w:sz w:val="28"/>
          <w:szCs w:val="28"/>
          <w:highlight w:val="none"/>
          <w:lang w:val="en-US" w:eastAsia="zh-CN"/>
        </w:rPr>
        <w:t>（一）一般因素</w:t>
      </w:r>
    </w:p>
    <w:p w14:paraId="21FCCC6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7A097D3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1.城市资源状况</w:t>
      </w:r>
    </w:p>
    <w:p w14:paraId="1438B74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（1）地理位置</w:t>
      </w:r>
    </w:p>
    <w:p w14:paraId="16E4DDC9">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1EBC4F2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（2）地形地貌</w:t>
      </w:r>
    </w:p>
    <w:p w14:paraId="68FC76C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08AF2A9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（3）气候</w:t>
      </w:r>
    </w:p>
    <w:p w14:paraId="55DDDD0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66E6D91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（4）水文</w:t>
      </w:r>
    </w:p>
    <w:p w14:paraId="694F506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593E539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人口</w:t>
      </w:r>
    </w:p>
    <w:p w14:paraId="58A1E26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7F84F47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（6）交通运输</w:t>
      </w:r>
    </w:p>
    <w:p w14:paraId="003706D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0789617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土地概况</w:t>
      </w:r>
    </w:p>
    <w:p w14:paraId="4AAC2D3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2月8日，道县第三次国土调查结果经县政府、永州市“三调”办审议并原则同意后，道县第三次国土调查领导小组办公室、道县自然资源局、道县统计局印发了《道县第三次国土调查主要数据公报》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主要地类数据如下：</w:t>
      </w:r>
    </w:p>
    <w:p w14:paraId="736A44F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耕地664793.55亩(44319.57公顷)。其中，水田482094.830亩(32139.50公顷),占比74.832%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68776BE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亩(13.97公顷),占比0.06%;其他园地170854.835亩(11390.17公顷),占比50.62%。总体来看，园地主要分布在祥霖铺镇、审章塘瑶族乡、白芒铺镇、柑子园镇、蚣坝镇、白马渡镇、东门街道和上关街道等。</w:t>
      </w:r>
    </w:p>
    <w:p w14:paraId="5BBC744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4C44A2A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53E8C5D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5D93154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6）城镇村及工矿用地190153.80亩(12676.92公顷)。</w:t>
      </w:r>
    </w:p>
    <w:p w14:paraId="5381039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5E6B570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37CD6FC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8）水域及水利设施用地145174.35亩(9678.29公顷)。</w:t>
      </w:r>
    </w:p>
    <w:p w14:paraId="4FF5A2A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2F0973A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2.不动产制度与不动产市场状况</w:t>
      </w:r>
    </w:p>
    <w:p w14:paraId="6C442BA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（1）土地制度</w:t>
      </w:r>
    </w:p>
    <w:p w14:paraId="72240E5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56806FC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1）土地所有制</w:t>
      </w:r>
    </w:p>
    <w:p w14:paraId="616591A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160AAB2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①国有土地</w:t>
      </w:r>
    </w:p>
    <w:p w14:paraId="748591A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2593C09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57D3460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②集体土地</w:t>
      </w:r>
    </w:p>
    <w:p w14:paraId="76288F4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1E7A7E6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2）土地管理的基本制度</w:t>
      </w:r>
    </w:p>
    <w:p w14:paraId="009F744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①实行土地登记制度</w:t>
      </w:r>
    </w:p>
    <w:p w14:paraId="2297251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6C2A5E7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②实行土地有偿有限期使用制度</w:t>
      </w:r>
    </w:p>
    <w:p w14:paraId="777D9F3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5F39CCE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0DCE95F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③实行土地用途管制制度</w:t>
      </w:r>
    </w:p>
    <w:p w14:paraId="117AE44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1EA7BCF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④实行耕地保护制度</w:t>
      </w:r>
    </w:p>
    <w:p w14:paraId="5624A46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476D477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（2）住房制度</w:t>
      </w:r>
    </w:p>
    <w:p w14:paraId="0F03E9D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36DDB85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2020年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8月18</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人民政府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66DDBE5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47C8F71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（3）地价政策</w:t>
      </w:r>
    </w:p>
    <w:p w14:paraId="4B28DB8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%的上调，各等级片区划分有一定微调。</w:t>
      </w:r>
    </w:p>
    <w:p w14:paraId="38FD604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w:t>
      </w:r>
    </w:p>
    <w:p w14:paraId="1E3CEF9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（4）不动产市场状况</w:t>
      </w:r>
    </w:p>
    <w:p w14:paraId="7D535F9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1）土地市场状况</w:t>
      </w:r>
    </w:p>
    <w:p w14:paraId="430376B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①土地供应总量 </w:t>
      </w:r>
    </w:p>
    <w:p w14:paraId="739449E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235500BC">
      <w:pPr>
        <w:keepLines w:val="0"/>
        <w:pageBreakBefore w:val="0"/>
        <w:kinsoku/>
        <w:wordWrap/>
        <w:overflowPunct/>
        <w:topLinePunct w:val="0"/>
        <w:autoSpaceDE/>
        <w:autoSpaceDN/>
        <w:bidi w:val="0"/>
        <w:spacing w:line="480" w:lineRule="exact"/>
        <w:ind w:firstLine="560" w:firstLineChars="200"/>
        <w:jc w:val="center"/>
        <w:textAlignment w:val="auto"/>
        <w:outlineLvl w:val="9"/>
        <w:rPr>
          <w:rFonts w:hint="eastAsia" w:ascii="仿宋_GB2312" w:eastAsia="仿宋_GB2312"/>
          <w:color w:val="000000" w:themeColor="text1"/>
          <w:sz w:val="28"/>
          <w:szCs w:val="30"/>
          <w:highlight w:val="none"/>
          <w14:textFill>
            <w14:solidFill>
              <w14:schemeClr w14:val="tx1"/>
            </w14:solidFill>
          </w14:textFill>
        </w:rPr>
      </w:pPr>
      <w:r>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12"/>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59797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43A8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BD78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9BEBE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94FCE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总面积（公顷）</w:t>
            </w:r>
          </w:p>
        </w:tc>
      </w:tr>
      <w:tr w14:paraId="2A2CE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BF54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default"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B84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BABEC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CC737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24F52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5DE2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03EC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68632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7C332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79DBC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2EA1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C4C5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EFC8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CBA1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548CB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3B2DB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A8A4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08F7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FC66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55724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B588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31BC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D4AF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22D50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3ED1A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DF83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20FB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3349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5016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r w14:paraId="767604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8613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1F2E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C8DD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D6157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194.49</w:t>
            </w:r>
          </w:p>
        </w:tc>
      </w:tr>
      <w:tr w14:paraId="32BA5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929F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0050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7CC6C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EDEF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100.00%</w:t>
            </w:r>
          </w:p>
        </w:tc>
      </w:tr>
    </w:tbl>
    <w:p w14:paraId="1187122C">
      <w:pPr>
        <w:pStyle w:val="11"/>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outlineLvl w:val="9"/>
        <w:rPr>
          <w:rFonts w:hint="eastAsia" w:eastAsia="仿宋_GB2312"/>
          <w:color w:val="000000" w:themeColor="text1"/>
          <w:highlight w:val="none"/>
          <w:lang w:eastAsia="zh-CN"/>
          <w14:textFill>
            <w14:solidFill>
              <w14:schemeClr w14:val="tx1"/>
            </w14:solidFill>
          </w14:textFill>
        </w:rPr>
      </w:pPr>
    </w:p>
    <w:p w14:paraId="607F7C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4654550" cy="2590800"/>
            <wp:effectExtent l="4445" t="4445" r="8255" b="14605"/>
            <wp:docPr id="1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19D77C7B">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pPr>
      <w:r>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t>道县2020-2024年土地供应总量图</w:t>
      </w:r>
    </w:p>
    <w:p w14:paraId="7905243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②土地供应结构 </w:t>
      </w:r>
    </w:p>
    <w:p w14:paraId="5052A3A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6C51614D">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道县2020-2024年土地供应情况表</w:t>
      </w:r>
    </w:p>
    <w:p w14:paraId="28C572CF">
      <w:pPr>
        <w:pStyle w:val="18"/>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单位：公顷</w:t>
      </w:r>
    </w:p>
    <w:p w14:paraId="0DF6B3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757545" cy="2015490"/>
            <wp:effectExtent l="0" t="0" r="14605" b="381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22"/>
                    <a:stretch>
                      <a:fillRect/>
                    </a:stretch>
                  </pic:blipFill>
                  <pic:spPr>
                    <a:xfrm>
                      <a:off x="0" y="0"/>
                      <a:ext cx="5757545" cy="2015490"/>
                    </a:xfrm>
                    <a:prstGeom prst="rect">
                      <a:avLst/>
                    </a:prstGeom>
                    <a:noFill/>
                    <a:ln>
                      <a:noFill/>
                    </a:ln>
                  </pic:spPr>
                </pic:pic>
              </a:graphicData>
            </a:graphic>
          </wp:inline>
        </w:drawing>
      </w:r>
    </w:p>
    <w:p w14:paraId="6A641D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color w:val="000000" w:themeColor="text1"/>
          <w:highlight w:val="none"/>
          <w14:textFill>
            <w14:solidFill>
              <w14:schemeClr w14:val="tx1"/>
            </w14:solidFill>
          </w14:textFill>
        </w:rPr>
      </w:pPr>
    </w:p>
    <w:p w14:paraId="0112E7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3742055" cy="2219960"/>
            <wp:effectExtent l="4445" t="4445" r="6350" b="23495"/>
            <wp:docPr id="18"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43114BD7">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道县2020-2024年土地供应结构图</w:t>
      </w:r>
    </w:p>
    <w:p w14:paraId="340D3CC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③土地供应方式 </w:t>
      </w:r>
    </w:p>
    <w:p w14:paraId="6CBC7BB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0CCC61A7">
      <w:pPr>
        <w:keepLines w:val="0"/>
        <w:pageBreakBefore w:val="0"/>
        <w:kinsoku/>
        <w:wordWrap/>
        <w:overflowPunct/>
        <w:topLinePunct w:val="0"/>
        <w:autoSpaceDE/>
        <w:autoSpaceDN/>
        <w:bidi w:val="0"/>
        <w:spacing w:line="480" w:lineRule="exact"/>
        <w:ind w:firstLine="560" w:firstLineChars="20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道县2020-2024年土地供应方式情况表</w:t>
      </w:r>
    </w:p>
    <w:p w14:paraId="49DE1016">
      <w:pPr>
        <w:pStyle w:val="18"/>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单位：公顷</w:t>
      </w:r>
    </w:p>
    <w:tbl>
      <w:tblPr>
        <w:tblStyle w:val="12"/>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6309F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E221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39352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F54F7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0900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供应总量</w:t>
            </w:r>
          </w:p>
        </w:tc>
      </w:tr>
      <w:tr w14:paraId="303BF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AF48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BF12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74AA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62B5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37F78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6390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0E9D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FA87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08BD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4EDC9A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4F165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B42B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BDDD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E2C0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328F0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74D6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9AAC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AE7A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45212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3D3E92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D4A2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6C3E2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E952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C914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60B68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11C3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9514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36BD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BB58C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bl>
    <w:p w14:paraId="37D7FD0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④土地供应分布 </w:t>
      </w:r>
    </w:p>
    <w:p w14:paraId="0BEDB29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2128B36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2）房地产市场状况</w:t>
      </w:r>
    </w:p>
    <w:p w14:paraId="20A22A4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631E143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3834C2F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4D1BD16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2D13409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41E44BD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3.产业政策</w:t>
      </w:r>
    </w:p>
    <w:p w14:paraId="4583835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（1）相关产业政策</w:t>
      </w:r>
    </w:p>
    <w:p w14:paraId="5FBF8281">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485ECD3E">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4624160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622EC00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0A7B466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26C934A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33822BF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4F253D9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0C05CB7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34F4137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278850E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6C2A358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在帮助企业纾困解难方面有六条措施：</w:t>
      </w:r>
    </w:p>
    <w:p w14:paraId="48D63F26">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666A03F1">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0D7AA0FB">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69447510">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3E35A85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2FAC606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6AA216A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2023年5月，道县人民政府关于印发《道县进一步促进房地产市场平稳健康发展的十条措施》的通知，结合道县实际，制定十条措施保障房地产市场健康发展：</w:t>
      </w:r>
    </w:p>
    <w:p w14:paraId="6A8A2596">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03E2D49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6DE645D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1A1E4FB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08C04C9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23908F8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6540CCB3">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1EFFB4A1">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06E4F80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7AAB657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4A24363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（2）税收政策</w:t>
      </w:r>
    </w:p>
    <w:p w14:paraId="37708ED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0002475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1）契税</w:t>
      </w:r>
    </w:p>
    <w:p w14:paraId="7ED46D2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纳税人：转移土地、房屋权属，承受的单位和个人；</w:t>
      </w:r>
    </w:p>
    <w:p w14:paraId="7078261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20AD870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税率：3%—5%</w:t>
      </w:r>
    </w:p>
    <w:p w14:paraId="640F5B5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w:t>
      </w:r>
    </w:p>
    <w:p w14:paraId="53830E4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2）城镇土地使用税</w:t>
      </w:r>
    </w:p>
    <w:p w14:paraId="767DAE3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60AC37D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计税依据：实际占用土地面积；</w:t>
      </w:r>
    </w:p>
    <w:p w14:paraId="406018D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46BD207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纳税义务发生时间：取得土地后次月；</w:t>
      </w:r>
    </w:p>
    <w:p w14:paraId="489FCB2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涉税阶段：前期准备阶段、建设施工阶段、预售阶段。</w:t>
      </w:r>
    </w:p>
    <w:p w14:paraId="3480A59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3）耕地占用税</w:t>
      </w:r>
    </w:p>
    <w:p w14:paraId="74B2A31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20859EE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计税依据：占用的耕地面积</w:t>
      </w:r>
    </w:p>
    <w:p w14:paraId="4D0AF7C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5C3799F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涉税阶段：土地获取阶段、前期准备阶段。</w:t>
      </w:r>
    </w:p>
    <w:p w14:paraId="1948D20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4）印花税</w:t>
      </w:r>
    </w:p>
    <w:p w14:paraId="60EF47B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6927D66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61BE60D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51D0064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涉税阶段：土地获取阶段、建设施工阶段、预售阶段；</w:t>
      </w:r>
    </w:p>
    <w:p w14:paraId="3054DCF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5）增值税</w:t>
      </w:r>
    </w:p>
    <w:p w14:paraId="1DF87D4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0A7A321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计税方法：一般计税和简易计税；</w:t>
      </w:r>
    </w:p>
    <w:p w14:paraId="62342EB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预缴增值税：在取得预收款的次月纳税申报期预缴税款</w:t>
      </w:r>
    </w:p>
    <w:p w14:paraId="3AA45EB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房地产开发企业纳税义务发生时间：</w:t>
      </w:r>
    </w:p>
    <w:p w14:paraId="2D63592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321ED59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3D1E664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6）城市维护建设税</w:t>
      </w:r>
    </w:p>
    <w:p w14:paraId="7197336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w:t>
      </w:r>
    </w:p>
    <w:p w14:paraId="0EB5358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计税依据：纳税人实际缴纳的增值税、消费税税额；</w:t>
      </w:r>
    </w:p>
    <w:p w14:paraId="54BB88F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4FDBD84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0AB5FD4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79C57D1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7）教育费附加</w:t>
      </w:r>
    </w:p>
    <w:p w14:paraId="253BCF2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纳税人：凡缴纳增值税、消费税的单位和个人，按3%计征；</w:t>
      </w:r>
    </w:p>
    <w:p w14:paraId="7F8C48B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02DCAFE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08F791F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8）地方教育附加</w:t>
      </w:r>
    </w:p>
    <w:p w14:paraId="705654C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纳税人：缴纳增值税、消费税的单位和个人，按2%计征；</w:t>
      </w:r>
    </w:p>
    <w:p w14:paraId="5313A97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41BC518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涉税阶段：销售阶段</w:t>
      </w:r>
    </w:p>
    <w:p w14:paraId="64F17CC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9）房产税</w:t>
      </w:r>
    </w:p>
    <w:p w14:paraId="2CE39F9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纳税人：房屋产权所有人；</w:t>
      </w:r>
    </w:p>
    <w:p w14:paraId="52E2A61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786DBAE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21E4C7A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涉税阶段：前期准备阶段、建设施工阶段、销售阶段</w:t>
      </w:r>
    </w:p>
    <w:p w14:paraId="20635A3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10）土地增值税</w:t>
      </w:r>
    </w:p>
    <w:p w14:paraId="3C399F2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0AB3F45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40328A8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计税依据：对增值额征税，增值额计算要素如下：</w:t>
      </w:r>
    </w:p>
    <w:p w14:paraId="1691F6F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7BD86C8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2774BBA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36E244F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487E290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⑤涉税阶段：销售阶段、土增税清算阶段。</w:t>
      </w:r>
    </w:p>
    <w:p w14:paraId="0E867AF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11）企业所得税</w:t>
      </w:r>
    </w:p>
    <w:p w14:paraId="64BA335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24BB199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2021.1.1～2022.12.31，对小型微利企业年应纳税所得额不超过100万元的部分，减按14.83%计入应纳税所得额，按20%的税率缴纳企业所得税（税负4.83％）；对年应纳税所得额超过100万元但不超过300万元的部分，减按50%计入应纳税所得额，按20%的税率缴纳企业所得税（税负10％）。</w:t>
      </w:r>
    </w:p>
    <w:p w14:paraId="075245B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5F2356A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18F755B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3C0BEBE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12）个人所得税</w:t>
      </w:r>
    </w:p>
    <w:p w14:paraId="35BFBC9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64B8CA4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房地产开发企业纳税义务：代扣代缴个人所得税；</w:t>
      </w:r>
    </w:p>
    <w:p w14:paraId="4CBB4F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6DA9DCA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目前道县房地产税收政策与国家政策保持完全一致。</w:t>
      </w:r>
    </w:p>
    <w:p w14:paraId="36544FF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4.城市规划与发展目标</w:t>
      </w:r>
    </w:p>
    <w:p w14:paraId="74708D8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（1）城市规划</w:t>
      </w:r>
    </w:p>
    <w:p w14:paraId="1FDD729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175A9C0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22FE183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676CC47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（2）发展目标</w:t>
      </w:r>
    </w:p>
    <w:p w14:paraId="48D3FE3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2025年目标</w:t>
      </w:r>
    </w:p>
    <w:p w14:paraId="20450131">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用水平显著提高；重点环境问题得到有效整治，城乡污水处理、生活垃圾分类无害化处理实现全覆盖，生态环境持续改善，生态安全屏障更加牢固，城乡人居环境明显改善；“江湾映城、山水相融”的城市空间格局基本形成，民生设施建设取得显著成效，乡村地区基本实现集约发展，传统历史文化得到保护、传承和弘扬；现代化产业体系初具规模，科技创新能力显著增强，对外开放与区域协同水平全面提升，成为湘粤桂交汇区经济发展的核心引擎。</w:t>
      </w:r>
    </w:p>
    <w:p w14:paraId="6BF7B0C9">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2035年目标</w:t>
      </w:r>
    </w:p>
    <w:p w14:paraId="7CE62ECE">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0C9FD180">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远景展望目标</w:t>
      </w:r>
    </w:p>
    <w:p w14:paraId="29207B4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69EAD42E">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5.城市社会经济发展状况</w:t>
      </w:r>
    </w:p>
    <w:p w14:paraId="435746D8">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（1）城市经济布局</w:t>
      </w:r>
    </w:p>
    <w:p w14:paraId="058BD9B9">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根据道县人民政府网发布的消息，道县目前城市经济布局主要突出以下几个方面：</w:t>
      </w:r>
    </w:p>
    <w:p w14:paraId="533ECCB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21608E46">
      <w:pPr>
        <w:pStyle w:val="11"/>
        <w:keepNext w:val="0"/>
        <w:keepLines w:val="0"/>
        <w:pageBreakBefore w:val="0"/>
        <w:widowControl w:val="0"/>
        <w:kinsoku/>
        <w:wordWrap/>
        <w:overflowPunct/>
        <w:topLinePunct w:val="0"/>
        <w:autoSpaceDE w:val="0"/>
        <w:autoSpaceDN w:val="0"/>
        <w:bidi w:val="0"/>
        <w:adjustRightInd w:val="0"/>
        <w:snapToGrid w:val="0"/>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动火车站片区、物流园片区组团滚动发展，打造南部现代物流新城。以潇水为发展纵轴，以营阳大道（G207 道县绕城公路）、树湘大道为环线，突出上关片区开发建设，加快路网成型，产业导入，打造东部文化生态新城。</w:t>
      </w:r>
    </w:p>
    <w:p w14:paraId="55579C6D">
      <w:pPr>
        <w:pStyle w:val="11"/>
        <w:keepNext w:val="0"/>
        <w:keepLines w:val="0"/>
        <w:pageBreakBefore w:val="0"/>
        <w:widowControl w:val="0"/>
        <w:kinsoku/>
        <w:wordWrap/>
        <w:overflowPunct/>
        <w:topLinePunct w:val="0"/>
        <w:autoSpaceDE w:val="0"/>
        <w:autoSpaceDN w:val="0"/>
        <w:bidi w:val="0"/>
        <w:adjustRightInd w:val="0"/>
        <w:snapToGrid w:val="0"/>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562FF409">
      <w:pPr>
        <w:pStyle w:val="11"/>
        <w:keepNext w:val="0"/>
        <w:keepLines w:val="0"/>
        <w:pageBreakBefore w:val="0"/>
        <w:widowControl w:val="0"/>
        <w:kinsoku/>
        <w:wordWrap/>
        <w:overflowPunct/>
        <w:topLinePunct w:val="0"/>
        <w:autoSpaceDE w:val="0"/>
        <w:autoSpaceDN w:val="0"/>
        <w:bidi w:val="0"/>
        <w:adjustRightInd w:val="0"/>
        <w:snapToGrid w:val="0"/>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质增效。完善产业平台配套设施。培育城区内生增长动力和 “造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23372208">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（2）城市发展水平</w:t>
      </w:r>
    </w:p>
    <w:p w14:paraId="2668FF5C">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21F5D2ED">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4.83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2个百分点。2024年非公有制经济增加值189.73亿元，比上年增长7.3%，占地区生产总值的比重为64.58%，比上年提高1.18个百分点。</w:t>
      </w:r>
    </w:p>
    <w:p w14:paraId="36CCA48D">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2024年实现工业增加值8</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4.83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01021B77">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（3）综合实力</w:t>
      </w:r>
    </w:p>
    <w:p w14:paraId="0055A29D">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167E31BC">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（4）社会储蓄与投资</w:t>
      </w:r>
    </w:p>
    <w:p w14:paraId="40306E1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2627CDF8">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736F599F">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（5）物价变动</w:t>
      </w:r>
    </w:p>
    <w:p w14:paraId="587FCE49">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48763A0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p w14:paraId="122BBF40">
      <w:pPr>
        <w:keepNext w:val="0"/>
        <w:keepLines w:val="0"/>
        <w:pageBreakBefore w:val="0"/>
        <w:widowControl w:val="0"/>
        <w:numPr>
          <w:ilvl w:val="0"/>
          <w:numId w:val="0"/>
        </w:numPr>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outlineLvl w:val="2"/>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kern w:val="2"/>
          <w:sz w:val="28"/>
          <w:szCs w:val="28"/>
          <w:highlight w:val="none"/>
          <w:lang w:val="en-US" w:eastAsia="zh-CN" w:bidi="ar-SA"/>
        </w:rPr>
        <w:t>（二）</w:t>
      </w:r>
      <w:r>
        <w:rPr>
          <w:rFonts w:hint="eastAsia" w:ascii="仿宋_GB2312" w:hAnsi="仿宋_GB2312" w:eastAsia="仿宋_GB2312" w:cs="仿宋_GB2312"/>
          <w:bCs/>
          <w:color w:val="auto"/>
          <w:sz w:val="28"/>
          <w:szCs w:val="28"/>
          <w:highlight w:val="none"/>
          <w:lang w:val="en-US" w:eastAsia="zh-CN"/>
        </w:rPr>
        <w:t>区域因素</w:t>
      </w:r>
    </w:p>
    <w:p w14:paraId="455CC94B">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eastAsia="仿宋_GB2312"/>
          <w:sz w:val="28"/>
          <w:szCs w:val="30"/>
          <w:highlight w:val="none"/>
          <w:lang w:val="en-US" w:eastAsia="zh-CN"/>
        </w:rPr>
      </w:pPr>
      <w:r>
        <w:rPr>
          <w:rFonts w:hint="eastAsia" w:ascii="仿宋_GB2312" w:hAnsi="仿宋_GB2312" w:eastAsia="仿宋_GB2312" w:cs="仿宋_GB2312"/>
          <w:sz w:val="28"/>
          <w:highlight w:val="none"/>
          <w:lang w:val="en-US" w:eastAsia="zh-CN"/>
        </w:rPr>
        <w:t>影响</w:t>
      </w:r>
      <w:r>
        <w:rPr>
          <w:rFonts w:hint="eastAsia" w:ascii="仿宋_GB2312" w:eastAsia="仿宋_GB2312"/>
          <w:sz w:val="28"/>
          <w:szCs w:val="30"/>
          <w:highlight w:val="none"/>
          <w:lang w:val="en-US" w:eastAsia="zh-CN"/>
        </w:rPr>
        <w:t>估价对象的区域因素主要有：区域概况、交通条件、基础设施条件、环境条件、商服繁华情况、规划限制等。</w:t>
      </w:r>
    </w:p>
    <w:p w14:paraId="0E270283">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eastAsia="仿宋_GB2312"/>
          <w:sz w:val="28"/>
          <w:szCs w:val="30"/>
          <w:highlight w:val="none"/>
          <w:lang w:val="en-US" w:eastAsia="zh-CN"/>
        </w:rPr>
      </w:pPr>
      <w:r>
        <w:rPr>
          <w:rFonts w:hint="eastAsia" w:ascii="仿宋_GB2312" w:eastAsia="仿宋_GB2312"/>
          <w:sz w:val="28"/>
          <w:szCs w:val="30"/>
          <w:highlight w:val="none"/>
          <w:lang w:val="en-US" w:eastAsia="zh-CN"/>
        </w:rPr>
        <w:t>1.区域概况</w:t>
      </w:r>
    </w:p>
    <w:p w14:paraId="0C42778F">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default" w:ascii="仿宋_GB2312" w:eastAsia="仿宋_GB2312"/>
          <w:sz w:val="28"/>
          <w:szCs w:val="30"/>
          <w:highlight w:val="none"/>
          <w:lang w:val="en-US" w:eastAsia="zh-CN"/>
        </w:rPr>
      </w:pPr>
      <w:r>
        <w:rPr>
          <w:rFonts w:hint="eastAsia" w:ascii="仿宋_GB2312" w:eastAsia="仿宋_GB2312"/>
          <w:sz w:val="28"/>
          <w:szCs w:val="30"/>
          <w:highlight w:val="none"/>
          <w:lang w:val="en-US" w:eastAsia="zh-CN"/>
        </w:rPr>
        <w:t xml:space="preserve">（1）区域位置  </w:t>
      </w:r>
    </w:p>
    <w:p w14:paraId="01B5AC7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sz w:val="28"/>
          <w:szCs w:val="30"/>
          <w:highlight w:val="none"/>
        </w:rPr>
      </w:pPr>
      <w:r>
        <w:rPr>
          <w:rFonts w:hint="eastAsia" w:ascii="仿宋_GB2312" w:eastAsia="仿宋_GB2312"/>
          <w:sz w:val="28"/>
          <w:szCs w:val="30"/>
          <w:highlight w:val="none"/>
        </w:rPr>
        <w:t>①区域位置、级别及人口：估价对象位于</w:t>
      </w:r>
      <w:r>
        <w:rPr>
          <w:rFonts w:hint="eastAsia" w:ascii="仿宋_GB2312" w:eastAsia="仿宋_GB2312"/>
          <w:sz w:val="28"/>
          <w:szCs w:val="30"/>
          <w:highlight w:val="none"/>
          <w:lang w:val="en-US" w:eastAsia="zh-CN"/>
        </w:rPr>
        <w:t>道县状元路以北、潇水北路以西</w:t>
      </w:r>
      <w:r>
        <w:rPr>
          <w:rFonts w:hint="eastAsia" w:ascii="仿宋_GB2312" w:eastAsia="仿宋_GB2312"/>
          <w:sz w:val="28"/>
          <w:szCs w:val="30"/>
          <w:highlight w:val="none"/>
        </w:rPr>
        <w:t>，道县辖7个街道、12个镇、3个乡。县政府驻濂溪街道寇公街66号。截至2023年末，道县常住人口57.40万人。</w:t>
      </w:r>
    </w:p>
    <w:p w14:paraId="66480253">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Times New Roman" w:eastAsia="仿宋_GB2312" w:cs="Times New Roman"/>
          <w:sz w:val="28"/>
          <w:szCs w:val="30"/>
          <w:highlight w:val="none"/>
        </w:rPr>
      </w:pPr>
      <w:r>
        <w:rPr>
          <w:rFonts w:hint="eastAsia" w:ascii="仿宋_GB2312" w:hAnsi="Times New Roman" w:eastAsia="仿宋_GB2312" w:cs="Times New Roman"/>
          <w:sz w:val="28"/>
          <w:szCs w:val="30"/>
          <w:highlight w:val="none"/>
          <w:lang w:val="en-US" w:eastAsia="zh-CN"/>
        </w:rPr>
        <w:t>②土地级别：</w:t>
      </w:r>
      <w:r>
        <w:rPr>
          <w:rFonts w:hint="eastAsia" w:ascii="仿宋_GB2312" w:eastAsia="仿宋_GB2312"/>
          <w:color w:val="000000"/>
          <w:sz w:val="28"/>
          <w:highlight w:val="none"/>
        </w:rPr>
        <w:t>道县城镇基准地价的颁布实施时间为2019年11月22日，批准文号为道政函〔2019〕85号,文件名称为《关于更新城区基准地价和制订11个建制镇基准地价的通告》（道政函〔2019〕85号，2019年11月22日），批准机关为道县人民政府，估价期日为2019年5月1日，距估价期日超过六年</w:t>
      </w:r>
      <w:r>
        <w:rPr>
          <w:rFonts w:hint="eastAsia" w:ascii="仿宋_GB2312" w:eastAsia="仿宋_GB2312"/>
          <w:color w:val="000000"/>
          <w:sz w:val="28"/>
          <w:highlight w:val="none"/>
          <w:lang w:eastAsia="zh-CN"/>
        </w:rPr>
        <w:t>，</w:t>
      </w:r>
      <w:r>
        <w:rPr>
          <w:rFonts w:hint="eastAsia" w:ascii="仿宋_GB2312" w:eastAsia="仿宋_GB2312"/>
          <w:color w:val="000000"/>
          <w:sz w:val="28"/>
          <w:highlight w:val="none"/>
          <w:lang w:val="en-US" w:eastAsia="zh-CN"/>
        </w:rPr>
        <w:t>故暂无土地级别信息</w:t>
      </w:r>
      <w:r>
        <w:rPr>
          <w:rFonts w:hint="eastAsia" w:ascii="仿宋_GB2312" w:hAnsi="Times New Roman" w:eastAsia="仿宋_GB2312" w:cs="Times New Roman"/>
          <w:sz w:val="28"/>
          <w:szCs w:val="30"/>
          <w:highlight w:val="none"/>
          <w:lang w:val="en-US" w:eastAsia="zh-CN"/>
        </w:rPr>
        <w:t>。</w:t>
      </w:r>
    </w:p>
    <w:p w14:paraId="13A42AE1">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eastAsia="仿宋_GB2312"/>
          <w:sz w:val="28"/>
          <w:szCs w:val="30"/>
          <w:highlight w:val="none"/>
        </w:rPr>
      </w:pPr>
      <w:r>
        <w:rPr>
          <w:rFonts w:hint="eastAsia" w:ascii="仿宋_GB2312" w:hAnsi="Times New Roman" w:eastAsia="仿宋_GB2312" w:cs="Times New Roman"/>
          <w:sz w:val="28"/>
          <w:szCs w:val="30"/>
          <w:highlight w:val="none"/>
          <w:lang w:val="en-US" w:eastAsia="zh-CN"/>
        </w:rPr>
        <w:t>③</w:t>
      </w:r>
      <w:r>
        <w:rPr>
          <w:rFonts w:hint="eastAsia" w:ascii="仿宋_GB2312" w:hAnsi="Times New Roman" w:eastAsia="仿宋_GB2312" w:cs="Times New Roman"/>
          <w:sz w:val="28"/>
          <w:szCs w:val="30"/>
          <w:highlight w:val="none"/>
        </w:rPr>
        <w:t>经济发展：</w:t>
      </w:r>
      <w:r>
        <w:rPr>
          <w:rFonts w:hint="eastAsia" w:ascii="仿宋_GB2312" w:eastAsia="仿宋_GB2312" w:cs="Times New Roman"/>
          <w:sz w:val="28"/>
          <w:szCs w:val="30"/>
          <w:highlight w:val="none"/>
          <w:lang w:val="en-US" w:eastAsia="zh-CN"/>
        </w:rPr>
        <w:t>2024年道县</w:t>
      </w:r>
      <w:r>
        <w:rPr>
          <w:rFonts w:hint="eastAsia" w:ascii="仿宋_GB2312" w:hAnsi="Times New Roman" w:eastAsia="仿宋_GB2312" w:cs="Times New Roman"/>
          <w:sz w:val="28"/>
          <w:szCs w:val="30"/>
          <w:highlight w:val="none"/>
        </w:rPr>
        <w:t>主要经济指标继续保持全市第一方阵，全年完成地区生产总值293.81亿元，增长7.0%。规模工业增加值增长14.0%，固定资产投资增长8.1%，社会消费品零售总额增长6.9%，地方一般公共预算收入完成14.6亿元。县域经济高质量发展在全省同类同档县中排名前列。进出口总额完成19.1亿元，增幅排名全市第1</w:t>
      </w:r>
      <w:r>
        <w:rPr>
          <w:rFonts w:hint="eastAsia" w:ascii="仿宋_GB2312" w:eastAsia="仿宋_GB2312"/>
          <w:sz w:val="28"/>
          <w:szCs w:val="30"/>
          <w:highlight w:val="none"/>
        </w:rPr>
        <w:t>。</w:t>
      </w:r>
    </w:p>
    <w:p w14:paraId="3CEB887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Times New Roman" w:eastAsia="仿宋_GB2312" w:cs="Times New Roman"/>
          <w:sz w:val="28"/>
          <w:szCs w:val="30"/>
          <w:highlight w:val="none"/>
          <w:lang w:eastAsia="zh-CN"/>
        </w:rPr>
      </w:pPr>
      <w:r>
        <w:rPr>
          <w:rFonts w:hint="eastAsia" w:ascii="仿宋_GB2312" w:eastAsia="仿宋_GB2312"/>
          <w:sz w:val="28"/>
          <w:szCs w:val="30"/>
          <w:highlight w:val="none"/>
          <w:lang w:val="en-US" w:eastAsia="zh-CN"/>
        </w:rPr>
        <w:t>④</w:t>
      </w:r>
      <w:r>
        <w:rPr>
          <w:rFonts w:hint="eastAsia" w:ascii="仿宋_GB2312" w:eastAsia="仿宋_GB2312"/>
          <w:sz w:val="28"/>
          <w:szCs w:val="30"/>
          <w:highlight w:val="none"/>
        </w:rPr>
        <w:t>区位优势</w:t>
      </w:r>
      <w:r>
        <w:rPr>
          <w:rFonts w:hint="eastAsia" w:ascii="仿宋_GB2312" w:hAnsi="Times New Roman" w:eastAsia="仿宋_GB2312" w:cs="Times New Roman"/>
          <w:sz w:val="28"/>
          <w:szCs w:val="30"/>
          <w:highlight w:val="none"/>
        </w:rPr>
        <w:t>：道县处于湘粤桂三省交汇区</w:t>
      </w:r>
      <w:r>
        <w:rPr>
          <w:rFonts w:hint="eastAsia" w:ascii="仿宋_GB2312" w:hAnsi="Times New Roman" w:eastAsia="仿宋_GB2312" w:cs="Times New Roman"/>
          <w:sz w:val="28"/>
          <w:szCs w:val="30"/>
          <w:highlight w:val="none"/>
          <w:lang w:eastAsia="zh-CN"/>
        </w:rPr>
        <w:t>，是全省以至中部地区对接东盟，融入泛珠三角经济圈、泛北部湾经济圈的重要节点城市。近年来，道县依托独特的区位优势、地理环境和资源禀赋，坚持以新型城镇化的大突破，带动新型工业化、农业现代化的大发展，县域经济突飞猛进，连续多年被评为湖南省县域经济发展先进县。城市现代服务业异军突起，肯德基、苏宁电器、碧桂园等国际国内知名品牌企业纷纷抢滩登陆。文化旅游蓬勃发展，理学文化旅游节品牌效应凸显，以濂溪文化景区为龙头的全域旅游开发建设风生水起。道县被评为中华诗词之乡、中国龙舟之乡，道县入选湖南省旅游资源重点县，清塘镇纳入湖南省特色旅游小镇名录。是湘南国家级承接产业转移示范区核心区、全国加工贸易梯度转移重点承接地、全国粮食生产先进县、全国厚朴生产基地县、全国生猪生产调出大县、全国能繁母牛养殖示范县、全国蔬菜产业重点县、全国生态文明先进县和中国脐橙之乡。</w:t>
      </w:r>
    </w:p>
    <w:p w14:paraId="147867F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Times New Roman" w:eastAsia="仿宋_GB2312" w:cs="Times New Roman"/>
          <w:sz w:val="28"/>
          <w:szCs w:val="30"/>
          <w:highlight w:val="none"/>
          <w:lang w:val="en-US" w:eastAsia="zh-CN"/>
        </w:rPr>
      </w:pPr>
      <w:r>
        <w:rPr>
          <w:rFonts w:hint="eastAsia" w:ascii="仿宋_GB2312" w:hAnsi="Times New Roman" w:eastAsia="仿宋_GB2312" w:cs="Times New Roman"/>
          <w:sz w:val="28"/>
          <w:szCs w:val="30"/>
          <w:highlight w:val="none"/>
          <w:lang w:val="en-US" w:eastAsia="zh-CN"/>
        </w:rPr>
        <w:t>2.交通条件</w:t>
      </w:r>
    </w:p>
    <w:p w14:paraId="1A6C8671">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ascii="仿宋_GB2312" w:eastAsia="仿宋_GB2312"/>
          <w:sz w:val="28"/>
          <w:szCs w:val="30"/>
          <w:highlight w:val="none"/>
        </w:rPr>
      </w:pPr>
      <w:r>
        <w:rPr>
          <w:rFonts w:hint="eastAsia" w:ascii="仿宋_GB2312" w:eastAsia="仿宋_GB2312"/>
          <w:sz w:val="28"/>
          <w:szCs w:val="30"/>
          <w:highlight w:val="none"/>
        </w:rPr>
        <w:t>（1）区域内公共交通状况</w:t>
      </w:r>
    </w:p>
    <w:p w14:paraId="6E2AD22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ascii="仿宋_GB2312" w:eastAsia="仿宋_GB2312"/>
          <w:sz w:val="28"/>
          <w:szCs w:val="30"/>
          <w:highlight w:val="none"/>
        </w:rPr>
      </w:pPr>
      <w:r>
        <w:rPr>
          <w:rFonts w:hint="eastAsia" w:ascii="仿宋_GB2312" w:hAnsi="仿宋_GB2312" w:eastAsia="仿宋_GB2312" w:cs="仿宋_GB2312"/>
          <w:snapToGrid w:val="0"/>
          <w:color w:val="auto"/>
          <w:sz w:val="28"/>
          <w:szCs w:val="28"/>
          <w:highlight w:val="none"/>
        </w:rPr>
        <w:t>估价对象区域内有</w:t>
      </w:r>
      <w:r>
        <w:rPr>
          <w:rFonts w:hint="eastAsia" w:ascii="仿宋_GB2312" w:hAnsi="仿宋_GB2312" w:eastAsia="仿宋_GB2312" w:cs="仿宋_GB2312"/>
          <w:snapToGrid w:val="0"/>
          <w:color w:val="auto"/>
          <w:sz w:val="28"/>
          <w:szCs w:val="28"/>
          <w:highlight w:val="none"/>
          <w:lang w:val="en-US" w:eastAsia="zh-CN"/>
        </w:rPr>
        <w:t>月岩西路、道州中路、文化路</w:t>
      </w:r>
      <w:r>
        <w:rPr>
          <w:rFonts w:hint="eastAsia" w:ascii="仿宋_GB2312" w:hAnsi="仿宋_GB2312" w:eastAsia="仿宋_GB2312" w:cs="仿宋_GB2312"/>
          <w:snapToGrid w:val="0"/>
          <w:color w:val="auto"/>
          <w:sz w:val="28"/>
          <w:szCs w:val="28"/>
          <w:highlight w:val="none"/>
        </w:rPr>
        <w:t>等城市主、次干道，距离</w:t>
      </w:r>
      <w:r>
        <w:rPr>
          <w:rFonts w:hint="eastAsia" w:ascii="仿宋_GB2312" w:hAnsi="仿宋_GB2312" w:eastAsia="仿宋_GB2312" w:cs="仿宋_GB2312"/>
          <w:snapToGrid w:val="0"/>
          <w:color w:val="auto"/>
          <w:sz w:val="28"/>
          <w:szCs w:val="28"/>
          <w:highlight w:val="none"/>
          <w:lang w:val="en-US" w:eastAsia="zh-CN"/>
        </w:rPr>
        <w:t>道州新车站</w:t>
      </w:r>
      <w:r>
        <w:rPr>
          <w:rFonts w:hint="eastAsia" w:ascii="仿宋_GB2312" w:hAnsi="仿宋_GB2312" w:eastAsia="仿宋_GB2312" w:cs="仿宋_GB2312"/>
          <w:snapToGrid w:val="0"/>
          <w:color w:val="auto"/>
          <w:sz w:val="28"/>
          <w:szCs w:val="28"/>
          <w:highlight w:val="none"/>
        </w:rPr>
        <w:t>约</w:t>
      </w:r>
      <w:r>
        <w:rPr>
          <w:rFonts w:hint="eastAsia" w:ascii="仿宋_GB2312" w:hAnsi="仿宋_GB2312" w:eastAsia="仿宋_GB2312" w:cs="仿宋_GB2312"/>
          <w:snapToGrid w:val="0"/>
          <w:color w:val="auto"/>
          <w:sz w:val="28"/>
          <w:szCs w:val="28"/>
          <w:highlight w:val="none"/>
          <w:lang w:val="en-US" w:eastAsia="zh-CN"/>
        </w:rPr>
        <w:t>680</w:t>
      </w:r>
      <w:r>
        <w:rPr>
          <w:rFonts w:hint="eastAsia" w:ascii="仿宋_GB2312" w:hAnsi="仿宋_GB2312" w:eastAsia="仿宋_GB2312" w:cs="仿宋_GB2312"/>
          <w:snapToGrid w:val="0"/>
          <w:color w:val="auto"/>
          <w:sz w:val="28"/>
          <w:szCs w:val="28"/>
          <w:highlight w:val="none"/>
        </w:rPr>
        <w:t>米，距离</w:t>
      </w:r>
      <w:r>
        <w:rPr>
          <w:rFonts w:hint="eastAsia" w:ascii="仿宋_GB2312" w:hAnsi="仿宋_GB2312" w:eastAsia="仿宋_GB2312" w:cs="仿宋_GB2312"/>
          <w:snapToGrid w:val="0"/>
          <w:color w:val="auto"/>
          <w:sz w:val="28"/>
          <w:szCs w:val="28"/>
          <w:highlight w:val="none"/>
          <w:lang w:val="en-US" w:eastAsia="zh-CN"/>
        </w:rPr>
        <w:t>零道高速出入口</w:t>
      </w:r>
      <w:r>
        <w:rPr>
          <w:rFonts w:hint="eastAsia" w:ascii="仿宋_GB2312" w:hAnsi="仿宋_GB2312" w:eastAsia="仿宋_GB2312" w:cs="仿宋_GB2312"/>
          <w:snapToGrid w:val="0"/>
          <w:color w:val="auto"/>
          <w:sz w:val="28"/>
          <w:szCs w:val="28"/>
          <w:highlight w:val="none"/>
        </w:rPr>
        <w:t>约</w:t>
      </w:r>
      <w:r>
        <w:rPr>
          <w:rFonts w:hint="eastAsia" w:ascii="仿宋_GB2312" w:hAnsi="仿宋_GB2312" w:eastAsia="仿宋_GB2312" w:cs="仿宋_GB2312"/>
          <w:snapToGrid w:val="0"/>
          <w:color w:val="auto"/>
          <w:sz w:val="28"/>
          <w:szCs w:val="28"/>
          <w:highlight w:val="none"/>
          <w:lang w:val="en-US" w:eastAsia="zh-CN"/>
        </w:rPr>
        <w:t>4900</w:t>
      </w:r>
      <w:r>
        <w:rPr>
          <w:rFonts w:hint="eastAsia" w:ascii="仿宋_GB2312" w:hAnsi="仿宋_GB2312" w:eastAsia="仿宋_GB2312" w:cs="仿宋_GB2312"/>
          <w:snapToGrid w:val="0"/>
          <w:color w:val="auto"/>
          <w:sz w:val="28"/>
          <w:szCs w:val="28"/>
          <w:highlight w:val="none"/>
        </w:rPr>
        <w:t>米，区域内交通便捷度</w:t>
      </w:r>
      <w:r>
        <w:rPr>
          <w:rFonts w:hint="eastAsia" w:ascii="仿宋_GB2312" w:hAnsi="仿宋_GB2312" w:eastAsia="仿宋_GB2312" w:cs="仿宋_GB2312"/>
          <w:snapToGrid w:val="0"/>
          <w:color w:val="auto"/>
          <w:sz w:val="28"/>
          <w:szCs w:val="28"/>
          <w:highlight w:val="none"/>
          <w:lang w:val="en-US" w:eastAsia="zh-CN"/>
        </w:rPr>
        <w:t>较高</w:t>
      </w:r>
      <w:r>
        <w:rPr>
          <w:rFonts w:hint="eastAsia" w:ascii="仿宋_GB2312" w:eastAsia="仿宋_GB2312"/>
          <w:sz w:val="28"/>
          <w:szCs w:val="30"/>
          <w:highlight w:val="none"/>
        </w:rPr>
        <w:t>。</w:t>
      </w:r>
    </w:p>
    <w:p w14:paraId="55FF7A91">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（2）对外交通条件</w:t>
      </w:r>
    </w:p>
    <w:p w14:paraId="4B43D0D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eastAsia="仿宋_GB2312"/>
          <w:sz w:val="28"/>
          <w:szCs w:val="30"/>
          <w:highlight w:val="none"/>
        </w:rPr>
      </w:pPr>
      <w:r>
        <w:rPr>
          <w:rFonts w:hint="eastAsia" w:ascii="仿宋_GB2312" w:hAnsi="仿宋_GB2312" w:eastAsia="仿宋_GB2312" w:cs="仿宋_GB2312"/>
          <w:bCs/>
          <w:sz w:val="28"/>
          <w:szCs w:val="28"/>
          <w:highlight w:val="none"/>
          <w:lang w:val="en-US" w:eastAsia="zh-CN"/>
        </w:rPr>
        <w:t>①公路：</w:t>
      </w:r>
      <w:r>
        <w:rPr>
          <w:rFonts w:hint="eastAsia" w:ascii="仿宋_GB2312" w:eastAsia="仿宋_GB2312"/>
          <w:sz w:val="28"/>
          <w:szCs w:val="30"/>
          <w:highlight w:val="none"/>
        </w:rPr>
        <w:t>区域的外联道路主要有</w:t>
      </w:r>
      <w:r>
        <w:rPr>
          <w:rFonts w:hint="eastAsia" w:ascii="仿宋_GB2312" w:eastAsia="仿宋_GB2312"/>
          <w:sz w:val="28"/>
          <w:szCs w:val="30"/>
          <w:highlight w:val="none"/>
          <w:lang w:val="en-US" w:eastAsia="zh-CN"/>
        </w:rPr>
        <w:t>G207、G357</w:t>
      </w:r>
      <w:r>
        <w:rPr>
          <w:rFonts w:hint="eastAsia" w:ascii="仿宋_GB2312" w:eastAsia="仿宋_GB2312"/>
          <w:sz w:val="28"/>
          <w:szCs w:val="30"/>
          <w:highlight w:val="none"/>
        </w:rPr>
        <w:t>等干线交会，为区域内对外开放奠定了良好的基础，区位优势明显，交通十分便利。</w:t>
      </w:r>
    </w:p>
    <w:p w14:paraId="77B84EB5">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②铁路：道州火车站主要线路为益湛铁路，估价对象所在区域中心距离该火车站约1500m。</w:t>
      </w:r>
    </w:p>
    <w:p w14:paraId="1599A823">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③高铁：估价对象区域距永州高铁站约104.5km。</w:t>
      </w:r>
    </w:p>
    <w:p w14:paraId="716F5D51">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④航空：估价对象区域距离最近的机场为永州零陵机场约91.6km。</w:t>
      </w:r>
    </w:p>
    <w:p w14:paraId="614A8A00">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⑤水运：道县区域境内主要河流为潇水，水位较浅，未形成水运条件，水运主要依托长沙湘江流域。</w:t>
      </w:r>
    </w:p>
    <w:p w14:paraId="2223A9C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3.基础设施和市政公用设施</w:t>
      </w:r>
    </w:p>
    <w:p w14:paraId="6413D67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（1）供电：区域内接市政双回路110KV供电管网，供电保证率高。</w:t>
      </w:r>
    </w:p>
    <w:p w14:paraId="0C37BD8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（2）通讯：区域内通讯与市政通讯网相联，通讯线路以地下管道为主，辅以架空线路，通讯线路畅通，区内已实现移动电话全国漫游，区内全面铺设了高速宽带通讯光缆。</w:t>
      </w:r>
    </w:p>
    <w:p w14:paraId="4F60E91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（3）给水：区域内供水主要来自区内的市政供水。自来水供应管道标准φ1000mm、φ800mm、φ600mm，供水保证率高。</w:t>
      </w:r>
    </w:p>
    <w:p w14:paraId="7667A5D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（4）排水：区内排水为雨污分流方式，排污管沿主要道路铺设，以污水处理厂为终结，市政排水体系完备。</w:t>
      </w:r>
    </w:p>
    <w:p w14:paraId="31206B8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（5）通气：/。</w:t>
      </w:r>
    </w:p>
    <w:p w14:paraId="5869B98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（6）供暖：/。</w:t>
      </w:r>
    </w:p>
    <w:p w14:paraId="095609A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4.环境条件</w:t>
      </w:r>
    </w:p>
    <w:p w14:paraId="29A29B2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ascii="仿宋_GB2312" w:eastAsia="仿宋_GB2312"/>
          <w:sz w:val="28"/>
          <w:szCs w:val="30"/>
          <w:highlight w:val="none"/>
        </w:rPr>
      </w:pPr>
      <w:r>
        <w:rPr>
          <w:rFonts w:hint="eastAsia" w:ascii="仿宋_GB2312" w:eastAsia="仿宋_GB2312"/>
          <w:sz w:val="28"/>
          <w:szCs w:val="30"/>
          <w:highlight w:val="none"/>
        </w:rPr>
        <w:t>（1）人文环境</w:t>
      </w:r>
    </w:p>
    <w:p w14:paraId="3D5C1CE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ascii="仿宋_GB2312" w:eastAsia="仿宋_GB2312"/>
          <w:sz w:val="28"/>
          <w:szCs w:val="30"/>
          <w:highlight w:val="none"/>
        </w:rPr>
      </w:pPr>
      <w:r>
        <w:rPr>
          <w:rFonts w:hint="eastAsia" w:ascii="仿宋_GB2312" w:hAnsi="仿宋_GB2312" w:eastAsia="仿宋_GB2312" w:cs="仿宋_GB2312"/>
          <w:snapToGrid w:val="0"/>
          <w:sz w:val="28"/>
          <w:szCs w:val="28"/>
          <w:highlight w:val="none"/>
        </w:rPr>
        <w:t>区域内有居民受教育程度较好，人文环境较好</w:t>
      </w:r>
      <w:r>
        <w:rPr>
          <w:rFonts w:hint="eastAsia" w:ascii="仿宋_GB2312" w:eastAsia="仿宋_GB2312"/>
          <w:sz w:val="28"/>
          <w:szCs w:val="30"/>
          <w:highlight w:val="none"/>
        </w:rPr>
        <w:t>。</w:t>
      </w:r>
    </w:p>
    <w:p w14:paraId="032BC13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ascii="仿宋_GB2312" w:eastAsia="仿宋_GB2312"/>
          <w:sz w:val="28"/>
          <w:szCs w:val="30"/>
          <w:highlight w:val="none"/>
        </w:rPr>
      </w:pPr>
      <w:r>
        <w:rPr>
          <w:rFonts w:hint="eastAsia" w:ascii="仿宋_GB2312" w:eastAsia="仿宋_GB2312"/>
          <w:sz w:val="28"/>
          <w:szCs w:val="30"/>
          <w:highlight w:val="none"/>
        </w:rPr>
        <w:t>（2）自然环境</w:t>
      </w:r>
    </w:p>
    <w:p w14:paraId="7ADF278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eastAsia="仿宋_GB2312"/>
          <w:sz w:val="28"/>
          <w:szCs w:val="30"/>
          <w:highlight w:val="none"/>
          <w:lang w:val="en-US" w:eastAsia="zh-CN"/>
        </w:rPr>
      </w:pPr>
      <w:r>
        <w:rPr>
          <w:rFonts w:hint="eastAsia" w:ascii="仿宋_GB2312" w:eastAsia="仿宋_GB2312"/>
          <w:sz w:val="28"/>
          <w:szCs w:val="30"/>
          <w:highlight w:val="none"/>
        </w:rPr>
        <w:t>宗地所在区域，地质条件较好，宗地无异常地质现象，地基承载力</w:t>
      </w:r>
      <w:r>
        <w:rPr>
          <w:rFonts w:hint="eastAsia" w:ascii="仿宋_GB2312" w:eastAsia="仿宋_GB2312"/>
          <w:sz w:val="28"/>
          <w:szCs w:val="30"/>
          <w:highlight w:val="none"/>
          <w:lang w:val="en-US" w:eastAsia="zh-CN"/>
        </w:rPr>
        <w:t>大于25</w:t>
      </w:r>
      <w:r>
        <w:rPr>
          <w:rFonts w:hint="eastAsia" w:ascii="仿宋_GB2312" w:eastAsia="仿宋_GB2312"/>
          <w:sz w:val="28"/>
          <w:szCs w:val="30"/>
          <w:highlight w:val="none"/>
        </w:rPr>
        <w:t>吨/平方米，地势平坦。区域内无大型污染性企业，据史料记载，区域内自然灾害率大于100年一遇</w:t>
      </w:r>
      <w:r>
        <w:rPr>
          <w:rFonts w:hint="eastAsia" w:ascii="仿宋_GB2312" w:eastAsia="仿宋_GB2312"/>
          <w:sz w:val="28"/>
          <w:szCs w:val="30"/>
          <w:highlight w:val="none"/>
          <w:lang w:eastAsia="zh-CN"/>
        </w:rPr>
        <w:t>，</w:t>
      </w:r>
      <w:r>
        <w:rPr>
          <w:rFonts w:hint="eastAsia" w:ascii="仿宋_GB2312" w:eastAsia="仿宋_GB2312"/>
          <w:sz w:val="28"/>
          <w:szCs w:val="30"/>
          <w:highlight w:val="none"/>
          <w:lang w:val="en-US" w:eastAsia="zh-CN"/>
        </w:rPr>
        <w:t>自然环境较好。</w:t>
      </w:r>
    </w:p>
    <w:p w14:paraId="53A0830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5.商服繁华程度</w:t>
      </w:r>
    </w:p>
    <w:p w14:paraId="74644A2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color w:val="auto"/>
          <w:sz w:val="28"/>
          <w:szCs w:val="28"/>
          <w:highlight w:val="none"/>
        </w:rPr>
        <w:t>宗地所在区域距离</w:t>
      </w:r>
      <w:r>
        <w:rPr>
          <w:rFonts w:hint="eastAsia" w:ascii="仿宋_GB2312" w:hAnsi="仿宋_GB2312" w:eastAsia="仿宋_GB2312" w:cs="仿宋_GB2312"/>
          <w:color w:val="auto"/>
          <w:sz w:val="28"/>
          <w:szCs w:val="28"/>
          <w:highlight w:val="none"/>
          <w:lang w:val="en-US" w:eastAsia="zh-CN"/>
        </w:rPr>
        <w:t>商服中心道州商业广场</w:t>
      </w:r>
      <w:r>
        <w:rPr>
          <w:rFonts w:hint="eastAsia" w:ascii="仿宋_GB2312" w:hAnsi="仿宋_GB2312" w:eastAsia="仿宋_GB2312" w:cs="仿宋_GB2312"/>
          <w:color w:val="auto"/>
          <w:sz w:val="28"/>
          <w:szCs w:val="28"/>
          <w:highlight w:val="none"/>
        </w:rPr>
        <w:t>约</w:t>
      </w:r>
      <w:r>
        <w:rPr>
          <w:rFonts w:hint="eastAsia" w:ascii="仿宋_GB2312" w:hAnsi="仿宋_GB2312" w:eastAsia="仿宋_GB2312" w:cs="仿宋_GB2312"/>
          <w:color w:val="auto"/>
          <w:sz w:val="28"/>
          <w:szCs w:val="28"/>
          <w:highlight w:val="none"/>
          <w:lang w:val="en-US" w:eastAsia="zh-CN"/>
        </w:rPr>
        <w:t>890米</w:t>
      </w:r>
      <w:r>
        <w:rPr>
          <w:rFonts w:hint="eastAsia" w:ascii="仿宋_GB2312" w:hAnsi="仿宋_GB2312" w:eastAsia="仿宋_GB2312" w:cs="仿宋_GB2312"/>
          <w:color w:val="auto"/>
          <w:sz w:val="28"/>
          <w:szCs w:val="28"/>
          <w:highlight w:val="none"/>
        </w:rPr>
        <w:t>，商服繁华影响度</w:t>
      </w:r>
      <w:r>
        <w:rPr>
          <w:rFonts w:hint="eastAsia" w:ascii="仿宋_GB2312" w:hAnsi="仿宋_GB2312" w:eastAsia="仿宋_GB2312" w:cs="仿宋_GB2312"/>
          <w:color w:val="auto"/>
          <w:sz w:val="28"/>
          <w:szCs w:val="28"/>
          <w:highlight w:val="none"/>
          <w:lang w:val="en-US" w:eastAsia="zh-CN"/>
        </w:rPr>
        <w:t>较优</w:t>
      </w:r>
      <w:r>
        <w:rPr>
          <w:rFonts w:hint="eastAsia" w:ascii="仿宋_GB2312" w:hAnsi="仿宋_GB2312" w:eastAsia="仿宋_GB2312" w:cs="仿宋_GB2312"/>
          <w:bCs/>
          <w:sz w:val="28"/>
          <w:szCs w:val="28"/>
          <w:highlight w:val="none"/>
          <w:lang w:val="en-US" w:eastAsia="zh-CN"/>
        </w:rPr>
        <w:t>。</w:t>
      </w:r>
    </w:p>
    <w:p w14:paraId="2A56F40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6.规划限制</w:t>
      </w:r>
    </w:p>
    <w:p w14:paraId="04D2713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sz w:val="28"/>
          <w:highlight w:val="none"/>
          <w:lang w:val="en-US" w:eastAsia="zh-CN"/>
        </w:rPr>
        <w:t>估价对象所在区域周边土地利用类型主要规划为商服用地、住宅用地，具体的开发建设必须符合规划管理部门的控制性详细规划</w:t>
      </w:r>
      <w:r>
        <w:rPr>
          <w:rFonts w:hint="eastAsia" w:ascii="仿宋_GB2312" w:hAnsi="仿宋_GB2312" w:eastAsia="仿宋_GB2312" w:cs="仿宋_GB2312"/>
          <w:bCs/>
          <w:sz w:val="28"/>
          <w:szCs w:val="28"/>
          <w:highlight w:val="none"/>
          <w:lang w:val="en-US" w:eastAsia="zh-CN"/>
        </w:rPr>
        <w:t>。</w:t>
      </w:r>
    </w:p>
    <w:p w14:paraId="1DEA8BF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7.微观区域因素</w:t>
      </w:r>
    </w:p>
    <w:p w14:paraId="1A539B8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估价对象位于道县月岩西路，估价对象交通由道州中路、文化路、月岩西路构成路网，汇入各条主干道，区域交通条件一般。距最近汽车站（</w:t>
      </w:r>
      <w:r>
        <w:rPr>
          <w:rFonts w:hint="eastAsia" w:ascii="仿宋_GB2312" w:eastAsia="仿宋_GB2312"/>
          <w:sz w:val="28"/>
          <w:szCs w:val="30"/>
          <w:highlight w:val="none"/>
          <w:lang w:val="en-US" w:eastAsia="zh-CN"/>
        </w:rPr>
        <w:t>道州新车站）约680m</w:t>
      </w:r>
      <w:r>
        <w:rPr>
          <w:rFonts w:hint="eastAsia" w:ascii="仿宋_GB2312" w:hAnsi="仿宋_GB2312" w:eastAsia="仿宋_GB2312" w:cs="仿宋_GB2312"/>
          <w:bCs/>
          <w:sz w:val="28"/>
          <w:szCs w:val="28"/>
          <w:highlight w:val="none"/>
          <w:lang w:val="en-US" w:eastAsia="zh-CN"/>
        </w:rPr>
        <w:t>，距离最近火车站（道州火车站）约1500米，距火车站距离较劣；区域基础设施状况好，水电综合保障率达95%以上。</w:t>
      </w:r>
    </w:p>
    <w:p w14:paraId="3D15440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sz w:val="28"/>
          <w:szCs w:val="28"/>
          <w:highlight w:val="none"/>
          <w:lang w:val="en-US" w:eastAsia="zh-CN"/>
        </w:rPr>
        <w:t>综合考虑以上影响地价区域因素，评估分析：估价对象所在区域交通条件较优，基础设施齐全，商业繁华影响度较优，地质条件好，区域无特殊规划限制。</w:t>
      </w:r>
    </w:p>
    <w:p w14:paraId="116907D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(三)个别因素</w:t>
      </w:r>
    </w:p>
    <w:p w14:paraId="3ECB62C4">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影响宗地的个别因素主要指与土地利用直接有关的宗地自身条件，包括估价对象位置、面积、用途、土地利用现状、宗地形状、地质条件、地势、基础设施条件等。</w:t>
      </w:r>
    </w:p>
    <w:p w14:paraId="4DB05D12">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1.土地位置</w:t>
      </w:r>
    </w:p>
    <w:p w14:paraId="403BFC9D">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估价对象位于道县</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月岩西路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718B1F88">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2.土地面积</w:t>
      </w:r>
    </w:p>
    <w:p w14:paraId="6B3B29A5">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根据委托估价方提供的《土地分摊表》，估价对象土地面积为</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15.2平方米</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，面积</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较小</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，对土地利用</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有一定影响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371BD47B">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3.宗地四至：北临</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建筑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，南临</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建筑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，西临建筑，东临建筑。</w:t>
      </w:r>
    </w:p>
    <w:p w14:paraId="7B82F800">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4.土地用途</w:t>
      </w:r>
    </w:p>
    <w:p w14:paraId="5AE211CE">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评估委托书</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》，土地用途为</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75BD0114">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5.土地形状</w:t>
      </w:r>
    </w:p>
    <w:p w14:paraId="2DFD96CA">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宗地图</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评估对象所在宗地整体</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形状</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较不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规则，对</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土地利用有一定影响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67CA019C">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6.地质条件</w:t>
      </w:r>
    </w:p>
    <w:p w14:paraId="431E9706">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估价对象地基承载大于25吨/平方米，地质条件优。</w:t>
      </w:r>
    </w:p>
    <w:p w14:paraId="75E4453F">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7.地势条件</w:t>
      </w:r>
    </w:p>
    <w:p w14:paraId="4F7CFC92">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根据估价师现场勘查，宗地地势较平坦。</w:t>
      </w:r>
    </w:p>
    <w:p w14:paraId="6BE6D77B">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8.土地利用条件</w:t>
      </w:r>
    </w:p>
    <w:p w14:paraId="76745A4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）土地利用现状</w:t>
      </w:r>
    </w:p>
    <w:p w14:paraId="22C374B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根据委托方提供的资料及估价人员的现场勘查，估价对象实际开发程度为红线内外“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通”（通路、通电、供水、排水、通讯）和红线内场地平整，估价对象所在整体宗地上有一栋混合结构</w:t>
      </w:r>
      <w:r>
        <w:rPr>
          <w:rFonts w:hint="eastAsia" w:ascii="仿宋_GB2312" w:hAnsi="仿宋_GB2312" w:eastAsia="仿宋_GB2312" w:cs="仿宋_GB2312"/>
          <w:bCs/>
          <w:color w:val="auto"/>
          <w:kern w:val="2"/>
          <w:sz w:val="28"/>
          <w:szCs w:val="28"/>
          <w:highlight w:val="none"/>
          <w:lang w:val="en-US" w:eastAsia="zh-CN" w:bidi="ar-SA"/>
        </w:rPr>
        <w:t>建筑物</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40AAEE2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1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4CF33A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5ADEA00E">
            <w:pPr>
              <w:pStyle w:val="18"/>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94610" cy="2584450"/>
                  <wp:effectExtent l="0" t="0" r="15240" b="6350"/>
                  <wp:docPr id="20" name="图片 20" descr="微信图片_20260515163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微信图片_20260515163404"/>
                          <pic:cNvPicPr>
                            <a:picLocks noChangeAspect="1"/>
                          </pic:cNvPicPr>
                        </pic:nvPicPr>
                        <pic:blipFill>
                          <a:blip r:embed="rId19"/>
                          <a:stretch>
                            <a:fillRect/>
                          </a:stretch>
                        </pic:blipFill>
                        <pic:spPr>
                          <a:xfrm>
                            <a:off x="0" y="0"/>
                            <a:ext cx="2594610" cy="2584450"/>
                          </a:xfrm>
                          <a:prstGeom prst="rect">
                            <a:avLst/>
                          </a:prstGeom>
                        </pic:spPr>
                      </pic:pic>
                    </a:graphicData>
                  </a:graphic>
                </wp:inline>
              </w:drawing>
            </w:r>
          </w:p>
        </w:tc>
        <w:tc>
          <w:tcPr>
            <w:tcW w:w="2466" w:type="pct"/>
          </w:tcPr>
          <w:p w14:paraId="63CD7CD2">
            <w:pPr>
              <w:pStyle w:val="18"/>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1585" cy="2574925"/>
                  <wp:effectExtent l="0" t="0" r="12065" b="15875"/>
                  <wp:docPr id="21" name="图片 21" descr="微信图片_2026051516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微信图片_20260515163412"/>
                          <pic:cNvPicPr>
                            <a:picLocks noChangeAspect="1"/>
                          </pic:cNvPicPr>
                        </pic:nvPicPr>
                        <pic:blipFill>
                          <a:blip r:embed="rId20"/>
                          <a:srcRect b="21567"/>
                          <a:stretch>
                            <a:fillRect/>
                          </a:stretch>
                        </pic:blipFill>
                        <pic:spPr>
                          <a:xfrm>
                            <a:off x="0" y="0"/>
                            <a:ext cx="2521585" cy="2574925"/>
                          </a:xfrm>
                          <a:prstGeom prst="rect">
                            <a:avLst/>
                          </a:prstGeom>
                        </pic:spPr>
                      </pic:pic>
                    </a:graphicData>
                  </a:graphic>
                </wp:inline>
              </w:drawing>
            </w:r>
          </w:p>
        </w:tc>
      </w:tr>
    </w:tbl>
    <w:p w14:paraId="0ACA28D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根据受托估价人员现场勘察，估价</w:t>
      </w:r>
      <w:r>
        <w:rPr>
          <w:rFonts w:hint="eastAsia" w:ascii="仿宋_GB2312" w:hAnsi="仿宋_GB2312" w:eastAsia="仿宋_GB2312" w:cs="仿宋_GB2312"/>
          <w:bCs/>
          <w:color w:val="auto"/>
          <w:kern w:val="2"/>
          <w:sz w:val="28"/>
          <w:szCs w:val="28"/>
          <w:highlight w:val="none"/>
          <w:lang w:val="en-US" w:eastAsia="zh-CN" w:bidi="ar-SA"/>
        </w:rPr>
        <w:t>对象位于月岩西路皮革厂家属楼3栋4层404房</w:t>
      </w:r>
      <w:r>
        <w:rPr>
          <w:rFonts w:hint="default" w:ascii="仿宋_GB2312" w:hAnsi="仿宋_GB2312" w:eastAsia="仿宋_GB2312" w:cs="仿宋_GB2312"/>
          <w:bCs/>
          <w:color w:val="auto"/>
          <w:kern w:val="2"/>
          <w:sz w:val="28"/>
          <w:szCs w:val="28"/>
          <w:highlight w:val="none"/>
          <w:lang w:val="en-GB" w:eastAsia="zh-CN" w:bidi="ar-SA"/>
        </w:rPr>
        <w:t>，所在宗地上有独栋建筑物，总层数为</w:t>
      </w:r>
      <w:r>
        <w:rPr>
          <w:rFonts w:hint="eastAsia" w:ascii="仿宋_GB2312" w:hAnsi="仿宋_GB2312" w:eastAsia="仿宋_GB2312" w:cs="仿宋_GB2312"/>
          <w:bCs/>
          <w:color w:val="auto"/>
          <w:kern w:val="2"/>
          <w:sz w:val="28"/>
          <w:szCs w:val="28"/>
          <w:highlight w:val="none"/>
          <w:lang w:val="en-US" w:eastAsia="zh-CN" w:bidi="ar-SA"/>
        </w:rPr>
        <w:t>5层</w:t>
      </w:r>
      <w:r>
        <w:rPr>
          <w:rFonts w:hint="default" w:ascii="仿宋_GB2312" w:hAnsi="仿宋_GB2312" w:eastAsia="仿宋_GB2312" w:cs="仿宋_GB2312"/>
          <w:bCs/>
          <w:color w:val="auto"/>
          <w:kern w:val="2"/>
          <w:sz w:val="28"/>
          <w:szCs w:val="28"/>
          <w:highlight w:val="none"/>
          <w:lang w:val="en-GB" w:eastAsia="zh-CN" w:bidi="ar-SA"/>
        </w:rPr>
        <w:t>，业主房屋所在层数为</w:t>
      </w:r>
      <w:r>
        <w:rPr>
          <w:rFonts w:hint="eastAsia" w:ascii="仿宋_GB2312" w:hAnsi="仿宋_GB2312" w:eastAsia="仿宋_GB2312" w:cs="仿宋_GB2312"/>
          <w:bCs/>
          <w:color w:val="auto"/>
          <w:kern w:val="2"/>
          <w:sz w:val="28"/>
          <w:szCs w:val="28"/>
          <w:highlight w:val="none"/>
          <w:lang w:val="en-US" w:eastAsia="zh-CN" w:bidi="ar-SA"/>
        </w:rPr>
        <w:t>4层</w:t>
      </w:r>
      <w:r>
        <w:rPr>
          <w:rFonts w:hint="default" w:ascii="仿宋_GB2312" w:hAnsi="仿宋_GB2312" w:eastAsia="仿宋_GB2312" w:cs="仿宋_GB2312"/>
          <w:bCs/>
          <w:color w:val="auto"/>
          <w:kern w:val="2"/>
          <w:sz w:val="28"/>
          <w:szCs w:val="28"/>
          <w:highlight w:val="none"/>
          <w:lang w:val="en-GB" w:eastAsia="zh-CN" w:bidi="ar-SA"/>
        </w:rPr>
        <w:t>，建筑物为</w:t>
      </w:r>
      <w:r>
        <w:rPr>
          <w:rFonts w:hint="eastAsia" w:ascii="仿宋_GB2312" w:hAnsi="仿宋_GB2312" w:eastAsia="仿宋_GB2312" w:cs="仿宋_GB2312"/>
          <w:bCs/>
          <w:color w:val="auto"/>
          <w:kern w:val="2"/>
          <w:sz w:val="28"/>
          <w:szCs w:val="28"/>
          <w:highlight w:val="none"/>
          <w:lang w:val="en-US" w:eastAsia="zh-CN" w:bidi="ar-SA"/>
        </w:rPr>
        <w:t>砖混</w:t>
      </w:r>
      <w:r>
        <w:rPr>
          <w:rFonts w:hint="default" w:ascii="仿宋_GB2312" w:hAnsi="仿宋_GB2312" w:eastAsia="仿宋_GB2312" w:cs="仿宋_GB2312"/>
          <w:bCs/>
          <w:color w:val="auto"/>
          <w:kern w:val="2"/>
          <w:sz w:val="28"/>
          <w:szCs w:val="28"/>
          <w:highlight w:val="none"/>
          <w:lang w:val="en-GB" w:eastAsia="zh-CN" w:bidi="ar-SA"/>
        </w:rPr>
        <w:t>结构，</w:t>
      </w:r>
      <w:r>
        <w:rPr>
          <w:rFonts w:hint="eastAsia" w:ascii="仿宋_GB2312" w:hAnsi="仿宋_GB2312" w:eastAsia="仿宋_GB2312" w:cs="仿宋_GB2312"/>
          <w:bCs/>
          <w:color w:val="auto"/>
          <w:kern w:val="2"/>
          <w:sz w:val="28"/>
          <w:szCs w:val="28"/>
          <w:highlight w:val="none"/>
          <w:lang w:val="en-US" w:eastAsia="zh-CN" w:bidi="ar-SA"/>
        </w:rPr>
        <w:t>不锈钢及木质入户门，塑钢窗户，铁艺防盗网，外墙双飞粉，屋内地贴瓷砖，顶棚木质装饰吊顶，简单装修，</w:t>
      </w:r>
      <w:r>
        <w:rPr>
          <w:rFonts w:hint="default" w:ascii="仿宋_GB2312" w:hAnsi="仿宋_GB2312" w:eastAsia="仿宋_GB2312" w:cs="仿宋_GB2312"/>
          <w:bCs/>
          <w:color w:val="auto"/>
          <w:kern w:val="2"/>
          <w:sz w:val="28"/>
          <w:szCs w:val="28"/>
          <w:highlight w:val="none"/>
          <w:lang w:val="en-GB" w:eastAsia="zh-CN" w:bidi="ar-SA"/>
        </w:rPr>
        <w:t>维护保养状况</w:t>
      </w:r>
      <w:r>
        <w:rPr>
          <w:rFonts w:hint="eastAsia" w:ascii="仿宋_GB2312" w:hAnsi="仿宋_GB2312" w:eastAsia="仿宋_GB2312" w:cs="仿宋_GB2312"/>
          <w:bCs/>
          <w:color w:val="auto"/>
          <w:kern w:val="2"/>
          <w:sz w:val="28"/>
          <w:szCs w:val="28"/>
          <w:highlight w:val="none"/>
          <w:lang w:val="en-US" w:eastAsia="zh-CN" w:bidi="ar-SA"/>
        </w:rPr>
        <w:t>一般</w:t>
      </w:r>
      <w:r>
        <w:rPr>
          <w:rFonts w:hint="default" w:ascii="仿宋_GB2312" w:hAnsi="仿宋_GB2312" w:eastAsia="仿宋_GB2312" w:cs="仿宋_GB2312"/>
          <w:bCs/>
          <w:color w:val="auto"/>
          <w:kern w:val="2"/>
          <w:sz w:val="28"/>
          <w:szCs w:val="28"/>
          <w:highlight w:val="none"/>
          <w:lang w:val="en-GB" w:eastAsia="zh-CN" w:bidi="ar-SA"/>
        </w:rPr>
        <w:t>，约</w:t>
      </w:r>
      <w:r>
        <w:rPr>
          <w:rFonts w:hint="eastAsia" w:ascii="仿宋_GB2312" w:hAnsi="仿宋_GB2312" w:eastAsia="仿宋_GB2312" w:cs="仿宋_GB2312"/>
          <w:bCs/>
          <w:color w:val="auto"/>
          <w:kern w:val="2"/>
          <w:sz w:val="28"/>
          <w:szCs w:val="28"/>
          <w:highlight w:val="none"/>
          <w:lang w:val="en-US" w:eastAsia="zh-CN" w:bidi="ar-SA"/>
        </w:rPr>
        <w:t>七成新</w:t>
      </w:r>
      <w:r>
        <w:rPr>
          <w:rFonts w:hint="default" w:ascii="仿宋_GB2312" w:hAnsi="仿宋_GB2312" w:eastAsia="仿宋_GB2312" w:cs="仿宋_GB2312"/>
          <w:bCs/>
          <w:color w:val="auto"/>
          <w:kern w:val="2"/>
          <w:sz w:val="28"/>
          <w:szCs w:val="28"/>
          <w:highlight w:val="none"/>
          <w:lang w:val="en-GB" w:eastAsia="zh-CN" w:bidi="ar-SA"/>
        </w:rPr>
        <w:t>，房屋整体经济耐用年限为50年，已使用</w:t>
      </w:r>
      <w:r>
        <w:rPr>
          <w:rFonts w:hint="eastAsia" w:ascii="仿宋_GB2312" w:hAnsi="仿宋_GB2312" w:eastAsia="仿宋_GB2312" w:cs="仿宋_GB2312"/>
          <w:bCs/>
          <w:color w:val="auto"/>
          <w:kern w:val="2"/>
          <w:sz w:val="28"/>
          <w:szCs w:val="28"/>
          <w:highlight w:val="none"/>
          <w:lang w:val="en-US" w:eastAsia="zh-CN" w:bidi="ar-SA"/>
        </w:rPr>
        <w:t>22年</w:t>
      </w:r>
      <w:r>
        <w:rPr>
          <w:rFonts w:hint="default" w:ascii="仿宋_GB2312" w:hAnsi="仿宋_GB2312" w:eastAsia="仿宋_GB2312" w:cs="仿宋_GB2312"/>
          <w:bCs/>
          <w:color w:val="auto"/>
          <w:kern w:val="2"/>
          <w:sz w:val="28"/>
          <w:szCs w:val="28"/>
          <w:highlight w:val="none"/>
          <w:lang w:val="en-GB" w:eastAsia="zh-CN" w:bidi="ar-SA"/>
        </w:rPr>
        <w:t>，剩余使用年限为</w:t>
      </w:r>
      <w:r>
        <w:rPr>
          <w:rFonts w:hint="eastAsia" w:ascii="仿宋_GB2312" w:hAnsi="仿宋_GB2312" w:eastAsia="仿宋_GB2312" w:cs="仿宋_GB2312"/>
          <w:bCs/>
          <w:color w:val="auto"/>
          <w:kern w:val="2"/>
          <w:sz w:val="28"/>
          <w:szCs w:val="28"/>
          <w:highlight w:val="none"/>
          <w:lang w:val="en-US" w:eastAsia="zh-CN" w:bidi="ar-SA"/>
        </w:rPr>
        <w:t>28</w:t>
      </w:r>
      <w:r>
        <w:rPr>
          <w:rFonts w:hint="default" w:ascii="仿宋_GB2312" w:hAnsi="仿宋_GB2312" w:eastAsia="仿宋_GB2312" w:cs="仿宋_GB2312"/>
          <w:bCs/>
          <w:color w:val="auto"/>
          <w:kern w:val="2"/>
          <w:sz w:val="28"/>
          <w:szCs w:val="28"/>
          <w:highlight w:val="none"/>
          <w:lang w:val="en-GB" w:eastAsia="zh-CN" w:bidi="ar-SA"/>
        </w:rPr>
        <w:t>年。根据委托方提供的估价对象</w:t>
      </w:r>
      <w:r>
        <w:rPr>
          <w:rFonts w:hint="eastAsia" w:ascii="仿宋_GB2312" w:eastAsia="仿宋_GB2312"/>
          <w:color w:val="000000" w:themeColor="text1"/>
          <w:sz w:val="28"/>
          <w:szCs w:val="30"/>
          <w:highlight w:val="none"/>
          <w:lang w:eastAsia="zh-CN"/>
          <w14:textFill>
            <w14:solidFill>
              <w14:schemeClr w14:val="tx1"/>
            </w14:solidFill>
          </w14:textFill>
        </w:rPr>
        <w:t>《户室面积对照表》、《土地分摊表》</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估价对象建筑面积为</w:t>
      </w:r>
      <w:r>
        <w:rPr>
          <w:rFonts w:hint="eastAsia" w:ascii="仿宋_GB2312" w:hAnsi="仿宋_GB2312" w:eastAsia="仿宋_GB2312" w:cs="仿宋_GB2312"/>
          <w:bCs/>
          <w:color w:val="auto"/>
          <w:kern w:val="2"/>
          <w:sz w:val="28"/>
          <w:szCs w:val="28"/>
          <w:highlight w:val="none"/>
          <w:lang w:val="en-US" w:eastAsia="zh-CN" w:bidi="ar-SA"/>
        </w:rPr>
        <w:t>73.415平方米，分摊土地使用权面积15.2平方米</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根据《评估委托书》</w:t>
      </w:r>
      <w:r>
        <w:rPr>
          <w:rFonts w:hint="default" w:ascii="仿宋_GB2312" w:hAnsi="仿宋_GB2312" w:eastAsia="仿宋_GB2312" w:cs="仿宋_GB2312"/>
          <w:bCs/>
          <w:color w:val="auto"/>
          <w:kern w:val="2"/>
          <w:sz w:val="28"/>
          <w:szCs w:val="28"/>
          <w:highlight w:val="none"/>
          <w:lang w:val="en-GB" w:eastAsia="zh-CN" w:bidi="ar-SA"/>
        </w:rPr>
        <w:t>委托方拟按估价对象现状使用条件进行出让</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则估价对象现状容积率</w:t>
      </w:r>
      <w:r>
        <w:rPr>
          <w:rFonts w:hint="eastAsia" w:ascii="仿宋_GB2312" w:hAnsi="仿宋_GB2312" w:eastAsia="仿宋_GB2312" w:cs="仿宋_GB2312"/>
          <w:bCs/>
          <w:color w:val="auto"/>
          <w:kern w:val="2"/>
          <w:sz w:val="28"/>
          <w:szCs w:val="28"/>
          <w:highlight w:val="none"/>
          <w:lang w:val="en-GB" w:eastAsia="zh-CN" w:bidi="ar-SA"/>
        </w:rPr>
        <w:t>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。根据估价目的，本次评估设定土地容积率为</w:t>
      </w:r>
      <w:r>
        <w:rPr>
          <w:rFonts w:hint="eastAsia" w:ascii="仿宋_GB2312" w:hAnsi="仿宋_GB2312" w:eastAsia="仿宋_GB2312" w:cs="仿宋_GB2312"/>
          <w:bCs/>
          <w:color w:val="auto"/>
          <w:kern w:val="2"/>
          <w:sz w:val="28"/>
          <w:szCs w:val="28"/>
          <w:highlight w:val="none"/>
          <w:lang w:val="en-US" w:eastAsia="zh-CN" w:bidi="ar-SA"/>
        </w:rPr>
        <w:t>4.83。</w:t>
      </w:r>
    </w:p>
    <w:p w14:paraId="39E01AC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）规划利用条件</w:t>
      </w:r>
    </w:p>
    <w:p w14:paraId="38E21F6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规划利用状况</w:t>
      </w:r>
    </w:p>
    <w:p w14:paraId="3B9A43F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w:t>
      </w:r>
      <w:r>
        <w:rPr>
          <w:rFonts w:hint="eastAsia" w:ascii="仿宋_GB2312" w:eastAsia="仿宋_GB2312"/>
          <w:color w:val="000000" w:themeColor="text1"/>
          <w:sz w:val="28"/>
          <w:szCs w:val="30"/>
          <w:highlight w:val="none"/>
          <w:lang w:eastAsia="zh-CN"/>
          <w14:textFill>
            <w14:solidFill>
              <w14:schemeClr w14:val="tx1"/>
            </w14:solidFill>
          </w14:textFill>
        </w:rPr>
        <w:t>《评估委托书》、《户室面积对照表》、《土地分摊表》</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及现场勘查状况，估价对象</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土地面积为15.2平方米，建筑面积73.415平方米，容积率为4.83。</w:t>
      </w:r>
    </w:p>
    <w:p w14:paraId="704D7A8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最佳利用</w:t>
      </w:r>
    </w:p>
    <w:p w14:paraId="6E275D6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本次评估根据最有效利用原则，估价对象在规划利用下价值利用状况为最有效利用。故设定估价对象为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，设定容积率为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4.83，</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其余指标均取规划值为最佳利用方式。</w:t>
      </w:r>
    </w:p>
    <w:p w14:paraId="781EB95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31F22F77">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1DAE22B9">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9.基础设施条件</w:t>
      </w:r>
    </w:p>
    <w:p w14:paraId="6EB641B6">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估价对象宗地实际土地开发程度为宗地红线外“五通”（即通路、通电、供水、排水、通讯），宗地红线内场地平整。</w:t>
      </w:r>
    </w:p>
    <w:p w14:paraId="51D33D24">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（1）通路：</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估价对象所在宗地整体临鹭鸶塘路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26CC463F">
      <w:pPr>
        <w:pStyle w:val="11"/>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（2）供电：区域内接市政双回路110KV供电管网，供电保证率</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高</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1E3DA588">
      <w:pPr>
        <w:pStyle w:val="11"/>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5A4FA49B">
      <w:pPr>
        <w:pStyle w:val="11"/>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（4）给水：区域内供水主要来自区内的市政供水。</w:t>
      </w:r>
    </w:p>
    <w:p w14:paraId="61706580">
      <w:pPr>
        <w:pStyle w:val="11"/>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（5）排水：宗地外接排水设施，在雨水大的情况下无洪涝和积水。</w:t>
      </w:r>
    </w:p>
    <w:p w14:paraId="2D125457">
      <w:pPr>
        <w:pStyle w:val="11"/>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14:textFill>
            <w14:solidFill>
              <w14:schemeClr w14:val="tx1"/>
            </w14:solidFill>
          </w14:textFill>
        </w:rPr>
        <w:sectPr>
          <w:headerReference r:id="rId16" w:type="first"/>
          <w:footerReference r:id="rId17" w:type="first"/>
          <w:endnotePr>
            <w:numFmt w:val="decimal"/>
          </w:endnotePr>
          <w:pgSz w:w="11906" w:h="16838"/>
          <w:pgMar w:top="1440" w:right="1800" w:bottom="1440" w:left="1800" w:header="851" w:footer="992" w:gutter="0"/>
          <w:pgNumType w:fmt="decimal"/>
          <w:cols w:space="720" w:num="1"/>
          <w:docGrid w:linePitch="312" w:charSpace="0"/>
        </w:sect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综合考虑以上影响地价的个别因素，评估分析：面积</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较小</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，对土地利用</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有一定影响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，宗地</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整体</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形状</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较不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规则，对</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土地</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利用</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有一定影响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，地质地势条件优，主要进出道路为</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支路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，道路通达度</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一般</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，距</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长途汽车站距离一般，</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最近货运火车站距离劣。估价对象作为设定用途符合有效利用原则，其他个别条件均对宗地产生较有利</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影响。</w:t>
      </w:r>
    </w:p>
    <w:p w14:paraId="08665943">
      <w:pPr>
        <w:numPr>
          <w:ilvl w:val="0"/>
          <w:numId w:val="0"/>
        </w:numPr>
        <w:adjustRightInd w:val="0"/>
        <w:snapToGrid w:val="0"/>
        <w:spacing w:line="480" w:lineRule="exact"/>
        <w:jc w:val="center"/>
        <w:outlineLvl w:val="0"/>
        <w:rPr>
          <w:rFonts w:hint="default" w:ascii="Times New Roman" w:hAnsi="Times New Roman" w:eastAsia="仿宋_GB2312" w:cs="Times New Roman"/>
          <w:sz w:val="28"/>
          <w:szCs w:val="28"/>
          <w:highlight w:val="none"/>
        </w:rPr>
      </w:pPr>
      <w:r>
        <w:rPr>
          <w:rFonts w:hint="eastAsia" w:asciiTheme="majorEastAsia" w:hAnsiTheme="majorEastAsia" w:eastAsiaTheme="majorEastAsia" w:cstheme="majorEastAsia"/>
          <w:b/>
          <w:bCs/>
          <w:sz w:val="32"/>
          <w:szCs w:val="32"/>
          <w:highlight w:val="none"/>
        </w:rPr>
        <w:t>第三部分  土地估价</w:t>
      </w:r>
    </w:p>
    <w:p w14:paraId="64FD685A">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default" w:ascii="仿宋_GB2312" w:hAnsi="仿宋_GB2312" w:eastAsia="仿宋_GB2312" w:cs="仿宋_GB2312"/>
          <w:b/>
          <w:bCs w:val="0"/>
          <w:color w:val="auto"/>
          <w:sz w:val="28"/>
          <w:szCs w:val="28"/>
          <w:highlight w:val="none"/>
          <w:lang w:val="en-GB" w:eastAsia="zh-CN"/>
        </w:rPr>
      </w:pPr>
      <w:r>
        <w:rPr>
          <w:rFonts w:hint="default" w:ascii="仿宋_GB2312" w:hAnsi="仿宋_GB2312" w:eastAsia="仿宋_GB2312" w:cs="仿宋_GB2312"/>
          <w:b/>
          <w:bCs w:val="0"/>
          <w:color w:val="auto"/>
          <w:sz w:val="28"/>
          <w:szCs w:val="28"/>
          <w:highlight w:val="none"/>
          <w:lang w:val="en-GB" w:eastAsia="zh-CN"/>
        </w:rPr>
        <w:t>一、估价原则</w:t>
      </w:r>
    </w:p>
    <w:p w14:paraId="1A69456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bookmarkStart w:id="24" w:name="_Toc25643"/>
      <w:bookmarkStart w:id="25" w:name="_Toc25024"/>
      <w:r>
        <w:rPr>
          <w:rFonts w:hint="default" w:ascii="仿宋_GB2312" w:hAnsi="仿宋_GB2312" w:eastAsia="仿宋_GB2312" w:cs="仿宋_GB2312"/>
          <w:b w:val="0"/>
          <w:bCs/>
          <w:color w:val="auto"/>
          <w:sz w:val="28"/>
          <w:szCs w:val="28"/>
          <w:highlight w:val="none"/>
          <w:lang w:val="en-GB" w:eastAsia="zh-CN"/>
        </w:rPr>
        <w:t>地价是由其效用、相对稀缺性及有效需求三者相互作用、相互影响所形成的。而这些因素又经常处于变动之中，土地估价必须要对此做细致分析并正确判断其变动趋向，了解土地价格组成的各项因素及各因素之间的相互作用，才能做出正确的估价。我们在本次估价过程中，根据《城镇土地估价规程》及估价对象的具体情况和对应的估价方法，主要遵循以下原则：</w:t>
      </w:r>
    </w:p>
    <w:p w14:paraId="4823C16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1、合法性原则</w:t>
      </w:r>
    </w:p>
    <w:p w14:paraId="6B31CB5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土地估价应以估价对象的合法权益为前提进行。合法权益包括：合法产权、合法使用、合法处分等方面。在合法产权方面，应以国有土地使用证、权属登记和其他合法证件为依据。在合法使用方面，应以使用管制（城市规划、土地用途管制等）为依据。在合法处分方面，应以法律法规和国有土地使用证等容许的处分方式为依据。</w:t>
      </w:r>
    </w:p>
    <w:p w14:paraId="716438C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2、替代原则</w:t>
      </w:r>
    </w:p>
    <w:p w14:paraId="13A6EBF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根据市场运行规律，在同一商品市场中，商品或提供服务的效用相同或大致相似时，价格低者吸引需求，即有两个以上互有替代性的商品或服务同时存在时，商品或服务的价格是经过相互影响与比较之后来决定的。土地价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1DBF331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本次</w:t>
      </w:r>
      <w:r>
        <w:rPr>
          <w:rFonts w:hint="eastAsia" w:ascii="仿宋_GB2312" w:hAnsi="仿宋_GB2312" w:eastAsia="仿宋_GB2312" w:cs="仿宋_GB2312"/>
          <w:b w:val="0"/>
          <w:bCs/>
          <w:color w:val="auto"/>
          <w:sz w:val="28"/>
          <w:szCs w:val="28"/>
          <w:highlight w:val="none"/>
          <w:lang w:val="en-US" w:eastAsia="zh-CN"/>
        </w:rPr>
        <w:t>剩余</w:t>
      </w:r>
      <w:r>
        <w:rPr>
          <w:rFonts w:hint="default" w:ascii="仿宋_GB2312" w:hAnsi="仿宋_GB2312" w:eastAsia="仿宋_GB2312" w:cs="仿宋_GB2312"/>
          <w:b w:val="0"/>
          <w:bCs/>
          <w:color w:val="auto"/>
          <w:sz w:val="28"/>
          <w:szCs w:val="28"/>
          <w:highlight w:val="none"/>
          <w:lang w:val="en-GB" w:eastAsia="zh-CN"/>
        </w:rPr>
        <w:t>法中选取的3个案例均处于估价对象所处区域范围，相互之间存在替代性</w:t>
      </w:r>
      <w:r>
        <w:rPr>
          <w:rFonts w:hint="eastAsia" w:ascii="仿宋_GB2312" w:hAnsi="仿宋_GB2312" w:eastAsia="仿宋_GB2312" w:cs="仿宋_GB2312"/>
          <w:b w:val="0"/>
          <w:bCs/>
          <w:color w:val="auto"/>
          <w:sz w:val="28"/>
          <w:szCs w:val="28"/>
          <w:highlight w:val="none"/>
          <w:lang w:val="en-US" w:eastAsia="zh-CN"/>
        </w:rPr>
        <w:t>体现了该原则。</w:t>
      </w:r>
    </w:p>
    <w:p w14:paraId="0611CEC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3、需求与供给原则</w:t>
      </w:r>
    </w:p>
    <w:p w14:paraId="62EDE13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在完全的市场竞争中，一般商品的价格都取决于供求的均衡点。供小于求，价格就会提高，否则，价格就会降低。由于土地与一般商品相比，具有独特的人文和自然特性，因此在进行土地估价时既要考虑到所假设的公平市场，又要考虑土地供应的垄断性特征。</w:t>
      </w:r>
    </w:p>
    <w:p w14:paraId="7550479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4、预期收益原则</w:t>
      </w:r>
    </w:p>
    <w:p w14:paraId="2C4EAEC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GB" w:eastAsia="zh-CN"/>
        </w:rPr>
        <w:t>遵循预期收益原则，是指土地估价应以估价对象在正常利用条件下的未来客观有效的预期收益为依据。收益还原法和剩余法等评估方法以及还原利率的确定、交易实例价格的检查等技术过程都会应用本原则。</w:t>
      </w:r>
    </w:p>
    <w:p w14:paraId="05E8B7C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5、合理有效利用原则</w:t>
      </w:r>
    </w:p>
    <w:p w14:paraId="13638F4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不同的土地利用方式能为权利人带来不同的收益，土地权利人都期望从其所占有的土地上获取更多的收益，故土地评估应以估价对象在一定的社会经济条件下，最为合理有效的利用方式为前提。首先判断估价对象的土地利用方式是否符合法律法规政策规定、规划限制条件、生态保护要求、市场需求等，再结合估价对象的自身利用条件设定最合理有效的土地利用方式。</w:t>
      </w:r>
    </w:p>
    <w:p w14:paraId="04517D1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6、价值主导原则</w:t>
      </w:r>
    </w:p>
    <w:p w14:paraId="27F90B6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土地综合质量优劣是对土地价格产生影响的主要因素。</w:t>
      </w:r>
    </w:p>
    <w:p w14:paraId="3FC1039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本次评估综合考虑了影响估价对象土地价格的自然、社会、经济状况，符合价值主导原则。</w:t>
      </w:r>
    </w:p>
    <w:p w14:paraId="58078A8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7、审慎原则</w:t>
      </w:r>
    </w:p>
    <w:p w14:paraId="00320AA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在评估中确定相关参数和结果时，应分析并充分考虑市场运行状况、有关行业发展状况，以及存在的风险。</w:t>
      </w:r>
    </w:p>
    <w:p w14:paraId="4D863A6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8、贡献原则</w:t>
      </w:r>
    </w:p>
    <w:p w14:paraId="4F527A0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土地总收益是土地及其他生产要素共同作用的结果，土地的价格由土地对总收益的贡献大小来决定。</w:t>
      </w:r>
    </w:p>
    <w:p w14:paraId="546EA3B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本次在采用</w:t>
      </w:r>
      <w:r>
        <w:rPr>
          <w:rFonts w:hint="eastAsia" w:ascii="仿宋_GB2312" w:hAnsi="仿宋_GB2312" w:eastAsia="仿宋_GB2312" w:cs="仿宋_GB2312"/>
          <w:b w:val="0"/>
          <w:bCs/>
          <w:color w:val="auto"/>
          <w:sz w:val="28"/>
          <w:szCs w:val="28"/>
          <w:highlight w:val="none"/>
          <w:lang w:val="en-US" w:eastAsia="zh-CN"/>
        </w:rPr>
        <w:t>剩余</w:t>
      </w:r>
      <w:r>
        <w:rPr>
          <w:rFonts w:hint="default" w:ascii="仿宋_GB2312" w:hAnsi="仿宋_GB2312" w:eastAsia="仿宋_GB2312" w:cs="仿宋_GB2312"/>
          <w:b w:val="0"/>
          <w:bCs/>
          <w:color w:val="auto"/>
          <w:sz w:val="28"/>
          <w:szCs w:val="28"/>
          <w:highlight w:val="none"/>
          <w:lang w:val="en-US" w:eastAsia="zh-CN"/>
        </w:rPr>
        <w:t>法时，通过扣除相关成本及其他税费来测算土地价格，体现了贡献原则。</w:t>
      </w:r>
    </w:p>
    <w:p w14:paraId="0047C04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9、公开市场原则</w:t>
      </w:r>
    </w:p>
    <w:p w14:paraId="481D48F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评估结果在公平、公正、公开的土地市场上可实现。</w:t>
      </w:r>
    </w:p>
    <w:p w14:paraId="18A04E4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待估宗地按照地价评估的基本原则和估价程序，选择合适的评估方法，评估得到估价对象在设定用途、设定土地使用权类型及土地使用权年限、设定开发程度条件、规划条件下、正常市场条件下的国有出让土地使用权价格，并且评估结果在公平、公正、公开的土地市场上可实现。</w:t>
      </w:r>
    </w:p>
    <w:p w14:paraId="1E6CBC2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Times New Roman" w:hAnsi="Times New Roman" w:eastAsia="仿宋" w:cs="Times New Roman"/>
          <w:sz w:val="28"/>
          <w:szCs w:val="28"/>
          <w:highlight w:val="none"/>
        </w:rPr>
      </w:pPr>
      <w:r>
        <w:rPr>
          <w:rFonts w:hint="default" w:ascii="仿宋_GB2312" w:hAnsi="仿宋_GB2312" w:eastAsia="仿宋_GB2312" w:cs="仿宋_GB2312"/>
          <w:b w:val="0"/>
          <w:bCs/>
          <w:color w:val="auto"/>
          <w:sz w:val="28"/>
          <w:szCs w:val="28"/>
          <w:highlight w:val="none"/>
          <w:lang w:val="en-US" w:eastAsia="zh-CN"/>
        </w:rPr>
        <w:t>总之，在评估过程中，要按国家、地方的有关规定，遵守客观、公正、科学、合法的总原则进行土地价格评估，做到评估过程合理，评估方法科学，评估结果准确，严格保守评估秘密</w:t>
      </w:r>
      <w:r>
        <w:rPr>
          <w:rFonts w:hint="default" w:ascii="Times New Roman" w:hAnsi="Times New Roman" w:eastAsia="仿宋" w:cs="Times New Roman"/>
          <w:sz w:val="28"/>
          <w:szCs w:val="28"/>
          <w:highlight w:val="none"/>
        </w:rPr>
        <w:t>。</w:t>
      </w:r>
    </w:p>
    <w:p w14:paraId="6C821045">
      <w:pPr>
        <w:pStyle w:val="3"/>
        <w:spacing w:line="480" w:lineRule="exact"/>
        <w:ind w:left="0" w:firstLine="0"/>
        <w:jc w:val="left"/>
        <w:rPr>
          <w:rFonts w:hint="default" w:ascii="仿宋_GB2312" w:hAnsi="仿宋_GB2312" w:eastAsia="仿宋_GB2312" w:cs="仿宋_GB2312"/>
          <w:b/>
          <w:bCs w:val="0"/>
          <w:color w:val="auto"/>
          <w:kern w:val="2"/>
          <w:sz w:val="28"/>
          <w:szCs w:val="28"/>
          <w:highlight w:val="none"/>
          <w:lang w:val="en-US" w:eastAsia="zh-CN" w:bidi="ar-SA"/>
        </w:rPr>
      </w:pPr>
      <w:r>
        <w:rPr>
          <w:rFonts w:hint="default" w:ascii="Times New Roman" w:hAnsi="Times New Roman" w:eastAsia="仿宋" w:cs="Times New Roman"/>
          <w:b/>
          <w:bCs w:val="0"/>
          <w:sz w:val="28"/>
          <w:szCs w:val="28"/>
          <w:highlight w:val="none"/>
        </w:rPr>
        <w:t>二、</w:t>
      </w:r>
      <w:r>
        <w:rPr>
          <w:rFonts w:hint="default" w:ascii="仿宋_GB2312" w:hAnsi="仿宋_GB2312" w:eastAsia="仿宋_GB2312" w:cs="仿宋_GB2312"/>
          <w:b/>
          <w:bCs w:val="0"/>
          <w:color w:val="auto"/>
          <w:kern w:val="2"/>
          <w:sz w:val="28"/>
          <w:szCs w:val="28"/>
          <w:highlight w:val="none"/>
          <w:lang w:val="en-US" w:eastAsia="zh-CN" w:bidi="ar-SA"/>
        </w:rPr>
        <w:t>估价方法与估价过程</w:t>
      </w:r>
      <w:bookmarkEnd w:id="24"/>
      <w:bookmarkEnd w:id="25"/>
    </w:p>
    <w:p w14:paraId="5799354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1.土地使用权估价方法选择原则</w:t>
      </w:r>
    </w:p>
    <w:p w14:paraId="57CEB95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A.根据《城镇土地估价规程》（GB/T18508-2014,2014年12月01日实施）中关于住宅用地估价方法选择的原则：</w:t>
      </w:r>
    </w:p>
    <w:p w14:paraId="786BE8C5">
      <w:pPr>
        <w:keepNext w:val="0"/>
        <w:keepLines w:val="0"/>
        <w:pageBreakBefore w:val="0"/>
        <w:widowControl w:val="0"/>
        <w:kinsoku/>
        <w:wordWrap/>
        <w:overflowPunct w:val="0"/>
        <w:topLinePunct w:val="0"/>
        <w:autoSpaceDE w:val="0"/>
        <w:autoSpaceDN w:val="0"/>
        <w:bidi w:val="0"/>
        <w:snapToGrid w:val="0"/>
        <w:spacing w:line="480" w:lineRule="exact"/>
        <w:ind w:firstLine="560" w:firstLineChars="200"/>
        <w:textAlignment w:val="auto"/>
        <w:rPr>
          <w:rFonts w:hint="eastAsia" w:ascii="仿宋_GB2312" w:hAnsi="仿宋_GB2312" w:eastAsia="仿宋_GB2312" w:cs="仿宋_GB2312"/>
          <w:snapToGrid w:val="0"/>
          <w:kern w:val="0"/>
          <w:sz w:val="28"/>
          <w:szCs w:val="28"/>
          <w:highlight w:val="none"/>
        </w:rPr>
      </w:pPr>
      <w:r>
        <w:rPr>
          <w:rFonts w:hint="eastAsia" w:ascii="仿宋_GB2312" w:hAnsi="仿宋_GB2312" w:eastAsia="仿宋_GB2312" w:cs="仿宋_GB2312"/>
          <w:snapToGrid w:val="0"/>
          <w:kern w:val="0"/>
          <w:sz w:val="28"/>
          <w:szCs w:val="28"/>
          <w:highlight w:val="none"/>
        </w:rPr>
        <w:t>a)评估住宅用地价格宜选市场比较法，并至少另辅一种适宜的估价方法；</w:t>
      </w:r>
    </w:p>
    <w:p w14:paraId="37434381">
      <w:pPr>
        <w:keepNext w:val="0"/>
        <w:keepLines w:val="0"/>
        <w:pageBreakBefore w:val="0"/>
        <w:widowControl w:val="0"/>
        <w:kinsoku/>
        <w:wordWrap/>
        <w:overflowPunct w:val="0"/>
        <w:topLinePunct w:val="0"/>
        <w:autoSpaceDE w:val="0"/>
        <w:autoSpaceDN w:val="0"/>
        <w:bidi w:val="0"/>
        <w:snapToGrid w:val="0"/>
        <w:spacing w:line="480" w:lineRule="exact"/>
        <w:ind w:firstLine="560" w:firstLineChars="200"/>
        <w:textAlignment w:val="auto"/>
        <w:rPr>
          <w:rFonts w:hint="eastAsia" w:ascii="仿宋_GB2312" w:hAnsi="仿宋_GB2312" w:eastAsia="仿宋_GB2312" w:cs="仿宋_GB2312"/>
          <w:snapToGrid w:val="0"/>
          <w:kern w:val="0"/>
          <w:sz w:val="28"/>
          <w:szCs w:val="28"/>
          <w:highlight w:val="none"/>
        </w:rPr>
      </w:pPr>
      <w:r>
        <w:rPr>
          <w:rFonts w:hint="eastAsia" w:ascii="仿宋_GB2312" w:hAnsi="仿宋_GB2312" w:eastAsia="仿宋_GB2312" w:cs="仿宋_GB2312"/>
          <w:snapToGrid w:val="0"/>
          <w:kern w:val="0"/>
          <w:sz w:val="28"/>
          <w:szCs w:val="28"/>
          <w:highlight w:val="none"/>
        </w:rPr>
        <w:t>b)对位于中心城区的住宅用地，不宜采用成本逼近法；</w:t>
      </w:r>
    </w:p>
    <w:p w14:paraId="471151DA">
      <w:pPr>
        <w:keepNext w:val="0"/>
        <w:keepLines w:val="0"/>
        <w:pageBreakBefore w:val="0"/>
        <w:widowControl w:val="0"/>
        <w:kinsoku/>
        <w:wordWrap/>
        <w:overflowPunct w:val="0"/>
        <w:topLinePunct w:val="0"/>
        <w:autoSpaceDE w:val="0"/>
        <w:autoSpaceDN w:val="0"/>
        <w:bidi w:val="0"/>
        <w:snapToGrid w:val="0"/>
        <w:spacing w:line="480" w:lineRule="exact"/>
        <w:ind w:firstLine="560" w:firstLineChars="200"/>
        <w:textAlignment w:val="auto"/>
        <w:rPr>
          <w:rFonts w:hint="eastAsia" w:ascii="仿宋_GB2312" w:hAnsi="仿宋_GB2312" w:eastAsia="仿宋_GB2312" w:cs="仿宋_GB2312"/>
          <w:snapToGrid w:val="0"/>
          <w:kern w:val="0"/>
          <w:sz w:val="28"/>
          <w:szCs w:val="28"/>
          <w:highlight w:val="none"/>
        </w:rPr>
      </w:pPr>
      <w:r>
        <w:rPr>
          <w:rFonts w:hint="eastAsia" w:ascii="仿宋_GB2312" w:hAnsi="仿宋_GB2312" w:eastAsia="仿宋_GB2312" w:cs="仿宋_GB2312"/>
          <w:snapToGrid w:val="0"/>
          <w:kern w:val="0"/>
          <w:sz w:val="28"/>
          <w:szCs w:val="28"/>
          <w:highlight w:val="none"/>
        </w:rPr>
        <w:t>c)对投资待建的住宅用地，可选择剩余法；</w:t>
      </w:r>
    </w:p>
    <w:p w14:paraId="2AE0C06D">
      <w:pPr>
        <w:keepNext w:val="0"/>
        <w:keepLines w:val="0"/>
        <w:pageBreakBefore w:val="0"/>
        <w:widowControl w:val="0"/>
        <w:kinsoku/>
        <w:wordWrap/>
        <w:overflowPunct w:val="0"/>
        <w:topLinePunct w:val="0"/>
        <w:autoSpaceDE w:val="0"/>
        <w:autoSpaceDN w:val="0"/>
        <w:bidi w:val="0"/>
        <w:snapToGrid w:val="0"/>
        <w:spacing w:line="480" w:lineRule="exact"/>
        <w:ind w:firstLine="560" w:firstLineChars="200"/>
        <w:textAlignment w:val="auto"/>
        <w:rPr>
          <w:rFonts w:hint="eastAsia" w:ascii="仿宋_GB2312" w:hAnsi="仿宋_GB2312" w:eastAsia="仿宋_GB2312" w:cs="仿宋_GB2312"/>
          <w:snapToGrid w:val="0"/>
          <w:kern w:val="0"/>
          <w:sz w:val="28"/>
          <w:szCs w:val="28"/>
          <w:highlight w:val="none"/>
        </w:rPr>
      </w:pPr>
      <w:r>
        <w:rPr>
          <w:rFonts w:hint="eastAsia" w:ascii="仿宋_GB2312" w:hAnsi="仿宋_GB2312" w:eastAsia="仿宋_GB2312" w:cs="仿宋_GB2312"/>
          <w:snapToGrid w:val="0"/>
          <w:kern w:val="0"/>
          <w:sz w:val="28"/>
          <w:szCs w:val="28"/>
          <w:highlight w:val="none"/>
        </w:rPr>
        <w:t>d)对位于城镇规划区外零星分布的住宅用地，可选择剩余法；</w:t>
      </w:r>
    </w:p>
    <w:p w14:paraId="54E24D52">
      <w:pPr>
        <w:keepNext w:val="0"/>
        <w:keepLines w:val="0"/>
        <w:pageBreakBefore w:val="0"/>
        <w:widowControl w:val="0"/>
        <w:kinsoku/>
        <w:wordWrap/>
        <w:overflowPunct w:val="0"/>
        <w:topLinePunct w:val="0"/>
        <w:autoSpaceDE w:val="0"/>
        <w:autoSpaceDN w:val="0"/>
        <w:bidi w:val="0"/>
        <w:snapToGrid w:val="0"/>
        <w:spacing w:line="480" w:lineRule="exact"/>
        <w:ind w:firstLine="560" w:firstLineChars="200"/>
        <w:textAlignment w:val="auto"/>
        <w:rPr>
          <w:rFonts w:hint="eastAsia" w:ascii="仿宋_GB2312" w:hAnsi="仿宋_GB2312" w:eastAsia="仿宋_GB2312" w:cs="仿宋_GB2312"/>
          <w:snapToGrid w:val="0"/>
          <w:kern w:val="0"/>
          <w:sz w:val="28"/>
          <w:szCs w:val="28"/>
          <w:highlight w:val="none"/>
        </w:rPr>
      </w:pPr>
      <w:r>
        <w:rPr>
          <w:rFonts w:hint="eastAsia" w:ascii="仿宋_GB2312" w:hAnsi="仿宋_GB2312" w:eastAsia="仿宋_GB2312" w:cs="仿宋_GB2312"/>
          <w:snapToGrid w:val="0"/>
          <w:kern w:val="0"/>
          <w:sz w:val="28"/>
          <w:szCs w:val="28"/>
          <w:highlight w:val="none"/>
        </w:rPr>
        <w:t>e)对新开发土地，可选用成本逼近法。</w:t>
      </w:r>
    </w:p>
    <w:p w14:paraId="56A0AD7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B.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因土地市场不发育等原因，无法满足上述要求的，应有详细的市场调查情况说明。</w:t>
      </w:r>
    </w:p>
    <w:p w14:paraId="45B787A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2.基本估价方法介绍</w:t>
      </w:r>
    </w:p>
    <w:p w14:paraId="0C637BE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根据《城镇土地估价规程》（GB/T18508-2014,2014年12月01日实施），宗地估价基本方法包括以下几种：</w:t>
      </w:r>
    </w:p>
    <w:p w14:paraId="665F18F0">
      <w:pPr>
        <w:pStyle w:val="17"/>
        <w:keepNext w:val="0"/>
        <w:keepLines w:val="0"/>
        <w:pageBreakBefore w:val="0"/>
        <w:widowControl w:val="0"/>
        <w:numPr>
          <w:ilvl w:val="0"/>
          <w:numId w:val="0"/>
        </w:numPr>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（1）市场比较法：将估价对象与在估价期日近期有过交易的类似土地进行比较，对这些类似土地的已知价格作适当的修正，以此估算估价对象的客观合理价格或价值的方法；</w:t>
      </w:r>
    </w:p>
    <w:p w14:paraId="4B57EC4E">
      <w:pPr>
        <w:pStyle w:val="17"/>
        <w:keepNext w:val="0"/>
        <w:keepLines w:val="0"/>
        <w:pageBreakBefore w:val="0"/>
        <w:widowControl w:val="0"/>
        <w:numPr>
          <w:ilvl w:val="0"/>
          <w:numId w:val="0"/>
        </w:numPr>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（2）收益还原法：为预计估价对象未来的正常收益，选用适当的资本化率将其折现到估价期日后累加，以此估算估价对象的客观合理价格或价值的方法；</w:t>
      </w:r>
    </w:p>
    <w:p w14:paraId="150C1045">
      <w:pPr>
        <w:pStyle w:val="17"/>
        <w:keepNext w:val="0"/>
        <w:keepLines w:val="0"/>
        <w:pageBreakBefore w:val="0"/>
        <w:widowControl w:val="0"/>
        <w:numPr>
          <w:ilvl w:val="0"/>
          <w:numId w:val="0"/>
        </w:numPr>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（3）剩余法：是在估算开发完成后不动产正常交易价格的基础上，扣除建筑物建造费用和与建筑物建造、买卖有关的专业费、利息、利润、税收等费用后，以价格余额来估算土地价格的方法；</w:t>
      </w:r>
    </w:p>
    <w:p w14:paraId="2B58A41F">
      <w:pPr>
        <w:pStyle w:val="17"/>
        <w:keepNext w:val="0"/>
        <w:keepLines w:val="0"/>
        <w:pageBreakBefore w:val="0"/>
        <w:widowControl w:val="0"/>
        <w:numPr>
          <w:ilvl w:val="0"/>
          <w:numId w:val="0"/>
        </w:numPr>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（4）成本逼近法：是以土地取得费、土地开发所耗各项费用之和为主要依据，再加上一定的利润、利息、应缴纳的税金和土地增值收益来确定土地价格的估价方法；</w:t>
      </w:r>
    </w:p>
    <w:p w14:paraId="5D63F972">
      <w:pPr>
        <w:pStyle w:val="11"/>
        <w:keepNext w:val="0"/>
        <w:keepLines w:val="0"/>
        <w:pageBreakBefore w:val="0"/>
        <w:widowControl w:val="0"/>
        <w:kinsoku/>
        <w:wordWrap/>
        <w:overflowPunct/>
        <w:topLinePunct w:val="0"/>
        <w:autoSpaceDE/>
        <w:autoSpaceDN/>
        <w:bidi w:val="0"/>
        <w:spacing w:line="480" w:lineRule="exact"/>
        <w:textAlignment w:val="auto"/>
        <w:rPr>
          <w:rFonts w:hint="eastAsia" w:ascii="仿宋_GB2312" w:hAnsi="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5）公示地价系数修正法：指在求取一宗土地的价格时，依据估价对象所处地区的土地级别基准地价水平，参照估价对象所处土地级别的各种修正因素说明，确定区域因素、个别因素、估价期日、容积率与建筑密度、使用年期、开发程度等修正系数，最后修正得出估价对象地价的一种方</w:t>
      </w:r>
      <w:r>
        <w:rPr>
          <w:rFonts w:hint="eastAsia" w:ascii="仿宋_GB2312" w:hAnsi="仿宋_GB2312" w:cs="仿宋_GB2312"/>
          <w:color w:val="auto"/>
          <w:szCs w:val="28"/>
          <w:highlight w:val="none"/>
          <w:lang w:val="en-US" w:eastAsia="zh-CN"/>
        </w:rPr>
        <w:t>法。</w:t>
      </w:r>
    </w:p>
    <w:p w14:paraId="4A31240C">
      <w:pPr>
        <w:pStyle w:val="11"/>
        <w:keepNext w:val="0"/>
        <w:keepLines w:val="0"/>
        <w:pageBreakBefore w:val="0"/>
        <w:widowControl w:val="0"/>
        <w:kinsoku/>
        <w:wordWrap/>
        <w:overflowPunct/>
        <w:topLinePunct w:val="0"/>
        <w:autoSpaceDE/>
        <w:autoSpaceDN/>
        <w:bidi w:val="0"/>
        <w:spacing w:line="480" w:lineRule="exact"/>
        <w:textAlignment w:val="auto"/>
        <w:rPr>
          <w:rFonts w:hint="eastAsia" w:ascii="仿宋_GB2312" w:hAnsi="仿宋_GB2312" w:cs="仿宋_GB2312"/>
          <w:color w:val="auto"/>
          <w:szCs w:val="28"/>
          <w:highlight w:val="none"/>
          <w:lang w:val="en-US" w:eastAsia="zh-CN"/>
        </w:rPr>
      </w:pPr>
      <w:r>
        <w:rPr>
          <w:rFonts w:hint="eastAsia" w:ascii="仿宋_GB2312" w:hAnsi="仿宋_GB2312" w:cs="仿宋_GB2312"/>
          <w:color w:val="auto"/>
          <w:szCs w:val="28"/>
          <w:highlight w:val="none"/>
          <w:lang w:val="en-US" w:eastAsia="zh-CN"/>
        </w:rPr>
        <w:t>2.估价方法选择</w:t>
      </w:r>
    </w:p>
    <w:p w14:paraId="37D2BB5E">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（1）</w:t>
      </w:r>
      <w:r>
        <w:rPr>
          <w:rFonts w:hint="eastAsia" w:ascii="仿宋_GB2312" w:hAnsi="仿宋_GB2312" w:eastAsia="仿宋_GB2312" w:cs="仿宋_GB2312"/>
          <w:b w:val="0"/>
          <w:bCs/>
          <w:color w:val="auto"/>
          <w:sz w:val="28"/>
          <w:szCs w:val="28"/>
          <w:highlight w:val="none"/>
          <w:lang w:val="en-US" w:eastAsia="zh-CN"/>
        </w:rPr>
        <w:t>采用方法及采用方法</w:t>
      </w:r>
      <w:r>
        <w:rPr>
          <w:rFonts w:hint="default" w:ascii="仿宋_GB2312" w:hAnsi="仿宋_GB2312" w:eastAsia="仿宋_GB2312" w:cs="仿宋_GB2312"/>
          <w:b w:val="0"/>
          <w:bCs/>
          <w:color w:val="auto"/>
          <w:sz w:val="28"/>
          <w:szCs w:val="28"/>
          <w:highlight w:val="none"/>
          <w:lang w:val="en-US" w:eastAsia="zh-CN"/>
        </w:rPr>
        <w:t>的理由：</w:t>
      </w:r>
    </w:p>
    <w:p w14:paraId="3A7288F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fldChar w:fldCharType="begin"/>
      </w:r>
      <w:r>
        <w:rPr>
          <w:rFonts w:hint="default" w:ascii="仿宋_GB2312" w:hAnsi="仿宋_GB2312" w:eastAsia="仿宋_GB2312" w:cs="仿宋_GB2312"/>
          <w:b w:val="0"/>
          <w:bCs/>
          <w:color w:val="auto"/>
          <w:sz w:val="28"/>
          <w:szCs w:val="28"/>
          <w:highlight w:val="none"/>
          <w:lang w:val="en-US" w:eastAsia="zh-CN"/>
        </w:rPr>
        <w:instrText xml:space="preserve"> = 1 \* GB3 </w:instrText>
      </w:r>
      <w:r>
        <w:rPr>
          <w:rFonts w:hint="default" w:ascii="仿宋_GB2312" w:hAnsi="仿宋_GB2312" w:eastAsia="仿宋_GB2312" w:cs="仿宋_GB2312"/>
          <w:b w:val="0"/>
          <w:bCs/>
          <w:color w:val="auto"/>
          <w:sz w:val="28"/>
          <w:szCs w:val="28"/>
          <w:highlight w:val="none"/>
          <w:lang w:val="en-US" w:eastAsia="zh-CN"/>
        </w:rPr>
        <w:fldChar w:fldCharType="separate"/>
      </w:r>
      <w:r>
        <w:rPr>
          <w:rFonts w:hint="default" w:ascii="仿宋_GB2312" w:hAnsi="仿宋_GB2312" w:eastAsia="仿宋_GB2312" w:cs="仿宋_GB2312"/>
          <w:b w:val="0"/>
          <w:bCs/>
          <w:color w:val="auto"/>
          <w:sz w:val="28"/>
          <w:szCs w:val="28"/>
          <w:highlight w:val="none"/>
          <w:lang w:val="en-US" w:eastAsia="zh-CN"/>
        </w:rPr>
        <w:t>①</w:t>
      </w:r>
      <w:r>
        <w:rPr>
          <w:rFonts w:hint="default" w:ascii="仿宋_GB2312" w:hAnsi="仿宋_GB2312" w:eastAsia="仿宋_GB2312" w:cs="仿宋_GB2312"/>
          <w:b w:val="0"/>
          <w:bCs/>
          <w:color w:val="auto"/>
          <w:sz w:val="28"/>
          <w:szCs w:val="28"/>
          <w:highlight w:val="none"/>
          <w:lang w:val="en-US" w:eastAsia="zh-CN"/>
        </w:rPr>
        <w:fldChar w:fldCharType="end"/>
      </w:r>
      <w:r>
        <w:rPr>
          <w:rFonts w:hint="eastAsia" w:ascii="仿宋_GB2312" w:hAnsi="仿宋_GB2312" w:eastAsia="仿宋_GB2312" w:cs="仿宋_GB2312"/>
          <w:b w:val="0"/>
          <w:bCs/>
          <w:color w:val="auto"/>
          <w:sz w:val="28"/>
          <w:szCs w:val="28"/>
          <w:highlight w:val="none"/>
          <w:lang w:val="en-US" w:eastAsia="zh-CN"/>
        </w:rPr>
        <w:t>成本逼近法</w:t>
      </w:r>
    </w:p>
    <w:p w14:paraId="494C1EF4">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color w:val="auto"/>
          <w:sz w:val="28"/>
          <w:szCs w:val="28"/>
          <w:highlight w:val="none"/>
          <w:lang w:val="en-US" w:eastAsia="zh-CN"/>
        </w:rPr>
      </w:pPr>
      <w:r>
        <w:rPr>
          <w:rFonts w:hint="eastAsia" w:ascii="仿宋_GB2312" w:hAnsi="仿宋_GB2312" w:eastAsia="仿宋_GB2312" w:cs="仿宋_GB2312"/>
          <w:b w:val="0"/>
          <w:bCs/>
          <w:color w:val="auto"/>
          <w:sz w:val="28"/>
          <w:szCs w:val="28"/>
          <w:highlight w:val="none"/>
          <w:lang w:val="en-US" w:eastAsia="zh-CN"/>
        </w:rPr>
        <w:t>估价对象所在区域有土地征收案例，政府公布了征地有关文件，可测算土地取得成本，故选择成本逼近法作为土地评估方法之一。</w:t>
      </w:r>
    </w:p>
    <w:p w14:paraId="06822E2D">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fldChar w:fldCharType="begin"/>
      </w:r>
      <w:r>
        <w:rPr>
          <w:rFonts w:hint="default" w:ascii="仿宋_GB2312" w:hAnsi="仿宋_GB2312" w:eastAsia="仿宋_GB2312" w:cs="仿宋_GB2312"/>
          <w:b w:val="0"/>
          <w:bCs/>
          <w:color w:val="auto"/>
          <w:sz w:val="28"/>
          <w:szCs w:val="28"/>
          <w:highlight w:val="none"/>
          <w:lang w:val="en-US" w:eastAsia="zh-CN"/>
        </w:rPr>
        <w:instrText xml:space="preserve"> = 2 \* GB3 </w:instrText>
      </w:r>
      <w:r>
        <w:rPr>
          <w:rFonts w:hint="default" w:ascii="仿宋_GB2312" w:hAnsi="仿宋_GB2312" w:eastAsia="仿宋_GB2312" w:cs="仿宋_GB2312"/>
          <w:b w:val="0"/>
          <w:bCs/>
          <w:color w:val="auto"/>
          <w:sz w:val="28"/>
          <w:szCs w:val="28"/>
          <w:highlight w:val="none"/>
          <w:lang w:val="en-US" w:eastAsia="zh-CN"/>
        </w:rPr>
        <w:fldChar w:fldCharType="separate"/>
      </w:r>
      <w:r>
        <w:rPr>
          <w:rFonts w:hint="default" w:ascii="仿宋_GB2312" w:hAnsi="仿宋_GB2312" w:eastAsia="仿宋_GB2312" w:cs="仿宋_GB2312"/>
          <w:b w:val="0"/>
          <w:bCs/>
          <w:color w:val="auto"/>
          <w:sz w:val="28"/>
          <w:szCs w:val="28"/>
          <w:highlight w:val="none"/>
          <w:lang w:val="en-US" w:eastAsia="zh-CN"/>
        </w:rPr>
        <w:t>②</w:t>
      </w:r>
      <w:r>
        <w:rPr>
          <w:rFonts w:hint="default" w:ascii="仿宋_GB2312" w:hAnsi="仿宋_GB2312" w:eastAsia="仿宋_GB2312" w:cs="仿宋_GB2312"/>
          <w:b w:val="0"/>
          <w:bCs/>
          <w:color w:val="auto"/>
          <w:sz w:val="28"/>
          <w:szCs w:val="28"/>
          <w:highlight w:val="none"/>
          <w:lang w:val="en-US" w:eastAsia="zh-CN"/>
        </w:rPr>
        <w:fldChar w:fldCharType="end"/>
      </w:r>
      <w:r>
        <w:rPr>
          <w:rFonts w:hint="eastAsia" w:ascii="仿宋_GB2312" w:hAnsi="仿宋_GB2312" w:eastAsia="仿宋_GB2312" w:cs="仿宋_GB2312"/>
          <w:b w:val="0"/>
          <w:bCs/>
          <w:color w:val="auto"/>
          <w:sz w:val="28"/>
          <w:szCs w:val="28"/>
          <w:highlight w:val="none"/>
          <w:lang w:val="en-US" w:eastAsia="zh-CN"/>
        </w:rPr>
        <w:t>收益还原法</w:t>
      </w:r>
    </w:p>
    <w:p w14:paraId="47E5EA4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由于估价对象地上房屋建筑物有</w:t>
      </w:r>
      <w:r>
        <w:rPr>
          <w:rFonts w:hint="eastAsia" w:ascii="仿宋_GB2312" w:hAnsi="仿宋_GB2312" w:eastAsia="仿宋_GB2312" w:cs="仿宋_GB2312"/>
          <w:b w:val="0"/>
          <w:bCs/>
          <w:color w:val="auto"/>
          <w:sz w:val="28"/>
          <w:szCs w:val="28"/>
          <w:highlight w:val="none"/>
          <w:lang w:val="en-US" w:eastAsia="zh-CN"/>
        </w:rPr>
        <w:t>潜在</w:t>
      </w:r>
      <w:r>
        <w:rPr>
          <w:rFonts w:hint="default" w:ascii="仿宋_GB2312" w:hAnsi="仿宋_GB2312" w:eastAsia="仿宋_GB2312" w:cs="仿宋_GB2312"/>
          <w:b w:val="0"/>
          <w:bCs/>
          <w:color w:val="auto"/>
          <w:sz w:val="28"/>
          <w:szCs w:val="28"/>
          <w:highlight w:val="none"/>
          <w:lang w:val="en-US" w:eastAsia="zh-CN"/>
        </w:rPr>
        <w:t>收益，所在区域内同类型用房租赁情况较多，不动产总收益较易确定，故可采用收益还原法作为评估方法之一。</w:t>
      </w:r>
    </w:p>
    <w:p w14:paraId="084E9ED4">
      <w:pPr>
        <w:pStyle w:val="17"/>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最后综合分析宗地所在区域地产市场行情，确定土地价格</w:t>
      </w:r>
      <w:r>
        <w:rPr>
          <w:rFonts w:hint="eastAsia" w:ascii="仿宋_GB2312" w:hAnsi="仿宋_GB2312" w:eastAsia="仿宋_GB2312" w:cs="仿宋_GB2312"/>
          <w:color w:val="auto"/>
          <w:szCs w:val="28"/>
          <w:highlight w:val="none"/>
          <w:lang w:val="en-US" w:eastAsia="zh-CN"/>
        </w:rPr>
        <w:t>。</w:t>
      </w:r>
    </w:p>
    <w:p w14:paraId="3BEDF33E">
      <w:pPr>
        <w:pStyle w:val="17"/>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（2）不采用的方法及不采用方法理由</w:t>
      </w:r>
      <w:r>
        <w:rPr>
          <w:rFonts w:hint="eastAsia" w:hAnsi="仿宋_GB2312" w:cs="仿宋_GB2312"/>
          <w:color w:val="auto"/>
          <w:szCs w:val="28"/>
          <w:highlight w:val="none"/>
          <w:lang w:val="en-US" w:eastAsia="zh-CN"/>
        </w:rPr>
        <w:t>：</w:t>
      </w:r>
    </w:p>
    <w:p w14:paraId="491E615F">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fldChar w:fldCharType="begin"/>
      </w:r>
      <w:r>
        <w:rPr>
          <w:rFonts w:hint="default" w:ascii="仿宋_GB2312" w:hAnsi="仿宋_GB2312" w:eastAsia="仿宋_GB2312" w:cs="仿宋_GB2312"/>
          <w:b w:val="0"/>
          <w:bCs/>
          <w:color w:val="auto"/>
          <w:sz w:val="28"/>
          <w:szCs w:val="28"/>
          <w:highlight w:val="none"/>
          <w:lang w:val="en-US" w:eastAsia="zh-CN"/>
        </w:rPr>
        <w:instrText xml:space="preserve"> = 1 \* GB3 </w:instrText>
      </w:r>
      <w:r>
        <w:rPr>
          <w:rFonts w:hint="default" w:ascii="仿宋_GB2312" w:hAnsi="仿宋_GB2312" w:eastAsia="仿宋_GB2312" w:cs="仿宋_GB2312"/>
          <w:b w:val="0"/>
          <w:bCs/>
          <w:color w:val="auto"/>
          <w:sz w:val="28"/>
          <w:szCs w:val="28"/>
          <w:highlight w:val="none"/>
          <w:lang w:val="en-US" w:eastAsia="zh-CN"/>
        </w:rPr>
        <w:fldChar w:fldCharType="separate"/>
      </w:r>
      <w:r>
        <w:rPr>
          <w:rFonts w:hint="default" w:ascii="仿宋_GB2312" w:hAnsi="仿宋_GB2312" w:eastAsia="仿宋_GB2312" w:cs="仿宋_GB2312"/>
          <w:b w:val="0"/>
          <w:bCs/>
          <w:color w:val="auto"/>
          <w:sz w:val="28"/>
          <w:szCs w:val="28"/>
          <w:highlight w:val="none"/>
          <w:lang w:val="en-US" w:eastAsia="zh-CN"/>
        </w:rPr>
        <w:t>①</w:t>
      </w:r>
      <w:r>
        <w:rPr>
          <w:rFonts w:hint="default" w:ascii="仿宋_GB2312" w:hAnsi="仿宋_GB2312" w:eastAsia="仿宋_GB2312" w:cs="仿宋_GB2312"/>
          <w:b w:val="0"/>
          <w:bCs/>
          <w:color w:val="auto"/>
          <w:sz w:val="28"/>
          <w:szCs w:val="28"/>
          <w:highlight w:val="none"/>
          <w:lang w:val="en-US" w:eastAsia="zh-CN"/>
        </w:rPr>
        <w:fldChar w:fldCharType="end"/>
      </w:r>
      <w:r>
        <w:rPr>
          <w:rFonts w:hint="default" w:ascii="仿宋_GB2312" w:hAnsi="仿宋_GB2312" w:eastAsia="仿宋_GB2312" w:cs="仿宋_GB2312"/>
          <w:b w:val="0"/>
          <w:bCs/>
          <w:color w:val="auto"/>
          <w:sz w:val="28"/>
          <w:szCs w:val="28"/>
          <w:highlight w:val="none"/>
          <w:lang w:val="en-US" w:eastAsia="zh-CN"/>
        </w:rPr>
        <w:t>不选择市场比较法</w:t>
      </w:r>
    </w:p>
    <w:p w14:paraId="5AFBEA1F">
      <w:pPr>
        <w:pStyle w:val="17"/>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snapToGrid w:val="0"/>
          <w:kern w:val="0"/>
          <w:sz w:val="28"/>
          <w:szCs w:val="28"/>
          <w:highlight w:val="none"/>
        </w:rPr>
        <w:t>根据土地估价师调查了解，估价对象所处区域地产市场近3年同一供需圈内与宗地用途、利用条件等类似的同级别商服出让成交实例少于3个，因此不适宜选择市场比较法进行评估</w:t>
      </w:r>
      <w:r>
        <w:rPr>
          <w:rFonts w:hint="eastAsia" w:hAnsi="仿宋_GB2312" w:cs="仿宋_GB2312"/>
          <w:snapToGrid w:val="0"/>
          <w:kern w:val="0"/>
          <w:sz w:val="28"/>
          <w:szCs w:val="28"/>
          <w:highlight w:val="none"/>
          <w:lang w:eastAsia="zh-CN"/>
        </w:rPr>
        <w:t>。</w:t>
      </w:r>
    </w:p>
    <w:p w14:paraId="51A3BDDB">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fldChar w:fldCharType="begin"/>
      </w:r>
      <w:r>
        <w:rPr>
          <w:rFonts w:hint="default" w:ascii="仿宋_GB2312" w:hAnsi="仿宋_GB2312" w:eastAsia="仿宋_GB2312" w:cs="仿宋_GB2312"/>
          <w:b w:val="0"/>
          <w:bCs/>
          <w:color w:val="auto"/>
          <w:sz w:val="28"/>
          <w:szCs w:val="28"/>
          <w:highlight w:val="none"/>
          <w:lang w:val="en-US" w:eastAsia="zh-CN"/>
        </w:rPr>
        <w:instrText xml:space="preserve"> = 2 \* GB3 \* MERGEFORMAT </w:instrText>
      </w:r>
      <w:r>
        <w:rPr>
          <w:rFonts w:hint="default" w:ascii="仿宋_GB2312" w:hAnsi="仿宋_GB2312" w:eastAsia="仿宋_GB2312" w:cs="仿宋_GB2312"/>
          <w:b w:val="0"/>
          <w:bCs/>
          <w:color w:val="auto"/>
          <w:sz w:val="28"/>
          <w:szCs w:val="28"/>
          <w:highlight w:val="none"/>
          <w:lang w:val="en-US" w:eastAsia="zh-CN"/>
        </w:rPr>
        <w:fldChar w:fldCharType="separate"/>
      </w:r>
      <w:r>
        <w:rPr>
          <w:rFonts w:hint="default" w:ascii="仿宋_GB2312" w:hAnsi="仿宋_GB2312" w:eastAsia="仿宋_GB2312" w:cs="仿宋_GB2312"/>
          <w:b w:val="0"/>
          <w:bCs/>
          <w:color w:val="auto"/>
          <w:sz w:val="28"/>
          <w:szCs w:val="28"/>
          <w:highlight w:val="none"/>
          <w:lang w:val="en-US" w:eastAsia="zh-CN"/>
        </w:rPr>
        <w:t>②</w:t>
      </w:r>
      <w:r>
        <w:rPr>
          <w:rFonts w:hint="default" w:ascii="仿宋_GB2312" w:hAnsi="仿宋_GB2312" w:eastAsia="仿宋_GB2312" w:cs="仿宋_GB2312"/>
          <w:b w:val="0"/>
          <w:bCs/>
          <w:color w:val="auto"/>
          <w:sz w:val="28"/>
          <w:szCs w:val="28"/>
          <w:highlight w:val="none"/>
          <w:lang w:val="en-US" w:eastAsia="zh-CN"/>
        </w:rPr>
        <w:fldChar w:fldCharType="end"/>
      </w:r>
      <w:r>
        <w:rPr>
          <w:rFonts w:hint="default" w:ascii="仿宋_GB2312" w:hAnsi="仿宋_GB2312" w:eastAsia="仿宋_GB2312" w:cs="仿宋_GB2312"/>
          <w:b w:val="0"/>
          <w:bCs/>
          <w:color w:val="auto"/>
          <w:sz w:val="28"/>
          <w:szCs w:val="28"/>
          <w:highlight w:val="none"/>
          <w:lang w:val="en-US" w:eastAsia="zh-CN"/>
        </w:rPr>
        <w:t>不选择剩余法（增值收益扣减法）</w:t>
      </w:r>
    </w:p>
    <w:p w14:paraId="3D204830">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auto"/>
          <w:sz w:val="28"/>
          <w:szCs w:val="28"/>
          <w:highlight w:val="none"/>
          <w:lang w:val="en-US" w:eastAsia="zh-CN"/>
        </w:rPr>
        <w:t>剩余法适用于具有投资开发或再开发潜力的土地估价。估价对象周边房地产交易案例较少，难以合理确定房地产开发价值，此次评估已优选两种评估方法，因而不采用剩余法进行评估</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3B03AFB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③不选择</w:t>
      </w:r>
      <w:r>
        <w:rPr>
          <w:rFonts w:hint="eastAsia" w:ascii="仿宋_GB2312" w:hAnsi="仿宋_GB2312" w:eastAsia="仿宋_GB2312" w:cs="仿宋_GB2312"/>
          <w:b w:val="0"/>
          <w:bCs/>
          <w:color w:val="auto"/>
          <w:sz w:val="28"/>
          <w:szCs w:val="28"/>
          <w:highlight w:val="none"/>
          <w:lang w:val="en-US" w:eastAsia="zh-CN"/>
        </w:rPr>
        <w:t>公示地价修正法</w:t>
      </w:r>
    </w:p>
    <w:p w14:paraId="2F6D4D3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城镇基准地价的颁布实施时间为2019年11月22日，城区基准地价估价期日为2019年5月1日，批准文号为道政函〔2019〕85号,文件名称为《关于更新城区基准地价和制订11个建制镇基准地价的通告》（道政函〔2019〕85号，2019年11月22日），批准机关为道县人民政府，本次估价期日为2026年5月18日，距估价期日超过六年，根据《关于进一步做好湖南省公示地价体系建设和管理有关工作的通知》（湘自资办发[2022]23号）：“城镇基准地价每3年应全面更新一次，超过6年未全面更新的，不得作为确定出让最低价标准的依据，不得作为宗地评估基准地价系数修正法的依据。”因此不选择公示地价系数修正法。</w:t>
      </w:r>
    </w:p>
    <w:p w14:paraId="7344A33C">
      <w:pPr>
        <w:pStyle w:val="11"/>
        <w:keepNext w:val="0"/>
        <w:keepLines w:val="0"/>
        <w:pageBreakBefore w:val="0"/>
        <w:widowControl w:val="0"/>
        <w:kinsoku/>
        <w:wordWrap/>
        <w:overflowPunct/>
        <w:topLinePunct w:val="0"/>
        <w:autoSpaceDE/>
        <w:autoSpaceDN/>
        <w:bidi w:val="0"/>
        <w:spacing w:line="480" w:lineRule="exact"/>
        <w:textAlignment w:val="auto"/>
        <w:rPr>
          <w:rFonts w:hint="default" w:ascii="仿宋_GB2312" w:hAnsi="仿宋_GB2312" w:cs="仿宋_GB2312"/>
          <w:color w:val="auto"/>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综上所述，</w:t>
      </w:r>
      <w:r>
        <w:rPr>
          <w:rFonts w:hint="eastAsia" w:ascii="仿宋_GB2312" w:hAnsi="仿宋_GB2312" w:eastAsia="仿宋_GB2312" w:cs="仿宋_GB2312"/>
          <w:b w:val="0"/>
          <w:bCs/>
          <w:color w:val="auto"/>
          <w:sz w:val="28"/>
          <w:szCs w:val="28"/>
          <w:highlight w:val="none"/>
          <w:lang w:val="en-US" w:eastAsia="zh-CN"/>
        </w:rPr>
        <w:t>本次评估</w:t>
      </w:r>
      <w:r>
        <w:rPr>
          <w:rFonts w:hint="default" w:ascii="仿宋_GB2312" w:hAnsi="仿宋_GB2312" w:eastAsia="仿宋_GB2312" w:cs="仿宋_GB2312"/>
          <w:b w:val="0"/>
          <w:bCs/>
          <w:color w:val="auto"/>
          <w:sz w:val="28"/>
          <w:szCs w:val="28"/>
          <w:highlight w:val="none"/>
          <w:lang w:val="en-US" w:eastAsia="zh-CN"/>
        </w:rPr>
        <w:t>采用</w:t>
      </w:r>
      <w:r>
        <w:rPr>
          <w:rFonts w:hint="eastAsia" w:ascii="仿宋_GB2312" w:hAnsi="仿宋_GB2312" w:eastAsia="仿宋_GB2312" w:cs="仿宋_GB2312"/>
          <w:b w:val="0"/>
          <w:bCs/>
          <w:color w:val="auto"/>
          <w:sz w:val="28"/>
          <w:szCs w:val="28"/>
          <w:highlight w:val="none"/>
          <w:lang w:val="en-US" w:eastAsia="zh-CN"/>
        </w:rPr>
        <w:t>成本逼近法</w:t>
      </w:r>
      <w:r>
        <w:rPr>
          <w:rFonts w:hint="default" w:ascii="仿宋_GB2312" w:hAnsi="仿宋_GB2312" w:eastAsia="仿宋_GB2312" w:cs="仿宋_GB2312"/>
          <w:b w:val="0"/>
          <w:bCs/>
          <w:color w:val="auto"/>
          <w:sz w:val="28"/>
          <w:szCs w:val="28"/>
          <w:highlight w:val="none"/>
          <w:lang w:val="en-US" w:eastAsia="zh-CN"/>
        </w:rPr>
        <w:t>和</w:t>
      </w:r>
      <w:r>
        <w:rPr>
          <w:rFonts w:hint="eastAsia" w:ascii="仿宋_GB2312" w:hAnsi="仿宋_GB2312" w:eastAsia="仿宋_GB2312" w:cs="仿宋_GB2312"/>
          <w:b w:val="0"/>
          <w:bCs/>
          <w:color w:val="auto"/>
          <w:sz w:val="28"/>
          <w:szCs w:val="28"/>
          <w:highlight w:val="none"/>
          <w:lang w:val="en-US" w:eastAsia="zh-CN"/>
        </w:rPr>
        <w:t>收益还原法</w:t>
      </w:r>
      <w:r>
        <w:rPr>
          <w:rFonts w:hint="default" w:ascii="仿宋_GB2312" w:hAnsi="仿宋_GB2312" w:eastAsia="仿宋_GB2312" w:cs="仿宋_GB2312"/>
          <w:b w:val="0"/>
          <w:bCs/>
          <w:color w:val="auto"/>
          <w:sz w:val="28"/>
          <w:szCs w:val="28"/>
          <w:highlight w:val="none"/>
          <w:lang w:val="en-US" w:eastAsia="zh-CN"/>
        </w:rPr>
        <w:t>进行评估确定。</w:t>
      </w:r>
    </w:p>
    <w:p w14:paraId="16DD924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fldChar w:fldCharType="begin"/>
      </w:r>
      <w:r>
        <w:rPr>
          <w:rFonts w:hint="default" w:ascii="仿宋_GB2312" w:hAnsi="仿宋_GB2312" w:eastAsia="仿宋_GB2312" w:cs="仿宋_GB2312"/>
          <w:b w:val="0"/>
          <w:bCs/>
          <w:color w:val="auto"/>
          <w:sz w:val="28"/>
          <w:szCs w:val="28"/>
          <w:highlight w:val="none"/>
          <w:lang w:val="en-US" w:eastAsia="zh-CN"/>
        </w:rPr>
        <w:instrText xml:space="preserve"> = 2 \* ROMAN </w:instrText>
      </w:r>
      <w:r>
        <w:rPr>
          <w:rFonts w:hint="default" w:ascii="仿宋_GB2312" w:hAnsi="仿宋_GB2312" w:eastAsia="仿宋_GB2312" w:cs="仿宋_GB2312"/>
          <w:b w:val="0"/>
          <w:bCs/>
          <w:color w:val="auto"/>
          <w:sz w:val="28"/>
          <w:szCs w:val="28"/>
          <w:highlight w:val="none"/>
          <w:lang w:val="en-US" w:eastAsia="zh-CN"/>
        </w:rPr>
        <w:fldChar w:fldCharType="separate"/>
      </w:r>
      <w:r>
        <w:rPr>
          <w:rFonts w:hint="default" w:ascii="仿宋_GB2312" w:hAnsi="仿宋_GB2312" w:eastAsia="仿宋_GB2312" w:cs="仿宋_GB2312"/>
          <w:b w:val="0"/>
          <w:bCs/>
          <w:color w:val="auto"/>
          <w:sz w:val="28"/>
          <w:szCs w:val="28"/>
          <w:highlight w:val="none"/>
          <w:lang w:val="en-US" w:eastAsia="zh-CN"/>
        </w:rPr>
        <w:t>II</w:t>
      </w:r>
      <w:r>
        <w:rPr>
          <w:rFonts w:hint="default" w:ascii="仿宋_GB2312" w:hAnsi="仿宋_GB2312" w:eastAsia="仿宋_GB2312" w:cs="仿宋_GB2312"/>
          <w:b w:val="0"/>
          <w:bCs/>
          <w:color w:val="auto"/>
          <w:sz w:val="28"/>
          <w:szCs w:val="28"/>
          <w:highlight w:val="none"/>
          <w:lang w:val="en-US" w:eastAsia="zh-CN"/>
        </w:rPr>
        <w:fldChar w:fldCharType="end"/>
      </w:r>
      <w:r>
        <w:rPr>
          <w:rFonts w:hint="default" w:ascii="仿宋_GB2312" w:hAnsi="仿宋_GB2312" w:eastAsia="仿宋_GB2312" w:cs="仿宋_GB2312"/>
          <w:b w:val="0"/>
          <w:bCs/>
          <w:color w:val="auto"/>
          <w:sz w:val="28"/>
          <w:szCs w:val="28"/>
          <w:highlight w:val="none"/>
          <w:lang w:val="en-US" w:eastAsia="zh-CN"/>
        </w:rPr>
        <w:t>、估价过程：</w:t>
      </w:r>
    </w:p>
    <w:p w14:paraId="6541DB9E">
      <w:pPr>
        <w:spacing w:line="460" w:lineRule="exact"/>
        <w:ind w:firstLine="562" w:firstLineChars="200"/>
        <w:outlineLvl w:val="2"/>
        <w:rPr>
          <w:rFonts w:hint="eastAsia" w:ascii="仿宋_GB2312" w:hAnsi="Times New Roman" w:eastAsia="仿宋_GB2312" w:cs="Times New Roman"/>
          <w:b/>
          <w:bCs/>
          <w:sz w:val="28"/>
          <w:szCs w:val="30"/>
          <w:highlight w:val="none"/>
          <w:lang w:val="en-GB"/>
        </w:rPr>
      </w:pPr>
      <w:r>
        <w:rPr>
          <w:rFonts w:hint="eastAsia" w:ascii="仿宋_GB2312" w:hAnsi="Times New Roman" w:eastAsia="仿宋_GB2312" w:cs="Times New Roman"/>
          <w:b/>
          <w:bCs/>
          <w:sz w:val="28"/>
          <w:szCs w:val="30"/>
          <w:highlight w:val="none"/>
          <w:lang w:val="en-GB"/>
        </w:rPr>
        <w:t>★</w:t>
      </w:r>
      <w:r>
        <w:rPr>
          <w:rFonts w:hint="eastAsia" w:ascii="仿宋_GB2312" w:eastAsia="仿宋_GB2312" w:cs="Times New Roman"/>
          <w:b/>
          <w:bCs/>
          <w:sz w:val="28"/>
          <w:szCs w:val="30"/>
          <w:highlight w:val="none"/>
          <w:lang w:val="en-US" w:eastAsia="zh-CN"/>
        </w:rPr>
        <w:t>成本逼近</w:t>
      </w:r>
      <w:r>
        <w:rPr>
          <w:rFonts w:hint="eastAsia" w:ascii="仿宋_GB2312" w:hAnsi="Times New Roman" w:eastAsia="仿宋_GB2312" w:cs="Times New Roman"/>
          <w:b/>
          <w:bCs/>
          <w:sz w:val="28"/>
          <w:szCs w:val="30"/>
          <w:highlight w:val="none"/>
          <w:lang w:val="en-GB"/>
        </w:rPr>
        <w:t>法</w:t>
      </w:r>
    </w:p>
    <w:p w14:paraId="2FD627A2">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成本逼近法是以开发土地所耗费的各项费用之和为主要依据，再加上一定的利润、利息、应缴纳的税金和土地增值收益来确定土地价格的估价方法。成本逼近法的基本计算公式如下：</w:t>
      </w:r>
    </w:p>
    <w:p w14:paraId="27B175AC">
      <w:pPr>
        <w:spacing w:line="480" w:lineRule="exact"/>
        <w:jc w:val="center"/>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V＝E</w:t>
      </w:r>
      <w:r>
        <w:rPr>
          <w:rFonts w:eastAsia="仿宋_GB2312"/>
          <w:color w:val="000000" w:themeColor="text1"/>
          <w:sz w:val="28"/>
          <w:szCs w:val="28"/>
          <w:highlight w:val="none"/>
          <w:vertAlign w:val="subscript"/>
          <w14:textFill>
            <w14:solidFill>
              <w14:schemeClr w14:val="tx1"/>
            </w14:solidFill>
          </w14:textFill>
        </w:rPr>
        <w:t>a</w:t>
      </w:r>
      <w:r>
        <w:rPr>
          <w:rFonts w:eastAsia="仿宋_GB2312"/>
          <w:color w:val="000000" w:themeColor="text1"/>
          <w:sz w:val="28"/>
          <w:szCs w:val="28"/>
          <w:highlight w:val="none"/>
          <w14:textFill>
            <w14:solidFill>
              <w14:schemeClr w14:val="tx1"/>
            </w14:solidFill>
          </w14:textFill>
        </w:rPr>
        <w:t>＋E</w:t>
      </w:r>
      <w:r>
        <w:rPr>
          <w:rFonts w:eastAsia="仿宋_GB2312"/>
          <w:color w:val="000000" w:themeColor="text1"/>
          <w:sz w:val="28"/>
          <w:szCs w:val="28"/>
          <w:highlight w:val="none"/>
          <w:vertAlign w:val="subscript"/>
          <w14:textFill>
            <w14:solidFill>
              <w14:schemeClr w14:val="tx1"/>
            </w14:solidFill>
          </w14:textFill>
        </w:rPr>
        <w:t>d</w:t>
      </w:r>
      <w:r>
        <w:rPr>
          <w:rFonts w:eastAsia="仿宋_GB2312"/>
          <w:color w:val="000000" w:themeColor="text1"/>
          <w:sz w:val="28"/>
          <w:szCs w:val="28"/>
          <w:highlight w:val="none"/>
          <w14:textFill>
            <w14:solidFill>
              <w14:schemeClr w14:val="tx1"/>
            </w14:solidFill>
          </w14:textFill>
        </w:rPr>
        <w:t>＋T＋R</w:t>
      </w:r>
      <w:r>
        <w:rPr>
          <w:rFonts w:eastAsia="仿宋_GB2312"/>
          <w:color w:val="000000" w:themeColor="text1"/>
          <w:sz w:val="28"/>
          <w:szCs w:val="28"/>
          <w:highlight w:val="none"/>
          <w:vertAlign w:val="subscript"/>
          <w14:textFill>
            <w14:solidFill>
              <w14:schemeClr w14:val="tx1"/>
            </w14:solidFill>
          </w14:textFill>
        </w:rPr>
        <w:t>1</w:t>
      </w:r>
      <w:r>
        <w:rPr>
          <w:rFonts w:eastAsia="仿宋_GB2312"/>
          <w:color w:val="000000" w:themeColor="text1"/>
          <w:sz w:val="28"/>
          <w:szCs w:val="28"/>
          <w:highlight w:val="none"/>
          <w14:textFill>
            <w14:solidFill>
              <w14:schemeClr w14:val="tx1"/>
            </w14:solidFill>
          </w14:textFill>
        </w:rPr>
        <w:t>＋R</w:t>
      </w:r>
      <w:r>
        <w:rPr>
          <w:rFonts w:eastAsia="仿宋_GB2312"/>
          <w:color w:val="000000" w:themeColor="text1"/>
          <w:sz w:val="28"/>
          <w:szCs w:val="28"/>
          <w:highlight w:val="none"/>
          <w:vertAlign w:val="subscript"/>
          <w14:textFill>
            <w14:solidFill>
              <w14:schemeClr w14:val="tx1"/>
            </w14:solidFill>
          </w14:textFill>
        </w:rPr>
        <w:t>2</w:t>
      </w:r>
      <w:r>
        <w:rPr>
          <w:rFonts w:eastAsia="仿宋_GB2312"/>
          <w:color w:val="000000" w:themeColor="text1"/>
          <w:sz w:val="28"/>
          <w:szCs w:val="28"/>
          <w:highlight w:val="none"/>
          <w14:textFill>
            <w14:solidFill>
              <w14:schemeClr w14:val="tx1"/>
            </w14:solidFill>
          </w14:textFill>
        </w:rPr>
        <w:t>＋R</w:t>
      </w:r>
      <w:r>
        <w:rPr>
          <w:rFonts w:eastAsia="仿宋_GB2312"/>
          <w:color w:val="000000" w:themeColor="text1"/>
          <w:sz w:val="28"/>
          <w:szCs w:val="28"/>
          <w:highlight w:val="none"/>
          <w:vertAlign w:val="subscript"/>
          <w14:textFill>
            <w14:solidFill>
              <w14:schemeClr w14:val="tx1"/>
            </w14:solidFill>
          </w14:textFill>
        </w:rPr>
        <w:t>3</w:t>
      </w:r>
      <w:r>
        <w:rPr>
          <w:rFonts w:eastAsia="仿宋_GB2312"/>
          <w:color w:val="000000" w:themeColor="text1"/>
          <w:sz w:val="28"/>
          <w:szCs w:val="28"/>
          <w:highlight w:val="none"/>
          <w14:textFill>
            <w14:solidFill>
              <w14:schemeClr w14:val="tx1"/>
            </w14:solidFill>
          </w14:textFill>
        </w:rPr>
        <w:t>＝V</w:t>
      </w:r>
      <w:r>
        <w:rPr>
          <w:rFonts w:eastAsia="仿宋_GB2312"/>
          <w:color w:val="000000" w:themeColor="text1"/>
          <w:sz w:val="28"/>
          <w:szCs w:val="28"/>
          <w:highlight w:val="none"/>
          <w:vertAlign w:val="subscript"/>
          <w14:textFill>
            <w14:solidFill>
              <w14:schemeClr w14:val="tx1"/>
            </w14:solidFill>
          </w14:textFill>
        </w:rPr>
        <w:t>E</w:t>
      </w:r>
      <w:r>
        <w:rPr>
          <w:rFonts w:eastAsia="仿宋_GB2312"/>
          <w:color w:val="000000" w:themeColor="text1"/>
          <w:sz w:val="28"/>
          <w:szCs w:val="28"/>
          <w:highlight w:val="none"/>
          <w14:textFill>
            <w14:solidFill>
              <w14:schemeClr w14:val="tx1"/>
            </w14:solidFill>
          </w14:textFill>
        </w:rPr>
        <w:t>＋R</w:t>
      </w:r>
      <w:r>
        <w:rPr>
          <w:rFonts w:eastAsia="仿宋_GB2312"/>
          <w:color w:val="000000" w:themeColor="text1"/>
          <w:sz w:val="28"/>
          <w:szCs w:val="28"/>
          <w:highlight w:val="none"/>
          <w:vertAlign w:val="subscript"/>
          <w14:textFill>
            <w14:solidFill>
              <w14:schemeClr w14:val="tx1"/>
            </w14:solidFill>
          </w14:textFill>
        </w:rPr>
        <w:t>3</w:t>
      </w:r>
    </w:p>
    <w:p w14:paraId="41FE59CE">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式中：</w:t>
      </w:r>
    </w:p>
    <w:p w14:paraId="45EAF091">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V—估价价格</w:t>
      </w:r>
    </w:p>
    <w:p w14:paraId="48CAE5D6">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E</w:t>
      </w:r>
      <w:r>
        <w:rPr>
          <w:rFonts w:eastAsia="仿宋_GB2312"/>
          <w:color w:val="000000" w:themeColor="text1"/>
          <w:sz w:val="28"/>
          <w:szCs w:val="28"/>
          <w:highlight w:val="none"/>
          <w:vertAlign w:val="subscript"/>
          <w14:textFill>
            <w14:solidFill>
              <w14:schemeClr w14:val="tx1"/>
            </w14:solidFill>
          </w14:textFill>
        </w:rPr>
        <w:t>a</w:t>
      </w:r>
      <w:r>
        <w:rPr>
          <w:rFonts w:eastAsia="仿宋_GB2312"/>
          <w:color w:val="000000" w:themeColor="text1"/>
          <w:sz w:val="28"/>
          <w:szCs w:val="28"/>
          <w:highlight w:val="none"/>
          <w14:textFill>
            <w14:solidFill>
              <w14:schemeClr w14:val="tx1"/>
            </w14:solidFill>
          </w14:textFill>
        </w:rPr>
        <w:t>—土地取得费</w:t>
      </w:r>
    </w:p>
    <w:p w14:paraId="33EAC862">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E</w:t>
      </w:r>
      <w:r>
        <w:rPr>
          <w:rFonts w:eastAsia="仿宋_GB2312"/>
          <w:color w:val="000000" w:themeColor="text1"/>
          <w:sz w:val="28"/>
          <w:szCs w:val="28"/>
          <w:highlight w:val="none"/>
          <w:vertAlign w:val="subscript"/>
          <w14:textFill>
            <w14:solidFill>
              <w14:schemeClr w14:val="tx1"/>
            </w14:solidFill>
          </w14:textFill>
        </w:rPr>
        <w:t>d</w:t>
      </w:r>
      <w:r>
        <w:rPr>
          <w:rFonts w:eastAsia="仿宋_GB2312"/>
          <w:color w:val="000000" w:themeColor="text1"/>
          <w:sz w:val="28"/>
          <w:szCs w:val="28"/>
          <w:highlight w:val="none"/>
          <w14:textFill>
            <w14:solidFill>
              <w14:schemeClr w14:val="tx1"/>
            </w14:solidFill>
          </w14:textFill>
        </w:rPr>
        <w:t>—土地开发费</w:t>
      </w:r>
    </w:p>
    <w:p w14:paraId="456761E3">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T—税费</w:t>
      </w:r>
    </w:p>
    <w:p w14:paraId="70309514">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R</w:t>
      </w:r>
      <w:r>
        <w:rPr>
          <w:rFonts w:eastAsia="仿宋_GB2312"/>
          <w:color w:val="000000" w:themeColor="text1"/>
          <w:sz w:val="28"/>
          <w:szCs w:val="28"/>
          <w:highlight w:val="none"/>
          <w:vertAlign w:val="subscript"/>
          <w14:textFill>
            <w14:solidFill>
              <w14:schemeClr w14:val="tx1"/>
            </w14:solidFill>
          </w14:textFill>
        </w:rPr>
        <w:t>1</w:t>
      </w:r>
      <w:r>
        <w:rPr>
          <w:rFonts w:eastAsia="仿宋_GB2312"/>
          <w:color w:val="000000" w:themeColor="text1"/>
          <w:sz w:val="28"/>
          <w:szCs w:val="28"/>
          <w:highlight w:val="none"/>
          <w14:textFill>
            <w14:solidFill>
              <w14:schemeClr w14:val="tx1"/>
            </w14:solidFill>
          </w14:textFill>
        </w:rPr>
        <w:t>—利息</w:t>
      </w:r>
    </w:p>
    <w:p w14:paraId="3ADE03AD">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R</w:t>
      </w:r>
      <w:r>
        <w:rPr>
          <w:rFonts w:eastAsia="仿宋_GB2312"/>
          <w:color w:val="000000" w:themeColor="text1"/>
          <w:sz w:val="28"/>
          <w:szCs w:val="28"/>
          <w:highlight w:val="none"/>
          <w:vertAlign w:val="subscript"/>
          <w14:textFill>
            <w14:solidFill>
              <w14:schemeClr w14:val="tx1"/>
            </w14:solidFill>
          </w14:textFill>
        </w:rPr>
        <w:t>2</w:t>
      </w:r>
      <w:r>
        <w:rPr>
          <w:rFonts w:eastAsia="仿宋_GB2312"/>
          <w:color w:val="000000" w:themeColor="text1"/>
          <w:sz w:val="28"/>
          <w:szCs w:val="28"/>
          <w:highlight w:val="none"/>
          <w14:textFill>
            <w14:solidFill>
              <w14:schemeClr w14:val="tx1"/>
            </w14:solidFill>
          </w14:textFill>
        </w:rPr>
        <w:t>—利润</w:t>
      </w:r>
    </w:p>
    <w:p w14:paraId="1472D2D8">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R</w:t>
      </w:r>
      <w:r>
        <w:rPr>
          <w:rFonts w:eastAsia="仿宋_GB2312"/>
          <w:color w:val="000000" w:themeColor="text1"/>
          <w:sz w:val="28"/>
          <w:szCs w:val="28"/>
          <w:highlight w:val="none"/>
          <w:vertAlign w:val="subscript"/>
          <w14:textFill>
            <w14:solidFill>
              <w14:schemeClr w14:val="tx1"/>
            </w14:solidFill>
          </w14:textFill>
        </w:rPr>
        <w:t>3</w:t>
      </w:r>
      <w:r>
        <w:rPr>
          <w:rFonts w:eastAsia="仿宋_GB2312"/>
          <w:color w:val="000000" w:themeColor="text1"/>
          <w:sz w:val="28"/>
          <w:szCs w:val="28"/>
          <w:highlight w:val="none"/>
          <w14:textFill>
            <w14:solidFill>
              <w14:schemeClr w14:val="tx1"/>
            </w14:solidFill>
          </w14:textFill>
        </w:rPr>
        <w:t>—土地增值</w:t>
      </w:r>
    </w:p>
    <w:p w14:paraId="1A70A99C">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V</w:t>
      </w:r>
      <w:r>
        <w:rPr>
          <w:rFonts w:eastAsia="仿宋_GB2312"/>
          <w:color w:val="000000" w:themeColor="text1"/>
          <w:sz w:val="28"/>
          <w:szCs w:val="28"/>
          <w:highlight w:val="none"/>
          <w:vertAlign w:val="subscript"/>
          <w14:textFill>
            <w14:solidFill>
              <w14:schemeClr w14:val="tx1"/>
            </w14:solidFill>
          </w14:textFill>
        </w:rPr>
        <w:t>E</w:t>
      </w:r>
      <w:r>
        <w:rPr>
          <w:rFonts w:eastAsia="仿宋_GB2312"/>
          <w:color w:val="000000" w:themeColor="text1"/>
          <w:sz w:val="28"/>
          <w:szCs w:val="28"/>
          <w:highlight w:val="none"/>
          <w14:textFill>
            <w14:solidFill>
              <w14:schemeClr w14:val="tx1"/>
            </w14:solidFill>
          </w14:textFill>
        </w:rPr>
        <w:t>—土地成本价</w:t>
      </w:r>
    </w:p>
    <w:p w14:paraId="37FA9EFD">
      <w:pPr>
        <w:snapToGrid w:val="0"/>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计算过程：</w:t>
      </w:r>
    </w:p>
    <w:p w14:paraId="72233F9B">
      <w:pPr>
        <w:spacing w:line="480" w:lineRule="exact"/>
        <w:ind w:firstLine="560" w:firstLineChars="200"/>
        <w:rPr>
          <w:rFonts w:eastAsia="仿宋_GB2312"/>
          <w:sz w:val="28"/>
          <w:szCs w:val="28"/>
          <w:highlight w:val="none"/>
        </w:rPr>
      </w:pPr>
      <w:r>
        <w:rPr>
          <w:rFonts w:eastAsia="仿宋_GB2312"/>
          <w:sz w:val="28"/>
          <w:szCs w:val="28"/>
          <w:highlight w:val="none"/>
        </w:rPr>
        <w:t>估价对象位于</w:t>
      </w:r>
      <w:r>
        <w:rPr>
          <w:rFonts w:hint="eastAsia" w:eastAsia="仿宋_GB2312"/>
          <w:sz w:val="28"/>
          <w:szCs w:val="28"/>
          <w:highlight w:val="none"/>
          <w:lang w:val="en-US" w:eastAsia="zh-CN"/>
        </w:rPr>
        <w:t>道县月岩西路</w:t>
      </w:r>
      <w:r>
        <w:rPr>
          <w:rFonts w:eastAsia="仿宋_GB2312"/>
          <w:sz w:val="28"/>
          <w:szCs w:val="28"/>
          <w:highlight w:val="none"/>
        </w:rPr>
        <w:t>，根据</w:t>
      </w:r>
      <w:r>
        <w:rPr>
          <w:rFonts w:hint="eastAsia" w:ascii="仿宋_GB2312" w:hAnsi="仿宋_GB2312" w:eastAsia="仿宋_GB2312" w:cs="仿宋_GB2312"/>
          <w:bCs/>
          <w:sz w:val="28"/>
          <w:szCs w:val="28"/>
          <w:highlight w:val="none"/>
          <w:lang w:val="en-US" w:eastAsia="zh-CN"/>
        </w:rPr>
        <w:t>对估价对象周边区域用地调查</w:t>
      </w:r>
      <w:r>
        <w:rPr>
          <w:rFonts w:eastAsia="仿宋_GB2312"/>
          <w:sz w:val="28"/>
          <w:szCs w:val="28"/>
          <w:highlight w:val="none"/>
        </w:rPr>
        <w:t>，评估宗地</w:t>
      </w:r>
      <w:r>
        <w:rPr>
          <w:rFonts w:hint="eastAsia" w:eastAsia="仿宋_GB2312"/>
          <w:sz w:val="28"/>
          <w:szCs w:val="28"/>
          <w:highlight w:val="none"/>
          <w:lang w:val="en-US" w:eastAsia="zh-CN"/>
        </w:rPr>
        <w:t>以耕地</w:t>
      </w:r>
      <w:r>
        <w:rPr>
          <w:rFonts w:eastAsia="仿宋_GB2312"/>
          <w:sz w:val="28"/>
          <w:szCs w:val="28"/>
          <w:highlight w:val="none"/>
        </w:rPr>
        <w:t>为主，此次采用成本逼近法评估待估宗地地价时，考虑估价期日被征用的土地为</w:t>
      </w:r>
      <w:r>
        <w:rPr>
          <w:rFonts w:hint="eastAsia" w:eastAsia="仿宋_GB2312"/>
          <w:sz w:val="28"/>
          <w:szCs w:val="28"/>
          <w:highlight w:val="none"/>
          <w:lang w:val="en-US" w:eastAsia="zh-CN"/>
        </w:rPr>
        <w:t>耕地</w:t>
      </w:r>
      <w:r>
        <w:rPr>
          <w:rFonts w:eastAsia="仿宋_GB2312"/>
          <w:sz w:val="28"/>
          <w:szCs w:val="28"/>
          <w:highlight w:val="none"/>
        </w:rPr>
        <w:t>。</w:t>
      </w:r>
    </w:p>
    <w:p w14:paraId="0AFD832F">
      <w:pPr>
        <w:pStyle w:val="6"/>
        <w:keepNext w:val="0"/>
        <w:keepLines w:val="0"/>
        <w:pageBreakBefore w:val="0"/>
        <w:widowControl w:val="0"/>
        <w:kinsoku/>
        <w:wordWrap/>
        <w:topLinePunct w:val="0"/>
        <w:bidi w:val="0"/>
        <w:adjustRightInd w:val="0"/>
        <w:snapToGrid w:val="0"/>
        <w:spacing w:line="480" w:lineRule="exact"/>
        <w:ind w:left="0" w:leftChars="0" w:firstLine="560" w:firstLineChars="200"/>
        <w:textAlignment w:val="auto"/>
        <w:outlineLvl w:val="9"/>
        <w:rPr>
          <w:rFonts w:hint="eastAsia" w:ascii="仿宋_GB2312" w:hAnsi="仿宋_GB2312" w:eastAsia="仿宋_GB2312" w:cs="仿宋_GB2312"/>
          <w:sz w:val="28"/>
          <w:szCs w:val="30"/>
          <w:highlight w:val="none"/>
          <w:lang w:val="en-US" w:eastAsia="zh-CN"/>
        </w:rPr>
      </w:pPr>
      <w:r>
        <w:rPr>
          <w:rFonts w:hint="eastAsia" w:ascii="仿宋_GB2312" w:hAnsi="仿宋_GB2312" w:eastAsia="仿宋_GB2312" w:cs="仿宋_GB2312"/>
          <w:color w:val="000000"/>
          <w:sz w:val="28"/>
          <w:szCs w:val="28"/>
          <w:highlight w:val="none"/>
        </w:rPr>
        <w:t>估价对象的估价期日为</w:t>
      </w:r>
      <w:r>
        <w:rPr>
          <w:rFonts w:hint="eastAsia" w:ascii="仿宋_GB2312" w:hAnsi="仿宋_GB2312" w:cs="仿宋_GB2312"/>
          <w:sz w:val="28"/>
          <w:szCs w:val="28"/>
          <w:highlight w:val="none"/>
          <w:lang w:val="en-US" w:eastAsia="zh-CN"/>
        </w:rPr>
        <w:t>2026年5月18日</w:t>
      </w:r>
      <w:r>
        <w:rPr>
          <w:rFonts w:hint="eastAsia" w:ascii="仿宋_GB2312" w:hAnsi="仿宋_GB2312" w:eastAsia="仿宋_GB2312" w:cs="仿宋_GB2312"/>
          <w:color w:val="000000"/>
          <w:sz w:val="28"/>
          <w:szCs w:val="28"/>
          <w:highlight w:val="none"/>
        </w:rPr>
        <w:t>，根据新土地管理法规定结合</w:t>
      </w:r>
      <w:r>
        <w:rPr>
          <w:rFonts w:hint="eastAsia" w:ascii="仿宋_GB2312" w:hAnsi="仿宋_GB2312" w:eastAsia="仿宋_GB2312" w:cs="仿宋_GB2312"/>
          <w:bCs/>
          <w:sz w:val="28"/>
          <w:szCs w:val="28"/>
          <w:highlight w:val="none"/>
          <w:lang w:val="en-US" w:eastAsia="zh-CN"/>
        </w:rPr>
        <w:t>《湖南省人民政府关于调整湖南省征地补偿标准的通知》（湘政发〔2024〕1号，2024年1月31日）</w:t>
      </w:r>
      <w:r>
        <w:rPr>
          <w:rFonts w:hint="eastAsia" w:ascii="仿宋_GB2312" w:hAnsi="仿宋_GB2312" w:eastAsia="仿宋_GB2312" w:cs="仿宋_GB2312"/>
          <w:color w:val="000000"/>
          <w:sz w:val="28"/>
          <w:szCs w:val="28"/>
          <w:highlight w:val="none"/>
        </w:rPr>
        <w:t>、</w:t>
      </w:r>
      <w:r>
        <w:rPr>
          <w:rFonts w:hint="eastAsia" w:ascii="仿宋_GB2312" w:hAnsi="仿宋_GB2312" w:eastAsia="仿宋_GB2312" w:cs="仿宋_GB2312"/>
          <w:color w:val="000000"/>
          <w:sz w:val="28"/>
          <w:szCs w:val="28"/>
          <w:highlight w:val="none"/>
          <w:lang w:eastAsia="zh-CN"/>
        </w:rPr>
        <w:t>《湖南省自然资源厅关于调整征收农用地补偿区片空间范围的通知》（湘自资发〔2024〕7号，</w:t>
      </w:r>
      <w:r>
        <w:rPr>
          <w:rFonts w:hint="eastAsia" w:ascii="仿宋_GB2312" w:hAnsi="仿宋_GB2312" w:eastAsia="仿宋_GB2312" w:cs="仿宋_GB2312"/>
          <w:color w:val="000000"/>
          <w:sz w:val="28"/>
          <w:szCs w:val="28"/>
          <w:highlight w:val="none"/>
          <w:lang w:val="en-US" w:eastAsia="zh-CN"/>
        </w:rPr>
        <w:t>2024年2月1日</w:t>
      </w:r>
      <w:r>
        <w:rPr>
          <w:rFonts w:hint="eastAsia" w:ascii="仿宋_GB2312" w:hAnsi="仿宋_GB2312" w:eastAsia="仿宋_GB2312" w:cs="仿宋_GB2312"/>
          <w:color w:val="000000"/>
          <w:sz w:val="28"/>
          <w:szCs w:val="28"/>
          <w:highlight w:val="none"/>
          <w:lang w:eastAsia="zh-CN"/>
        </w:rPr>
        <w:t>）、</w:t>
      </w:r>
      <w:r>
        <w:rPr>
          <w:rFonts w:hint="eastAsia" w:ascii="仿宋_GB2312" w:hAnsi="仿宋_GB2312" w:eastAsia="仿宋_GB2312" w:cs="仿宋_GB2312"/>
          <w:bCs/>
          <w:sz w:val="28"/>
          <w:szCs w:val="28"/>
          <w:highlight w:val="none"/>
          <w:lang w:val="en-US" w:eastAsia="zh-CN"/>
        </w:rPr>
        <w:t>永州市人民政府关于印发《永州市集体土地与房屋征收补偿安置办法》的通知（永政发〔2024〕4号，2024年5月11日）、</w:t>
      </w:r>
      <w:r>
        <w:rPr>
          <w:rFonts w:hint="eastAsia" w:ascii="仿宋_GB2312" w:hAnsi="仿宋_GB2312" w:eastAsia="仿宋_GB2312" w:cs="仿宋_GB2312"/>
          <w:color w:val="000000" w:themeColor="text1"/>
          <w:sz w:val="28"/>
          <w:szCs w:val="28"/>
          <w:highlight w:val="none"/>
          <w14:textFill>
            <w14:solidFill>
              <w14:schemeClr w14:val="tx1"/>
            </w14:solidFill>
          </w14:textFill>
        </w:rPr>
        <w:t>以及湖南省、</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永州市</w:t>
      </w:r>
      <w:r>
        <w:rPr>
          <w:rFonts w:hint="eastAsia" w:ascii="仿宋_GB2312" w:hAnsi="仿宋_GB2312" w:eastAsia="仿宋_GB2312" w:cs="仿宋_GB2312"/>
          <w:color w:val="000000" w:themeColor="text1"/>
          <w:sz w:val="28"/>
          <w:szCs w:val="28"/>
          <w:highlight w:val="none"/>
          <w14:textFill>
            <w14:solidFill>
              <w14:schemeClr w14:val="tx1"/>
            </w14:solidFill>
          </w14:textFill>
        </w:rPr>
        <w:t>颁布其他各项文件为依据。根据成本逼近法测算地价的步骤，其各项费用如下：</w:t>
      </w:r>
    </w:p>
    <w:p w14:paraId="09258BF0">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1、土地取得费</w:t>
      </w:r>
    </w:p>
    <w:p w14:paraId="3EC40407">
      <w:pPr>
        <w:spacing w:line="480" w:lineRule="exact"/>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中华人民共和国土地管理法》（根据2019年8月26日第十三届全国人民代表大会常务委员会第十二次会议《关于修改〈中华人民共和国土地管理法〉、〈中华人民共和国城市房地产管理法〉的决定》第三次修正））第四十八条规定，征用土地的补偿费用包括土地补偿费、安置补助费以及农村村民住宅、其他地上附着物和青苗等的补偿费用、被征地农民的社会保障费用。</w:t>
      </w:r>
    </w:p>
    <w:p w14:paraId="0AA37DF5">
      <w:pPr>
        <w:spacing w:line="480" w:lineRule="exact"/>
        <w:ind w:firstLine="560" w:firstLineChars="200"/>
        <w:rPr>
          <w:rFonts w:hint="eastAsia" w:ascii="仿宋_GB2312" w:hAnsi="仿宋_GB2312" w:eastAsia="仿宋_GB2312" w:cs="仿宋_GB2312"/>
          <w:color w:val="000000" w:themeColor="text1"/>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①</w:t>
      </w:r>
      <w:r>
        <w:rPr>
          <w:rFonts w:hint="eastAsia" w:ascii="仿宋_GB2312" w:hAnsi="仿宋_GB2312" w:eastAsia="仿宋_GB2312" w:cs="仿宋_GB2312"/>
          <w:color w:val="000000" w:themeColor="text1"/>
          <w:sz w:val="28"/>
          <w:highlight w:val="none"/>
          <w14:textFill>
            <w14:solidFill>
              <w14:schemeClr w14:val="tx1"/>
            </w14:solidFill>
          </w14:textFill>
        </w:rPr>
        <w:t>征地补偿费和安置补助费</w:t>
      </w:r>
    </w:p>
    <w:p w14:paraId="6E72B338">
      <w:pPr>
        <w:spacing w:line="480" w:lineRule="exact"/>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根据评估人员现场勘察和调查区域周边的土地利用状况，待估宗地所在区域土地利用类型主要</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为耕地</w:t>
      </w:r>
      <w:r>
        <w:rPr>
          <w:rFonts w:hint="eastAsia" w:ascii="仿宋_GB2312" w:hAnsi="仿宋_GB2312" w:eastAsia="仿宋_GB2312" w:cs="仿宋_GB2312"/>
          <w:color w:val="000000" w:themeColor="text1"/>
          <w:sz w:val="28"/>
          <w:szCs w:val="28"/>
          <w:highlight w:val="none"/>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r>
        <w:rPr>
          <w:rFonts w:hint="eastAsia" w:ascii="仿宋_GB2312" w:hAnsi="仿宋_GB2312" w:eastAsia="仿宋_GB2312" w:cs="仿宋_GB2312"/>
          <w:color w:val="000000" w:themeColor="text1"/>
          <w:sz w:val="28"/>
          <w:szCs w:val="28"/>
          <w:highlight w:val="none"/>
          <w14:textFill>
            <w14:solidFill>
              <w14:schemeClr w14:val="tx1"/>
            </w14:solidFill>
          </w14:textFill>
        </w:rPr>
        <w:t>及</w:t>
      </w:r>
      <w:r>
        <w:rPr>
          <w:rFonts w:hint="eastAsia" w:eastAsia="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color w:val="000000" w:themeColor="text1"/>
          <w:sz w:val="28"/>
          <w:szCs w:val="28"/>
          <w:highlight w:val="none"/>
          <w:lang w:val="en-US" w:eastAsia="zh-CN"/>
          <w14:textFill>
            <w14:solidFill>
              <w14:schemeClr w14:val="tx1"/>
            </w14:solidFill>
          </w14:textFill>
        </w:rPr>
        <w:t>2024年2月1日</w:t>
      </w:r>
      <w:r>
        <w:rPr>
          <w:rFonts w:hint="eastAsia" w:eastAsia="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估价对象</w:t>
      </w:r>
      <w:r>
        <w:rPr>
          <w:rFonts w:hint="eastAsia" w:ascii="仿宋_GB2312" w:hAnsi="仿宋_GB2312" w:eastAsia="仿宋_GB2312" w:cs="仿宋_GB2312"/>
          <w:color w:val="000000" w:themeColor="text1"/>
          <w:sz w:val="28"/>
          <w:szCs w:val="28"/>
          <w:highlight w:val="none"/>
          <w14:textFill>
            <w14:solidFill>
              <w14:schemeClr w14:val="tx1"/>
            </w14:solidFill>
          </w14:textFill>
        </w:rPr>
        <w:t>属于</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color w:val="000000" w:themeColor="text1"/>
          <w:sz w:val="28"/>
          <w:szCs w:val="28"/>
          <w:highlight w:val="none"/>
          <w14:textFill>
            <w14:solidFill>
              <w14:schemeClr w14:val="tx1"/>
            </w14:solidFill>
          </w14:textFill>
        </w:rPr>
        <w:t>征地补偿区</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I</w:t>
      </w:r>
      <w:r>
        <w:rPr>
          <w:rFonts w:hint="eastAsia" w:ascii="仿宋_GB2312" w:hAnsi="仿宋_GB2312" w:eastAsia="仿宋_GB2312" w:cs="仿宋_GB2312"/>
          <w:color w:val="000000" w:themeColor="text1"/>
          <w:sz w:val="28"/>
          <w:szCs w:val="28"/>
          <w:highlight w:val="none"/>
          <w14:textFill>
            <w14:solidFill>
              <w14:schemeClr w14:val="tx1"/>
            </w14:solidFill>
          </w14:textFill>
        </w:rPr>
        <w:t>区范围，</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耕地</w:t>
      </w:r>
      <w:r>
        <w:rPr>
          <w:rFonts w:hint="eastAsia" w:ascii="仿宋_GB2312" w:hAnsi="仿宋_GB2312" w:eastAsia="仿宋_GB2312" w:cs="仿宋_GB2312"/>
          <w:color w:val="000000" w:themeColor="text1"/>
          <w:sz w:val="28"/>
          <w:szCs w:val="28"/>
          <w:highlight w:val="none"/>
          <w14:textFill>
            <w14:solidFill>
              <w14:schemeClr w14:val="tx1"/>
            </w14:solidFill>
          </w14:textFill>
        </w:rPr>
        <w:t>补偿费为</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66300</w:t>
      </w:r>
      <w:r>
        <w:rPr>
          <w:rFonts w:hint="eastAsia" w:ascii="仿宋_GB2312" w:hAnsi="仿宋_GB2312" w:eastAsia="仿宋_GB2312" w:cs="仿宋_GB2312"/>
          <w:color w:val="000000" w:themeColor="text1"/>
          <w:sz w:val="28"/>
          <w:szCs w:val="28"/>
          <w:highlight w:val="none"/>
          <w14:textFill>
            <w14:solidFill>
              <w14:schemeClr w14:val="tx1"/>
            </w14:solidFill>
          </w14:textFill>
        </w:rPr>
        <w:t>元/亩</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则：</w:t>
      </w:r>
    </w:p>
    <w:p w14:paraId="06FFCAB7">
      <w:pPr>
        <w:spacing w:line="480" w:lineRule="exact"/>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征地补偿费=</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66300</w:t>
      </w:r>
      <w:r>
        <w:rPr>
          <w:rFonts w:hint="eastAsia" w:ascii="仿宋_GB2312" w:hAnsi="仿宋_GB2312" w:eastAsia="仿宋_GB2312" w:cs="仿宋_GB2312"/>
          <w:color w:val="000000" w:themeColor="text1"/>
          <w:sz w:val="28"/>
          <w:szCs w:val="28"/>
          <w:highlight w:val="none"/>
          <w14:textFill>
            <w14:solidFill>
              <w14:schemeClr w14:val="tx1"/>
            </w14:solidFill>
          </w14:textFill>
        </w:rPr>
        <w:t>×0.0015=</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99.45</w:t>
      </w:r>
      <w:r>
        <w:rPr>
          <w:rFonts w:hint="eastAsia" w:ascii="仿宋_GB2312" w:hAnsi="仿宋_GB2312" w:eastAsia="仿宋_GB2312" w:cs="仿宋_GB2312"/>
          <w:color w:val="000000" w:themeColor="text1"/>
          <w:sz w:val="28"/>
          <w:szCs w:val="28"/>
          <w:highlight w:val="none"/>
          <w14:textFill>
            <w14:solidFill>
              <w14:schemeClr w14:val="tx1"/>
            </w14:solidFill>
          </w14:textFill>
        </w:rPr>
        <w:t>元/平方米。</w:t>
      </w:r>
    </w:p>
    <w:p w14:paraId="7527774E">
      <w:pPr>
        <w:snapToGrid w:val="0"/>
        <w:spacing w:line="480" w:lineRule="exact"/>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②</w:t>
      </w:r>
      <w:r>
        <w:rPr>
          <w:rFonts w:hint="eastAsia" w:ascii="仿宋_GB2312" w:hAnsi="仿宋_GB2312" w:eastAsia="仿宋_GB2312" w:cs="仿宋_GB2312"/>
          <w:color w:val="000000" w:themeColor="text1"/>
          <w:sz w:val="28"/>
          <w:highlight w:val="none"/>
          <w14:textFill>
            <w14:solidFill>
              <w14:schemeClr w14:val="tx1"/>
            </w14:solidFill>
          </w14:textFill>
        </w:rPr>
        <w:t>地上附着物补偿</w:t>
      </w:r>
    </w:p>
    <w:p w14:paraId="5E466C10">
      <w:pPr>
        <w:snapToGrid w:val="0"/>
        <w:spacing w:line="480" w:lineRule="exact"/>
        <w:ind w:firstLine="560" w:firstLineChars="200"/>
        <w:rPr>
          <w:rFonts w:hint="eastAsia" w:ascii="仿宋_GB2312" w:hAnsi="仿宋_GB2312" w:eastAsia="仿宋_GB2312" w:cs="仿宋_GB2312"/>
          <w:sz w:val="28"/>
          <w:highlight w:val="none"/>
        </w:rPr>
      </w:pPr>
      <w:r>
        <w:rPr>
          <w:rFonts w:hint="eastAsia" w:ascii="仿宋_GB2312" w:hAnsi="仿宋_GB2312" w:eastAsia="仿宋_GB2312" w:cs="仿宋_GB2312"/>
          <w:sz w:val="28"/>
          <w:szCs w:val="28"/>
          <w:highlight w:val="none"/>
        </w:rPr>
        <w:t>根据</w:t>
      </w:r>
      <w:r>
        <w:rPr>
          <w:rFonts w:hint="eastAsia" w:ascii="仿宋_GB2312" w:hAnsi="仿宋_GB2312" w:eastAsia="仿宋_GB2312" w:cs="仿宋_GB2312"/>
          <w:sz w:val="28"/>
          <w:highlight w:val="none"/>
        </w:rPr>
        <w:t>永州市人民政府关于印发《永州市集体土地与房屋征收补偿安置办法》的通知（永政发〔2024〕4号，2024年5月11日）</w:t>
      </w:r>
      <w:r>
        <w:rPr>
          <w:rFonts w:hint="eastAsia" w:ascii="仿宋_GB2312" w:hAnsi="仿宋_GB2312" w:eastAsia="仿宋_GB2312" w:cs="仿宋_GB2312"/>
          <w:sz w:val="28"/>
          <w:szCs w:val="28"/>
          <w:highlight w:val="none"/>
        </w:rPr>
        <w:t>，</w:t>
      </w:r>
      <w:r>
        <w:rPr>
          <w:rFonts w:hint="eastAsia" w:ascii="仿宋_GB2312" w:hAnsi="仿宋_GB2312" w:eastAsia="仿宋_GB2312" w:cs="仿宋_GB2312"/>
          <w:sz w:val="28"/>
          <w:szCs w:val="28"/>
          <w:highlight w:val="none"/>
          <w:lang w:val="en-US" w:eastAsia="zh-CN"/>
        </w:rPr>
        <w:t>道县</w:t>
      </w:r>
      <w:r>
        <w:rPr>
          <w:rFonts w:hint="eastAsia" w:ascii="仿宋_GB2312" w:hAnsi="仿宋_GB2312" w:eastAsia="仿宋_GB2312" w:cs="仿宋_GB2312"/>
          <w:sz w:val="28"/>
          <w:szCs w:val="28"/>
          <w:highlight w:val="none"/>
        </w:rPr>
        <w:t>的</w:t>
      </w:r>
      <w:r>
        <w:rPr>
          <w:rFonts w:hint="eastAsia" w:ascii="仿宋_GB2312" w:hAnsi="仿宋_GB2312" w:eastAsia="仿宋_GB2312" w:cs="仿宋_GB2312"/>
          <w:sz w:val="28"/>
          <w:szCs w:val="28"/>
          <w:highlight w:val="none"/>
          <w:lang w:val="en-US" w:eastAsia="zh-CN"/>
        </w:rPr>
        <w:t>水田</w:t>
      </w:r>
      <w:r>
        <w:rPr>
          <w:rFonts w:hint="eastAsia" w:ascii="仿宋_GB2312" w:hAnsi="仿宋_GB2312" w:eastAsia="仿宋_GB2312" w:cs="仿宋_GB2312"/>
          <w:sz w:val="28"/>
          <w:szCs w:val="28"/>
          <w:highlight w:val="none"/>
        </w:rPr>
        <w:t>青苗补偿标准为</w:t>
      </w:r>
      <w:r>
        <w:rPr>
          <w:rFonts w:hint="eastAsia" w:ascii="仿宋_GB2312" w:hAnsi="仿宋_GB2312" w:eastAsia="仿宋_GB2312" w:cs="仿宋_GB2312"/>
          <w:sz w:val="28"/>
          <w:szCs w:val="28"/>
          <w:highlight w:val="none"/>
          <w:lang w:val="en-US" w:eastAsia="zh-CN"/>
        </w:rPr>
        <w:t>2800</w:t>
      </w:r>
      <w:r>
        <w:rPr>
          <w:rFonts w:hint="eastAsia" w:ascii="仿宋_GB2312" w:hAnsi="仿宋_GB2312" w:eastAsia="仿宋_GB2312" w:cs="仿宋_GB2312"/>
          <w:sz w:val="28"/>
          <w:highlight w:val="none"/>
        </w:rPr>
        <w:t>元/亩，合</w:t>
      </w:r>
      <w:r>
        <w:rPr>
          <w:rFonts w:hint="eastAsia" w:ascii="仿宋_GB2312" w:hAnsi="仿宋_GB2312" w:eastAsia="仿宋_GB2312" w:cs="仿宋_GB2312"/>
          <w:sz w:val="28"/>
          <w:highlight w:val="none"/>
          <w:lang w:val="en-US" w:eastAsia="zh-CN"/>
        </w:rPr>
        <w:t>4.2</w:t>
      </w:r>
      <w:r>
        <w:rPr>
          <w:rFonts w:hint="eastAsia" w:ascii="仿宋_GB2312" w:hAnsi="仿宋_GB2312" w:eastAsia="仿宋_GB2312" w:cs="仿宋_GB2312"/>
          <w:sz w:val="28"/>
          <w:highlight w:val="none"/>
        </w:rPr>
        <w:t>元/㎡；</w:t>
      </w:r>
    </w:p>
    <w:p w14:paraId="7A8377A6">
      <w:pPr>
        <w:spacing w:line="480" w:lineRule="exact"/>
        <w:ind w:firstLine="560" w:firstLineChars="20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根据</w:t>
      </w:r>
      <w:r>
        <w:rPr>
          <w:rFonts w:hint="eastAsia" w:ascii="仿宋_GB2312" w:hAnsi="仿宋_GB2312" w:eastAsia="仿宋_GB2312" w:cs="仿宋_GB2312"/>
          <w:sz w:val="28"/>
          <w:highlight w:val="none"/>
        </w:rPr>
        <w:t>《永州市集体土地与房屋征收补偿安置办法》的通知（永政发〔2024〕4号，2024年5月11日）</w:t>
      </w:r>
      <w:r>
        <w:rPr>
          <w:rFonts w:hint="eastAsia" w:ascii="仿宋_GB2312" w:hAnsi="仿宋_GB2312" w:eastAsia="仿宋_GB2312" w:cs="仿宋_GB2312"/>
          <w:sz w:val="28"/>
          <w:szCs w:val="28"/>
          <w:highlight w:val="none"/>
        </w:rPr>
        <w:t>，</w:t>
      </w:r>
      <w:r>
        <w:rPr>
          <w:rFonts w:hint="eastAsia" w:ascii="仿宋_GB2312" w:hAnsi="仿宋_GB2312" w:eastAsia="仿宋_GB2312" w:cs="仿宋_GB2312"/>
          <w:sz w:val="28"/>
          <w:highlight w:val="none"/>
        </w:rPr>
        <w:t>地上建筑物补偿标准计算</w:t>
      </w:r>
      <w:r>
        <w:rPr>
          <w:rFonts w:hint="eastAsia" w:ascii="仿宋_GB2312" w:hAnsi="仿宋_GB2312" w:eastAsia="仿宋_GB2312" w:cs="仿宋_GB2312"/>
          <w:sz w:val="28"/>
          <w:szCs w:val="28"/>
          <w:highlight w:val="none"/>
        </w:rPr>
        <w:t>如下：</w:t>
      </w:r>
    </w:p>
    <w:p w14:paraId="68075F42">
      <w:pPr>
        <w:spacing w:line="480" w:lineRule="exact"/>
        <w:ind w:firstLine="560" w:firstLineChars="200"/>
        <w:jc w:val="center"/>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表3</w:t>
      </w:r>
      <w:r>
        <w:rPr>
          <w:rFonts w:hint="eastAsia" w:ascii="仿宋_GB2312" w:hAnsi="仿宋_GB2312" w:eastAsia="仿宋_GB2312" w:cs="仿宋_GB2312"/>
          <w:sz w:val="28"/>
          <w:szCs w:val="28"/>
          <w:highlight w:val="none"/>
          <w:lang w:val="en-US" w:eastAsia="zh-CN"/>
        </w:rPr>
        <w:t>-1</w:t>
      </w:r>
      <w:r>
        <w:rPr>
          <w:rFonts w:hint="eastAsia" w:ascii="仿宋_GB2312" w:hAnsi="仿宋_GB2312" w:eastAsia="仿宋_GB2312" w:cs="仿宋_GB2312"/>
          <w:sz w:val="28"/>
          <w:szCs w:val="28"/>
          <w:highlight w:val="none"/>
        </w:rPr>
        <w:t xml:space="preserve"> 建筑物补偿标准</w:t>
      </w:r>
    </w:p>
    <w:tbl>
      <w:tblPr>
        <w:tblStyle w:val="12"/>
        <w:tblW w:w="8717" w:type="dxa"/>
        <w:tblInd w:w="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8"/>
        <w:gridCol w:w="1560"/>
        <w:gridCol w:w="1755"/>
        <w:gridCol w:w="1335"/>
        <w:gridCol w:w="1005"/>
        <w:gridCol w:w="1704"/>
      </w:tblGrid>
      <w:tr w14:paraId="0ED44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 w:hRule="atLeast"/>
        </w:trPr>
        <w:tc>
          <w:tcPr>
            <w:tcW w:w="1358" w:type="dxa"/>
            <w:noWrap w:val="0"/>
            <w:vAlign w:val="center"/>
          </w:tcPr>
          <w:p w14:paraId="04F2A23A">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补偿项目名称</w:t>
            </w:r>
          </w:p>
        </w:tc>
        <w:tc>
          <w:tcPr>
            <w:tcW w:w="1560" w:type="dxa"/>
            <w:noWrap w:val="0"/>
            <w:vAlign w:val="center"/>
          </w:tcPr>
          <w:p w14:paraId="33183AE8">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附着物补偿标准（元/㎡）</w:t>
            </w:r>
          </w:p>
        </w:tc>
        <w:tc>
          <w:tcPr>
            <w:tcW w:w="1755" w:type="dxa"/>
            <w:noWrap w:val="0"/>
            <w:vAlign w:val="center"/>
          </w:tcPr>
          <w:p w14:paraId="2D3F87B9">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计算基数</w:t>
            </w:r>
          </w:p>
        </w:tc>
        <w:tc>
          <w:tcPr>
            <w:tcW w:w="1335" w:type="dxa"/>
            <w:noWrap w:val="0"/>
            <w:vAlign w:val="center"/>
          </w:tcPr>
          <w:p w14:paraId="508D0690">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人均合法建筑面积（㎡）</w:t>
            </w:r>
          </w:p>
        </w:tc>
        <w:tc>
          <w:tcPr>
            <w:tcW w:w="1005" w:type="dxa"/>
            <w:noWrap w:val="0"/>
            <w:vAlign w:val="center"/>
          </w:tcPr>
          <w:p w14:paraId="4FA96B62">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补偿金额（元）</w:t>
            </w:r>
          </w:p>
        </w:tc>
        <w:tc>
          <w:tcPr>
            <w:tcW w:w="1704" w:type="dxa"/>
            <w:noWrap w:val="0"/>
            <w:vAlign w:val="center"/>
          </w:tcPr>
          <w:p w14:paraId="5D60CCC5">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备注</w:t>
            </w:r>
          </w:p>
        </w:tc>
      </w:tr>
      <w:tr w14:paraId="5365D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358" w:type="dxa"/>
            <w:noWrap w:val="0"/>
            <w:vAlign w:val="center"/>
          </w:tcPr>
          <w:p w14:paraId="6137705A">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房屋补偿费</w:t>
            </w:r>
          </w:p>
        </w:tc>
        <w:tc>
          <w:tcPr>
            <w:tcW w:w="1560" w:type="dxa"/>
            <w:noWrap w:val="0"/>
            <w:vAlign w:val="center"/>
          </w:tcPr>
          <w:p w14:paraId="437C6855">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Style w:val="20"/>
                <w:rFonts w:hint="eastAsia" w:ascii="仿宋_GB2312" w:hAnsi="仿宋_GB2312" w:eastAsia="仿宋_GB2312" w:cs="仿宋_GB2312"/>
                <w:sz w:val="21"/>
                <w:szCs w:val="21"/>
                <w:highlight w:val="none"/>
                <w:lang w:val="en-US" w:eastAsia="zh-CN" w:bidi="ar"/>
              </w:rPr>
              <w:t>1350</w:t>
            </w:r>
            <w:r>
              <w:rPr>
                <w:rFonts w:hint="eastAsia" w:ascii="仿宋_GB2312" w:hAnsi="仿宋_GB2312" w:eastAsia="仿宋_GB2312" w:cs="仿宋_GB2312"/>
                <w:i w:val="0"/>
                <w:iCs w:val="0"/>
                <w:color w:val="000000"/>
                <w:kern w:val="0"/>
                <w:sz w:val="21"/>
                <w:szCs w:val="21"/>
                <w:highlight w:val="none"/>
                <w:u w:val="none"/>
                <w:lang w:val="en-US" w:eastAsia="zh-CN" w:bidi="ar"/>
              </w:rPr>
              <w:t>元</w:t>
            </w:r>
            <w:r>
              <w:rPr>
                <w:rStyle w:val="20"/>
                <w:rFonts w:hint="eastAsia" w:ascii="仿宋_GB2312" w:hAnsi="仿宋_GB2312" w:eastAsia="仿宋_GB2312" w:cs="仿宋_GB2312"/>
                <w:sz w:val="21"/>
                <w:szCs w:val="21"/>
                <w:highlight w:val="none"/>
                <w:lang w:val="en-US" w:eastAsia="zh-CN" w:bidi="ar"/>
              </w:rPr>
              <w:t>/</w:t>
            </w:r>
            <w:r>
              <w:rPr>
                <w:rFonts w:hint="eastAsia" w:ascii="仿宋_GB2312" w:hAnsi="仿宋_GB2312" w:eastAsia="仿宋_GB2312" w:cs="仿宋_GB2312"/>
                <w:i w:val="0"/>
                <w:iCs w:val="0"/>
                <w:color w:val="000000"/>
                <w:kern w:val="0"/>
                <w:sz w:val="21"/>
                <w:szCs w:val="21"/>
                <w:highlight w:val="none"/>
                <w:u w:val="none"/>
                <w:lang w:val="en-US" w:eastAsia="zh-CN" w:bidi="ar"/>
              </w:rPr>
              <w:t>㎡</w:t>
            </w:r>
          </w:p>
        </w:tc>
        <w:tc>
          <w:tcPr>
            <w:tcW w:w="1755" w:type="dxa"/>
            <w:noWrap w:val="0"/>
            <w:vAlign w:val="center"/>
          </w:tcPr>
          <w:p w14:paraId="70BD9C11">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按合法建筑面积</w:t>
            </w:r>
          </w:p>
        </w:tc>
        <w:tc>
          <w:tcPr>
            <w:tcW w:w="1335" w:type="dxa"/>
            <w:noWrap w:val="0"/>
            <w:vAlign w:val="center"/>
          </w:tcPr>
          <w:p w14:paraId="7A7FA1EB">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70</w:t>
            </w:r>
          </w:p>
        </w:tc>
        <w:tc>
          <w:tcPr>
            <w:tcW w:w="1005" w:type="dxa"/>
            <w:noWrap w:val="0"/>
            <w:vAlign w:val="center"/>
          </w:tcPr>
          <w:p w14:paraId="33F3DCFE">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94500</w:t>
            </w:r>
          </w:p>
        </w:tc>
        <w:tc>
          <w:tcPr>
            <w:tcW w:w="1704" w:type="dxa"/>
            <w:noWrap w:val="0"/>
            <w:vAlign w:val="center"/>
          </w:tcPr>
          <w:p w14:paraId="583F8DD2">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砖混，本补偿标准含室内外装饰、装修</w:t>
            </w:r>
          </w:p>
        </w:tc>
      </w:tr>
      <w:tr w14:paraId="218D0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 w:hRule="atLeast"/>
        </w:trPr>
        <w:tc>
          <w:tcPr>
            <w:tcW w:w="1358" w:type="dxa"/>
            <w:noWrap w:val="0"/>
            <w:vAlign w:val="center"/>
          </w:tcPr>
          <w:p w14:paraId="6BFB59CC">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主动腾地奖</w:t>
            </w:r>
          </w:p>
        </w:tc>
        <w:tc>
          <w:tcPr>
            <w:tcW w:w="1560" w:type="dxa"/>
            <w:noWrap w:val="0"/>
            <w:vAlign w:val="center"/>
          </w:tcPr>
          <w:p w14:paraId="2E2CD87B">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Style w:val="20"/>
                <w:rFonts w:hint="eastAsia" w:ascii="仿宋_GB2312" w:hAnsi="仿宋_GB2312" w:eastAsia="仿宋_GB2312" w:cs="仿宋_GB2312"/>
                <w:sz w:val="21"/>
                <w:szCs w:val="21"/>
                <w:highlight w:val="none"/>
                <w:lang w:val="en-US" w:eastAsia="zh-CN" w:bidi="ar"/>
              </w:rPr>
              <w:t>100</w:t>
            </w:r>
            <w:r>
              <w:rPr>
                <w:rFonts w:hint="eastAsia" w:ascii="仿宋_GB2312" w:hAnsi="仿宋_GB2312" w:eastAsia="仿宋_GB2312" w:cs="仿宋_GB2312"/>
                <w:i w:val="0"/>
                <w:iCs w:val="0"/>
                <w:color w:val="000000"/>
                <w:kern w:val="0"/>
                <w:sz w:val="21"/>
                <w:szCs w:val="21"/>
                <w:highlight w:val="none"/>
                <w:u w:val="none"/>
                <w:lang w:val="en-US" w:eastAsia="zh-CN" w:bidi="ar"/>
              </w:rPr>
              <w:t>元</w:t>
            </w:r>
            <w:r>
              <w:rPr>
                <w:rStyle w:val="20"/>
                <w:rFonts w:hint="eastAsia" w:ascii="仿宋_GB2312" w:hAnsi="仿宋_GB2312" w:eastAsia="仿宋_GB2312" w:cs="仿宋_GB2312"/>
                <w:sz w:val="21"/>
                <w:szCs w:val="21"/>
                <w:highlight w:val="none"/>
                <w:lang w:val="en-US" w:eastAsia="zh-CN" w:bidi="ar"/>
              </w:rPr>
              <w:t>/</w:t>
            </w:r>
            <w:r>
              <w:rPr>
                <w:rFonts w:hint="eastAsia" w:ascii="仿宋_GB2312" w:hAnsi="仿宋_GB2312" w:eastAsia="仿宋_GB2312" w:cs="仿宋_GB2312"/>
                <w:i w:val="0"/>
                <w:iCs w:val="0"/>
                <w:color w:val="000000"/>
                <w:kern w:val="0"/>
                <w:sz w:val="21"/>
                <w:szCs w:val="21"/>
                <w:highlight w:val="none"/>
                <w:u w:val="none"/>
                <w:lang w:val="en-US" w:eastAsia="zh-CN" w:bidi="ar"/>
              </w:rPr>
              <w:t>㎡</w:t>
            </w:r>
          </w:p>
        </w:tc>
        <w:tc>
          <w:tcPr>
            <w:tcW w:w="1755" w:type="dxa"/>
            <w:noWrap w:val="0"/>
            <w:vAlign w:val="center"/>
          </w:tcPr>
          <w:p w14:paraId="7A359EF5">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按合法建筑面积</w:t>
            </w:r>
          </w:p>
        </w:tc>
        <w:tc>
          <w:tcPr>
            <w:tcW w:w="1335" w:type="dxa"/>
            <w:noWrap w:val="0"/>
            <w:vAlign w:val="center"/>
          </w:tcPr>
          <w:p w14:paraId="046AEE3B">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70</w:t>
            </w:r>
          </w:p>
        </w:tc>
        <w:tc>
          <w:tcPr>
            <w:tcW w:w="1005" w:type="dxa"/>
            <w:noWrap w:val="0"/>
            <w:vAlign w:val="center"/>
          </w:tcPr>
          <w:p w14:paraId="5CDD96C7">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7000</w:t>
            </w:r>
          </w:p>
        </w:tc>
        <w:tc>
          <w:tcPr>
            <w:tcW w:w="1704" w:type="dxa"/>
            <w:noWrap w:val="0"/>
            <w:vAlign w:val="center"/>
          </w:tcPr>
          <w:p w14:paraId="6138197F">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按二层计算</w:t>
            </w:r>
          </w:p>
        </w:tc>
      </w:tr>
      <w:tr w14:paraId="59CF7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trPr>
        <w:tc>
          <w:tcPr>
            <w:tcW w:w="1358" w:type="dxa"/>
            <w:noWrap w:val="0"/>
            <w:vAlign w:val="center"/>
          </w:tcPr>
          <w:p w14:paraId="63FA6AEB">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搬家费</w:t>
            </w:r>
          </w:p>
        </w:tc>
        <w:tc>
          <w:tcPr>
            <w:tcW w:w="1560" w:type="dxa"/>
            <w:noWrap w:val="0"/>
            <w:vAlign w:val="center"/>
          </w:tcPr>
          <w:p w14:paraId="21F012DA">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Style w:val="20"/>
                <w:rFonts w:hint="eastAsia" w:ascii="仿宋_GB2312" w:hAnsi="仿宋_GB2312" w:eastAsia="仿宋_GB2312" w:cs="仿宋_GB2312"/>
                <w:sz w:val="21"/>
                <w:szCs w:val="21"/>
                <w:highlight w:val="none"/>
                <w:lang w:val="en-US" w:eastAsia="zh-CN" w:bidi="ar"/>
              </w:rPr>
              <w:t>2000</w:t>
            </w:r>
            <w:r>
              <w:rPr>
                <w:rFonts w:hint="eastAsia" w:ascii="仿宋_GB2312" w:hAnsi="仿宋_GB2312" w:eastAsia="仿宋_GB2312" w:cs="仿宋_GB2312"/>
                <w:i w:val="0"/>
                <w:iCs w:val="0"/>
                <w:color w:val="000000"/>
                <w:kern w:val="0"/>
                <w:sz w:val="21"/>
                <w:szCs w:val="21"/>
                <w:highlight w:val="none"/>
                <w:u w:val="none"/>
                <w:lang w:val="en-US" w:eastAsia="zh-CN" w:bidi="ar"/>
              </w:rPr>
              <w:t>元</w:t>
            </w:r>
            <w:r>
              <w:rPr>
                <w:rStyle w:val="20"/>
                <w:rFonts w:hint="eastAsia" w:ascii="仿宋_GB2312" w:hAnsi="仿宋_GB2312" w:eastAsia="仿宋_GB2312" w:cs="仿宋_GB2312"/>
                <w:sz w:val="21"/>
                <w:szCs w:val="21"/>
                <w:highlight w:val="none"/>
                <w:lang w:val="en-US" w:eastAsia="zh-CN" w:bidi="ar"/>
              </w:rPr>
              <w:t>/</w:t>
            </w:r>
            <w:r>
              <w:rPr>
                <w:rFonts w:hint="eastAsia" w:ascii="仿宋_GB2312" w:hAnsi="仿宋_GB2312" w:eastAsia="仿宋_GB2312" w:cs="仿宋_GB2312"/>
                <w:i w:val="0"/>
                <w:iCs w:val="0"/>
                <w:color w:val="000000"/>
                <w:kern w:val="0"/>
                <w:sz w:val="21"/>
                <w:szCs w:val="21"/>
                <w:highlight w:val="none"/>
                <w:u w:val="none"/>
                <w:lang w:val="en-US" w:eastAsia="zh-CN" w:bidi="ar"/>
              </w:rPr>
              <w:t>户</w:t>
            </w:r>
          </w:p>
        </w:tc>
        <w:tc>
          <w:tcPr>
            <w:tcW w:w="1755" w:type="dxa"/>
            <w:noWrap w:val="0"/>
            <w:vAlign w:val="center"/>
          </w:tcPr>
          <w:p w14:paraId="6AA80BF6">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按每户，</w:t>
            </w:r>
            <w:r>
              <w:rPr>
                <w:rStyle w:val="20"/>
                <w:rFonts w:hint="eastAsia" w:ascii="仿宋_GB2312" w:hAnsi="仿宋_GB2312" w:eastAsia="仿宋_GB2312" w:cs="仿宋_GB2312"/>
                <w:sz w:val="21"/>
                <w:szCs w:val="21"/>
                <w:highlight w:val="none"/>
                <w:lang w:val="en-US" w:eastAsia="zh-CN" w:bidi="ar"/>
              </w:rPr>
              <w:t>4</w:t>
            </w:r>
            <w:r>
              <w:rPr>
                <w:rFonts w:hint="eastAsia" w:ascii="仿宋_GB2312" w:hAnsi="仿宋_GB2312" w:eastAsia="仿宋_GB2312" w:cs="仿宋_GB2312"/>
                <w:i w:val="0"/>
                <w:iCs w:val="0"/>
                <w:color w:val="000000"/>
                <w:kern w:val="0"/>
                <w:sz w:val="21"/>
                <w:szCs w:val="21"/>
                <w:highlight w:val="none"/>
                <w:u w:val="none"/>
                <w:lang w:val="en-US" w:eastAsia="zh-CN" w:bidi="ar"/>
              </w:rPr>
              <w:t>人</w:t>
            </w:r>
            <w:r>
              <w:rPr>
                <w:rStyle w:val="20"/>
                <w:rFonts w:hint="eastAsia" w:ascii="仿宋_GB2312" w:hAnsi="仿宋_GB2312" w:eastAsia="仿宋_GB2312" w:cs="仿宋_GB2312"/>
                <w:sz w:val="21"/>
                <w:szCs w:val="21"/>
                <w:highlight w:val="none"/>
                <w:lang w:val="en-US" w:eastAsia="zh-CN" w:bidi="ar"/>
              </w:rPr>
              <w:t>/</w:t>
            </w:r>
            <w:r>
              <w:rPr>
                <w:rFonts w:hint="eastAsia" w:ascii="仿宋_GB2312" w:hAnsi="仿宋_GB2312" w:eastAsia="仿宋_GB2312" w:cs="仿宋_GB2312"/>
                <w:i w:val="0"/>
                <w:iCs w:val="0"/>
                <w:color w:val="000000"/>
                <w:kern w:val="0"/>
                <w:sz w:val="21"/>
                <w:szCs w:val="21"/>
                <w:highlight w:val="none"/>
                <w:u w:val="none"/>
                <w:lang w:val="en-US" w:eastAsia="zh-CN" w:bidi="ar"/>
              </w:rPr>
              <w:t>户</w:t>
            </w:r>
          </w:p>
        </w:tc>
        <w:tc>
          <w:tcPr>
            <w:tcW w:w="1335" w:type="dxa"/>
            <w:noWrap w:val="0"/>
            <w:vAlign w:val="center"/>
          </w:tcPr>
          <w:p w14:paraId="4C411D58">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Style w:val="20"/>
                <w:rFonts w:hint="eastAsia" w:ascii="仿宋_GB2312" w:hAnsi="仿宋_GB2312" w:eastAsia="仿宋_GB2312" w:cs="仿宋_GB2312"/>
                <w:sz w:val="21"/>
                <w:szCs w:val="21"/>
                <w:highlight w:val="none"/>
                <w:lang w:val="en-US" w:eastAsia="zh-CN" w:bidi="ar"/>
              </w:rPr>
              <w:t>1</w:t>
            </w:r>
            <w:r>
              <w:rPr>
                <w:rFonts w:hint="eastAsia" w:ascii="仿宋_GB2312" w:hAnsi="仿宋_GB2312" w:eastAsia="仿宋_GB2312" w:cs="仿宋_GB2312"/>
                <w:i w:val="0"/>
                <w:iCs w:val="0"/>
                <w:color w:val="000000"/>
                <w:kern w:val="0"/>
                <w:sz w:val="21"/>
                <w:szCs w:val="21"/>
                <w:highlight w:val="none"/>
                <w:u w:val="none"/>
                <w:lang w:val="en-US" w:eastAsia="zh-CN" w:bidi="ar"/>
              </w:rPr>
              <w:t>人</w:t>
            </w:r>
          </w:p>
        </w:tc>
        <w:tc>
          <w:tcPr>
            <w:tcW w:w="1005" w:type="dxa"/>
            <w:noWrap w:val="0"/>
            <w:vAlign w:val="center"/>
          </w:tcPr>
          <w:p w14:paraId="62DE4CAB">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500</w:t>
            </w:r>
          </w:p>
        </w:tc>
        <w:tc>
          <w:tcPr>
            <w:tcW w:w="1704" w:type="dxa"/>
            <w:noWrap w:val="0"/>
            <w:vAlign w:val="center"/>
          </w:tcPr>
          <w:p w14:paraId="115D1F3C">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按中间值计算</w:t>
            </w:r>
          </w:p>
        </w:tc>
      </w:tr>
      <w:tr w14:paraId="68C2B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1358" w:type="dxa"/>
            <w:noWrap w:val="0"/>
            <w:vAlign w:val="center"/>
          </w:tcPr>
          <w:p w14:paraId="2002C56C">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过渡费</w:t>
            </w:r>
          </w:p>
        </w:tc>
        <w:tc>
          <w:tcPr>
            <w:tcW w:w="1560" w:type="dxa"/>
            <w:noWrap w:val="0"/>
            <w:vAlign w:val="center"/>
          </w:tcPr>
          <w:p w14:paraId="5B349BB0">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Style w:val="20"/>
                <w:rFonts w:hint="eastAsia" w:ascii="仿宋_GB2312" w:hAnsi="仿宋_GB2312" w:eastAsia="仿宋_GB2312" w:cs="仿宋_GB2312"/>
                <w:sz w:val="21"/>
                <w:szCs w:val="21"/>
                <w:highlight w:val="none"/>
                <w:lang w:val="en-US" w:eastAsia="zh-CN" w:bidi="ar"/>
              </w:rPr>
              <w:t>1000</w:t>
            </w:r>
            <w:r>
              <w:rPr>
                <w:rFonts w:hint="eastAsia" w:ascii="仿宋_GB2312" w:hAnsi="仿宋_GB2312" w:eastAsia="仿宋_GB2312" w:cs="仿宋_GB2312"/>
                <w:i w:val="0"/>
                <w:iCs w:val="0"/>
                <w:color w:val="000000"/>
                <w:kern w:val="0"/>
                <w:sz w:val="21"/>
                <w:szCs w:val="21"/>
                <w:highlight w:val="none"/>
                <w:u w:val="none"/>
                <w:lang w:val="en-US" w:eastAsia="zh-CN" w:bidi="ar"/>
              </w:rPr>
              <w:t>元</w:t>
            </w:r>
            <w:r>
              <w:rPr>
                <w:rStyle w:val="20"/>
                <w:rFonts w:hint="eastAsia" w:ascii="仿宋_GB2312" w:hAnsi="仿宋_GB2312" w:eastAsia="仿宋_GB2312" w:cs="仿宋_GB2312"/>
                <w:sz w:val="21"/>
                <w:szCs w:val="21"/>
                <w:highlight w:val="none"/>
                <w:lang w:val="en-US" w:eastAsia="zh-CN" w:bidi="ar"/>
              </w:rPr>
              <w:t>/</w:t>
            </w:r>
            <w:r>
              <w:rPr>
                <w:rFonts w:hint="eastAsia" w:ascii="仿宋_GB2312" w:hAnsi="仿宋_GB2312" w:eastAsia="仿宋_GB2312" w:cs="仿宋_GB2312"/>
                <w:i w:val="0"/>
                <w:iCs w:val="0"/>
                <w:color w:val="000000"/>
                <w:kern w:val="0"/>
                <w:sz w:val="21"/>
                <w:szCs w:val="21"/>
                <w:highlight w:val="none"/>
                <w:u w:val="none"/>
                <w:lang w:val="en-US" w:eastAsia="zh-CN" w:bidi="ar"/>
              </w:rPr>
              <w:t>户</w:t>
            </w:r>
            <w:r>
              <w:rPr>
                <w:rStyle w:val="20"/>
                <w:rFonts w:hint="eastAsia" w:ascii="仿宋_GB2312" w:hAnsi="仿宋_GB2312" w:eastAsia="仿宋_GB2312" w:cs="仿宋_GB2312"/>
                <w:sz w:val="21"/>
                <w:szCs w:val="21"/>
                <w:highlight w:val="none"/>
                <w:lang w:val="en-US" w:eastAsia="zh-CN" w:bidi="ar"/>
              </w:rPr>
              <w:t>/</w:t>
            </w:r>
            <w:r>
              <w:rPr>
                <w:rFonts w:hint="eastAsia" w:ascii="仿宋_GB2312" w:hAnsi="仿宋_GB2312" w:eastAsia="仿宋_GB2312" w:cs="仿宋_GB2312"/>
                <w:i w:val="0"/>
                <w:iCs w:val="0"/>
                <w:color w:val="000000"/>
                <w:kern w:val="0"/>
                <w:sz w:val="21"/>
                <w:szCs w:val="21"/>
                <w:highlight w:val="none"/>
                <w:u w:val="none"/>
                <w:lang w:val="en-US" w:eastAsia="zh-CN" w:bidi="ar"/>
              </w:rPr>
              <w:t>月</w:t>
            </w:r>
          </w:p>
        </w:tc>
        <w:tc>
          <w:tcPr>
            <w:tcW w:w="1755" w:type="dxa"/>
            <w:noWrap w:val="0"/>
            <w:vAlign w:val="center"/>
          </w:tcPr>
          <w:p w14:paraId="4FD128CB">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按每户，</w:t>
            </w:r>
            <w:r>
              <w:rPr>
                <w:rStyle w:val="20"/>
                <w:rFonts w:hint="eastAsia" w:ascii="仿宋_GB2312" w:hAnsi="仿宋_GB2312" w:eastAsia="仿宋_GB2312" w:cs="仿宋_GB2312"/>
                <w:sz w:val="21"/>
                <w:szCs w:val="21"/>
                <w:highlight w:val="none"/>
                <w:lang w:val="en-US" w:eastAsia="zh-CN" w:bidi="ar"/>
              </w:rPr>
              <w:t>4</w:t>
            </w:r>
            <w:r>
              <w:rPr>
                <w:rFonts w:hint="eastAsia" w:ascii="仿宋_GB2312" w:hAnsi="仿宋_GB2312" w:eastAsia="仿宋_GB2312" w:cs="仿宋_GB2312"/>
                <w:i w:val="0"/>
                <w:iCs w:val="0"/>
                <w:color w:val="000000"/>
                <w:kern w:val="0"/>
                <w:sz w:val="21"/>
                <w:szCs w:val="21"/>
                <w:highlight w:val="none"/>
                <w:u w:val="none"/>
                <w:lang w:val="en-US" w:eastAsia="zh-CN" w:bidi="ar"/>
              </w:rPr>
              <w:t>人</w:t>
            </w:r>
            <w:r>
              <w:rPr>
                <w:rStyle w:val="20"/>
                <w:rFonts w:hint="eastAsia" w:ascii="仿宋_GB2312" w:hAnsi="仿宋_GB2312" w:eastAsia="仿宋_GB2312" w:cs="仿宋_GB2312"/>
                <w:sz w:val="21"/>
                <w:szCs w:val="21"/>
                <w:highlight w:val="none"/>
                <w:lang w:val="en-US" w:eastAsia="zh-CN" w:bidi="ar"/>
              </w:rPr>
              <w:t>/</w:t>
            </w:r>
            <w:r>
              <w:rPr>
                <w:rFonts w:hint="eastAsia" w:ascii="仿宋_GB2312" w:hAnsi="仿宋_GB2312" w:eastAsia="仿宋_GB2312" w:cs="仿宋_GB2312"/>
                <w:i w:val="0"/>
                <w:iCs w:val="0"/>
                <w:color w:val="000000"/>
                <w:kern w:val="0"/>
                <w:sz w:val="21"/>
                <w:szCs w:val="21"/>
                <w:highlight w:val="none"/>
                <w:u w:val="none"/>
                <w:lang w:val="en-US" w:eastAsia="zh-CN" w:bidi="ar"/>
              </w:rPr>
              <w:t>户</w:t>
            </w:r>
          </w:p>
        </w:tc>
        <w:tc>
          <w:tcPr>
            <w:tcW w:w="1335" w:type="dxa"/>
            <w:noWrap w:val="0"/>
            <w:vAlign w:val="center"/>
          </w:tcPr>
          <w:p w14:paraId="5399E405">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Style w:val="20"/>
                <w:rFonts w:hint="eastAsia" w:ascii="仿宋_GB2312" w:hAnsi="仿宋_GB2312" w:eastAsia="仿宋_GB2312" w:cs="仿宋_GB2312"/>
                <w:sz w:val="21"/>
                <w:szCs w:val="21"/>
                <w:highlight w:val="none"/>
                <w:lang w:val="en-US" w:eastAsia="zh-CN" w:bidi="ar"/>
              </w:rPr>
              <w:t>1</w:t>
            </w:r>
            <w:r>
              <w:rPr>
                <w:rFonts w:hint="eastAsia" w:ascii="仿宋_GB2312" w:hAnsi="仿宋_GB2312" w:eastAsia="仿宋_GB2312" w:cs="仿宋_GB2312"/>
                <w:i w:val="0"/>
                <w:iCs w:val="0"/>
                <w:color w:val="000000"/>
                <w:kern w:val="0"/>
                <w:sz w:val="21"/>
                <w:szCs w:val="21"/>
                <w:highlight w:val="none"/>
                <w:u w:val="none"/>
                <w:lang w:val="en-US" w:eastAsia="zh-CN" w:bidi="ar"/>
              </w:rPr>
              <w:t>人</w:t>
            </w:r>
          </w:p>
        </w:tc>
        <w:tc>
          <w:tcPr>
            <w:tcW w:w="1005" w:type="dxa"/>
            <w:noWrap w:val="0"/>
            <w:vAlign w:val="center"/>
          </w:tcPr>
          <w:p w14:paraId="682C0DB9">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3000</w:t>
            </w:r>
          </w:p>
        </w:tc>
        <w:tc>
          <w:tcPr>
            <w:tcW w:w="1704" w:type="dxa"/>
            <w:noWrap w:val="0"/>
            <w:vAlign w:val="center"/>
          </w:tcPr>
          <w:p w14:paraId="6DDCF0E1">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过渡期</w:t>
            </w:r>
            <w:r>
              <w:rPr>
                <w:rStyle w:val="20"/>
                <w:rFonts w:hint="eastAsia" w:ascii="仿宋_GB2312" w:hAnsi="仿宋_GB2312" w:eastAsia="仿宋_GB2312" w:cs="仿宋_GB2312"/>
                <w:sz w:val="21"/>
                <w:szCs w:val="21"/>
                <w:highlight w:val="none"/>
                <w:lang w:val="en-US" w:eastAsia="zh-CN" w:bidi="ar"/>
              </w:rPr>
              <w:t>12</w:t>
            </w:r>
            <w:r>
              <w:rPr>
                <w:rFonts w:hint="eastAsia" w:ascii="仿宋_GB2312" w:hAnsi="仿宋_GB2312" w:eastAsia="仿宋_GB2312" w:cs="仿宋_GB2312"/>
                <w:i w:val="0"/>
                <w:iCs w:val="0"/>
                <w:color w:val="000000"/>
                <w:kern w:val="0"/>
                <w:sz w:val="21"/>
                <w:szCs w:val="21"/>
                <w:highlight w:val="none"/>
                <w:u w:val="none"/>
                <w:lang w:val="en-US" w:eastAsia="zh-CN" w:bidi="ar"/>
              </w:rPr>
              <w:t>个月</w:t>
            </w:r>
          </w:p>
        </w:tc>
      </w:tr>
    </w:tbl>
    <w:p w14:paraId="66B587CF">
      <w:pPr>
        <w:pStyle w:val="21"/>
        <w:spacing w:line="480" w:lineRule="exact"/>
        <w:ind w:firstLine="560"/>
        <w:rPr>
          <w:rFonts w:hint="eastAsia" w:ascii="仿宋_GB2312" w:hAnsi="仿宋_GB2312" w:eastAsia="仿宋_GB2312" w:cs="仿宋_GB2312"/>
          <w:sz w:val="28"/>
          <w:highlight w:val="none"/>
        </w:rPr>
      </w:pPr>
      <w:r>
        <w:rPr>
          <w:rFonts w:hint="eastAsia" w:ascii="仿宋_GB2312" w:hAnsi="仿宋_GB2312" w:eastAsia="仿宋_GB2312" w:cs="仿宋_GB2312"/>
          <w:sz w:val="28"/>
          <w:highlight w:val="none"/>
        </w:rPr>
        <w:t>根据以上测算，区域地上建筑物平均补偿费用为</w:t>
      </w:r>
      <w:r>
        <w:rPr>
          <w:rFonts w:hint="eastAsia" w:ascii="仿宋_GB2312" w:hAnsi="仿宋_GB2312" w:eastAsia="仿宋_GB2312" w:cs="仿宋_GB2312"/>
          <w:sz w:val="28"/>
          <w:highlight w:val="none"/>
          <w:lang w:val="en-US" w:eastAsia="zh-CN"/>
        </w:rPr>
        <w:t>105000</w:t>
      </w:r>
      <w:r>
        <w:rPr>
          <w:rFonts w:hint="eastAsia" w:ascii="仿宋_GB2312" w:hAnsi="仿宋_GB2312" w:eastAsia="仿宋_GB2312" w:cs="仿宋_GB2312"/>
          <w:sz w:val="28"/>
          <w:highlight w:val="none"/>
        </w:rPr>
        <w:t>元/人。据湖南征地信息平台公布的数据，收集到的区域三个征地案例的安置农业人口数，确定区域农业人口数约</w:t>
      </w:r>
      <w:r>
        <w:rPr>
          <w:rFonts w:hint="eastAsia" w:ascii="仿宋_GB2312" w:hAnsi="仿宋_GB2312" w:eastAsia="仿宋_GB2312" w:cs="仿宋_GB2312"/>
          <w:sz w:val="28"/>
          <w:highlight w:val="none"/>
          <w:lang w:val="en-US" w:eastAsia="zh-CN"/>
        </w:rPr>
        <w:t>12.82</w:t>
      </w:r>
      <w:r>
        <w:rPr>
          <w:rFonts w:hint="eastAsia" w:ascii="仿宋_GB2312" w:hAnsi="仿宋_GB2312" w:eastAsia="仿宋_GB2312" w:cs="仿宋_GB2312"/>
          <w:sz w:val="28"/>
          <w:highlight w:val="none"/>
        </w:rPr>
        <w:t>人/公顷。具体补偿人口数量详见下表：</w:t>
      </w:r>
    </w:p>
    <w:p w14:paraId="60FF420F">
      <w:pPr>
        <w:spacing w:line="480" w:lineRule="exact"/>
        <w:ind w:firstLine="560" w:firstLineChars="200"/>
        <w:jc w:val="center"/>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表</w:t>
      </w:r>
      <w:r>
        <w:rPr>
          <w:rFonts w:hint="eastAsia" w:ascii="仿宋_GB2312" w:hAnsi="仿宋_GB2312" w:eastAsia="仿宋_GB2312" w:cs="仿宋_GB2312"/>
          <w:sz w:val="28"/>
          <w:szCs w:val="28"/>
          <w:highlight w:val="none"/>
          <w:lang w:val="en-US" w:eastAsia="zh-CN"/>
        </w:rPr>
        <w:t>3-2</w:t>
      </w:r>
      <w:r>
        <w:rPr>
          <w:rFonts w:hint="eastAsia" w:ascii="仿宋_GB2312" w:hAnsi="仿宋_GB2312" w:eastAsia="仿宋_GB2312" w:cs="仿宋_GB2312"/>
          <w:sz w:val="28"/>
          <w:szCs w:val="28"/>
          <w:highlight w:val="none"/>
        </w:rPr>
        <w:t>平均</w:t>
      </w:r>
      <w:r>
        <w:rPr>
          <w:rFonts w:hint="eastAsia" w:ascii="仿宋_GB2312" w:hAnsi="仿宋_GB2312" w:eastAsia="仿宋_GB2312" w:cs="仿宋_GB2312"/>
          <w:sz w:val="28"/>
          <w:highlight w:val="none"/>
        </w:rPr>
        <w:t>安置农业人口数确定表</w:t>
      </w:r>
    </w:p>
    <w:tbl>
      <w:tblPr>
        <w:tblStyle w:val="12"/>
        <w:tblW w:w="8637" w:type="dxa"/>
        <w:tblInd w:w="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29"/>
        <w:gridCol w:w="2467"/>
        <w:gridCol w:w="1289"/>
        <w:gridCol w:w="1266"/>
        <w:gridCol w:w="1586"/>
      </w:tblGrid>
      <w:tr w14:paraId="72D07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 w:hRule="atLeast"/>
        </w:trPr>
        <w:tc>
          <w:tcPr>
            <w:tcW w:w="2029" w:type="dxa"/>
            <w:noWrap w:val="0"/>
            <w:vAlign w:val="center"/>
          </w:tcPr>
          <w:p w14:paraId="4679DA02">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项目名称</w:t>
            </w:r>
          </w:p>
        </w:tc>
        <w:tc>
          <w:tcPr>
            <w:tcW w:w="2467" w:type="dxa"/>
            <w:noWrap w:val="0"/>
            <w:vAlign w:val="center"/>
          </w:tcPr>
          <w:p w14:paraId="63F6E5F9">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位置</w:t>
            </w:r>
          </w:p>
        </w:tc>
        <w:tc>
          <w:tcPr>
            <w:tcW w:w="1289" w:type="dxa"/>
            <w:noWrap w:val="0"/>
            <w:vAlign w:val="center"/>
          </w:tcPr>
          <w:p w14:paraId="436A47F6">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用地面积</w:t>
            </w:r>
          </w:p>
          <w:p w14:paraId="166198FF">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（h㎡）</w:t>
            </w:r>
          </w:p>
        </w:tc>
        <w:tc>
          <w:tcPr>
            <w:tcW w:w="1266" w:type="dxa"/>
            <w:noWrap w:val="0"/>
            <w:vAlign w:val="center"/>
          </w:tcPr>
          <w:p w14:paraId="58F71645">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安置农业人口（人）</w:t>
            </w:r>
          </w:p>
        </w:tc>
        <w:tc>
          <w:tcPr>
            <w:tcW w:w="1586" w:type="dxa"/>
            <w:noWrap w:val="0"/>
            <w:vAlign w:val="center"/>
          </w:tcPr>
          <w:p w14:paraId="53BF67CB">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安置人口数折合人/公顷</w:t>
            </w:r>
          </w:p>
        </w:tc>
      </w:tr>
      <w:tr w14:paraId="1CFF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2029" w:type="dxa"/>
            <w:noWrap w:val="0"/>
            <w:vAlign w:val="center"/>
          </w:tcPr>
          <w:p w14:paraId="73118DF1">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道县2023年第五批次建设用地</w:t>
            </w:r>
          </w:p>
        </w:tc>
        <w:tc>
          <w:tcPr>
            <w:tcW w:w="2467" w:type="dxa"/>
            <w:noWrap w:val="0"/>
            <w:vAlign w:val="center"/>
          </w:tcPr>
          <w:p w14:paraId="06EE8E4C">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道县东门街道乌家山社区、富塘街道五里牌社区、溪街道东阳社区</w:t>
            </w:r>
          </w:p>
        </w:tc>
        <w:tc>
          <w:tcPr>
            <w:tcW w:w="1289" w:type="dxa"/>
            <w:noWrap w:val="0"/>
            <w:vAlign w:val="center"/>
          </w:tcPr>
          <w:p w14:paraId="23FD5E31">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1.3883</w:t>
            </w:r>
          </w:p>
        </w:tc>
        <w:tc>
          <w:tcPr>
            <w:tcW w:w="1266" w:type="dxa"/>
            <w:noWrap w:val="0"/>
            <w:vAlign w:val="center"/>
          </w:tcPr>
          <w:p w14:paraId="24E5BE1A">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9</w:t>
            </w:r>
          </w:p>
        </w:tc>
        <w:tc>
          <w:tcPr>
            <w:tcW w:w="1586" w:type="dxa"/>
            <w:noWrap w:val="0"/>
            <w:vAlign w:val="center"/>
          </w:tcPr>
          <w:p w14:paraId="49945E78">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6.48</w:t>
            </w:r>
          </w:p>
        </w:tc>
      </w:tr>
      <w:tr w14:paraId="6E450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 w:hRule="atLeast"/>
        </w:trPr>
        <w:tc>
          <w:tcPr>
            <w:tcW w:w="2029" w:type="dxa"/>
            <w:noWrap w:val="0"/>
            <w:vAlign w:val="center"/>
          </w:tcPr>
          <w:p w14:paraId="2BC107A9">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道县2023年第四批次建设用地</w:t>
            </w:r>
          </w:p>
        </w:tc>
        <w:tc>
          <w:tcPr>
            <w:tcW w:w="2467" w:type="dxa"/>
            <w:noWrap w:val="0"/>
            <w:vAlign w:val="center"/>
          </w:tcPr>
          <w:p w14:paraId="42562DA3">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道县东门街道东门社区、乌家山社区、北门社区</w:t>
            </w:r>
          </w:p>
        </w:tc>
        <w:tc>
          <w:tcPr>
            <w:tcW w:w="1289" w:type="dxa"/>
            <w:noWrap w:val="0"/>
            <w:vAlign w:val="center"/>
          </w:tcPr>
          <w:p w14:paraId="73B43061">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0.9904</w:t>
            </w:r>
          </w:p>
        </w:tc>
        <w:tc>
          <w:tcPr>
            <w:tcW w:w="1266" w:type="dxa"/>
            <w:noWrap w:val="0"/>
            <w:vAlign w:val="center"/>
          </w:tcPr>
          <w:p w14:paraId="68FD0515">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16</w:t>
            </w:r>
          </w:p>
        </w:tc>
        <w:tc>
          <w:tcPr>
            <w:tcW w:w="1586" w:type="dxa"/>
            <w:noWrap w:val="0"/>
            <w:vAlign w:val="center"/>
          </w:tcPr>
          <w:p w14:paraId="1B22CA1F">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16.16</w:t>
            </w:r>
          </w:p>
        </w:tc>
      </w:tr>
      <w:tr w14:paraId="41E7F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29" w:type="dxa"/>
            <w:noWrap w:val="0"/>
            <w:vAlign w:val="center"/>
          </w:tcPr>
          <w:p w14:paraId="19BBDF84">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道县2023年第三批次建设用地</w:t>
            </w:r>
          </w:p>
        </w:tc>
        <w:tc>
          <w:tcPr>
            <w:tcW w:w="2467" w:type="dxa"/>
            <w:noWrap w:val="0"/>
            <w:vAlign w:val="center"/>
          </w:tcPr>
          <w:p w14:paraId="04C03930">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道县万家庄街道下洞社区</w:t>
            </w:r>
          </w:p>
        </w:tc>
        <w:tc>
          <w:tcPr>
            <w:tcW w:w="1289" w:type="dxa"/>
            <w:noWrap w:val="0"/>
            <w:vAlign w:val="center"/>
          </w:tcPr>
          <w:p w14:paraId="18138F91">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4.83283</w:t>
            </w:r>
          </w:p>
        </w:tc>
        <w:tc>
          <w:tcPr>
            <w:tcW w:w="1266" w:type="dxa"/>
            <w:noWrap w:val="0"/>
            <w:vAlign w:val="center"/>
          </w:tcPr>
          <w:p w14:paraId="0967F218">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40</w:t>
            </w:r>
          </w:p>
        </w:tc>
        <w:tc>
          <w:tcPr>
            <w:tcW w:w="1586" w:type="dxa"/>
            <w:noWrap w:val="0"/>
            <w:vAlign w:val="center"/>
          </w:tcPr>
          <w:p w14:paraId="24A657EF">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15.82</w:t>
            </w:r>
          </w:p>
        </w:tc>
      </w:tr>
      <w:tr w14:paraId="72D89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29" w:type="dxa"/>
            <w:noWrap w:val="0"/>
            <w:vAlign w:val="center"/>
          </w:tcPr>
          <w:p w14:paraId="0709C5F9">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平均值</w:t>
            </w:r>
          </w:p>
        </w:tc>
        <w:tc>
          <w:tcPr>
            <w:tcW w:w="2467" w:type="dxa"/>
            <w:noWrap w:val="0"/>
            <w:vAlign w:val="center"/>
          </w:tcPr>
          <w:p w14:paraId="0BB9B09D">
            <w:pPr>
              <w:jc w:val="center"/>
              <w:rPr>
                <w:rFonts w:hint="eastAsia" w:ascii="仿宋_GB2312" w:hAnsi="仿宋_GB2312" w:eastAsia="仿宋_GB2312" w:cs="仿宋_GB2312"/>
                <w:color w:val="auto"/>
                <w:kern w:val="0"/>
                <w:sz w:val="21"/>
                <w:szCs w:val="21"/>
                <w:highlight w:val="none"/>
                <w:lang w:val="en-US" w:eastAsia="zh-CN"/>
              </w:rPr>
            </w:pPr>
            <w:r>
              <w:rPr>
                <w:rFonts w:hint="eastAsia" w:ascii="仿宋_GB2312" w:hAnsi="仿宋_GB2312" w:eastAsia="仿宋_GB2312" w:cs="仿宋_GB2312"/>
                <w:color w:val="auto"/>
                <w:kern w:val="0"/>
                <w:sz w:val="21"/>
                <w:szCs w:val="21"/>
                <w:highlight w:val="none"/>
                <w:lang w:val="en-US" w:eastAsia="zh-CN"/>
              </w:rPr>
              <w:t>/</w:t>
            </w:r>
          </w:p>
        </w:tc>
        <w:tc>
          <w:tcPr>
            <w:tcW w:w="1289" w:type="dxa"/>
            <w:noWrap w:val="0"/>
            <w:vAlign w:val="center"/>
          </w:tcPr>
          <w:p w14:paraId="1176DCC2">
            <w:pPr>
              <w:jc w:val="center"/>
              <w:rPr>
                <w:rFonts w:hint="eastAsia" w:ascii="仿宋_GB2312" w:hAnsi="仿宋_GB2312" w:eastAsia="仿宋_GB2312" w:cs="仿宋_GB2312"/>
                <w:color w:val="auto"/>
                <w:kern w:val="0"/>
                <w:sz w:val="21"/>
                <w:szCs w:val="21"/>
                <w:highlight w:val="none"/>
                <w:lang w:val="en-US" w:eastAsia="zh-CN"/>
              </w:rPr>
            </w:pPr>
            <w:r>
              <w:rPr>
                <w:rFonts w:hint="eastAsia" w:ascii="仿宋_GB2312" w:hAnsi="仿宋_GB2312" w:eastAsia="仿宋_GB2312" w:cs="仿宋_GB2312"/>
                <w:color w:val="auto"/>
                <w:kern w:val="0"/>
                <w:sz w:val="21"/>
                <w:szCs w:val="21"/>
                <w:highlight w:val="none"/>
                <w:lang w:val="en-US" w:eastAsia="zh-CN"/>
              </w:rPr>
              <w:t>/</w:t>
            </w:r>
          </w:p>
        </w:tc>
        <w:tc>
          <w:tcPr>
            <w:tcW w:w="1266" w:type="dxa"/>
            <w:noWrap w:val="0"/>
            <w:vAlign w:val="center"/>
          </w:tcPr>
          <w:p w14:paraId="7C9520AE">
            <w:pPr>
              <w:jc w:val="center"/>
              <w:rPr>
                <w:rFonts w:hint="eastAsia" w:ascii="仿宋_GB2312" w:hAnsi="仿宋_GB2312" w:eastAsia="仿宋_GB2312" w:cs="仿宋_GB2312"/>
                <w:color w:val="auto"/>
                <w:kern w:val="0"/>
                <w:sz w:val="21"/>
                <w:szCs w:val="21"/>
                <w:highlight w:val="none"/>
                <w:lang w:val="en-US" w:eastAsia="zh-CN"/>
              </w:rPr>
            </w:pPr>
            <w:r>
              <w:rPr>
                <w:rFonts w:hint="eastAsia" w:ascii="仿宋_GB2312" w:hAnsi="仿宋_GB2312" w:eastAsia="仿宋_GB2312" w:cs="仿宋_GB2312"/>
                <w:color w:val="auto"/>
                <w:kern w:val="0"/>
                <w:sz w:val="21"/>
                <w:szCs w:val="21"/>
                <w:highlight w:val="none"/>
                <w:lang w:val="en-US" w:eastAsia="zh-CN"/>
              </w:rPr>
              <w:t>/</w:t>
            </w:r>
          </w:p>
        </w:tc>
        <w:tc>
          <w:tcPr>
            <w:tcW w:w="1586" w:type="dxa"/>
            <w:noWrap w:val="0"/>
            <w:vAlign w:val="center"/>
          </w:tcPr>
          <w:p w14:paraId="21C6920C">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lang w:val="en-US" w:eastAsia="zh-CN"/>
              </w:rPr>
            </w:pPr>
            <w:r>
              <w:rPr>
                <w:rFonts w:hint="eastAsia" w:ascii="仿宋_GB2312" w:hAnsi="仿宋_GB2312" w:eastAsia="仿宋_GB2312" w:cs="仿宋_GB2312"/>
                <w:i w:val="0"/>
                <w:iCs w:val="0"/>
                <w:color w:val="auto"/>
                <w:kern w:val="0"/>
                <w:sz w:val="21"/>
                <w:szCs w:val="21"/>
                <w:highlight w:val="none"/>
                <w:u w:val="none"/>
                <w:lang w:val="en-US" w:eastAsia="zh-CN" w:bidi="ar"/>
              </w:rPr>
              <w:t>12.82</w:t>
            </w:r>
          </w:p>
        </w:tc>
      </w:tr>
    </w:tbl>
    <w:p w14:paraId="1BD6F1AD">
      <w:pPr>
        <w:pStyle w:val="21"/>
        <w:spacing w:line="480" w:lineRule="exact"/>
        <w:ind w:firstLine="560"/>
        <w:rPr>
          <w:rFonts w:hint="eastAsia" w:ascii="仿宋_GB2312" w:hAnsi="仿宋_GB2312" w:eastAsia="仿宋_GB2312" w:cs="仿宋_GB2312"/>
          <w:sz w:val="28"/>
          <w:highlight w:val="none"/>
        </w:rPr>
      </w:pPr>
      <w:r>
        <w:rPr>
          <w:rFonts w:hint="eastAsia" w:ascii="仿宋_GB2312" w:hAnsi="仿宋_GB2312" w:eastAsia="仿宋_GB2312" w:cs="仿宋_GB2312"/>
          <w:sz w:val="28"/>
          <w:highlight w:val="none"/>
        </w:rPr>
        <w:t>则地上附着物补偿标准为地上建筑物费用+青苗费补偿</w:t>
      </w:r>
    </w:p>
    <w:p w14:paraId="220CD6BD">
      <w:pPr>
        <w:pStyle w:val="21"/>
        <w:spacing w:line="480" w:lineRule="exact"/>
        <w:ind w:firstLine="560"/>
        <w:rPr>
          <w:rFonts w:hint="eastAsia" w:ascii="仿宋_GB2312" w:hAnsi="仿宋_GB2312" w:eastAsia="仿宋_GB2312" w:cs="仿宋_GB2312"/>
          <w:sz w:val="28"/>
          <w:highlight w:val="none"/>
        </w:rPr>
      </w:pPr>
      <w:r>
        <w:rPr>
          <w:rFonts w:hint="eastAsia" w:ascii="仿宋_GB2312" w:hAnsi="仿宋_GB2312" w:eastAsia="仿宋_GB2312" w:cs="仿宋_GB2312"/>
          <w:sz w:val="28"/>
          <w:highlight w:val="none"/>
        </w:rPr>
        <w:t>=</w:t>
      </w:r>
      <w:r>
        <w:rPr>
          <w:rFonts w:hint="eastAsia" w:ascii="仿宋_GB2312" w:hAnsi="仿宋_GB2312" w:eastAsia="仿宋_GB2312" w:cs="仿宋_GB2312"/>
          <w:sz w:val="28"/>
          <w:highlight w:val="none"/>
          <w:lang w:val="en-US" w:eastAsia="zh-CN"/>
        </w:rPr>
        <w:t>105000</w:t>
      </w:r>
      <w:r>
        <w:rPr>
          <w:rFonts w:hint="eastAsia" w:ascii="仿宋_GB2312" w:hAnsi="仿宋_GB2312" w:eastAsia="仿宋_GB2312" w:cs="仿宋_GB2312"/>
          <w:sz w:val="28"/>
          <w:highlight w:val="none"/>
        </w:rPr>
        <w:t>×</w:t>
      </w:r>
      <w:r>
        <w:rPr>
          <w:rFonts w:hint="eastAsia" w:ascii="仿宋_GB2312" w:hAnsi="仿宋_GB2312" w:eastAsia="仿宋_GB2312" w:cs="仿宋_GB2312"/>
          <w:sz w:val="28"/>
          <w:highlight w:val="none"/>
          <w:lang w:val="en-US" w:eastAsia="zh-CN"/>
        </w:rPr>
        <w:t>1282</w:t>
      </w:r>
      <w:r>
        <w:rPr>
          <w:rFonts w:hint="eastAsia" w:ascii="仿宋_GB2312" w:hAnsi="仿宋_GB2312" w:eastAsia="仿宋_GB2312" w:cs="仿宋_GB2312"/>
          <w:sz w:val="28"/>
          <w:highlight w:val="none"/>
        </w:rPr>
        <w:t>÷10000+</w:t>
      </w:r>
      <w:r>
        <w:rPr>
          <w:rFonts w:hint="eastAsia" w:ascii="仿宋_GB2312" w:hAnsi="仿宋_GB2312" w:eastAsia="仿宋_GB2312" w:cs="仿宋_GB2312"/>
          <w:sz w:val="28"/>
          <w:highlight w:val="none"/>
          <w:lang w:val="en-US" w:eastAsia="zh-CN"/>
        </w:rPr>
        <w:t>4.2</w:t>
      </w:r>
      <w:r>
        <w:rPr>
          <w:rFonts w:hint="eastAsia" w:ascii="仿宋_GB2312" w:hAnsi="仿宋_GB2312" w:eastAsia="仿宋_GB2312" w:cs="仿宋_GB2312"/>
          <w:sz w:val="28"/>
          <w:highlight w:val="none"/>
        </w:rPr>
        <w:t>=</w:t>
      </w:r>
      <w:r>
        <w:rPr>
          <w:rFonts w:hint="eastAsia" w:ascii="仿宋_GB2312" w:hAnsi="仿宋_GB2312" w:eastAsia="仿宋_GB2312" w:cs="仿宋_GB2312"/>
          <w:sz w:val="28"/>
          <w:highlight w:val="none"/>
          <w:lang w:val="en-US" w:eastAsia="zh-CN"/>
        </w:rPr>
        <w:t>138.81</w:t>
      </w:r>
      <w:r>
        <w:rPr>
          <w:rFonts w:hint="eastAsia" w:ascii="仿宋_GB2312" w:hAnsi="仿宋_GB2312" w:eastAsia="仿宋_GB2312" w:cs="仿宋_GB2312"/>
          <w:sz w:val="28"/>
          <w:highlight w:val="none"/>
        </w:rPr>
        <w:t>元/㎡。</w:t>
      </w:r>
    </w:p>
    <w:p w14:paraId="093DCA87">
      <w:pPr>
        <w:snapToGrid w:val="0"/>
        <w:spacing w:line="480" w:lineRule="exact"/>
        <w:ind w:firstLine="560" w:firstLineChars="200"/>
        <w:rPr>
          <w:rFonts w:hint="eastAsia" w:ascii="仿宋_GB2312" w:hAnsi="仿宋_GB2312" w:eastAsia="仿宋_GB2312" w:cs="仿宋_GB2312"/>
          <w:color w:val="000000"/>
          <w:sz w:val="28"/>
          <w:highlight w:val="none"/>
        </w:rPr>
      </w:pPr>
      <w:r>
        <w:rPr>
          <w:rFonts w:hint="eastAsia" w:ascii="仿宋_GB2312" w:hAnsi="仿宋_GB2312" w:eastAsia="仿宋_GB2312" w:cs="仿宋_GB2312"/>
          <w:color w:val="000000"/>
          <w:sz w:val="28"/>
          <w:highlight w:val="none"/>
        </w:rPr>
        <w:t>故：土地取得费＝①＋②</w:t>
      </w:r>
      <w:r>
        <w:rPr>
          <w:rFonts w:hint="eastAsia" w:ascii="仿宋_GB2312" w:hAnsi="仿宋_GB2312" w:eastAsia="仿宋_GB2312" w:cs="仿宋_GB2312"/>
          <w:sz w:val="28"/>
          <w:highlight w:val="none"/>
        </w:rPr>
        <w:t>=</w:t>
      </w:r>
      <w:r>
        <w:rPr>
          <w:rFonts w:hint="eastAsia" w:ascii="仿宋_GB2312" w:hAnsi="仿宋_GB2312" w:eastAsia="仿宋_GB2312" w:cs="仿宋_GB2312"/>
          <w:sz w:val="28"/>
          <w:highlight w:val="none"/>
          <w:lang w:val="en-US" w:eastAsia="zh-CN"/>
        </w:rPr>
        <w:t>99.45</w:t>
      </w:r>
      <w:r>
        <w:rPr>
          <w:rFonts w:hint="eastAsia" w:ascii="仿宋_GB2312" w:hAnsi="仿宋_GB2312" w:eastAsia="仿宋_GB2312" w:cs="仿宋_GB2312"/>
          <w:sz w:val="28"/>
          <w:highlight w:val="none"/>
        </w:rPr>
        <w:t>+</w:t>
      </w:r>
      <w:r>
        <w:rPr>
          <w:rFonts w:hint="eastAsia" w:ascii="仿宋_GB2312" w:hAnsi="仿宋_GB2312" w:eastAsia="仿宋_GB2312" w:cs="仿宋_GB2312"/>
          <w:sz w:val="28"/>
          <w:highlight w:val="none"/>
          <w:lang w:val="en-US" w:eastAsia="zh-CN"/>
        </w:rPr>
        <w:t>138.81</w:t>
      </w:r>
      <w:r>
        <w:rPr>
          <w:rFonts w:hint="eastAsia" w:ascii="仿宋_GB2312" w:hAnsi="仿宋_GB2312" w:eastAsia="仿宋_GB2312" w:cs="仿宋_GB2312"/>
          <w:sz w:val="28"/>
          <w:highlight w:val="none"/>
        </w:rPr>
        <w:t>=</w:t>
      </w:r>
      <w:r>
        <w:rPr>
          <w:rFonts w:hint="eastAsia" w:ascii="仿宋_GB2312" w:hAnsi="仿宋_GB2312" w:eastAsia="仿宋_GB2312" w:cs="仿宋_GB2312"/>
          <w:color w:val="000000"/>
          <w:sz w:val="28"/>
          <w:highlight w:val="none"/>
          <w:lang w:val="en-US" w:eastAsia="zh-CN"/>
        </w:rPr>
        <w:t>238.26</w:t>
      </w:r>
      <w:r>
        <w:rPr>
          <w:rFonts w:hint="eastAsia" w:ascii="仿宋_GB2312" w:hAnsi="仿宋_GB2312" w:eastAsia="仿宋_GB2312" w:cs="仿宋_GB2312"/>
          <w:color w:val="000000"/>
          <w:sz w:val="28"/>
          <w:highlight w:val="none"/>
        </w:rPr>
        <w:t>元/平方米</w:t>
      </w:r>
      <w:r>
        <w:rPr>
          <w:rFonts w:hint="eastAsia" w:ascii="仿宋_GB2312" w:hAnsi="仿宋_GB2312" w:eastAsia="仿宋_GB2312" w:cs="仿宋_GB2312"/>
          <w:sz w:val="28"/>
          <w:szCs w:val="21"/>
          <w:highlight w:val="none"/>
        </w:rPr>
        <w:t>。</w:t>
      </w:r>
    </w:p>
    <w:p w14:paraId="5043DC28">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2、相关税费</w:t>
      </w:r>
      <w:r>
        <w:rPr>
          <w:rFonts w:hint="eastAsia" w:ascii="仿宋_GB2312" w:hAnsi="仿宋_GB2312" w:eastAsia="仿宋_GB2312" w:cs="仿宋_GB2312"/>
          <w:color w:val="000000" w:themeColor="text1"/>
          <w:sz w:val="28"/>
          <w:szCs w:val="21"/>
          <w:highlight w:val="none"/>
          <w14:textFill>
            <w14:solidFill>
              <w14:schemeClr w14:val="tx1"/>
            </w14:solidFill>
          </w14:textFill>
        </w:rPr>
        <w:t>（T）</w:t>
      </w:r>
    </w:p>
    <w:p w14:paraId="1E7347DF">
      <w:pPr>
        <w:keepNext w:val="0"/>
        <w:keepLines w:val="0"/>
        <w:pageBreakBefore w:val="0"/>
        <w:widowControl w:val="0"/>
        <w:kinsoku/>
        <w:wordWrap/>
        <w:overflowPunct/>
        <w:topLinePunct w:val="0"/>
        <w:autoSpaceDE/>
        <w:autoSpaceDN/>
        <w:bidi w:val="0"/>
        <w:snapToGrid w:val="0"/>
        <w:spacing w:line="480" w:lineRule="exact"/>
        <w:ind w:firstLine="555"/>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①水利建设基金</w:t>
      </w:r>
    </w:p>
    <w:p w14:paraId="2FC4BE0C">
      <w:pPr>
        <w:keepNext w:val="0"/>
        <w:keepLines w:val="0"/>
        <w:pageBreakBefore w:val="0"/>
        <w:widowControl w:val="0"/>
        <w:kinsoku/>
        <w:wordWrap/>
        <w:overflowPunct/>
        <w:topLinePunct w:val="0"/>
        <w:autoSpaceDE/>
        <w:autoSpaceDN/>
        <w:bidi w:val="0"/>
        <w:snapToGrid w:val="0"/>
        <w:spacing w:line="480" w:lineRule="exact"/>
        <w:ind w:firstLine="555"/>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使用新增建设用地的单位和个人应缴纳的水利建设基金，由省国土资源厅在办理用地审批手续、征收新增建设用地有偿使用费时，按应缴新增建设用地有偿使用费的10%征收水利建设基金。根据湖南省财政厅 湖南省自然资源厅 中国人民银行长沙中心支行《关于调整新增建设用地土地有偿使用费征收管理有关政策的通知》（湘财综[2018]42号），道县新增建设用地土地有偿使用费征收等别为13等，征收标准为16元/平方米，故取水利建设基金为1.6元/平方米</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434B6ACF">
      <w:pPr>
        <w:snapToGrid w:val="0"/>
        <w:spacing w:line="440" w:lineRule="exact"/>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②耕地占用税</w:t>
      </w:r>
    </w:p>
    <w:p w14:paraId="036EA628">
      <w:pPr>
        <w:snapToGrid w:val="0"/>
        <w:spacing w:line="440" w:lineRule="exact"/>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评估宗地考虑征用的土地为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highlight w:val="none"/>
          <w14:textFill>
            <w14:solidFill>
              <w14:schemeClr w14:val="tx1"/>
            </w14:solidFill>
          </w14:textFill>
        </w:rPr>
        <w:t>，根据《湖南省人民代表大会常务委员会关于湖南省耕地占用税适用税额的决定》(已经湖南省第十三届人民代表大会常务委员会第十二次会议通过，2019年7月31日)，湖南省道县耕地占用税税额标准为25元/平方米</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highlight w:val="none"/>
          <w14:textFill>
            <w14:solidFill>
              <w14:schemeClr w14:val="tx1"/>
            </w14:solidFill>
          </w14:textFill>
        </w:rPr>
        <w:t>故此次评估</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耕地</w:t>
      </w:r>
      <w:r>
        <w:rPr>
          <w:rFonts w:hint="eastAsia" w:ascii="仿宋_GB2312" w:hAnsi="仿宋_GB2312" w:eastAsia="仿宋_GB2312" w:cs="仿宋_GB2312"/>
          <w:color w:val="000000" w:themeColor="text1"/>
          <w:sz w:val="28"/>
          <w:highlight w:val="none"/>
          <w14:textFill>
            <w14:solidFill>
              <w14:schemeClr w14:val="tx1"/>
            </w14:solidFill>
          </w14:textFill>
        </w:rPr>
        <w:t>占用税：</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25</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085F8868">
      <w:pPr>
        <w:snapToGrid w:val="0"/>
        <w:spacing w:line="440" w:lineRule="exact"/>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fldChar w:fldCharType="begin"/>
      </w:r>
      <w:r>
        <w:rPr>
          <w:rFonts w:hint="eastAsia" w:ascii="仿宋_GB2312" w:hAnsi="仿宋_GB2312" w:eastAsia="仿宋_GB2312" w:cs="仿宋_GB2312"/>
          <w:color w:val="000000" w:themeColor="text1"/>
          <w:sz w:val="28"/>
          <w:highlight w:val="none"/>
          <w14:textFill>
            <w14:solidFill>
              <w14:schemeClr w14:val="tx1"/>
            </w14:solidFill>
          </w14:textFill>
        </w:rPr>
        <w:instrText xml:space="preserve"> = 3 \* GB3 </w:instrText>
      </w:r>
      <w:r>
        <w:rPr>
          <w:rFonts w:hint="eastAsia" w:ascii="仿宋_GB2312" w:hAnsi="仿宋_GB2312" w:eastAsia="仿宋_GB2312" w:cs="仿宋_GB2312"/>
          <w:color w:val="000000" w:themeColor="text1"/>
          <w:sz w:val="28"/>
          <w:highlight w:val="none"/>
          <w14:textFill>
            <w14:solidFill>
              <w14:schemeClr w14:val="tx1"/>
            </w14:solidFill>
          </w14:textFill>
        </w:rPr>
        <w:fldChar w:fldCharType="separate"/>
      </w:r>
      <w:r>
        <w:rPr>
          <w:rFonts w:hint="eastAsia" w:ascii="仿宋_GB2312" w:hAnsi="仿宋_GB2312" w:eastAsia="仿宋_GB2312" w:cs="仿宋_GB2312"/>
          <w:color w:val="000000" w:themeColor="text1"/>
          <w:sz w:val="28"/>
          <w:highlight w:val="none"/>
          <w14:textFill>
            <w14:solidFill>
              <w14:schemeClr w14:val="tx1"/>
            </w14:solidFill>
          </w14:textFill>
        </w:rPr>
        <w:t>③</w:t>
      </w:r>
      <w:r>
        <w:rPr>
          <w:rFonts w:hint="eastAsia" w:ascii="仿宋_GB2312" w:hAnsi="仿宋_GB2312" w:eastAsia="仿宋_GB2312" w:cs="仿宋_GB2312"/>
          <w:color w:val="000000" w:themeColor="text1"/>
          <w:sz w:val="28"/>
          <w:highlight w:val="none"/>
          <w14:textFill>
            <w14:solidFill>
              <w14:schemeClr w14:val="tx1"/>
            </w14:solidFill>
          </w14:textFill>
        </w:rPr>
        <w:fldChar w:fldCharType="end"/>
      </w:r>
      <w:r>
        <w:rPr>
          <w:rFonts w:hint="eastAsia" w:ascii="仿宋_GB2312" w:hAnsi="仿宋_GB2312" w:eastAsia="仿宋_GB2312" w:cs="仿宋_GB2312"/>
          <w:color w:val="000000" w:themeColor="text1"/>
          <w:sz w:val="28"/>
          <w:highlight w:val="none"/>
          <w14:textFill>
            <w14:solidFill>
              <w14:schemeClr w14:val="tx1"/>
            </w14:solidFill>
          </w14:textFill>
        </w:rPr>
        <w:t>耕地开垦费</w:t>
      </w:r>
    </w:p>
    <w:p w14:paraId="48361F09">
      <w:pPr>
        <w:snapToGrid w:val="0"/>
        <w:spacing w:line="440" w:lineRule="exact"/>
        <w:ind w:firstLine="555"/>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color w:val="000000" w:themeColor="text1"/>
          <w:sz w:val="28"/>
          <w:highlight w:val="none"/>
          <w14:textFill>
            <w14:solidFill>
              <w14:schemeClr w14:val="tx1"/>
            </w14:solidFill>
          </w14:textFill>
        </w:rPr>
        <w:t>湖南省财政厅</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8"/>
          <w:highlight w:val="none"/>
          <w14:textFill>
            <w14:solidFill>
              <w14:schemeClr w14:val="tx1"/>
            </w14:solidFill>
          </w14:textFill>
        </w:rPr>
        <w:t>湖南省发展和改革委员会</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8"/>
          <w:highlight w:val="none"/>
          <w14:textFill>
            <w14:solidFill>
              <w14:schemeClr w14:val="tx1"/>
            </w14:solidFill>
          </w14:textFill>
        </w:rPr>
        <w:t>湖南省自然资源厅关于印发</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&lt;</w:t>
      </w:r>
      <w:r>
        <w:rPr>
          <w:rFonts w:hint="eastAsia" w:ascii="仿宋_GB2312" w:hAnsi="仿宋_GB2312" w:eastAsia="仿宋_GB2312" w:cs="仿宋_GB2312"/>
          <w:color w:val="000000" w:themeColor="text1"/>
          <w:sz w:val="28"/>
          <w:highlight w:val="none"/>
          <w14:textFill>
            <w14:solidFill>
              <w14:schemeClr w14:val="tx1"/>
            </w14:solidFill>
          </w14:textFill>
        </w:rPr>
        <w:t>湖南省耕地开垦费征收使用管理办法</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&gt;</w:t>
      </w:r>
      <w:r>
        <w:rPr>
          <w:rFonts w:hint="eastAsia" w:ascii="仿宋_GB2312" w:hAnsi="仿宋_GB2312" w:eastAsia="仿宋_GB2312" w:cs="仿宋_GB2312"/>
          <w:color w:val="000000" w:themeColor="text1"/>
          <w:sz w:val="28"/>
          <w:highlight w:val="none"/>
          <w14:textFill>
            <w14:solidFill>
              <w14:schemeClr w14:val="tx1"/>
            </w14:solidFill>
          </w14:textFill>
        </w:rPr>
        <w:t>的通知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highlight w:val="none"/>
          <w14:textFill>
            <w14:solidFill>
              <w14:schemeClr w14:val="tx1"/>
            </w14:solidFill>
          </w14:textFill>
        </w:rPr>
        <w:t>（湘财税〔2025〕17号），</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估价对象属于中等水田，</w:t>
      </w:r>
      <w:r>
        <w:rPr>
          <w:rFonts w:hint="eastAsia" w:ascii="仿宋_GB2312" w:hAnsi="仿宋_GB2312" w:eastAsia="仿宋_GB2312" w:cs="仿宋_GB2312"/>
          <w:color w:val="000000" w:themeColor="text1"/>
          <w:sz w:val="28"/>
          <w:highlight w:val="none"/>
          <w14:textFill>
            <w14:solidFill>
              <w14:schemeClr w14:val="tx1"/>
            </w14:solidFill>
          </w14:textFill>
        </w:rPr>
        <w:t>耕地开垦费征收标准为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6.6万元/亩，则：</w:t>
      </w:r>
    </w:p>
    <w:p w14:paraId="690CE848">
      <w:pPr>
        <w:snapToGrid w:val="0"/>
        <w:spacing w:line="440" w:lineRule="exact"/>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耕地开垦费=6.6×10000×0.0015=99元/平方米</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305FCABF">
      <w:pPr>
        <w:snapToGrid w:val="0"/>
        <w:spacing w:line="440" w:lineRule="exact"/>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④社会保障资金</w:t>
      </w:r>
    </w:p>
    <w:p w14:paraId="0BA37880">
      <w:pPr>
        <w:snapToGrid w:val="0"/>
        <w:spacing w:line="440" w:lineRule="exact"/>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根据湖南省人力资源社会保障厅《关于进一步做好被征地农民社会保障工作的通知》（湘人社规〔2023〕1号，2023年4月28日），确定被征地农民社会保障费为30元/平方米。</w:t>
      </w:r>
    </w:p>
    <w:p w14:paraId="1DC17F85">
      <w:pPr>
        <w:snapToGrid w:val="0"/>
        <w:spacing w:line="440" w:lineRule="exact"/>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则：各项税费合计为=1.6+2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99</w:t>
      </w:r>
      <w:r>
        <w:rPr>
          <w:rFonts w:hint="eastAsia" w:ascii="仿宋_GB2312" w:hAnsi="仿宋_GB2312" w:eastAsia="仿宋_GB2312" w:cs="仿宋_GB2312"/>
          <w:color w:val="000000" w:themeColor="text1"/>
          <w:sz w:val="28"/>
          <w:highlight w:val="none"/>
          <w14:textFill>
            <w14:solidFill>
              <w14:schemeClr w14:val="tx1"/>
            </w14:solidFill>
          </w14:textFill>
        </w:rPr>
        <w:t>+30=</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155.6</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6B5EE326">
      <w:pPr>
        <w:snapToGrid w:val="0"/>
        <w:spacing w:line="440" w:lineRule="exact"/>
        <w:ind w:firstLine="560"/>
        <w:jc w:val="center"/>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表3-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3</w:t>
      </w:r>
      <w:r>
        <w:rPr>
          <w:rFonts w:hint="eastAsia" w:ascii="仿宋_GB2312" w:hAnsi="仿宋_GB2312" w:eastAsia="仿宋_GB2312" w:cs="仿宋_GB2312"/>
          <w:color w:val="000000" w:themeColor="text1"/>
          <w:sz w:val="28"/>
          <w:highlight w:val="none"/>
          <w14:textFill>
            <w14:solidFill>
              <w14:schemeClr w14:val="tx1"/>
            </w14:solidFill>
          </w14:textFill>
        </w:rPr>
        <w:t xml:space="preserve"> 估价对象土地取得费及相关税费一览表</w:t>
      </w:r>
    </w:p>
    <w:tbl>
      <w:tblPr>
        <w:tblStyle w:val="12"/>
        <w:tblW w:w="5000" w:type="pct"/>
        <w:jc w:val="center"/>
        <w:tblLayout w:type="autofit"/>
        <w:tblCellMar>
          <w:top w:w="0" w:type="dxa"/>
          <w:left w:w="0" w:type="dxa"/>
          <w:bottom w:w="0" w:type="dxa"/>
          <w:right w:w="0" w:type="dxa"/>
        </w:tblCellMar>
      </w:tblPr>
      <w:tblGrid>
        <w:gridCol w:w="1571"/>
        <w:gridCol w:w="1559"/>
        <w:gridCol w:w="1277"/>
        <w:gridCol w:w="1443"/>
        <w:gridCol w:w="1555"/>
        <w:gridCol w:w="1117"/>
      </w:tblGrid>
      <w:tr w14:paraId="166BDAB5">
        <w:tblPrEx>
          <w:tblCellMar>
            <w:top w:w="0" w:type="dxa"/>
            <w:left w:w="0" w:type="dxa"/>
            <w:bottom w:w="0" w:type="dxa"/>
            <w:right w:w="0" w:type="dxa"/>
          </w:tblCellMar>
        </w:tblPrEx>
        <w:trPr>
          <w:trHeight w:val="850" w:hRule="atLeast"/>
          <w:jc w:val="center"/>
        </w:trPr>
        <w:tc>
          <w:tcPr>
            <w:tcW w:w="921"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B7E767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土地取得费（元/平方米）</w:t>
            </w:r>
          </w:p>
        </w:tc>
        <w:tc>
          <w:tcPr>
            <w:tcW w:w="914"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EFCCEDC">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水利建设基金（元/平方米）</w:t>
            </w:r>
          </w:p>
        </w:tc>
        <w:tc>
          <w:tcPr>
            <w:tcW w:w="749"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8A1AA06">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耕地占用税（元/平方米）</w:t>
            </w:r>
          </w:p>
        </w:tc>
        <w:tc>
          <w:tcPr>
            <w:tcW w:w="846"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CD20130">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耕地开垦费（元/平方米）</w:t>
            </w:r>
          </w:p>
        </w:tc>
        <w:tc>
          <w:tcPr>
            <w:tcW w:w="91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49D1459">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社会保障费（元/平方米）</w:t>
            </w:r>
          </w:p>
        </w:tc>
        <w:tc>
          <w:tcPr>
            <w:tcW w:w="655"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055255E">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合计（元/平方米）</w:t>
            </w:r>
          </w:p>
        </w:tc>
      </w:tr>
      <w:tr w14:paraId="177AC768">
        <w:tblPrEx>
          <w:tblCellMar>
            <w:top w:w="0" w:type="dxa"/>
            <w:left w:w="0" w:type="dxa"/>
            <w:bottom w:w="0" w:type="dxa"/>
            <w:right w:w="0" w:type="dxa"/>
          </w:tblCellMar>
        </w:tblPrEx>
        <w:trPr>
          <w:trHeight w:val="234" w:hRule="atLeast"/>
          <w:jc w:val="center"/>
        </w:trPr>
        <w:tc>
          <w:tcPr>
            <w:tcW w:w="921"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4F7AE77">
            <w:pPr>
              <w:snapToGrid w:val="0"/>
              <w:spacing w:line="240" w:lineRule="atLeast"/>
              <w:jc w:val="center"/>
              <w:rPr>
                <w:rFonts w:hint="default"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238.26</w:t>
            </w:r>
          </w:p>
        </w:tc>
        <w:tc>
          <w:tcPr>
            <w:tcW w:w="914"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A6C9868">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1.6</w:t>
            </w:r>
          </w:p>
        </w:tc>
        <w:tc>
          <w:tcPr>
            <w:tcW w:w="749"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9758C45">
            <w:pPr>
              <w:snapToGrid w:val="0"/>
              <w:spacing w:line="240" w:lineRule="atLeast"/>
              <w:jc w:val="center"/>
              <w:rPr>
                <w:rFonts w:hint="default"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25</w:t>
            </w:r>
          </w:p>
        </w:tc>
        <w:tc>
          <w:tcPr>
            <w:tcW w:w="846"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5A28596">
            <w:pPr>
              <w:snapToGrid w:val="0"/>
              <w:spacing w:line="240" w:lineRule="atLeast"/>
              <w:jc w:val="center"/>
              <w:rPr>
                <w:rFonts w:hint="default"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99</w:t>
            </w:r>
          </w:p>
        </w:tc>
        <w:tc>
          <w:tcPr>
            <w:tcW w:w="91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2B4E3A3">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30</w:t>
            </w:r>
          </w:p>
        </w:tc>
        <w:tc>
          <w:tcPr>
            <w:tcW w:w="655"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FDA3B87">
            <w:pPr>
              <w:snapToGrid w:val="0"/>
              <w:spacing w:line="240" w:lineRule="atLeast"/>
              <w:jc w:val="center"/>
              <w:rPr>
                <w:rFonts w:hint="default"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393.86</w:t>
            </w:r>
          </w:p>
        </w:tc>
      </w:tr>
    </w:tbl>
    <w:p w14:paraId="50C9B041">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3、土地开发费</w:t>
      </w:r>
    </w:p>
    <w:p w14:paraId="2A1CE51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本次评估设定的土地开发程度为宗地红线外</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“五通”（即通路、通电、通讯、供水、排水）</w:t>
      </w:r>
      <w:r>
        <w:rPr>
          <w:rFonts w:hint="eastAsia" w:ascii="仿宋_GB2312" w:hAnsi="仿宋_GB2312" w:eastAsia="仿宋_GB2312" w:cs="仿宋_GB2312"/>
          <w:color w:val="000000" w:themeColor="text1"/>
          <w:sz w:val="28"/>
          <w:highlight w:val="none"/>
          <w14:textFill>
            <w14:solidFill>
              <w14:schemeClr w14:val="tx1"/>
            </w14:solidFill>
          </w14:textFill>
        </w:rPr>
        <w:t>及红线</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内场地平整</w:t>
      </w:r>
      <w:r>
        <w:rPr>
          <w:rFonts w:hint="eastAsia" w:ascii="仿宋_GB2312" w:hAnsi="仿宋_GB2312" w:eastAsia="仿宋_GB2312" w:cs="仿宋_GB2312"/>
          <w:color w:val="000000" w:themeColor="text1"/>
          <w:sz w:val="28"/>
          <w:highlight w:val="none"/>
          <w14:textFill>
            <w14:solidFill>
              <w14:schemeClr w14:val="tx1"/>
            </w14:solidFill>
          </w14:textFill>
        </w:rPr>
        <w:t>，根据估价人员市场调查的资料，确定区域开发费用“</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 w:val="28"/>
          <w:highlight w:val="none"/>
          <w14:textFill>
            <w14:solidFill>
              <w14:schemeClr w14:val="tx1"/>
            </w14:solidFill>
          </w14:textFill>
        </w:rPr>
        <w:t>及场地平整”约为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82</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0E719C38">
      <w:pPr>
        <w:keepNext w:val="0"/>
        <w:keepLines w:val="0"/>
        <w:pageBreakBefore w:val="0"/>
        <w:widowControl w:val="0"/>
        <w:kinsoku/>
        <w:wordWrap/>
        <w:overflowPunct/>
        <w:topLinePunct w:val="0"/>
        <w:autoSpaceDE w:val="0"/>
        <w:autoSpaceDN w:val="0"/>
        <w:bidi w:val="0"/>
        <w:adjustRightInd w:val="0"/>
        <w:snapToGrid w:val="0"/>
        <w:spacing w:before="120" w:beforeLines="50" w:after="120" w:afterLines="50" w:line="480" w:lineRule="exact"/>
        <w:jc w:val="center"/>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表3-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4道县</w:t>
      </w:r>
      <w:r>
        <w:rPr>
          <w:rFonts w:hint="eastAsia" w:ascii="仿宋_GB2312" w:hAnsi="仿宋_GB2312" w:eastAsia="仿宋_GB2312" w:cs="仿宋_GB2312"/>
          <w:color w:val="000000" w:themeColor="text1"/>
          <w:sz w:val="28"/>
          <w:highlight w:val="none"/>
          <w14:textFill>
            <w14:solidFill>
              <w14:schemeClr w14:val="tx1"/>
            </w14:solidFill>
          </w14:textFill>
        </w:rPr>
        <w:t>城区土地开发费用分项一览表</w:t>
      </w:r>
    </w:p>
    <w:tbl>
      <w:tblPr>
        <w:tblStyle w:val="12"/>
        <w:tblW w:w="498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9"/>
        <w:gridCol w:w="1120"/>
        <w:gridCol w:w="1042"/>
        <w:gridCol w:w="891"/>
        <w:gridCol w:w="831"/>
        <w:gridCol w:w="889"/>
        <w:gridCol w:w="1248"/>
        <w:gridCol w:w="765"/>
      </w:tblGrid>
      <w:tr w14:paraId="3E5F5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 w:hRule="atLeast"/>
          <w:jc w:val="center"/>
        </w:trPr>
        <w:tc>
          <w:tcPr>
            <w:tcW w:w="1005" w:type="pct"/>
            <w:noWrap w:val="0"/>
            <w:vAlign w:val="center"/>
          </w:tcPr>
          <w:p w14:paraId="68134BC4">
            <w:pPr>
              <w:snapToGrid w:val="0"/>
              <w:spacing w:line="240" w:lineRule="atLeast"/>
              <w:jc w:val="cente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土地开发项目</w:t>
            </w:r>
          </w:p>
        </w:tc>
        <w:tc>
          <w:tcPr>
            <w:tcW w:w="659" w:type="pct"/>
            <w:noWrap w:val="0"/>
            <w:vAlign w:val="center"/>
          </w:tcPr>
          <w:p w14:paraId="31346051">
            <w:pPr>
              <w:snapToGrid w:val="0"/>
              <w:spacing w:line="240" w:lineRule="atLeast"/>
              <w:jc w:val="cente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通路</w:t>
            </w:r>
          </w:p>
        </w:tc>
        <w:tc>
          <w:tcPr>
            <w:tcW w:w="613" w:type="pct"/>
            <w:noWrap w:val="0"/>
            <w:vAlign w:val="center"/>
          </w:tcPr>
          <w:p w14:paraId="68F6FB98">
            <w:pPr>
              <w:snapToGrid w:val="0"/>
              <w:spacing w:line="240" w:lineRule="atLeast"/>
              <w:jc w:val="cente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供水</w:t>
            </w:r>
          </w:p>
        </w:tc>
        <w:tc>
          <w:tcPr>
            <w:tcW w:w="524" w:type="pct"/>
            <w:noWrap w:val="0"/>
            <w:vAlign w:val="center"/>
          </w:tcPr>
          <w:p w14:paraId="4EFA9600">
            <w:pPr>
              <w:snapToGrid w:val="0"/>
              <w:spacing w:line="240" w:lineRule="atLeast"/>
              <w:jc w:val="cente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排水</w:t>
            </w:r>
          </w:p>
        </w:tc>
        <w:tc>
          <w:tcPr>
            <w:tcW w:w="489" w:type="pct"/>
            <w:noWrap w:val="0"/>
            <w:vAlign w:val="center"/>
          </w:tcPr>
          <w:p w14:paraId="161F8D2D">
            <w:pPr>
              <w:snapToGrid w:val="0"/>
              <w:spacing w:line="240" w:lineRule="atLeast"/>
              <w:jc w:val="cente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通电</w:t>
            </w:r>
          </w:p>
        </w:tc>
        <w:tc>
          <w:tcPr>
            <w:tcW w:w="523" w:type="pct"/>
            <w:noWrap w:val="0"/>
            <w:vAlign w:val="center"/>
          </w:tcPr>
          <w:p w14:paraId="0C6CDBAE">
            <w:pPr>
              <w:snapToGrid w:val="0"/>
              <w:spacing w:line="240" w:lineRule="atLeast"/>
              <w:jc w:val="cente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通讯</w:t>
            </w:r>
          </w:p>
        </w:tc>
        <w:tc>
          <w:tcPr>
            <w:tcW w:w="734" w:type="pct"/>
            <w:noWrap w:val="0"/>
            <w:vAlign w:val="center"/>
          </w:tcPr>
          <w:p w14:paraId="6F8B8199">
            <w:pPr>
              <w:snapToGrid w:val="0"/>
              <w:spacing w:line="240" w:lineRule="atLeast"/>
              <w:jc w:val="cente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场地平整</w:t>
            </w:r>
          </w:p>
        </w:tc>
        <w:tc>
          <w:tcPr>
            <w:tcW w:w="450" w:type="pct"/>
            <w:noWrap w:val="0"/>
            <w:vAlign w:val="center"/>
          </w:tcPr>
          <w:p w14:paraId="4ADDBAAE">
            <w:pPr>
              <w:snapToGrid w:val="0"/>
              <w:spacing w:line="240" w:lineRule="atLeast"/>
              <w:jc w:val="cente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合计</w:t>
            </w:r>
          </w:p>
        </w:tc>
      </w:tr>
      <w:tr w14:paraId="3860E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jc w:val="center"/>
        </w:trPr>
        <w:tc>
          <w:tcPr>
            <w:tcW w:w="1005" w:type="pct"/>
            <w:noWrap w:val="0"/>
            <w:vAlign w:val="center"/>
          </w:tcPr>
          <w:p w14:paraId="28DA4D32">
            <w:pPr>
              <w:snapToGrid w:val="0"/>
              <w:spacing w:line="240" w:lineRule="atLeast"/>
              <w:jc w:val="cente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费用（元/㎡）</w:t>
            </w:r>
          </w:p>
        </w:tc>
        <w:tc>
          <w:tcPr>
            <w:tcW w:w="659" w:type="pct"/>
            <w:noWrap w:val="0"/>
            <w:vAlign w:val="center"/>
          </w:tcPr>
          <w:p w14:paraId="6B904843">
            <w:pPr>
              <w:snapToGrid w:val="0"/>
              <w:spacing w:line="240" w:lineRule="atLeast"/>
              <w:jc w:val="center"/>
              <w:rPr>
                <w:rFonts w:hint="default"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14-16</w:t>
            </w:r>
          </w:p>
        </w:tc>
        <w:tc>
          <w:tcPr>
            <w:tcW w:w="613" w:type="pct"/>
            <w:noWrap w:val="0"/>
            <w:vAlign w:val="center"/>
          </w:tcPr>
          <w:p w14:paraId="37BD6B0B">
            <w:pPr>
              <w:snapToGrid w:val="0"/>
              <w:spacing w:line="240" w:lineRule="atLeast"/>
              <w:jc w:val="center"/>
              <w:rPr>
                <w:rFonts w:hint="default"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12-14</w:t>
            </w:r>
          </w:p>
        </w:tc>
        <w:tc>
          <w:tcPr>
            <w:tcW w:w="524" w:type="pct"/>
            <w:noWrap w:val="0"/>
            <w:vAlign w:val="center"/>
          </w:tcPr>
          <w:p w14:paraId="16F0EF9D">
            <w:pPr>
              <w:snapToGrid w:val="0"/>
              <w:spacing w:line="240" w:lineRule="atLeast"/>
              <w:jc w:val="center"/>
              <w:rPr>
                <w:rFonts w:hint="default"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14-16</w:t>
            </w:r>
          </w:p>
        </w:tc>
        <w:tc>
          <w:tcPr>
            <w:tcW w:w="489" w:type="pct"/>
            <w:noWrap w:val="0"/>
            <w:vAlign w:val="center"/>
          </w:tcPr>
          <w:p w14:paraId="553E14EC">
            <w:pPr>
              <w:snapToGrid w:val="0"/>
              <w:spacing w:line="240" w:lineRule="atLeast"/>
              <w:jc w:val="center"/>
              <w:rPr>
                <w:rFonts w:hint="default"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12-14</w:t>
            </w:r>
          </w:p>
        </w:tc>
        <w:tc>
          <w:tcPr>
            <w:tcW w:w="523" w:type="pct"/>
            <w:noWrap w:val="0"/>
            <w:vAlign w:val="center"/>
          </w:tcPr>
          <w:p w14:paraId="75E0FCA6">
            <w:pPr>
              <w:snapToGrid w:val="0"/>
              <w:spacing w:line="240" w:lineRule="atLeast"/>
              <w:jc w:val="center"/>
              <w:rPr>
                <w:rFonts w:hint="default"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5-7</w:t>
            </w:r>
          </w:p>
        </w:tc>
        <w:tc>
          <w:tcPr>
            <w:tcW w:w="734" w:type="pct"/>
            <w:noWrap w:val="0"/>
            <w:vAlign w:val="center"/>
          </w:tcPr>
          <w:p w14:paraId="10365306">
            <w:pPr>
              <w:snapToGrid w:val="0"/>
              <w:spacing w:line="240" w:lineRule="atLeast"/>
              <w:jc w:val="center"/>
              <w:rPr>
                <w:rFonts w:hint="default"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13-15</w:t>
            </w:r>
          </w:p>
        </w:tc>
        <w:tc>
          <w:tcPr>
            <w:tcW w:w="450" w:type="pct"/>
            <w:noWrap w:val="0"/>
            <w:vAlign w:val="center"/>
          </w:tcPr>
          <w:p w14:paraId="4B57F1F8">
            <w:pPr>
              <w:snapToGrid w:val="0"/>
              <w:spacing w:line="240" w:lineRule="atLeast"/>
              <w:jc w:val="center"/>
              <w:rPr>
                <w:rFonts w:hint="default"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70-82</w:t>
            </w:r>
          </w:p>
        </w:tc>
      </w:tr>
    </w:tbl>
    <w:p w14:paraId="7D0478E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4、投资利息</w:t>
      </w:r>
    </w:p>
    <w:p w14:paraId="7E44524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根据待估宗地的开发程度和开发规模及实际调查分析，确定土地开发周期为1年，中国人民银行授权全国银行间同业拆借中心公布，202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 w:val="28"/>
          <w:highlight w:val="none"/>
          <w14:textFill>
            <w14:solidFill>
              <w14:schemeClr w14:val="tx1"/>
            </w14:solidFill>
          </w14:textFill>
        </w:rPr>
        <w:t>年</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4</w:t>
      </w:r>
      <w:r>
        <w:rPr>
          <w:rFonts w:hint="eastAsia" w:ascii="仿宋_GB2312" w:hAnsi="仿宋_GB2312" w:eastAsia="仿宋_GB2312" w:cs="仿宋_GB2312"/>
          <w:color w:val="000000" w:themeColor="text1"/>
          <w:sz w:val="28"/>
          <w:highlight w:val="none"/>
          <w14:textFill>
            <w14:solidFill>
              <w14:schemeClr w14:val="tx1"/>
            </w14:solidFill>
          </w14:textFill>
        </w:rPr>
        <w:t>月2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日贷款市场报价利率（LPR）为：1年期LPR为3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%，5年期以上LPR为3.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本次</w:t>
      </w:r>
      <w:r>
        <w:rPr>
          <w:rFonts w:hint="eastAsia" w:ascii="仿宋_GB2312" w:hAnsi="仿宋_GB2312" w:eastAsia="仿宋_GB2312" w:cs="仿宋_GB2312"/>
          <w:color w:val="000000" w:themeColor="text1"/>
          <w:sz w:val="28"/>
          <w:highlight w:val="none"/>
          <w14:textFill>
            <w14:solidFill>
              <w14:schemeClr w14:val="tx1"/>
            </w14:solidFill>
          </w14:textFill>
        </w:rPr>
        <w:t>投资利息率按取3.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%。其中土地征地费及相关税费在征地时一次投入，土地开发费在开发期内均匀投入，单利计息，则：</w:t>
      </w:r>
    </w:p>
    <w:p w14:paraId="15E9872A">
      <w:pPr>
        <w:keepNext w:val="0"/>
        <w:keepLines w:val="0"/>
        <w:pageBreakBefore w:val="0"/>
        <w:widowControl w:val="0"/>
        <w:tabs>
          <w:tab w:val="left" w:pos="8520"/>
        </w:tabs>
        <w:kinsoku/>
        <w:wordWrap/>
        <w:overflowPunct/>
        <w:topLinePunct w:val="0"/>
        <w:autoSpaceDE w:val="0"/>
        <w:autoSpaceDN w:val="0"/>
        <w:bidi w:val="0"/>
        <w:adjustRightInd w:val="0"/>
        <w:snapToGrid w:val="0"/>
        <w:spacing w:line="480" w:lineRule="exact"/>
        <w:ind w:firstLine="56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投资利息=（土地取得费＋相关税费）×开发周期×利息率＋土地开发费×开发周期×1/2×利息率</w:t>
      </w:r>
    </w:p>
    <w:p w14:paraId="451208F3">
      <w:pPr>
        <w:keepNext w:val="0"/>
        <w:keepLines w:val="0"/>
        <w:pageBreakBefore w:val="0"/>
        <w:widowControl w:val="0"/>
        <w:kinsoku/>
        <w:wordWrap/>
        <w:overflowPunct/>
        <w:topLinePunct w:val="0"/>
        <w:autoSpaceDE w:val="0"/>
        <w:autoSpaceDN w:val="0"/>
        <w:bidi w:val="0"/>
        <w:adjustRightInd w:val="0"/>
        <w:snapToGrid w:val="0"/>
        <w:spacing w:line="480" w:lineRule="exact"/>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238.26+155.6</w:t>
      </w:r>
      <w:r>
        <w:rPr>
          <w:rFonts w:hint="eastAsia" w:ascii="仿宋_GB2312" w:hAnsi="仿宋_GB2312" w:eastAsia="仿宋_GB2312" w:cs="仿宋_GB2312"/>
          <w:color w:val="000000" w:themeColor="text1"/>
          <w:sz w:val="28"/>
          <w:highlight w:val="none"/>
          <w14:textFill>
            <w14:solidFill>
              <w14:schemeClr w14:val="tx1"/>
            </w14:solidFill>
          </w14:textFill>
        </w:rPr>
        <w:t>）×[（1+</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3.0</w:t>
      </w:r>
      <w:r>
        <w:rPr>
          <w:rFonts w:hint="eastAsia" w:ascii="仿宋_GB2312" w:hAnsi="仿宋_GB2312" w:eastAsia="仿宋_GB2312" w:cs="仿宋_GB2312"/>
          <w:color w:val="000000" w:themeColor="text1"/>
          <w:sz w:val="28"/>
          <w:highlight w:val="none"/>
          <w14:textFill>
            <w14:solidFill>
              <w14:schemeClr w14:val="tx1"/>
            </w14:solidFill>
          </w14:textFill>
        </w:rPr>
        <w:t>%）－1]+</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82</w:t>
      </w:r>
      <w:r>
        <w:rPr>
          <w:rFonts w:hint="eastAsia" w:ascii="仿宋_GB2312" w:hAnsi="仿宋_GB2312" w:eastAsia="仿宋_GB2312" w:cs="仿宋_GB2312"/>
          <w:color w:val="000000" w:themeColor="text1"/>
          <w:sz w:val="28"/>
          <w:highlight w:val="none"/>
          <w14:textFill>
            <w14:solidFill>
              <w14:schemeClr w14:val="tx1"/>
            </w14:solidFill>
          </w14:textFill>
        </w:rPr>
        <w:t>×1/2×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3.0</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E91A58E">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13.05</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63273F1F">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5、投资利润</w:t>
      </w:r>
    </w:p>
    <w:p w14:paraId="5ADA536D">
      <w:pPr>
        <w:keepNext w:val="0"/>
        <w:keepLines w:val="0"/>
        <w:pageBreakBefore w:val="0"/>
        <w:widowControl w:val="0"/>
        <w:kinsoku/>
        <w:wordWrap/>
        <w:overflowPunct/>
        <w:topLinePunct w:val="0"/>
        <w:autoSpaceDE w:val="0"/>
        <w:autoSpaceDN w:val="0"/>
        <w:bidi w:val="0"/>
        <w:adjustRightInd w:val="0"/>
        <w:snapToGrid w:val="0"/>
        <w:spacing w:line="480" w:lineRule="exact"/>
        <w:ind w:firstLine="56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土地作为一种生产要素进入企业的生产过程，土地资产与其它生产要素相结合产生了利润，土地投资应获得与其资产量相对应的回报。</w:t>
      </w:r>
    </w:p>
    <w:p w14:paraId="4CC9D10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根据估价对象所在区域土地开发企业投资利润率的情况，考虑</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道县房地产</w:t>
      </w:r>
      <w:r>
        <w:rPr>
          <w:rFonts w:hint="eastAsia" w:ascii="仿宋_GB2312" w:hAnsi="仿宋_GB2312" w:eastAsia="仿宋_GB2312" w:cs="仿宋_GB2312"/>
          <w:color w:val="000000" w:themeColor="text1"/>
          <w:sz w:val="28"/>
          <w:highlight w:val="none"/>
          <w14:textFill>
            <w14:solidFill>
              <w14:schemeClr w14:val="tx1"/>
            </w14:solidFill>
          </w14:textFill>
        </w:rPr>
        <w:t>开发投资回报率水平及委托方实际经营投资收益情况，以</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20</w:t>
      </w:r>
      <w:r>
        <w:rPr>
          <w:rFonts w:hint="eastAsia" w:ascii="仿宋_GB2312" w:hAnsi="仿宋_GB2312" w:eastAsia="仿宋_GB2312" w:cs="仿宋_GB2312"/>
          <w:color w:val="000000" w:themeColor="text1"/>
          <w:sz w:val="28"/>
          <w:highlight w:val="none"/>
          <w14:textFill>
            <w14:solidFill>
              <w14:schemeClr w14:val="tx1"/>
            </w14:solidFill>
          </w14:textFill>
        </w:rPr>
        <w:t>％作为本次土地评估的投资利润率。则：</w:t>
      </w:r>
    </w:p>
    <w:p w14:paraId="098BDD6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投资利润=（土地取得费+有关税费+土地开发费）×</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20</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580F4536">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xml:space="preserve">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238.26+155.6+82</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×20%</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95.17</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5AD5D8AE">
      <w:pPr>
        <w:keepNext w:val="0"/>
        <w:keepLines w:val="0"/>
        <w:pageBreakBefore w:val="0"/>
        <w:widowControl w:val="0"/>
        <w:kinsoku/>
        <w:wordWrap/>
        <w:overflowPunct/>
        <w:topLinePunct w:val="0"/>
        <w:autoSpaceDE w:val="0"/>
        <w:autoSpaceDN w:val="0"/>
        <w:bidi w:val="0"/>
        <w:adjustRightInd w:val="0"/>
        <w:snapToGrid w:val="0"/>
        <w:spacing w:line="300" w:lineRule="auto"/>
        <w:ind w:left="561"/>
        <w:textAlignment w:val="auto"/>
        <w:rPr>
          <w:rFonts w:hint="eastAsia" w:ascii="仿宋_GB2312" w:hAnsi="仿宋_GB2312" w:eastAsia="仿宋_GB2312" w:cs="仿宋_GB2312"/>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、土地增值收益</w:t>
      </w:r>
    </w:p>
    <w:p w14:paraId="646D4E6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土地增值是待估土地因改变用途或进行土地开发，达到建设用地的某种利用条件而发生的价值增加，是土地开发后市场价格与成本价格之间的差额。</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根据</w:t>
      </w: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湖南省人民政府办公厅关于印发《湖南省国有土地使用权出让收支管理办法》的通知</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湘政办发〔2015〕1号</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转让划拨国有土地使用权、依法利用原划拨土地进行经营性建设，或者变现处置抵押划拨土地使用权等，依法应当补办出让手续的，补缴土地价款等于正常出让土地使用权市场价格减去划拨土地使用权价格。其最低补缴额，商业用地不得低于成交价款的40%;商品住宅用地不得低于成交价款的35％”，</w:t>
      </w:r>
      <w:r>
        <w:rPr>
          <w:rFonts w:hint="eastAsia" w:ascii="仿宋_GB2312" w:hAnsi="仿宋_GB2312" w:eastAsia="仿宋_GB2312" w:cs="仿宋_GB2312"/>
          <w:color w:val="000000" w:themeColor="text1"/>
          <w:sz w:val="28"/>
          <w:szCs w:val="28"/>
          <w:highlight w:val="none"/>
          <w14:textFill>
            <w14:solidFill>
              <w14:schemeClr w14:val="tx1"/>
            </w14:solidFill>
          </w14:textFill>
        </w:rPr>
        <w:t>估价人员通过对</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永州市道县住宅</w:t>
      </w:r>
      <w:r>
        <w:rPr>
          <w:rFonts w:hint="eastAsia" w:ascii="仿宋_GB2312" w:hAnsi="仿宋_GB2312" w:eastAsia="仿宋_GB2312" w:cs="仿宋_GB2312"/>
          <w:color w:val="000000" w:themeColor="text1"/>
          <w:sz w:val="28"/>
          <w:szCs w:val="28"/>
          <w:highlight w:val="none"/>
          <w14:textFill>
            <w14:solidFill>
              <w14:schemeClr w14:val="tx1"/>
            </w14:solidFill>
          </w14:textFill>
        </w:rPr>
        <w:t>用地的增值收益情况的调查，</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永州市道县城镇住宅用地增值收益率为土地价格的35%，</w:t>
      </w:r>
      <w:r>
        <w:rPr>
          <w:rFonts w:hint="eastAsia" w:ascii="仿宋_GB2312" w:hAnsi="仿宋_GB2312" w:eastAsia="仿宋_GB2312" w:cs="仿宋_GB2312"/>
          <w:color w:val="000000"/>
          <w:sz w:val="28"/>
          <w:szCs w:val="28"/>
          <w:highlight w:val="none"/>
        </w:rPr>
        <w:t>结合宗地所在区域土地市场行情，此次评估确定取土地成本的</w:t>
      </w:r>
      <w:r>
        <w:rPr>
          <w:rFonts w:hint="eastAsia" w:ascii="仿宋_GB2312" w:hAnsi="仿宋_GB2312" w:eastAsia="仿宋_GB2312" w:cs="仿宋_GB2312"/>
          <w:color w:val="000000"/>
          <w:sz w:val="28"/>
          <w:szCs w:val="28"/>
          <w:highlight w:val="none"/>
          <w:lang w:val="en-US" w:eastAsia="zh-CN"/>
        </w:rPr>
        <w:t>35</w:t>
      </w:r>
      <w:r>
        <w:rPr>
          <w:rFonts w:hint="eastAsia" w:ascii="仿宋_GB2312" w:hAnsi="仿宋_GB2312" w:eastAsia="仿宋_GB2312" w:cs="仿宋_GB2312"/>
          <w:color w:val="000000"/>
          <w:sz w:val="28"/>
          <w:szCs w:val="28"/>
          <w:highlight w:val="none"/>
        </w:rPr>
        <w:t>%为</w:t>
      </w:r>
      <w:r>
        <w:rPr>
          <w:rFonts w:hint="eastAsia" w:ascii="仿宋_GB2312" w:hAnsi="仿宋_GB2312" w:eastAsia="仿宋_GB2312" w:cs="仿宋_GB2312"/>
          <w:color w:val="000000"/>
          <w:sz w:val="28"/>
          <w:szCs w:val="28"/>
          <w:highlight w:val="none"/>
          <w:lang w:val="en-US" w:eastAsia="zh-CN"/>
        </w:rPr>
        <w:t>城镇住宅用地的</w:t>
      </w:r>
      <w:r>
        <w:rPr>
          <w:rFonts w:hint="eastAsia" w:ascii="仿宋_GB2312" w:hAnsi="仿宋_GB2312" w:eastAsia="仿宋_GB2312" w:cs="仿宋_GB2312"/>
          <w:color w:val="000000"/>
          <w:sz w:val="28"/>
          <w:szCs w:val="28"/>
          <w:highlight w:val="none"/>
        </w:rPr>
        <w:t>土地增值收益率。</w:t>
      </w:r>
    </w:p>
    <w:p w14:paraId="13FFE4B7">
      <w:pPr>
        <w:adjustRightInd w:val="0"/>
        <w:snapToGrid w:val="0"/>
        <w:spacing w:line="480" w:lineRule="exact"/>
        <w:ind w:firstLine="560" w:firstLineChars="200"/>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住宅用地</w:t>
      </w:r>
      <w:r>
        <w:rPr>
          <w:rFonts w:hint="eastAsia" w:ascii="仿宋_GB2312" w:hAnsi="仿宋_GB2312" w:eastAsia="仿宋_GB2312" w:cs="仿宋_GB2312"/>
          <w:color w:val="000000"/>
          <w:sz w:val="28"/>
          <w:szCs w:val="28"/>
          <w:highlight w:val="none"/>
        </w:rPr>
        <w:t>土地增值收益=土地成本价格×土地增值收益率</w:t>
      </w:r>
    </w:p>
    <w:p w14:paraId="2FE375F8">
      <w:pPr>
        <w:adjustRightInd w:val="0"/>
        <w:snapToGrid w:val="0"/>
        <w:spacing w:line="480" w:lineRule="exact"/>
        <w:ind w:firstLine="2240" w:firstLineChars="800"/>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rPr>
        <w:t>=</w:t>
      </w:r>
      <w:r>
        <w:rPr>
          <w:rFonts w:hint="eastAsia" w:ascii="仿宋_GB2312" w:hAnsi="仿宋_GB2312" w:eastAsia="仿宋_GB2312" w:cs="仿宋_GB2312"/>
          <w:color w:val="000000"/>
          <w:sz w:val="28"/>
          <w:szCs w:val="28"/>
          <w:highlight w:val="none"/>
          <w:lang w:val="en-US" w:eastAsia="zh-CN"/>
        </w:rPr>
        <w:t>（238.26+155.6+82+13.05+95.17）</w:t>
      </w:r>
      <w:r>
        <w:rPr>
          <w:rFonts w:hint="eastAsia" w:ascii="仿宋_GB2312" w:hAnsi="仿宋_GB2312" w:eastAsia="仿宋_GB2312" w:cs="仿宋_GB2312"/>
          <w:color w:val="000000"/>
          <w:sz w:val="28"/>
          <w:szCs w:val="28"/>
          <w:highlight w:val="none"/>
        </w:rPr>
        <w:t>×</w:t>
      </w:r>
      <w:r>
        <w:rPr>
          <w:rFonts w:hint="eastAsia" w:ascii="仿宋_GB2312" w:hAnsi="仿宋_GB2312" w:eastAsia="仿宋_GB2312" w:cs="仿宋_GB2312"/>
          <w:color w:val="000000"/>
          <w:sz w:val="28"/>
          <w:szCs w:val="28"/>
          <w:highlight w:val="none"/>
          <w:lang w:val="en-US" w:eastAsia="zh-CN"/>
        </w:rPr>
        <w:t>35</w:t>
      </w:r>
      <w:r>
        <w:rPr>
          <w:rFonts w:hint="eastAsia" w:ascii="仿宋_GB2312" w:hAnsi="仿宋_GB2312" w:eastAsia="仿宋_GB2312" w:cs="仿宋_GB2312"/>
          <w:color w:val="000000"/>
          <w:sz w:val="28"/>
          <w:szCs w:val="28"/>
          <w:highlight w:val="none"/>
        </w:rPr>
        <w:t>%</w:t>
      </w:r>
    </w:p>
    <w:p w14:paraId="0DC7DB59">
      <w:pPr>
        <w:pStyle w:val="11"/>
        <w:rPr>
          <w:rFonts w:hint="eastAsia" w:ascii="仿宋_GB2312" w:hAnsi="仿宋_GB2312" w:eastAsia="仿宋_GB2312" w:cs="仿宋_GB2312"/>
          <w:b/>
          <w:bCs/>
          <w:color w:val="000000"/>
          <w:sz w:val="28"/>
          <w:szCs w:val="28"/>
          <w:highlight w:val="none"/>
        </w:rPr>
      </w:pPr>
      <w:r>
        <w:rPr>
          <w:rFonts w:hint="eastAsia" w:ascii="仿宋_GB2312" w:hAnsi="仿宋_GB2312" w:eastAsia="仿宋_GB2312" w:cs="仿宋_GB2312"/>
          <w:color w:val="000000"/>
          <w:sz w:val="28"/>
          <w:szCs w:val="28"/>
          <w:highlight w:val="none"/>
        </w:rPr>
        <w:t xml:space="preserve">        </w:t>
      </w:r>
      <w:r>
        <w:rPr>
          <w:rFonts w:hint="eastAsia" w:ascii="仿宋_GB2312" w:hAnsi="仿宋_GB2312" w:cs="仿宋_GB2312"/>
          <w:color w:val="000000"/>
          <w:sz w:val="28"/>
          <w:szCs w:val="28"/>
          <w:highlight w:val="none"/>
          <w:lang w:val="en-US" w:eastAsia="zh-CN"/>
        </w:rPr>
        <w:t xml:space="preserve">   </w:t>
      </w:r>
      <w:r>
        <w:rPr>
          <w:rFonts w:hint="eastAsia" w:ascii="仿宋_GB2312" w:hAnsi="仿宋_GB2312" w:eastAsia="仿宋_GB2312" w:cs="仿宋_GB2312"/>
          <w:color w:val="000000"/>
          <w:sz w:val="28"/>
          <w:szCs w:val="28"/>
          <w:highlight w:val="none"/>
        </w:rPr>
        <w:t xml:space="preserve"> =</w:t>
      </w:r>
      <w:r>
        <w:rPr>
          <w:rFonts w:hint="eastAsia" w:ascii="仿宋_GB2312" w:hAnsi="仿宋_GB2312" w:cs="仿宋_GB2312"/>
          <w:color w:val="000000"/>
          <w:sz w:val="28"/>
          <w:szCs w:val="28"/>
          <w:highlight w:val="none"/>
          <w:lang w:val="en-US" w:eastAsia="zh-CN"/>
        </w:rPr>
        <w:t>204.43</w:t>
      </w:r>
      <w:r>
        <w:rPr>
          <w:rFonts w:hint="eastAsia" w:ascii="仿宋_GB2312" w:hAnsi="仿宋_GB2312" w:eastAsia="仿宋_GB2312" w:cs="仿宋_GB2312"/>
          <w:color w:val="000000"/>
          <w:sz w:val="28"/>
          <w:szCs w:val="28"/>
          <w:highlight w:val="none"/>
          <w:lang w:val="en-US" w:eastAsia="zh-CN"/>
        </w:rPr>
        <w:t>元</w:t>
      </w:r>
      <w:r>
        <w:rPr>
          <w:rFonts w:hint="eastAsia" w:ascii="仿宋_GB2312" w:hAnsi="仿宋_GB2312" w:eastAsia="仿宋_GB2312" w:cs="仿宋_GB2312"/>
          <w:color w:val="000000"/>
          <w:sz w:val="28"/>
          <w:szCs w:val="28"/>
          <w:highlight w:val="none"/>
        </w:rPr>
        <w:t>/平方米</w:t>
      </w:r>
    </w:p>
    <w:p w14:paraId="2F757F91">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color w:val="000000"/>
          <w:sz w:val="28"/>
          <w:highlight w:val="none"/>
        </w:rPr>
      </w:pPr>
      <w:r>
        <w:rPr>
          <w:rFonts w:hint="eastAsia" w:ascii="仿宋_GB2312" w:hAnsi="仿宋_GB2312" w:eastAsia="仿宋_GB2312" w:cs="仿宋_GB2312"/>
          <w:bCs/>
          <w:sz w:val="28"/>
          <w:highlight w:val="none"/>
          <w:lang w:val="en-US" w:eastAsia="zh-CN"/>
        </w:rPr>
        <w:t>7</w:t>
      </w:r>
      <w:r>
        <w:rPr>
          <w:rFonts w:hint="eastAsia" w:ascii="仿宋_GB2312" w:hAnsi="仿宋_GB2312" w:eastAsia="仿宋_GB2312" w:cs="仿宋_GB2312"/>
          <w:bCs/>
          <w:sz w:val="28"/>
          <w:highlight w:val="none"/>
        </w:rPr>
        <w:t>、土地使用年期修正系数</w:t>
      </w:r>
    </w:p>
    <w:p w14:paraId="642D7348">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rPr>
      </w:pPr>
      <w:r>
        <w:rPr>
          <w:rFonts w:hint="eastAsia" w:ascii="仿宋_GB2312" w:hAnsi="仿宋_GB2312" w:eastAsia="仿宋_GB2312" w:cs="仿宋_GB2312"/>
          <w:bCs/>
          <w:sz w:val="28"/>
          <w:highlight w:val="none"/>
          <w:lang w:val="en-US" w:eastAsia="zh-CN"/>
        </w:rPr>
        <w:t>土地使用年期</w:t>
      </w:r>
      <w:r>
        <w:rPr>
          <w:rFonts w:hint="eastAsia" w:ascii="仿宋_GB2312" w:hAnsi="仿宋_GB2312" w:eastAsia="仿宋_GB2312" w:cs="仿宋_GB2312"/>
          <w:bCs/>
          <w:sz w:val="28"/>
          <w:highlight w:val="none"/>
        </w:rPr>
        <w:t>修正系数为：</w:t>
      </w:r>
    </w:p>
    <w:p w14:paraId="24ECAF3A">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rPr>
      </w:pPr>
      <w:r>
        <w:rPr>
          <w:rFonts w:hint="eastAsia" w:ascii="仿宋_GB2312" w:hAnsi="仿宋_GB2312" w:eastAsia="仿宋_GB2312" w:cs="仿宋_GB2312"/>
          <w:bCs/>
          <w:sz w:val="28"/>
          <w:highlight w:val="none"/>
        </w:rPr>
        <w:t>年期修正系数=1－1/ (1+r)</w:t>
      </w:r>
      <w:r>
        <w:rPr>
          <w:rFonts w:hint="eastAsia" w:ascii="仿宋_GB2312" w:hAnsi="仿宋_GB2312" w:eastAsia="仿宋_GB2312" w:cs="仿宋_GB2312"/>
          <w:bCs/>
          <w:sz w:val="28"/>
          <w:highlight w:val="none"/>
          <w:vertAlign w:val="superscript"/>
        </w:rPr>
        <w:t>n</w:t>
      </w:r>
    </w:p>
    <w:p w14:paraId="60C04BB0">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rPr>
      </w:pPr>
      <w:r>
        <w:rPr>
          <w:rFonts w:hint="eastAsia" w:ascii="仿宋_GB2312" w:hAnsi="仿宋_GB2312" w:eastAsia="仿宋_GB2312" w:cs="仿宋_GB2312"/>
          <w:bCs/>
          <w:sz w:val="28"/>
          <w:highlight w:val="none"/>
        </w:rPr>
        <w:t>其中: r─土地还原利率；</w:t>
      </w:r>
    </w:p>
    <w:p w14:paraId="2FA0ED25">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rPr>
      </w:pPr>
      <w:r>
        <w:rPr>
          <w:rFonts w:hint="eastAsia" w:ascii="仿宋_GB2312" w:hAnsi="仿宋_GB2312" w:eastAsia="仿宋_GB2312" w:cs="仿宋_GB2312"/>
          <w:bCs/>
          <w:sz w:val="28"/>
          <w:highlight w:val="none"/>
        </w:rPr>
        <w:t xml:space="preserve">     n─估价对象设定土地使用年期；</w:t>
      </w:r>
    </w:p>
    <w:p w14:paraId="03938856">
      <w:pPr>
        <w:overflowPunct w:val="0"/>
        <w:autoSpaceDE w:val="0"/>
        <w:autoSpaceDN w:val="0"/>
        <w:snapToGrid w:val="0"/>
        <w:spacing w:line="460" w:lineRule="exact"/>
        <w:ind w:firstLine="565" w:firstLineChars="202"/>
        <w:rPr>
          <w:rFonts w:hint="eastAsia" w:ascii="仿宋" w:hAnsi="仿宋" w:eastAsia="仿宋"/>
          <w:snapToGrid w:val="0"/>
          <w:kern w:val="0"/>
          <w:sz w:val="28"/>
          <w:szCs w:val="28"/>
          <w:highlight w:val="none"/>
        </w:rPr>
      </w:pPr>
      <w:r>
        <w:rPr>
          <w:rFonts w:hint="eastAsia" w:ascii="仿宋" w:hAnsi="仿宋" w:eastAsia="仿宋"/>
          <w:snapToGrid w:val="0"/>
          <w:kern w:val="0"/>
          <w:sz w:val="28"/>
          <w:szCs w:val="28"/>
          <w:highlight w:val="none"/>
        </w:rPr>
        <w:t>土地还原率确定</w:t>
      </w:r>
      <w:r>
        <w:rPr>
          <w:rFonts w:ascii="仿宋" w:hAnsi="仿宋" w:eastAsia="仿宋"/>
          <w:snapToGrid w:val="0"/>
          <w:kern w:val="0"/>
          <w:sz w:val="28"/>
          <w:szCs w:val="28"/>
          <w:highlight w:val="none"/>
        </w:rPr>
        <w:t>过程</w:t>
      </w:r>
      <w:r>
        <w:rPr>
          <w:rFonts w:hint="eastAsia" w:ascii="仿宋" w:hAnsi="仿宋" w:eastAsia="仿宋"/>
          <w:snapToGrid w:val="0"/>
          <w:kern w:val="0"/>
          <w:sz w:val="28"/>
          <w:szCs w:val="28"/>
          <w:highlight w:val="none"/>
        </w:rPr>
        <w:t>：</w:t>
      </w:r>
    </w:p>
    <w:p w14:paraId="545ADAE0">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lang w:val="en-US" w:eastAsia="zh-CN"/>
        </w:rPr>
      </w:pPr>
      <w:r>
        <w:rPr>
          <w:rFonts w:hint="eastAsia" w:ascii="仿宋_GB2312" w:hAnsi="仿宋_GB2312" w:eastAsia="仿宋_GB2312" w:cs="仿宋_GB2312"/>
          <w:bCs/>
          <w:sz w:val="28"/>
          <w:highlight w:val="none"/>
          <w:lang w:val="en-US" w:eastAsia="zh-CN"/>
        </w:rPr>
        <w:t>土地还原利率的确定方法是安全利率加风险调整值法，安全利率采用中国外汇交易中心（全国银行间同业拆借中心）2026年4月公布的一年期国债收益率1.16%，风险调整值根据各市场风险因素对土地市场的影响程度而确定。</w:t>
      </w:r>
    </w:p>
    <w:p w14:paraId="347D69A5">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lang w:val="en-US" w:eastAsia="zh-CN"/>
        </w:rPr>
      </w:pPr>
      <w:r>
        <w:rPr>
          <w:rFonts w:hint="eastAsia" w:ascii="仿宋_GB2312" w:hAnsi="仿宋_GB2312" w:eastAsia="仿宋_GB2312" w:cs="仿宋_GB2312"/>
          <w:bCs/>
          <w:sz w:val="28"/>
          <w:highlight w:val="none"/>
          <w:lang w:val="en-US" w:eastAsia="zh-CN"/>
        </w:rPr>
        <w:t>①土地市场风险程度分析</w:t>
      </w:r>
    </w:p>
    <w:p w14:paraId="2D16BD6E">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 w:hAnsi="仿宋" w:eastAsia="仿宋"/>
          <w:snapToGrid w:val="0"/>
          <w:kern w:val="0"/>
          <w:sz w:val="28"/>
          <w:szCs w:val="28"/>
          <w:highlight w:val="none"/>
        </w:rPr>
      </w:pPr>
      <w:r>
        <w:rPr>
          <w:rFonts w:hint="eastAsia" w:ascii="仿宋_GB2312" w:hAnsi="仿宋_GB2312" w:eastAsia="仿宋_GB2312" w:cs="仿宋_GB2312"/>
          <w:bCs/>
          <w:sz w:val="28"/>
          <w:highlight w:val="none"/>
          <w:lang w:val="en-US" w:eastAsia="zh-CN"/>
        </w:rPr>
        <w:t>土地投资过程是一种预测未知将来需求而进行产品生产的过程，由于未来需求的不确定性，决定了地产投资是一种典型的风险投资。这些风险因素主要源于地产位置的固定性及地产投资的周期长久性。由于地产位置固定性带来的土地地理环境变化的风险及土地投资周期长使开发商难以精确预测房地产市场的供求变化与国家政策调整方案等风险。本次评估结合道县社会经济发展及土地市场情况，通过实地调查与咨询专家，总结了各种风险因素对用地的影响程度。各风险因素因子对不同土地利用类型的影响程度分析见下表。</w:t>
      </w:r>
    </w:p>
    <w:p w14:paraId="55DD9E52">
      <w:pPr>
        <w:jc w:val="center"/>
        <w:rPr>
          <w:rFonts w:hint="eastAsia" w:ascii="仿宋" w:hAnsi="仿宋" w:eastAsia="仿宋" w:cs="仿宋"/>
          <w:snapToGrid w:val="0"/>
          <w:kern w:val="0"/>
          <w:sz w:val="28"/>
          <w:szCs w:val="28"/>
          <w:highlight w:val="none"/>
          <w:lang w:val="en-US" w:eastAsia="zh-CN" w:bidi="ar-SA"/>
        </w:rPr>
      </w:pPr>
      <w:r>
        <w:rPr>
          <w:rFonts w:hint="eastAsia" w:ascii="仿宋" w:hAnsi="仿宋" w:eastAsia="仿宋" w:cs="仿宋"/>
          <w:snapToGrid w:val="0"/>
          <w:kern w:val="0"/>
          <w:sz w:val="28"/>
          <w:szCs w:val="28"/>
          <w:highlight w:val="none"/>
          <w:lang w:val="en-US" w:eastAsia="zh-CN" w:bidi="ar-SA"/>
        </w:rPr>
        <w:t>表3-5 风险因素因子对不同土地利用类型的影响程度分析</w:t>
      </w:r>
    </w:p>
    <w:tbl>
      <w:tblPr>
        <w:tblStyle w:val="12"/>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1"/>
        <w:gridCol w:w="3647"/>
        <w:gridCol w:w="2662"/>
      </w:tblGrid>
      <w:tr w14:paraId="49D8D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297" w:type="pct"/>
            <w:noWrap w:val="0"/>
            <w:vAlign w:val="center"/>
          </w:tcPr>
          <w:p w14:paraId="33AD5CE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风险因素</w:t>
            </w:r>
          </w:p>
        </w:tc>
        <w:tc>
          <w:tcPr>
            <w:tcW w:w="2140" w:type="pct"/>
            <w:noWrap w:val="0"/>
            <w:vAlign w:val="center"/>
          </w:tcPr>
          <w:p w14:paraId="6E8C46D1">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风险因子</w:t>
            </w:r>
          </w:p>
        </w:tc>
        <w:tc>
          <w:tcPr>
            <w:tcW w:w="1562" w:type="pct"/>
            <w:noWrap w:val="0"/>
            <w:vAlign w:val="center"/>
          </w:tcPr>
          <w:p w14:paraId="312A09AC">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住宅用地</w:t>
            </w:r>
          </w:p>
        </w:tc>
      </w:tr>
      <w:tr w14:paraId="053D7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297" w:type="pct"/>
            <w:vMerge w:val="restart"/>
            <w:noWrap w:val="0"/>
            <w:vAlign w:val="center"/>
          </w:tcPr>
          <w:p w14:paraId="3457428B">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政策风险</w:t>
            </w:r>
          </w:p>
        </w:tc>
        <w:tc>
          <w:tcPr>
            <w:tcW w:w="2140" w:type="pct"/>
            <w:noWrap w:val="0"/>
            <w:vAlign w:val="center"/>
          </w:tcPr>
          <w:p w14:paraId="709E95C8">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产业政策</w:t>
            </w:r>
          </w:p>
        </w:tc>
        <w:tc>
          <w:tcPr>
            <w:tcW w:w="2662" w:type="dxa"/>
            <w:noWrap w:val="0"/>
            <w:vAlign w:val="center"/>
          </w:tcPr>
          <w:p w14:paraId="7D511DE3">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A</w:t>
            </w:r>
          </w:p>
        </w:tc>
      </w:tr>
      <w:tr w14:paraId="52E2B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297" w:type="pct"/>
            <w:vMerge w:val="continue"/>
            <w:noWrap w:val="0"/>
            <w:vAlign w:val="center"/>
          </w:tcPr>
          <w:p w14:paraId="42F55C1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2140" w:type="pct"/>
            <w:noWrap w:val="0"/>
            <w:vAlign w:val="center"/>
          </w:tcPr>
          <w:p w14:paraId="1B82D24A">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土地使用制度改革</w:t>
            </w:r>
          </w:p>
        </w:tc>
        <w:tc>
          <w:tcPr>
            <w:tcW w:w="2662" w:type="dxa"/>
            <w:noWrap w:val="0"/>
            <w:vAlign w:val="center"/>
          </w:tcPr>
          <w:p w14:paraId="2DC9BD75">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C</w:t>
            </w:r>
          </w:p>
        </w:tc>
      </w:tr>
      <w:tr w14:paraId="1188D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297" w:type="pct"/>
            <w:vMerge w:val="continue"/>
            <w:noWrap w:val="0"/>
            <w:vAlign w:val="center"/>
          </w:tcPr>
          <w:p w14:paraId="6F3F603B">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2140" w:type="pct"/>
            <w:noWrap w:val="0"/>
            <w:vAlign w:val="center"/>
          </w:tcPr>
          <w:p w14:paraId="16E50770">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住房制度</w:t>
            </w:r>
          </w:p>
        </w:tc>
        <w:tc>
          <w:tcPr>
            <w:tcW w:w="2662" w:type="dxa"/>
            <w:noWrap w:val="0"/>
            <w:vAlign w:val="center"/>
          </w:tcPr>
          <w:p w14:paraId="5CBAB124">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B</w:t>
            </w:r>
          </w:p>
        </w:tc>
      </w:tr>
      <w:tr w14:paraId="4E4FC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297" w:type="pct"/>
            <w:vMerge w:val="continue"/>
            <w:noWrap w:val="0"/>
            <w:vAlign w:val="center"/>
          </w:tcPr>
          <w:p w14:paraId="7EF28AFE">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2140" w:type="pct"/>
            <w:noWrap w:val="0"/>
            <w:vAlign w:val="center"/>
          </w:tcPr>
          <w:p w14:paraId="071629E9">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环保变化</w:t>
            </w:r>
          </w:p>
        </w:tc>
        <w:tc>
          <w:tcPr>
            <w:tcW w:w="2662" w:type="dxa"/>
            <w:noWrap w:val="0"/>
            <w:vAlign w:val="center"/>
          </w:tcPr>
          <w:p w14:paraId="10CE9970">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B</w:t>
            </w:r>
          </w:p>
        </w:tc>
      </w:tr>
      <w:tr w14:paraId="6D684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297" w:type="pct"/>
            <w:vMerge w:val="restart"/>
            <w:noWrap w:val="0"/>
            <w:vAlign w:val="center"/>
          </w:tcPr>
          <w:p w14:paraId="04381F10">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经济风险</w:t>
            </w:r>
          </w:p>
        </w:tc>
        <w:tc>
          <w:tcPr>
            <w:tcW w:w="2140" w:type="pct"/>
            <w:noWrap w:val="0"/>
            <w:vAlign w:val="center"/>
          </w:tcPr>
          <w:p w14:paraId="01543283">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市场供求</w:t>
            </w:r>
          </w:p>
        </w:tc>
        <w:tc>
          <w:tcPr>
            <w:tcW w:w="2662" w:type="dxa"/>
            <w:noWrap w:val="0"/>
            <w:vAlign w:val="center"/>
          </w:tcPr>
          <w:p w14:paraId="388A7D6D">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A</w:t>
            </w:r>
          </w:p>
        </w:tc>
      </w:tr>
      <w:tr w14:paraId="33966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297" w:type="pct"/>
            <w:vMerge w:val="continue"/>
            <w:noWrap w:val="0"/>
            <w:vAlign w:val="center"/>
          </w:tcPr>
          <w:p w14:paraId="085AC6C5">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2140" w:type="pct"/>
            <w:noWrap w:val="0"/>
            <w:vAlign w:val="center"/>
          </w:tcPr>
          <w:p w14:paraId="5098B710">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财务风险</w:t>
            </w:r>
          </w:p>
        </w:tc>
        <w:tc>
          <w:tcPr>
            <w:tcW w:w="2662" w:type="dxa"/>
            <w:noWrap w:val="0"/>
            <w:vAlign w:val="center"/>
          </w:tcPr>
          <w:p w14:paraId="21DDC382">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B</w:t>
            </w:r>
          </w:p>
        </w:tc>
      </w:tr>
      <w:tr w14:paraId="1719B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297" w:type="pct"/>
            <w:vMerge w:val="continue"/>
            <w:noWrap w:val="0"/>
            <w:vAlign w:val="center"/>
          </w:tcPr>
          <w:p w14:paraId="00DAC96E">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2140" w:type="pct"/>
            <w:noWrap w:val="0"/>
            <w:vAlign w:val="center"/>
          </w:tcPr>
          <w:p w14:paraId="2FE677D8">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管理风险</w:t>
            </w:r>
          </w:p>
        </w:tc>
        <w:tc>
          <w:tcPr>
            <w:tcW w:w="2662" w:type="dxa"/>
            <w:noWrap w:val="0"/>
            <w:vAlign w:val="center"/>
          </w:tcPr>
          <w:p w14:paraId="51CFF350">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C</w:t>
            </w:r>
          </w:p>
        </w:tc>
      </w:tr>
      <w:tr w14:paraId="6DEA4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297" w:type="pct"/>
            <w:vMerge w:val="continue"/>
            <w:noWrap w:val="0"/>
            <w:vAlign w:val="center"/>
          </w:tcPr>
          <w:p w14:paraId="033B8226">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2140" w:type="pct"/>
            <w:noWrap w:val="0"/>
            <w:vAlign w:val="center"/>
          </w:tcPr>
          <w:p w14:paraId="1BDE6367">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当地经济发展</w:t>
            </w:r>
          </w:p>
        </w:tc>
        <w:tc>
          <w:tcPr>
            <w:tcW w:w="2662" w:type="dxa"/>
            <w:noWrap w:val="0"/>
            <w:vAlign w:val="center"/>
          </w:tcPr>
          <w:p w14:paraId="0EFEAD5D">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B</w:t>
            </w:r>
          </w:p>
        </w:tc>
      </w:tr>
      <w:tr w14:paraId="1FCDA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297" w:type="pct"/>
            <w:vMerge w:val="restart"/>
            <w:noWrap w:val="0"/>
            <w:vAlign w:val="center"/>
          </w:tcPr>
          <w:p w14:paraId="5BCA3046">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社会风险</w:t>
            </w:r>
          </w:p>
        </w:tc>
        <w:tc>
          <w:tcPr>
            <w:tcW w:w="2140" w:type="pct"/>
            <w:noWrap w:val="0"/>
            <w:vAlign w:val="center"/>
          </w:tcPr>
          <w:p w14:paraId="102CFFC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城市规划</w:t>
            </w:r>
          </w:p>
        </w:tc>
        <w:tc>
          <w:tcPr>
            <w:tcW w:w="2662" w:type="dxa"/>
            <w:noWrap w:val="0"/>
            <w:vAlign w:val="center"/>
          </w:tcPr>
          <w:p w14:paraId="09FE4CD1">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A</w:t>
            </w:r>
          </w:p>
        </w:tc>
      </w:tr>
      <w:tr w14:paraId="5E214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297" w:type="pct"/>
            <w:vMerge w:val="continue"/>
            <w:noWrap w:val="0"/>
            <w:vAlign w:val="center"/>
          </w:tcPr>
          <w:p w14:paraId="380C7700">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2140" w:type="pct"/>
            <w:noWrap w:val="0"/>
            <w:vAlign w:val="center"/>
          </w:tcPr>
          <w:p w14:paraId="0044B4A9">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区域发展</w:t>
            </w:r>
          </w:p>
        </w:tc>
        <w:tc>
          <w:tcPr>
            <w:tcW w:w="2662" w:type="dxa"/>
            <w:noWrap w:val="0"/>
            <w:vAlign w:val="center"/>
          </w:tcPr>
          <w:p w14:paraId="6AA72D04">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A</w:t>
            </w:r>
          </w:p>
        </w:tc>
      </w:tr>
      <w:tr w14:paraId="72AFF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297" w:type="pct"/>
            <w:vMerge w:val="continue"/>
            <w:noWrap w:val="0"/>
            <w:vAlign w:val="center"/>
          </w:tcPr>
          <w:p w14:paraId="16759730">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2140" w:type="pct"/>
            <w:noWrap w:val="0"/>
            <w:vAlign w:val="center"/>
          </w:tcPr>
          <w:p w14:paraId="7CA7AF21">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治安</w:t>
            </w:r>
          </w:p>
        </w:tc>
        <w:tc>
          <w:tcPr>
            <w:tcW w:w="2662" w:type="dxa"/>
            <w:noWrap w:val="0"/>
            <w:vAlign w:val="center"/>
          </w:tcPr>
          <w:p w14:paraId="3C2DB337">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A</w:t>
            </w:r>
          </w:p>
        </w:tc>
      </w:tr>
    </w:tbl>
    <w:p w14:paraId="342928CE">
      <w:pPr>
        <w:spacing w:line="460" w:lineRule="exact"/>
        <w:ind w:firstLine="600" w:firstLineChars="250"/>
        <w:rPr>
          <w:rFonts w:hint="eastAsia" w:ascii="仿宋" w:hAnsi="仿宋" w:eastAsia="仿宋"/>
          <w:sz w:val="24"/>
          <w:highlight w:val="none"/>
        </w:rPr>
      </w:pPr>
      <w:r>
        <w:rPr>
          <w:rFonts w:hint="eastAsia" w:ascii="仿宋" w:hAnsi="仿宋" w:eastAsia="仿宋"/>
          <w:sz w:val="24"/>
          <w:highlight w:val="none"/>
        </w:rPr>
        <w:t>注：A最严重；B较严重；C不严重；D无影响</w:t>
      </w:r>
    </w:p>
    <w:p w14:paraId="76EE0F5F">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lang w:val="en-US" w:eastAsia="zh-CN"/>
        </w:rPr>
      </w:pPr>
      <w:r>
        <w:rPr>
          <w:rFonts w:hint="eastAsia" w:ascii="仿宋_GB2312" w:hAnsi="仿宋_GB2312" w:eastAsia="仿宋_GB2312" w:cs="仿宋_GB2312"/>
          <w:bCs/>
          <w:sz w:val="28"/>
          <w:highlight w:val="none"/>
          <w:lang w:val="en-US" w:eastAsia="zh-CN"/>
        </w:rPr>
        <w:t>②风险因素因子权重值的确定</w:t>
      </w:r>
    </w:p>
    <w:p w14:paraId="270A3E39">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 w:hAnsi="仿宋" w:eastAsia="仿宋"/>
          <w:sz w:val="28"/>
          <w:szCs w:val="28"/>
          <w:highlight w:val="none"/>
        </w:rPr>
      </w:pPr>
      <w:r>
        <w:rPr>
          <w:rFonts w:hint="eastAsia" w:ascii="仿宋_GB2312" w:hAnsi="仿宋_GB2312" w:eastAsia="仿宋_GB2312" w:cs="仿宋_GB2312"/>
          <w:bCs/>
          <w:sz w:val="28"/>
          <w:highlight w:val="none"/>
          <w:lang w:val="en-US" w:eastAsia="zh-CN"/>
        </w:rPr>
        <w:t>由于各种风险因素对用地的影响程度不同，需要选用风险因素因子权重来量化各种风险因素对用地的影响程度。因此，采用特尔斐法确定各风险因素因子的权重值。道县地产投资风险因素、因子及权重值见下表。</w:t>
      </w:r>
    </w:p>
    <w:p w14:paraId="599F65AA">
      <w:pPr>
        <w:jc w:val="center"/>
        <w:rPr>
          <w:rFonts w:hint="eastAsia" w:ascii="仿宋" w:hAnsi="仿宋" w:eastAsia="仿宋" w:cs="仿宋"/>
          <w:snapToGrid w:val="0"/>
          <w:kern w:val="0"/>
          <w:sz w:val="28"/>
          <w:szCs w:val="28"/>
          <w:highlight w:val="none"/>
          <w:lang w:val="en-US" w:eastAsia="zh-CN" w:bidi="ar-SA"/>
        </w:rPr>
      </w:pPr>
      <w:r>
        <w:rPr>
          <w:rFonts w:hint="eastAsia" w:ascii="仿宋" w:hAnsi="仿宋" w:eastAsia="仿宋" w:cs="仿宋"/>
          <w:snapToGrid w:val="0"/>
          <w:kern w:val="0"/>
          <w:sz w:val="28"/>
          <w:szCs w:val="28"/>
          <w:highlight w:val="none"/>
          <w:lang w:val="en-US" w:eastAsia="zh-CN" w:bidi="ar-SA"/>
        </w:rPr>
        <w:t>表3-6 风险因素、因子权重值</w:t>
      </w:r>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1"/>
        <w:gridCol w:w="1617"/>
        <w:gridCol w:w="2911"/>
        <w:gridCol w:w="2230"/>
      </w:tblGrid>
      <w:tr w14:paraId="48B52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noWrap w:val="0"/>
            <w:vAlign w:val="center"/>
          </w:tcPr>
          <w:p w14:paraId="78A7E530">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影响因素</w:t>
            </w:r>
          </w:p>
        </w:tc>
        <w:tc>
          <w:tcPr>
            <w:tcW w:w="949" w:type="pct"/>
            <w:noWrap w:val="0"/>
            <w:vAlign w:val="center"/>
          </w:tcPr>
          <w:p w14:paraId="5F06695E">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权重值</w:t>
            </w:r>
          </w:p>
        </w:tc>
        <w:tc>
          <w:tcPr>
            <w:tcW w:w="1708" w:type="pct"/>
            <w:noWrap w:val="0"/>
            <w:vAlign w:val="center"/>
          </w:tcPr>
          <w:p w14:paraId="3A34FBF5">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影响因子</w:t>
            </w:r>
          </w:p>
        </w:tc>
        <w:tc>
          <w:tcPr>
            <w:tcW w:w="1308" w:type="pct"/>
            <w:noWrap w:val="0"/>
            <w:vAlign w:val="center"/>
          </w:tcPr>
          <w:p w14:paraId="32E7F6D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权重值</w:t>
            </w:r>
          </w:p>
        </w:tc>
      </w:tr>
      <w:tr w14:paraId="44635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1033" w:type="pct"/>
            <w:vMerge w:val="restart"/>
            <w:noWrap w:val="0"/>
            <w:vAlign w:val="center"/>
          </w:tcPr>
          <w:p w14:paraId="3563F64F">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政策风险</w:t>
            </w:r>
          </w:p>
        </w:tc>
        <w:tc>
          <w:tcPr>
            <w:tcW w:w="949" w:type="pct"/>
            <w:vMerge w:val="restart"/>
            <w:noWrap w:val="0"/>
            <w:vAlign w:val="center"/>
          </w:tcPr>
          <w:p w14:paraId="5C5A2B4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0.3234</w:t>
            </w:r>
          </w:p>
        </w:tc>
        <w:tc>
          <w:tcPr>
            <w:tcW w:w="1708" w:type="pct"/>
            <w:noWrap w:val="0"/>
            <w:vAlign w:val="center"/>
          </w:tcPr>
          <w:p w14:paraId="1B2A6ACB">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产业政策</w:t>
            </w:r>
          </w:p>
        </w:tc>
        <w:tc>
          <w:tcPr>
            <w:tcW w:w="1308" w:type="pct"/>
            <w:noWrap w:val="0"/>
            <w:vAlign w:val="center"/>
          </w:tcPr>
          <w:p w14:paraId="14F8B1A5">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0.2957</w:t>
            </w:r>
          </w:p>
        </w:tc>
      </w:tr>
      <w:tr w14:paraId="2C890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3447666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949" w:type="pct"/>
            <w:vMerge w:val="continue"/>
            <w:noWrap w:val="0"/>
            <w:vAlign w:val="center"/>
          </w:tcPr>
          <w:p w14:paraId="5AE75E97">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1708" w:type="pct"/>
            <w:noWrap w:val="0"/>
            <w:vAlign w:val="center"/>
          </w:tcPr>
          <w:p w14:paraId="7B8FFF4E">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土地使用制度改革</w:t>
            </w:r>
          </w:p>
        </w:tc>
        <w:tc>
          <w:tcPr>
            <w:tcW w:w="1308" w:type="pct"/>
            <w:noWrap w:val="0"/>
            <w:vAlign w:val="center"/>
          </w:tcPr>
          <w:p w14:paraId="66504B3A">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0.2121</w:t>
            </w:r>
          </w:p>
        </w:tc>
      </w:tr>
      <w:tr w14:paraId="66E8A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1A585F53">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949" w:type="pct"/>
            <w:vMerge w:val="continue"/>
            <w:noWrap w:val="0"/>
            <w:vAlign w:val="center"/>
          </w:tcPr>
          <w:p w14:paraId="270A81F5">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1708" w:type="pct"/>
            <w:noWrap w:val="0"/>
            <w:vAlign w:val="center"/>
          </w:tcPr>
          <w:p w14:paraId="6D636D2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住房制度</w:t>
            </w:r>
          </w:p>
        </w:tc>
        <w:tc>
          <w:tcPr>
            <w:tcW w:w="1308" w:type="pct"/>
            <w:noWrap w:val="0"/>
            <w:vAlign w:val="center"/>
          </w:tcPr>
          <w:p w14:paraId="0FCC0E8D">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0.2734</w:t>
            </w:r>
          </w:p>
        </w:tc>
      </w:tr>
      <w:tr w14:paraId="40360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4E9BD091">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949" w:type="pct"/>
            <w:vMerge w:val="continue"/>
            <w:noWrap w:val="0"/>
            <w:vAlign w:val="center"/>
          </w:tcPr>
          <w:p w14:paraId="64AF687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1708" w:type="pct"/>
            <w:noWrap w:val="0"/>
            <w:vAlign w:val="center"/>
          </w:tcPr>
          <w:p w14:paraId="25E01B3B">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环保变化</w:t>
            </w:r>
          </w:p>
        </w:tc>
        <w:tc>
          <w:tcPr>
            <w:tcW w:w="1308" w:type="pct"/>
            <w:noWrap w:val="0"/>
            <w:vAlign w:val="center"/>
          </w:tcPr>
          <w:p w14:paraId="1FE5385E">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0.2188</w:t>
            </w:r>
          </w:p>
        </w:tc>
      </w:tr>
      <w:tr w14:paraId="39D97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restart"/>
            <w:noWrap w:val="0"/>
            <w:vAlign w:val="center"/>
          </w:tcPr>
          <w:p w14:paraId="63F46EB1">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经济风险</w:t>
            </w:r>
          </w:p>
        </w:tc>
        <w:tc>
          <w:tcPr>
            <w:tcW w:w="949" w:type="pct"/>
            <w:vMerge w:val="restart"/>
            <w:noWrap w:val="0"/>
            <w:vAlign w:val="center"/>
          </w:tcPr>
          <w:p w14:paraId="7A05CF67">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0.3922</w:t>
            </w:r>
          </w:p>
        </w:tc>
        <w:tc>
          <w:tcPr>
            <w:tcW w:w="1708" w:type="pct"/>
            <w:noWrap w:val="0"/>
            <w:vAlign w:val="center"/>
          </w:tcPr>
          <w:p w14:paraId="43C78FCA">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市场供求</w:t>
            </w:r>
          </w:p>
        </w:tc>
        <w:tc>
          <w:tcPr>
            <w:tcW w:w="1308" w:type="pct"/>
            <w:noWrap w:val="0"/>
            <w:vAlign w:val="center"/>
          </w:tcPr>
          <w:p w14:paraId="08BA9FBF">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0.3434</w:t>
            </w:r>
          </w:p>
        </w:tc>
      </w:tr>
      <w:tr w14:paraId="16571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61475E1D">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949" w:type="pct"/>
            <w:vMerge w:val="continue"/>
            <w:noWrap w:val="0"/>
            <w:vAlign w:val="center"/>
          </w:tcPr>
          <w:p w14:paraId="76831024">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1708" w:type="pct"/>
            <w:noWrap w:val="0"/>
            <w:vAlign w:val="center"/>
          </w:tcPr>
          <w:p w14:paraId="39FCF3E6">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财务风险</w:t>
            </w:r>
          </w:p>
        </w:tc>
        <w:tc>
          <w:tcPr>
            <w:tcW w:w="1308" w:type="pct"/>
            <w:noWrap w:val="0"/>
            <w:vAlign w:val="center"/>
          </w:tcPr>
          <w:p w14:paraId="624897F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0.2119</w:t>
            </w:r>
          </w:p>
        </w:tc>
      </w:tr>
      <w:tr w14:paraId="5CF3A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0E80387A">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949" w:type="pct"/>
            <w:vMerge w:val="continue"/>
            <w:noWrap w:val="0"/>
            <w:vAlign w:val="center"/>
          </w:tcPr>
          <w:p w14:paraId="52B0A5C6">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1708" w:type="pct"/>
            <w:noWrap w:val="0"/>
            <w:vAlign w:val="center"/>
          </w:tcPr>
          <w:p w14:paraId="5EAB7C79">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管理风险</w:t>
            </w:r>
          </w:p>
        </w:tc>
        <w:tc>
          <w:tcPr>
            <w:tcW w:w="1308" w:type="pct"/>
            <w:noWrap w:val="0"/>
            <w:vAlign w:val="center"/>
          </w:tcPr>
          <w:p w14:paraId="37193314">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0.2365</w:t>
            </w:r>
          </w:p>
        </w:tc>
      </w:tr>
      <w:tr w14:paraId="31BA4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0FF06047">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949" w:type="pct"/>
            <w:vMerge w:val="continue"/>
            <w:noWrap w:val="0"/>
            <w:vAlign w:val="center"/>
          </w:tcPr>
          <w:p w14:paraId="3A07AB15">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1708" w:type="pct"/>
            <w:noWrap w:val="0"/>
            <w:vAlign w:val="center"/>
          </w:tcPr>
          <w:p w14:paraId="6A800A68">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当地经济发展</w:t>
            </w:r>
          </w:p>
        </w:tc>
        <w:tc>
          <w:tcPr>
            <w:tcW w:w="1308" w:type="pct"/>
            <w:noWrap w:val="0"/>
            <w:vAlign w:val="center"/>
          </w:tcPr>
          <w:p w14:paraId="40E3F8B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0.2082</w:t>
            </w:r>
          </w:p>
        </w:tc>
      </w:tr>
      <w:tr w14:paraId="35569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restart"/>
            <w:noWrap w:val="0"/>
            <w:vAlign w:val="center"/>
          </w:tcPr>
          <w:p w14:paraId="6E11B05A">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社会风险</w:t>
            </w:r>
          </w:p>
        </w:tc>
        <w:tc>
          <w:tcPr>
            <w:tcW w:w="949" w:type="pct"/>
            <w:vMerge w:val="restart"/>
            <w:noWrap w:val="0"/>
            <w:vAlign w:val="center"/>
          </w:tcPr>
          <w:p w14:paraId="70B2007E">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0.2844</w:t>
            </w:r>
          </w:p>
        </w:tc>
        <w:tc>
          <w:tcPr>
            <w:tcW w:w="1708" w:type="pct"/>
            <w:noWrap w:val="0"/>
            <w:vAlign w:val="center"/>
          </w:tcPr>
          <w:p w14:paraId="3E9BFA65">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城市规划</w:t>
            </w:r>
          </w:p>
        </w:tc>
        <w:tc>
          <w:tcPr>
            <w:tcW w:w="1308" w:type="pct"/>
            <w:noWrap w:val="0"/>
            <w:vAlign w:val="center"/>
          </w:tcPr>
          <w:p w14:paraId="04B4F79D">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0.3762</w:t>
            </w:r>
          </w:p>
        </w:tc>
      </w:tr>
      <w:tr w14:paraId="1E954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49C21640">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949" w:type="pct"/>
            <w:vMerge w:val="continue"/>
            <w:noWrap w:val="0"/>
            <w:vAlign w:val="center"/>
          </w:tcPr>
          <w:p w14:paraId="3619FE9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1708" w:type="pct"/>
            <w:noWrap w:val="0"/>
            <w:vAlign w:val="center"/>
          </w:tcPr>
          <w:p w14:paraId="7880E596">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区域发展</w:t>
            </w:r>
          </w:p>
        </w:tc>
        <w:tc>
          <w:tcPr>
            <w:tcW w:w="1308" w:type="pct"/>
            <w:noWrap w:val="0"/>
            <w:vAlign w:val="center"/>
          </w:tcPr>
          <w:p w14:paraId="34284CDB">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0.3113</w:t>
            </w:r>
          </w:p>
        </w:tc>
      </w:tr>
      <w:tr w14:paraId="6EE56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1033" w:type="pct"/>
            <w:vMerge w:val="continue"/>
            <w:noWrap w:val="0"/>
            <w:vAlign w:val="center"/>
          </w:tcPr>
          <w:p w14:paraId="15BF902C">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949" w:type="pct"/>
            <w:vMerge w:val="continue"/>
            <w:noWrap w:val="0"/>
            <w:vAlign w:val="center"/>
          </w:tcPr>
          <w:p w14:paraId="4535FE1F">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1708" w:type="pct"/>
            <w:noWrap w:val="0"/>
            <w:vAlign w:val="center"/>
          </w:tcPr>
          <w:p w14:paraId="40D64F21">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治安</w:t>
            </w:r>
          </w:p>
        </w:tc>
        <w:tc>
          <w:tcPr>
            <w:tcW w:w="1308" w:type="pct"/>
            <w:noWrap w:val="0"/>
            <w:vAlign w:val="center"/>
          </w:tcPr>
          <w:p w14:paraId="0ABCE726">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0.3125</w:t>
            </w:r>
          </w:p>
        </w:tc>
      </w:tr>
    </w:tbl>
    <w:p w14:paraId="313F42CA">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lang w:val="en-US" w:eastAsia="zh-CN"/>
        </w:rPr>
      </w:pPr>
      <w:r>
        <w:rPr>
          <w:rFonts w:hint="eastAsia" w:ascii="仿宋_GB2312" w:hAnsi="仿宋_GB2312" w:eastAsia="仿宋_GB2312" w:cs="仿宋_GB2312"/>
          <w:bCs/>
          <w:sz w:val="28"/>
          <w:highlight w:val="none"/>
          <w:lang w:val="en-US" w:eastAsia="zh-CN"/>
        </w:rPr>
        <w:t>③风险调整值的确定</w:t>
      </w:r>
    </w:p>
    <w:p w14:paraId="492E4D4A">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 w:hAnsi="仿宋" w:eastAsia="仿宋"/>
          <w:sz w:val="28"/>
          <w:szCs w:val="28"/>
          <w:highlight w:val="none"/>
        </w:rPr>
      </w:pPr>
      <w:r>
        <w:rPr>
          <w:rFonts w:hint="eastAsia" w:ascii="仿宋_GB2312" w:hAnsi="仿宋_GB2312" w:eastAsia="仿宋_GB2312" w:cs="仿宋_GB2312"/>
          <w:bCs/>
          <w:sz w:val="28"/>
          <w:highlight w:val="none"/>
          <w:lang w:val="en-US" w:eastAsia="zh-CN"/>
        </w:rPr>
        <w:t>风险调整值的大小由市场风险因素因子对土地市场的影响程度决定，本次评估将对市场风险影响程度赋值，即：风险因素对土地市场无影响时，风险调整值为0；风险因素对土地市场影响不严重时，风险调整值为1%；风险因素对土地市场影响较严重时，风险调整值为4%；风险因素对土地市场影响最严重时，风险调整值为8%。</w:t>
      </w:r>
    </w:p>
    <w:p w14:paraId="3DA576AE">
      <w:pPr>
        <w:jc w:val="center"/>
        <w:rPr>
          <w:rFonts w:hint="eastAsia" w:ascii="仿宋" w:hAnsi="仿宋" w:eastAsia="仿宋" w:cs="仿宋"/>
          <w:snapToGrid w:val="0"/>
          <w:kern w:val="0"/>
          <w:sz w:val="28"/>
          <w:szCs w:val="28"/>
          <w:highlight w:val="none"/>
          <w:lang w:val="en-US" w:eastAsia="zh-CN" w:bidi="ar-SA"/>
        </w:rPr>
      </w:pPr>
      <w:r>
        <w:rPr>
          <w:rFonts w:hint="eastAsia" w:ascii="仿宋" w:hAnsi="仿宋" w:eastAsia="仿宋" w:cs="仿宋"/>
          <w:snapToGrid w:val="0"/>
          <w:kern w:val="0"/>
          <w:sz w:val="28"/>
          <w:szCs w:val="28"/>
          <w:highlight w:val="none"/>
          <w:lang w:val="en-US" w:eastAsia="zh-CN" w:bidi="ar-SA"/>
        </w:rPr>
        <w:t>表3-7 风险调整值赋值表</w:t>
      </w:r>
    </w:p>
    <w:tbl>
      <w:tblPr>
        <w:tblStyle w:val="12"/>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752"/>
        <w:gridCol w:w="1614"/>
        <w:gridCol w:w="1718"/>
        <w:gridCol w:w="1719"/>
        <w:gridCol w:w="1719"/>
      </w:tblGrid>
      <w:tr w14:paraId="0AE0627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58" w:hRule="atLeast"/>
          <w:jc w:val="center"/>
        </w:trPr>
        <w:tc>
          <w:tcPr>
            <w:tcW w:w="1993" w:type="dxa"/>
            <w:noWrap w:val="0"/>
            <w:vAlign w:val="center"/>
          </w:tcPr>
          <w:p w14:paraId="60EDBEFC">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市场风险影响程度</w:t>
            </w:r>
          </w:p>
        </w:tc>
        <w:tc>
          <w:tcPr>
            <w:tcW w:w="1773" w:type="dxa"/>
            <w:noWrap w:val="0"/>
            <w:vAlign w:val="center"/>
          </w:tcPr>
          <w:p w14:paraId="01E2D5F9">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无影响（D）</w:t>
            </w:r>
          </w:p>
        </w:tc>
        <w:tc>
          <w:tcPr>
            <w:tcW w:w="1896" w:type="dxa"/>
            <w:noWrap w:val="0"/>
            <w:vAlign w:val="center"/>
          </w:tcPr>
          <w:p w14:paraId="3B49E496">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不严重（C）</w:t>
            </w:r>
          </w:p>
        </w:tc>
        <w:tc>
          <w:tcPr>
            <w:tcW w:w="1897" w:type="dxa"/>
            <w:noWrap w:val="0"/>
            <w:vAlign w:val="center"/>
          </w:tcPr>
          <w:p w14:paraId="6FAD0F6E">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较严重（B）</w:t>
            </w:r>
          </w:p>
        </w:tc>
        <w:tc>
          <w:tcPr>
            <w:tcW w:w="1897" w:type="dxa"/>
            <w:noWrap w:val="0"/>
            <w:vAlign w:val="center"/>
          </w:tcPr>
          <w:p w14:paraId="1DA4821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最严重（A）</w:t>
            </w:r>
          </w:p>
        </w:tc>
      </w:tr>
      <w:tr w14:paraId="3ECC9C2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67" w:hRule="atLeast"/>
          <w:jc w:val="center"/>
        </w:trPr>
        <w:tc>
          <w:tcPr>
            <w:tcW w:w="1993" w:type="dxa"/>
            <w:noWrap w:val="0"/>
            <w:vAlign w:val="center"/>
          </w:tcPr>
          <w:p w14:paraId="5FFA589B">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风险调整值</w:t>
            </w:r>
          </w:p>
        </w:tc>
        <w:tc>
          <w:tcPr>
            <w:tcW w:w="1773" w:type="dxa"/>
            <w:noWrap w:val="0"/>
            <w:vAlign w:val="center"/>
          </w:tcPr>
          <w:p w14:paraId="58AD00BC">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w:t>
            </w:r>
          </w:p>
        </w:tc>
        <w:tc>
          <w:tcPr>
            <w:tcW w:w="1896" w:type="dxa"/>
            <w:noWrap w:val="0"/>
            <w:vAlign w:val="center"/>
          </w:tcPr>
          <w:p w14:paraId="3D14D5EC">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1</w:t>
            </w:r>
            <w:r>
              <w:rPr>
                <w:rFonts w:hint="eastAsia" w:ascii="仿宋_GB2312" w:hAnsi="仿宋_GB2312" w:eastAsia="仿宋_GB2312" w:cs="仿宋_GB2312"/>
                <w:color w:val="000000" w:themeColor="text1"/>
                <w:sz w:val="21"/>
                <w:szCs w:val="21"/>
                <w:highlight w:val="none"/>
                <w14:textFill>
                  <w14:solidFill>
                    <w14:schemeClr w14:val="tx1"/>
                  </w14:solidFill>
                </w14:textFill>
              </w:rPr>
              <w:t>%</w:t>
            </w:r>
          </w:p>
        </w:tc>
        <w:tc>
          <w:tcPr>
            <w:tcW w:w="1897" w:type="dxa"/>
            <w:noWrap w:val="0"/>
            <w:vAlign w:val="center"/>
          </w:tcPr>
          <w:p w14:paraId="73E833BA">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4%</w:t>
            </w:r>
          </w:p>
        </w:tc>
        <w:tc>
          <w:tcPr>
            <w:tcW w:w="1897" w:type="dxa"/>
            <w:noWrap w:val="0"/>
            <w:vAlign w:val="center"/>
          </w:tcPr>
          <w:p w14:paraId="2F2FCDDD">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8%</w:t>
            </w:r>
          </w:p>
        </w:tc>
      </w:tr>
    </w:tbl>
    <w:p w14:paraId="3B8C566A">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 w:hAnsi="仿宋" w:eastAsia="仿宋"/>
          <w:sz w:val="28"/>
          <w:szCs w:val="28"/>
          <w:highlight w:val="none"/>
        </w:rPr>
      </w:pPr>
      <w:r>
        <w:rPr>
          <w:rFonts w:hint="eastAsia" w:ascii="仿宋_GB2312" w:hAnsi="仿宋_GB2312" w:eastAsia="仿宋_GB2312" w:cs="仿宋_GB2312"/>
          <w:bCs/>
          <w:sz w:val="28"/>
          <w:highlight w:val="none"/>
          <w:lang w:val="en-US" w:eastAsia="zh-CN"/>
        </w:rPr>
        <w:t>根据风险调整值赋值与道县风险因素、因子权重值，确定的道县风险调整值结果见下表。</w:t>
      </w:r>
    </w:p>
    <w:p w14:paraId="22C69091">
      <w:pPr>
        <w:spacing w:line="440" w:lineRule="exact"/>
        <w:ind w:firstLine="560" w:firstLineChars="200"/>
        <w:jc w:val="center"/>
        <w:rPr>
          <w:rFonts w:hint="eastAsia" w:ascii="仿宋" w:hAnsi="仿宋" w:eastAsia="仿宋"/>
          <w:sz w:val="24"/>
          <w:highlight w:val="none"/>
        </w:rPr>
      </w:pPr>
      <w:r>
        <w:rPr>
          <w:rFonts w:hint="eastAsia" w:ascii="仿宋" w:hAnsi="仿宋" w:eastAsia="仿宋" w:cs="仿宋"/>
          <w:snapToGrid w:val="0"/>
          <w:kern w:val="0"/>
          <w:sz w:val="28"/>
          <w:szCs w:val="28"/>
          <w:highlight w:val="none"/>
          <w:lang w:val="en-US" w:eastAsia="zh-CN" w:bidi="ar-SA"/>
        </w:rPr>
        <w:t>表3-8 道县土地市场风险调整值结果</w:t>
      </w:r>
    </w:p>
    <w:tbl>
      <w:tblPr>
        <w:tblStyle w:val="12"/>
        <w:tblW w:w="4999"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2423"/>
        <w:gridCol w:w="6097"/>
      </w:tblGrid>
      <w:tr w14:paraId="6993ECD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43" w:hRule="atLeast"/>
        </w:trPr>
        <w:tc>
          <w:tcPr>
            <w:tcW w:w="1422" w:type="pct"/>
            <w:noWrap w:val="0"/>
            <w:vAlign w:val="center"/>
          </w:tcPr>
          <w:p w14:paraId="11D41856">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土地市场</w:t>
            </w:r>
          </w:p>
        </w:tc>
        <w:tc>
          <w:tcPr>
            <w:tcW w:w="3577" w:type="pct"/>
            <w:noWrap w:val="0"/>
            <w:vAlign w:val="center"/>
          </w:tcPr>
          <w:p w14:paraId="4193E126">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住宅用地</w:t>
            </w:r>
          </w:p>
        </w:tc>
      </w:tr>
      <w:tr w14:paraId="0C07D84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96" w:hRule="atLeast"/>
        </w:trPr>
        <w:tc>
          <w:tcPr>
            <w:tcW w:w="1422" w:type="pct"/>
            <w:noWrap w:val="0"/>
            <w:vAlign w:val="center"/>
          </w:tcPr>
          <w:p w14:paraId="37FF24D0">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风险调整值</w:t>
            </w:r>
          </w:p>
        </w:tc>
        <w:tc>
          <w:tcPr>
            <w:tcW w:w="3577" w:type="pct"/>
            <w:noWrap w:val="0"/>
            <w:vAlign w:val="center"/>
          </w:tcPr>
          <w:p w14:paraId="071A234D">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0.3234×</w:t>
            </w: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4.25</w:t>
            </w:r>
            <w:r>
              <w:rPr>
                <w:rFonts w:hint="eastAsia" w:ascii="仿宋_GB2312" w:hAnsi="仿宋_GB2312" w:eastAsia="仿宋_GB2312" w:cs="仿宋_GB2312"/>
                <w:color w:val="000000" w:themeColor="text1"/>
                <w:sz w:val="21"/>
                <w:szCs w:val="21"/>
                <w:highlight w:val="none"/>
                <w14:textFill>
                  <w14:solidFill>
                    <w14:schemeClr w14:val="tx1"/>
                  </w14:solidFill>
                </w14:textFill>
              </w:rPr>
              <w:t>%＋0.3922×</w:t>
            </w: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4.25</w:t>
            </w:r>
            <w:r>
              <w:rPr>
                <w:rFonts w:hint="eastAsia" w:ascii="仿宋_GB2312" w:hAnsi="仿宋_GB2312" w:eastAsia="仿宋_GB2312" w:cs="仿宋_GB2312"/>
                <w:color w:val="000000" w:themeColor="text1"/>
                <w:sz w:val="21"/>
                <w:szCs w:val="21"/>
                <w:highlight w:val="none"/>
                <w14:textFill>
                  <w14:solidFill>
                    <w14:schemeClr w14:val="tx1"/>
                  </w14:solidFill>
                </w14:textFill>
              </w:rPr>
              <w:t>%＋0.2844×</w:t>
            </w: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8.00</w:t>
            </w:r>
            <w:r>
              <w:rPr>
                <w:rFonts w:hint="eastAsia" w:ascii="仿宋_GB2312" w:hAnsi="仿宋_GB2312" w:eastAsia="仿宋_GB2312" w:cs="仿宋_GB2312"/>
                <w:color w:val="000000" w:themeColor="text1"/>
                <w:sz w:val="21"/>
                <w:szCs w:val="21"/>
                <w:highlight w:val="none"/>
                <w14:textFill>
                  <w14:solidFill>
                    <w14:schemeClr w14:val="tx1"/>
                  </w14:solidFill>
                </w14:textFill>
              </w:rPr>
              <w:t>%＝</w:t>
            </w: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5.3</w:t>
            </w:r>
            <w:r>
              <w:rPr>
                <w:rFonts w:hint="eastAsia" w:ascii="仿宋_GB2312" w:hAnsi="仿宋_GB2312" w:eastAsia="仿宋_GB2312" w:cs="仿宋_GB2312"/>
                <w:color w:val="000000" w:themeColor="text1"/>
                <w:sz w:val="21"/>
                <w:szCs w:val="21"/>
                <w:highlight w:val="none"/>
                <w14:textFill>
                  <w14:solidFill>
                    <w14:schemeClr w14:val="tx1"/>
                  </w14:solidFill>
                </w14:textFill>
              </w:rPr>
              <w:t>%</w:t>
            </w:r>
          </w:p>
        </w:tc>
      </w:tr>
    </w:tbl>
    <w:p w14:paraId="56385451">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 w:hAnsi="仿宋" w:eastAsia="仿宋"/>
          <w:sz w:val="28"/>
          <w:szCs w:val="28"/>
          <w:highlight w:val="none"/>
        </w:rPr>
      </w:pPr>
      <w:r>
        <w:rPr>
          <w:rFonts w:hint="eastAsia" w:ascii="仿宋_GB2312" w:hAnsi="仿宋_GB2312" w:eastAsia="仿宋_GB2312" w:cs="仿宋_GB2312"/>
          <w:bCs/>
          <w:sz w:val="28"/>
          <w:highlight w:val="none"/>
          <w:lang w:val="en-US" w:eastAsia="zh-CN"/>
        </w:rPr>
        <w:t>④还原利率的确定</w:t>
      </w:r>
    </w:p>
    <w:p w14:paraId="10C85087">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lang w:val="en-US" w:eastAsia="zh-CN"/>
        </w:rPr>
      </w:pPr>
      <w:r>
        <w:rPr>
          <w:rFonts w:hint="eastAsia" w:ascii="仿宋_GB2312" w:hAnsi="仿宋_GB2312" w:eastAsia="仿宋_GB2312" w:cs="仿宋_GB2312"/>
          <w:bCs/>
          <w:sz w:val="28"/>
          <w:highlight w:val="none"/>
          <w:lang w:val="en-US" w:eastAsia="zh-CN"/>
        </w:rPr>
        <w:t>根据安全利率加风险调整值法确定还原利率的公式，由于前文已经确定了住宅用地的安全利率，因此，根据还原利率=安全利率+风险调整值。</w:t>
      </w:r>
    </w:p>
    <w:p w14:paraId="5480BB4E">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default" w:ascii="仿宋" w:hAnsi="仿宋" w:eastAsia="仿宋"/>
          <w:sz w:val="28"/>
          <w:szCs w:val="28"/>
          <w:highlight w:val="none"/>
          <w:lang w:val="en-US" w:eastAsia="zh-CN"/>
        </w:rPr>
      </w:pPr>
      <w:r>
        <w:rPr>
          <w:rFonts w:hint="eastAsia" w:ascii="仿宋_GB2312" w:hAnsi="仿宋_GB2312" w:eastAsia="仿宋_GB2312" w:cs="仿宋_GB2312"/>
          <w:bCs/>
          <w:sz w:val="28"/>
          <w:highlight w:val="none"/>
          <w:lang w:val="en-US" w:eastAsia="zh-CN"/>
        </w:rPr>
        <w:t>住宅用地还原利率＝1.16%＋5.3%≈6.5%</w:t>
      </w:r>
    </w:p>
    <w:p w14:paraId="1D426E9A">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000000" w:themeColor="text1"/>
          <w:sz w:val="28"/>
          <w:highlight w:val="none"/>
          <w:lang w:val="en-US"/>
          <w14:textFill>
            <w14:solidFill>
              <w14:schemeClr w14:val="tx1"/>
            </w14:solidFill>
          </w14:textFill>
        </w:rPr>
      </w:pPr>
      <w:r>
        <w:rPr>
          <w:rFonts w:hint="eastAsia" w:ascii="仿宋_GB2312" w:hAnsi="仿宋_GB2312" w:eastAsia="仿宋_GB2312" w:cs="仿宋_GB2312"/>
          <w:bCs/>
          <w:sz w:val="28"/>
          <w:highlight w:val="none"/>
          <w:lang w:val="en-US" w:eastAsia="zh-CN"/>
        </w:rPr>
        <w:t>则年期修正系数住宅用地=1-（1/（1+6.5%）</w:t>
      </w:r>
      <w:r>
        <w:rPr>
          <w:rFonts w:hint="eastAsia" w:ascii="仿宋_GB2312" w:hAnsi="仿宋_GB2312" w:eastAsia="仿宋_GB2312" w:cs="仿宋_GB2312"/>
          <w:bCs/>
          <w:sz w:val="28"/>
          <w:highlight w:val="none"/>
          <w:vertAlign w:val="superscript"/>
          <w:lang w:val="en-US" w:eastAsia="zh-CN"/>
        </w:rPr>
        <w:t>70</w:t>
      </w:r>
      <w:r>
        <w:rPr>
          <w:rFonts w:hint="eastAsia" w:ascii="仿宋_GB2312" w:hAnsi="仿宋_GB2312" w:eastAsia="仿宋_GB2312" w:cs="仿宋_GB2312"/>
          <w:bCs/>
          <w:sz w:val="28"/>
          <w:highlight w:val="none"/>
          <w:lang w:val="en-US" w:eastAsia="zh-CN"/>
        </w:rPr>
        <w:t>）=0.9878</w:t>
      </w:r>
    </w:p>
    <w:p w14:paraId="78C6835B">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8、区位修正系数</w:t>
      </w:r>
    </w:p>
    <w:p w14:paraId="67D898D9">
      <w:pPr>
        <w:keepNext w:val="0"/>
        <w:keepLines w:val="0"/>
        <w:pageBreakBefore w:val="0"/>
        <w:widowControl w:val="0"/>
        <w:kinsoku/>
        <w:wordWrap/>
        <w:overflowPunct/>
        <w:topLinePunct w:val="0"/>
        <w:autoSpaceDE/>
        <w:autoSpaceDN/>
        <w:bidi w:val="0"/>
        <w:adjustRightInd/>
        <w:snapToGrid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成本逼近法所评估的地价为估价对象所在区域的平均价格，因为宗地所具有的个别属性，所以宗地地价应该根据宗地所在区域内的位置和宗地自身条件，在平均价格的基础上进行个别因素修正。</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根据道县所在区域的特点，参照《城镇土地估价规程》提供的参考因素</w:t>
      </w:r>
      <w:r>
        <w:rPr>
          <w:rFonts w:hint="eastAsia" w:ascii="仿宋_GB2312" w:hAnsi="仿宋_GB2312" w:eastAsia="仿宋_GB2312" w:cs="仿宋_GB2312"/>
          <w:color w:val="000000" w:themeColor="text1"/>
          <w:sz w:val="28"/>
          <w:szCs w:val="28"/>
          <w:highlight w:val="none"/>
          <w14:textFill>
            <w14:solidFill>
              <w14:schemeClr w14:val="tx1"/>
            </w14:solidFill>
          </w14:textFill>
        </w:rPr>
        <w:t>，确定</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道县城区商服用地和住宅用地</w:t>
      </w:r>
      <w:r>
        <w:rPr>
          <w:rFonts w:hint="eastAsia" w:ascii="仿宋_GB2312" w:hAnsi="仿宋_GB2312" w:eastAsia="仿宋_GB2312" w:cs="仿宋_GB2312"/>
          <w:color w:val="000000" w:themeColor="text1"/>
          <w:sz w:val="28"/>
          <w:szCs w:val="28"/>
          <w:highlight w:val="none"/>
          <w14:textFill>
            <w14:solidFill>
              <w14:schemeClr w14:val="tx1"/>
            </w14:solidFill>
          </w14:textFill>
        </w:rPr>
        <w:t>的地价区域影响因素</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选择层次分析法（AHP法），运用yaahp软件进行测算，得到最终修正因素的权重。</w:t>
      </w:r>
      <w:r>
        <w:rPr>
          <w:rFonts w:hint="eastAsia" w:ascii="仿宋_GB2312" w:hAnsi="仿宋_GB2312" w:eastAsia="仿宋_GB2312" w:cs="仿宋_GB2312"/>
          <w:color w:val="000000" w:themeColor="text1"/>
          <w:sz w:val="28"/>
          <w:szCs w:val="28"/>
          <w:highlight w:val="none"/>
          <w14:textFill>
            <w14:solidFill>
              <w14:schemeClr w14:val="tx1"/>
            </w14:solidFill>
          </w14:textFill>
        </w:rPr>
        <w:t>具体如下表所示</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430E0463">
      <w:pPr>
        <w:jc w:val="center"/>
        <w:rPr>
          <w:rFonts w:hint="eastAsia" w:ascii="仿宋_GB2312" w:hAnsi="仿宋_GB2312" w:eastAsia="仿宋_GB2312" w:cs="仿宋_GB2312"/>
          <w:sz w:val="28"/>
          <w:highlight w:val="none"/>
        </w:rPr>
      </w:pPr>
      <w:r>
        <w:rPr>
          <w:rFonts w:hint="eastAsia" w:ascii="仿宋_GB2312" w:hAnsi="仿宋_GB2312" w:eastAsia="仿宋_GB2312" w:cs="仿宋_GB2312"/>
          <w:sz w:val="28"/>
          <w:highlight w:val="none"/>
        </w:rPr>
        <w:t>表</w:t>
      </w:r>
      <w:r>
        <w:rPr>
          <w:rFonts w:hint="eastAsia" w:ascii="仿宋_GB2312" w:hAnsi="仿宋_GB2312" w:eastAsia="仿宋_GB2312" w:cs="仿宋_GB2312"/>
          <w:sz w:val="28"/>
          <w:highlight w:val="none"/>
          <w:lang w:val="en-US" w:eastAsia="zh-CN"/>
        </w:rPr>
        <w:t>3-9</w:t>
      </w:r>
      <w:r>
        <w:rPr>
          <w:rFonts w:hint="eastAsia" w:ascii="仿宋_GB2312" w:hAnsi="仿宋_GB2312" w:eastAsia="仿宋_GB2312" w:cs="仿宋_GB2312"/>
          <w:sz w:val="28"/>
          <w:highlight w:val="none"/>
        </w:rPr>
        <w:t xml:space="preserve"> </w:t>
      </w:r>
      <w:r>
        <w:rPr>
          <w:rFonts w:hint="eastAsia" w:ascii="仿宋_GB2312" w:hAnsi="仿宋_GB2312" w:eastAsia="仿宋_GB2312" w:cs="仿宋_GB2312"/>
          <w:sz w:val="28"/>
          <w:highlight w:val="none"/>
          <w:lang w:val="en-US" w:eastAsia="zh-CN"/>
        </w:rPr>
        <w:t>道县城区城镇住宅</w:t>
      </w:r>
      <w:r>
        <w:rPr>
          <w:rFonts w:hint="eastAsia" w:ascii="仿宋_GB2312" w:hAnsi="仿宋_GB2312" w:eastAsia="仿宋_GB2312" w:cs="仿宋_GB2312"/>
          <w:sz w:val="28"/>
          <w:highlight w:val="none"/>
        </w:rPr>
        <w:t>用地宗地地价区域因素修正系数表（%）</w:t>
      </w:r>
    </w:p>
    <w:tbl>
      <w:tblPr>
        <w:tblStyle w:val="12"/>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58"/>
        <w:gridCol w:w="1067"/>
        <w:gridCol w:w="1067"/>
        <w:gridCol w:w="1067"/>
        <w:gridCol w:w="1067"/>
        <w:gridCol w:w="1067"/>
        <w:gridCol w:w="1526"/>
      </w:tblGrid>
      <w:tr w14:paraId="4C817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F65884">
            <w:pPr>
              <w:keepNext w:val="0"/>
              <w:keepLines w:val="0"/>
              <w:widowControl/>
              <w:suppressLineNumbers w:val="0"/>
              <w:jc w:val="center"/>
              <w:textAlignment w:val="center"/>
              <w:rPr>
                <w:rFonts w:ascii="仿宋_GB2312" w:hAnsi="宋体" w:eastAsia="仿宋_GB2312" w:cs="仿宋_GB2312"/>
                <w:b/>
                <w:bCs/>
                <w:i w:val="0"/>
                <w:iCs w:val="0"/>
                <w:color w:val="000000"/>
                <w:sz w:val="20"/>
                <w:szCs w:val="20"/>
                <w:u w:val="none"/>
              </w:rPr>
            </w:pPr>
            <w:r>
              <w:rPr>
                <w:rFonts w:hint="eastAsia" w:ascii="仿宋_GB2312" w:hAnsi="宋体" w:eastAsia="仿宋_GB2312" w:cs="仿宋_GB2312"/>
                <w:b/>
                <w:bCs/>
                <w:i w:val="0"/>
                <w:iCs w:val="0"/>
                <w:color w:val="000000"/>
                <w:kern w:val="0"/>
                <w:sz w:val="20"/>
                <w:szCs w:val="20"/>
                <w:u w:val="none"/>
                <w:lang w:val="en-US" w:eastAsia="zh-CN" w:bidi="ar"/>
              </w:rPr>
              <w:t>因素</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B4201F">
            <w:pPr>
              <w:keepNext w:val="0"/>
              <w:keepLines w:val="0"/>
              <w:widowControl/>
              <w:suppressLineNumbers w:val="0"/>
              <w:jc w:val="center"/>
              <w:textAlignment w:val="center"/>
              <w:rPr>
                <w:rFonts w:hint="eastAsia" w:ascii="仿宋_GB2312" w:hAnsi="宋体" w:eastAsia="仿宋_GB2312" w:cs="仿宋_GB2312"/>
                <w:b/>
                <w:bCs/>
                <w:i w:val="0"/>
                <w:iCs w:val="0"/>
                <w:color w:val="000000"/>
                <w:sz w:val="20"/>
                <w:szCs w:val="20"/>
                <w:u w:val="none"/>
              </w:rPr>
            </w:pPr>
            <w:r>
              <w:rPr>
                <w:rFonts w:hint="eastAsia" w:ascii="仿宋_GB2312" w:hAnsi="宋体" w:eastAsia="仿宋_GB2312" w:cs="仿宋_GB2312"/>
                <w:b/>
                <w:bCs/>
                <w:i w:val="0"/>
                <w:iCs w:val="0"/>
                <w:color w:val="000000"/>
                <w:kern w:val="0"/>
                <w:sz w:val="20"/>
                <w:szCs w:val="20"/>
                <w:u w:val="none"/>
                <w:lang w:val="en-US" w:eastAsia="zh-CN" w:bidi="ar"/>
              </w:rPr>
              <w:t>优</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7D4727">
            <w:pPr>
              <w:keepNext w:val="0"/>
              <w:keepLines w:val="0"/>
              <w:widowControl/>
              <w:suppressLineNumbers w:val="0"/>
              <w:jc w:val="center"/>
              <w:textAlignment w:val="center"/>
              <w:rPr>
                <w:rFonts w:hint="eastAsia" w:ascii="仿宋_GB2312" w:hAnsi="宋体" w:eastAsia="仿宋_GB2312" w:cs="仿宋_GB2312"/>
                <w:b/>
                <w:bCs/>
                <w:i w:val="0"/>
                <w:iCs w:val="0"/>
                <w:color w:val="000000"/>
                <w:sz w:val="20"/>
                <w:szCs w:val="20"/>
                <w:u w:val="none"/>
              </w:rPr>
            </w:pPr>
            <w:r>
              <w:rPr>
                <w:rFonts w:hint="eastAsia" w:ascii="仿宋_GB2312" w:hAnsi="宋体" w:eastAsia="仿宋_GB2312" w:cs="仿宋_GB2312"/>
                <w:b/>
                <w:bCs/>
                <w:i w:val="0"/>
                <w:iCs w:val="0"/>
                <w:color w:val="000000"/>
                <w:kern w:val="0"/>
                <w:sz w:val="20"/>
                <w:szCs w:val="20"/>
                <w:u w:val="none"/>
                <w:lang w:val="en-US" w:eastAsia="zh-CN" w:bidi="ar"/>
              </w:rPr>
              <w:t>较优</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666B26">
            <w:pPr>
              <w:keepNext w:val="0"/>
              <w:keepLines w:val="0"/>
              <w:widowControl/>
              <w:suppressLineNumbers w:val="0"/>
              <w:jc w:val="center"/>
              <w:textAlignment w:val="center"/>
              <w:rPr>
                <w:rFonts w:hint="eastAsia" w:ascii="仿宋_GB2312" w:hAnsi="宋体" w:eastAsia="仿宋_GB2312" w:cs="仿宋_GB2312"/>
                <w:b/>
                <w:bCs/>
                <w:i w:val="0"/>
                <w:iCs w:val="0"/>
                <w:color w:val="000000"/>
                <w:sz w:val="20"/>
                <w:szCs w:val="20"/>
                <w:u w:val="none"/>
              </w:rPr>
            </w:pPr>
            <w:r>
              <w:rPr>
                <w:rFonts w:hint="eastAsia" w:ascii="仿宋_GB2312" w:hAnsi="宋体" w:eastAsia="仿宋_GB2312" w:cs="仿宋_GB2312"/>
                <w:b/>
                <w:bCs/>
                <w:i w:val="0"/>
                <w:iCs w:val="0"/>
                <w:color w:val="000000"/>
                <w:kern w:val="0"/>
                <w:sz w:val="20"/>
                <w:szCs w:val="20"/>
                <w:u w:val="none"/>
                <w:lang w:val="en-US" w:eastAsia="zh-CN" w:bidi="ar"/>
              </w:rPr>
              <w:t>一般</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A5CF27">
            <w:pPr>
              <w:keepNext w:val="0"/>
              <w:keepLines w:val="0"/>
              <w:widowControl/>
              <w:suppressLineNumbers w:val="0"/>
              <w:jc w:val="center"/>
              <w:textAlignment w:val="center"/>
              <w:rPr>
                <w:rFonts w:hint="eastAsia" w:ascii="仿宋_GB2312" w:hAnsi="宋体" w:eastAsia="仿宋_GB2312" w:cs="仿宋_GB2312"/>
                <w:b/>
                <w:bCs/>
                <w:i w:val="0"/>
                <w:iCs w:val="0"/>
                <w:color w:val="000000"/>
                <w:sz w:val="20"/>
                <w:szCs w:val="20"/>
                <w:u w:val="none"/>
              </w:rPr>
            </w:pPr>
            <w:r>
              <w:rPr>
                <w:rFonts w:hint="eastAsia" w:ascii="仿宋_GB2312" w:hAnsi="宋体" w:eastAsia="仿宋_GB2312" w:cs="仿宋_GB2312"/>
                <w:b/>
                <w:bCs/>
                <w:i w:val="0"/>
                <w:iCs w:val="0"/>
                <w:color w:val="000000"/>
                <w:kern w:val="0"/>
                <w:sz w:val="20"/>
                <w:szCs w:val="20"/>
                <w:u w:val="none"/>
                <w:lang w:val="en-US" w:eastAsia="zh-CN" w:bidi="ar"/>
              </w:rPr>
              <w:t>较劣</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C4F335">
            <w:pPr>
              <w:keepNext w:val="0"/>
              <w:keepLines w:val="0"/>
              <w:widowControl/>
              <w:suppressLineNumbers w:val="0"/>
              <w:jc w:val="center"/>
              <w:textAlignment w:val="center"/>
              <w:rPr>
                <w:rFonts w:hint="eastAsia" w:ascii="仿宋_GB2312" w:hAnsi="宋体" w:eastAsia="仿宋_GB2312" w:cs="仿宋_GB2312"/>
                <w:b/>
                <w:bCs/>
                <w:i w:val="0"/>
                <w:iCs w:val="0"/>
                <w:color w:val="000000"/>
                <w:sz w:val="20"/>
                <w:szCs w:val="20"/>
                <w:u w:val="none"/>
              </w:rPr>
            </w:pPr>
            <w:r>
              <w:rPr>
                <w:rFonts w:hint="eastAsia" w:ascii="仿宋_GB2312" w:hAnsi="宋体" w:eastAsia="仿宋_GB2312" w:cs="仿宋_GB2312"/>
                <w:b/>
                <w:bCs/>
                <w:i w:val="0"/>
                <w:iCs w:val="0"/>
                <w:color w:val="000000"/>
                <w:kern w:val="0"/>
                <w:sz w:val="20"/>
                <w:szCs w:val="20"/>
                <w:u w:val="none"/>
                <w:lang w:val="en-US" w:eastAsia="zh-CN" w:bidi="ar"/>
              </w:rPr>
              <w:t>劣</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6CD6B4">
            <w:pPr>
              <w:keepNext w:val="0"/>
              <w:keepLines w:val="0"/>
              <w:widowControl/>
              <w:suppressLineNumbers w:val="0"/>
              <w:jc w:val="center"/>
              <w:textAlignment w:val="center"/>
              <w:rPr>
                <w:rFonts w:hint="eastAsia" w:ascii="仿宋_GB2312" w:hAnsi="宋体" w:eastAsia="仿宋_GB2312" w:cs="仿宋_GB2312"/>
                <w:b/>
                <w:bCs/>
                <w:i w:val="0"/>
                <w:iCs w:val="0"/>
                <w:color w:val="000000"/>
                <w:sz w:val="20"/>
                <w:szCs w:val="20"/>
                <w:u w:val="none"/>
              </w:rPr>
            </w:pPr>
            <w:r>
              <w:rPr>
                <w:rFonts w:hint="eastAsia" w:ascii="仿宋_GB2312" w:hAnsi="宋体" w:eastAsia="仿宋_GB2312" w:cs="仿宋_GB2312"/>
                <w:b/>
                <w:bCs/>
                <w:i w:val="0"/>
                <w:iCs w:val="0"/>
                <w:color w:val="000000"/>
                <w:kern w:val="0"/>
                <w:sz w:val="20"/>
                <w:szCs w:val="20"/>
                <w:u w:val="none"/>
                <w:lang w:val="en-US" w:eastAsia="zh-CN" w:bidi="ar"/>
              </w:rPr>
              <w:t>等级修正幅度</w:t>
            </w:r>
          </w:p>
        </w:tc>
      </w:tr>
      <w:tr w14:paraId="2AD74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D144AC">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距汽车站的距离</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AD04C0">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近</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458F13">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较近</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C23DC7">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一般</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7CA226">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较远</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491E88">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远</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03F093">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2%</w:t>
            </w:r>
          </w:p>
        </w:tc>
      </w:tr>
      <w:tr w14:paraId="18E063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8FD730">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距火车站距离</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7EED82">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近</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6F1C19">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较近</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8CED3C">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一般</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0F88EF">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较远</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3D40DD">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远</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D5F08E">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2%</w:t>
            </w:r>
          </w:p>
        </w:tc>
      </w:tr>
      <w:tr w14:paraId="089B7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31803F">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距商服中心距离</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17D8FC">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近</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2958EF">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较近</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3287F7">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一般</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196126">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较远</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2D8D02">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远</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D8B8E6">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2%</w:t>
            </w:r>
          </w:p>
        </w:tc>
      </w:tr>
      <w:tr w14:paraId="16D66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0E2B9F">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临路类型</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A7CF20">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混合型主干道</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52EB2C">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生活型主干道</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8ED925">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交通型主道</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9FB026">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交通次主道</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99F451">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支路</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1434E4">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2%</w:t>
            </w:r>
          </w:p>
        </w:tc>
      </w:tr>
      <w:tr w14:paraId="629AC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173ABA">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路网密度</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3CBFA9">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高</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C98763">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较高</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5DA943">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一般</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564CD6">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较低</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F992D0">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低</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CC3FCB">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2%</w:t>
            </w:r>
          </w:p>
        </w:tc>
      </w:tr>
      <w:tr w14:paraId="62EAA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0B11AA">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对外交通便利度</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379A05">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便利</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49CF84">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较便利</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8DDD96">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一般便利</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8646FE">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较不便利</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C1EA39">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不便利</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C888FC">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3%</w:t>
            </w:r>
          </w:p>
        </w:tc>
      </w:tr>
      <w:tr w14:paraId="7485B9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4CE051">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环境质量优劣度</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4B1A95">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优</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33AB7F">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较优</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4CDAEB">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一般</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C93DF6">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较劣</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B1FF25">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劣</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D796EB">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3%</w:t>
            </w:r>
          </w:p>
        </w:tc>
      </w:tr>
      <w:tr w14:paraId="6DC49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DD6C64">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人口密度</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7689B3">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密集</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AAC78E">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较密集</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C934B6">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一般</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58D16A">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较稀疏</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15EFEF">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稀疏</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E9AEFE">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2%</w:t>
            </w:r>
          </w:p>
        </w:tc>
      </w:tr>
      <w:tr w14:paraId="10B75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5D7BDE">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基础设施完善度</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8C6AE0">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完善</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0AC3EB">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较完善</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ED1281">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一般完善</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B76293">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较不完善</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E29C48">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不完善</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F458FB">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3%</w:t>
            </w:r>
          </w:p>
        </w:tc>
      </w:tr>
      <w:tr w14:paraId="248D1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F773CA">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地形状况</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3B3D75">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平坦</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2DFACC">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较平坦</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F20761">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基本平坦</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2346D3">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较不平坦</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10DB44">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不平坦</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D267A8">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1%</w:t>
            </w:r>
          </w:p>
        </w:tc>
      </w:tr>
      <w:tr w14:paraId="3915A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18EC8D">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宗地面积</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512595">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适中</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7A1F6A">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面积较大</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E650F4">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面积一般</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15E32E">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面积较小</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17B0CD">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面积小</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9F136C">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1%</w:t>
            </w:r>
          </w:p>
        </w:tc>
      </w:tr>
      <w:tr w14:paraId="61F65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D57E62">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宗地形状</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EEDB86">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规则</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AB8E40">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较规则</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7F5861">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基本规则</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5D02D0">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较不规则</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1D41D4">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不规则</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6E266A">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1%</w:t>
            </w:r>
          </w:p>
        </w:tc>
      </w:tr>
    </w:tbl>
    <w:p w14:paraId="2073112B">
      <w:pPr>
        <w:pStyle w:val="4"/>
        <w:jc w:val="center"/>
        <w:outlineLvl w:val="9"/>
        <w:rPr>
          <w:rFonts w:ascii="仿宋_GB2312" w:eastAsia="仿宋_GB2312"/>
          <w:sz w:val="28"/>
          <w:szCs w:val="28"/>
          <w:highlight w:val="none"/>
        </w:rPr>
      </w:pPr>
      <w:r>
        <w:rPr>
          <w:rFonts w:hint="eastAsia" w:ascii="仿宋_GB2312" w:eastAsia="仿宋_GB2312"/>
          <w:sz w:val="28"/>
          <w:szCs w:val="28"/>
          <w:highlight w:val="none"/>
        </w:rPr>
        <w:t>表</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10</w:t>
      </w:r>
      <w:r>
        <w:rPr>
          <w:rFonts w:hint="eastAsia" w:ascii="仿宋_GB2312" w:eastAsia="仿宋_GB2312"/>
          <w:sz w:val="28"/>
          <w:szCs w:val="28"/>
          <w:highlight w:val="none"/>
        </w:rPr>
        <w:t xml:space="preserve"> 宗地地价影响因素条件说明、修正系数表</w:t>
      </w:r>
    </w:p>
    <w:tbl>
      <w:tblPr>
        <w:tblStyle w:val="12"/>
        <w:tblW w:w="498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449"/>
        <w:gridCol w:w="3216"/>
        <w:gridCol w:w="1415"/>
        <w:gridCol w:w="1416"/>
      </w:tblGrid>
      <w:tr w14:paraId="3B117A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1706" w:type="pct"/>
            <w:tcBorders>
              <w:top w:val="single" w:color="000000" w:sz="4" w:space="0"/>
              <w:left w:val="single" w:color="000000" w:sz="4" w:space="0"/>
              <w:bottom w:val="single" w:color="000000" w:sz="4" w:space="0"/>
              <w:right w:val="single" w:color="000000" w:sz="4" w:space="0"/>
              <w:tl2br w:val="nil"/>
            </w:tcBorders>
            <w:shd w:val="clear" w:color="auto" w:fill="FFFFFF"/>
            <w:noWrap/>
            <w:vAlign w:val="center"/>
          </w:tcPr>
          <w:p w14:paraId="44B81285">
            <w:pPr>
              <w:keepNext w:val="0"/>
              <w:keepLines w:val="0"/>
              <w:widowControl/>
              <w:suppressLineNumbers w:val="0"/>
              <w:jc w:val="center"/>
              <w:textAlignment w:val="center"/>
              <w:rPr>
                <w:rFonts w:hint="eastAsia" w:ascii="仿宋_GB2312" w:hAnsi="仿宋_GB2312" w:eastAsia="仿宋_GB2312" w:cs="仿宋_GB2312"/>
                <w:b w:val="0"/>
                <w:bCs/>
                <w:i w:val="0"/>
                <w:iCs w:val="0"/>
                <w:color w:val="000000"/>
                <w:sz w:val="20"/>
                <w:szCs w:val="20"/>
                <w:u w:val="none"/>
              </w:rPr>
            </w:pPr>
            <w:r>
              <w:rPr>
                <w:rFonts w:hint="eastAsia" w:ascii="仿宋_GB2312" w:hAnsi="仿宋_GB2312" w:eastAsia="仿宋_GB2312" w:cs="仿宋_GB2312"/>
                <w:b w:val="0"/>
                <w:bCs/>
                <w:i w:val="0"/>
                <w:iCs w:val="0"/>
                <w:color w:val="000000"/>
                <w:kern w:val="0"/>
                <w:sz w:val="20"/>
                <w:szCs w:val="20"/>
                <w:u w:val="none"/>
                <w:lang w:val="en-US" w:eastAsia="zh-CN" w:bidi="ar"/>
              </w:rPr>
              <w:t>因素</w:t>
            </w:r>
          </w:p>
        </w:tc>
        <w:tc>
          <w:tcPr>
            <w:tcW w:w="109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A924176">
            <w:pPr>
              <w:keepNext w:val="0"/>
              <w:keepLines w:val="0"/>
              <w:widowControl/>
              <w:suppressLineNumbers w:val="0"/>
              <w:jc w:val="center"/>
              <w:textAlignment w:val="center"/>
              <w:rPr>
                <w:rFonts w:hint="eastAsia" w:ascii="仿宋_GB2312" w:hAnsi="仿宋_GB2312" w:eastAsia="仿宋_GB2312" w:cs="仿宋_GB2312"/>
                <w:b w:val="0"/>
                <w:bCs/>
                <w:i w:val="0"/>
                <w:iCs w:val="0"/>
                <w:color w:val="000000"/>
                <w:sz w:val="20"/>
                <w:szCs w:val="20"/>
                <w:u w:val="none"/>
              </w:rPr>
            </w:pPr>
            <w:r>
              <w:rPr>
                <w:rFonts w:hint="eastAsia" w:ascii="仿宋_GB2312" w:hAnsi="仿宋_GB2312" w:eastAsia="仿宋_GB2312" w:cs="仿宋_GB2312"/>
                <w:b w:val="0"/>
                <w:bCs/>
                <w:i w:val="0"/>
                <w:iCs w:val="0"/>
                <w:color w:val="000000"/>
                <w:kern w:val="0"/>
                <w:sz w:val="20"/>
                <w:szCs w:val="20"/>
                <w:u w:val="none"/>
                <w:lang w:val="en-US" w:eastAsia="zh-CN" w:bidi="ar"/>
              </w:rPr>
              <w:t>因素说明</w:t>
            </w:r>
          </w:p>
        </w:tc>
        <w:tc>
          <w:tcPr>
            <w:tcW w:w="109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E8F5E2">
            <w:pPr>
              <w:keepNext w:val="0"/>
              <w:keepLines w:val="0"/>
              <w:widowControl/>
              <w:suppressLineNumbers w:val="0"/>
              <w:jc w:val="center"/>
              <w:textAlignment w:val="center"/>
              <w:rPr>
                <w:rFonts w:hint="eastAsia" w:ascii="仿宋_GB2312" w:hAnsi="仿宋_GB2312" w:eastAsia="仿宋_GB2312" w:cs="仿宋_GB2312"/>
                <w:b w:val="0"/>
                <w:bCs/>
                <w:i w:val="0"/>
                <w:iCs w:val="0"/>
                <w:color w:val="000000"/>
                <w:sz w:val="20"/>
                <w:szCs w:val="20"/>
                <w:u w:val="none"/>
              </w:rPr>
            </w:pPr>
            <w:r>
              <w:rPr>
                <w:rFonts w:hint="eastAsia" w:ascii="仿宋_GB2312" w:hAnsi="仿宋_GB2312" w:eastAsia="仿宋_GB2312" w:cs="仿宋_GB2312"/>
                <w:b w:val="0"/>
                <w:bCs/>
                <w:i w:val="0"/>
                <w:iCs w:val="0"/>
                <w:color w:val="000000"/>
                <w:kern w:val="0"/>
                <w:sz w:val="20"/>
                <w:szCs w:val="20"/>
                <w:u w:val="none"/>
                <w:lang w:val="en-US" w:eastAsia="zh-CN" w:bidi="ar"/>
              </w:rPr>
              <w:t>因素优劣度</w:t>
            </w:r>
          </w:p>
        </w:tc>
        <w:tc>
          <w:tcPr>
            <w:tcW w:w="109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7A3F63">
            <w:pPr>
              <w:keepNext w:val="0"/>
              <w:keepLines w:val="0"/>
              <w:widowControl/>
              <w:suppressLineNumbers w:val="0"/>
              <w:jc w:val="center"/>
              <w:textAlignment w:val="center"/>
              <w:rPr>
                <w:rFonts w:hint="eastAsia" w:ascii="仿宋_GB2312" w:hAnsi="仿宋_GB2312" w:eastAsia="仿宋_GB2312" w:cs="仿宋_GB2312"/>
                <w:b w:val="0"/>
                <w:bCs/>
                <w:i w:val="0"/>
                <w:iCs w:val="0"/>
                <w:color w:val="000000"/>
                <w:sz w:val="20"/>
                <w:szCs w:val="20"/>
                <w:u w:val="none"/>
              </w:rPr>
            </w:pPr>
            <w:r>
              <w:rPr>
                <w:rFonts w:hint="eastAsia" w:ascii="仿宋_GB2312" w:hAnsi="仿宋_GB2312" w:eastAsia="仿宋_GB2312" w:cs="仿宋_GB2312"/>
                <w:b w:val="0"/>
                <w:bCs/>
                <w:i w:val="0"/>
                <w:iCs w:val="0"/>
                <w:color w:val="000000"/>
                <w:kern w:val="0"/>
                <w:sz w:val="20"/>
                <w:szCs w:val="20"/>
                <w:u w:val="none"/>
                <w:lang w:val="en-US" w:eastAsia="zh-CN" w:bidi="ar"/>
              </w:rPr>
              <w:t>因素修正</w:t>
            </w:r>
          </w:p>
        </w:tc>
      </w:tr>
      <w:tr w14:paraId="2A343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1" w:hRule="atLeast"/>
        </w:trPr>
        <w:tc>
          <w:tcPr>
            <w:tcW w:w="1706"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522B2D1">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距汽车站的距离</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D7E661A">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距道州新车站680米，距离较近</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B530A07">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较优</w:t>
            </w:r>
          </w:p>
        </w:tc>
        <w:tc>
          <w:tcPr>
            <w:tcW w:w="109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0B8CFD9">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2%</w:t>
            </w:r>
          </w:p>
        </w:tc>
      </w:tr>
      <w:tr w14:paraId="389CC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1" w:hRule="atLeast"/>
        </w:trPr>
        <w:tc>
          <w:tcPr>
            <w:tcW w:w="1706"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0AE40F4">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距火车站距离</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A0DB5E">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距道州站1500米，距离较远</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63346EC">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较劣</w:t>
            </w:r>
          </w:p>
        </w:tc>
        <w:tc>
          <w:tcPr>
            <w:tcW w:w="109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3BFE7A2">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-2%</w:t>
            </w:r>
          </w:p>
        </w:tc>
      </w:tr>
      <w:tr w14:paraId="15067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1" w:hRule="atLeast"/>
        </w:trPr>
        <w:tc>
          <w:tcPr>
            <w:tcW w:w="1706"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B36B728">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距商服中心距离</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68A54FC">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距道州商业广场890米，距离较近</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E80FCF1">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较优</w:t>
            </w:r>
          </w:p>
        </w:tc>
        <w:tc>
          <w:tcPr>
            <w:tcW w:w="109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FE7CE2D">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4%</w:t>
            </w:r>
          </w:p>
        </w:tc>
      </w:tr>
      <w:tr w14:paraId="68285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170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2FD5BA">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临路类型</w:t>
            </w:r>
          </w:p>
        </w:tc>
        <w:tc>
          <w:tcPr>
            <w:tcW w:w="109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70A264">
            <w:pPr>
              <w:keepNext w:val="0"/>
              <w:keepLines w:val="0"/>
              <w:widowControl/>
              <w:suppressLineNumbers w:val="0"/>
              <w:jc w:val="center"/>
              <w:textAlignment w:val="center"/>
              <w:rPr>
                <w:rFonts w:hint="default" w:ascii="仿宋_GB2312" w:hAnsi="仿宋_GB2312" w:eastAsia="仿宋_GB2312" w:cs="仿宋_GB2312"/>
                <w:b w:val="0"/>
                <w:i w:val="0"/>
                <w:iCs w:val="0"/>
                <w:color w:val="000000"/>
                <w:sz w:val="20"/>
                <w:szCs w:val="20"/>
                <w:u w:val="none"/>
                <w:lang w:val="en-US"/>
              </w:rPr>
            </w:pPr>
            <w:r>
              <w:rPr>
                <w:rFonts w:hint="eastAsia" w:ascii="仿宋_GB2312" w:hAnsi="仿宋_GB2312" w:eastAsia="仿宋_GB2312" w:cs="仿宋_GB2312"/>
                <w:b w:val="0"/>
                <w:i w:val="0"/>
                <w:iCs w:val="0"/>
                <w:color w:val="000000"/>
                <w:kern w:val="0"/>
                <w:sz w:val="20"/>
                <w:szCs w:val="20"/>
                <w:u w:val="none"/>
                <w:lang w:val="en-US" w:eastAsia="zh-CN" w:bidi="ar"/>
              </w:rPr>
              <w:t>临支路鹭鸶塘路</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FB26ECC">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劣</w:t>
            </w:r>
          </w:p>
        </w:tc>
        <w:tc>
          <w:tcPr>
            <w:tcW w:w="109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682ABDC">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-4%</w:t>
            </w:r>
          </w:p>
        </w:tc>
      </w:tr>
      <w:tr w14:paraId="665EB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1" w:hRule="atLeast"/>
        </w:trPr>
        <w:tc>
          <w:tcPr>
            <w:tcW w:w="1706"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81A8E6">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路网密度</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A9E24B7">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较高</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1951E3B">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较优</w:t>
            </w:r>
          </w:p>
        </w:tc>
        <w:tc>
          <w:tcPr>
            <w:tcW w:w="109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FB1B764">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2%</w:t>
            </w:r>
          </w:p>
        </w:tc>
      </w:tr>
      <w:tr w14:paraId="1C581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1" w:hRule="atLeast"/>
        </w:trPr>
        <w:tc>
          <w:tcPr>
            <w:tcW w:w="170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734519D">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对外交通便利度</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4F9D85">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较便利</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B403BEB">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较优</w:t>
            </w:r>
          </w:p>
        </w:tc>
        <w:tc>
          <w:tcPr>
            <w:tcW w:w="109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C9A57D8">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3%</w:t>
            </w:r>
          </w:p>
        </w:tc>
      </w:tr>
      <w:tr w14:paraId="1602E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1" w:hRule="atLeast"/>
        </w:trPr>
        <w:tc>
          <w:tcPr>
            <w:tcW w:w="170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E5FA80">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环境质量优劣度</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EE4A5A5">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较优</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2A149CE">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较优</w:t>
            </w:r>
          </w:p>
        </w:tc>
        <w:tc>
          <w:tcPr>
            <w:tcW w:w="109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B27C186">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3%</w:t>
            </w:r>
          </w:p>
        </w:tc>
      </w:tr>
      <w:tr w14:paraId="58FFA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1" w:hRule="atLeast"/>
        </w:trPr>
        <w:tc>
          <w:tcPr>
            <w:tcW w:w="170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FF4EC4">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人口密度</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1939674">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较密集</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22C77C">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较优</w:t>
            </w:r>
          </w:p>
        </w:tc>
        <w:tc>
          <w:tcPr>
            <w:tcW w:w="109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4DDA37C">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2%</w:t>
            </w:r>
          </w:p>
        </w:tc>
      </w:tr>
      <w:tr w14:paraId="1D2C6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1" w:hRule="atLeast"/>
        </w:trPr>
        <w:tc>
          <w:tcPr>
            <w:tcW w:w="170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FD05AC">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基础设施完善度</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8D84358">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较完善</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653C5D1">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较优</w:t>
            </w:r>
          </w:p>
        </w:tc>
        <w:tc>
          <w:tcPr>
            <w:tcW w:w="109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EC9D5D3">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3%</w:t>
            </w:r>
          </w:p>
        </w:tc>
      </w:tr>
      <w:tr w14:paraId="20E0E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1" w:hRule="atLeast"/>
        </w:trPr>
        <w:tc>
          <w:tcPr>
            <w:tcW w:w="170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3E4FC5A">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地形状况</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0C6B7D">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较平坦</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DFF475">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较优</w:t>
            </w:r>
          </w:p>
        </w:tc>
        <w:tc>
          <w:tcPr>
            <w:tcW w:w="109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4779430">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1%</w:t>
            </w:r>
          </w:p>
        </w:tc>
      </w:tr>
      <w:tr w14:paraId="115C7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1" w:hRule="atLeast"/>
        </w:trPr>
        <w:tc>
          <w:tcPr>
            <w:tcW w:w="170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6EDF939">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宗地面积</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B9F75E3">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面积较小</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695851F">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较劣</w:t>
            </w:r>
          </w:p>
        </w:tc>
        <w:tc>
          <w:tcPr>
            <w:tcW w:w="109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BD2DC69">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-2%</w:t>
            </w:r>
          </w:p>
        </w:tc>
      </w:tr>
      <w:tr w14:paraId="34842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1" w:hRule="atLeast"/>
        </w:trPr>
        <w:tc>
          <w:tcPr>
            <w:tcW w:w="170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18ED3C5">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宗地形状</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94C3CF">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较不规则</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FEE06AF">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较劣</w:t>
            </w:r>
          </w:p>
        </w:tc>
        <w:tc>
          <w:tcPr>
            <w:tcW w:w="109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2402338">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-2%</w:t>
            </w:r>
          </w:p>
        </w:tc>
      </w:tr>
      <w:tr w14:paraId="403CD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7" w:hRule="atLeast"/>
        </w:trPr>
        <w:tc>
          <w:tcPr>
            <w:tcW w:w="170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F1A7986">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合计</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B0E40BA">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154F00">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w:t>
            </w:r>
          </w:p>
        </w:tc>
        <w:tc>
          <w:tcPr>
            <w:tcW w:w="109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B16D6B">
            <w:pPr>
              <w:keepNext w:val="0"/>
              <w:keepLines w:val="0"/>
              <w:widowControl/>
              <w:suppressLineNumbers w:val="0"/>
              <w:jc w:val="center"/>
              <w:textAlignment w:val="center"/>
              <w:rPr>
                <w:rFonts w:hint="eastAsia" w:ascii="仿宋_GB2312" w:hAnsi="仿宋_GB2312" w:eastAsia="仿宋_GB2312" w:cs="仿宋_GB2312"/>
                <w:b w:val="0"/>
                <w:bCs/>
                <w:i w:val="0"/>
                <w:iCs w:val="0"/>
                <w:color w:val="000000"/>
                <w:sz w:val="20"/>
                <w:szCs w:val="20"/>
                <w:u w:val="none"/>
              </w:rPr>
            </w:pPr>
            <w:r>
              <w:rPr>
                <w:rFonts w:hint="eastAsia" w:ascii="仿宋_GB2312" w:hAnsi="仿宋_GB2312" w:eastAsia="仿宋_GB2312" w:cs="仿宋_GB2312"/>
                <w:b w:val="0"/>
                <w:bCs/>
                <w:i w:val="0"/>
                <w:iCs w:val="0"/>
                <w:color w:val="000000"/>
                <w:kern w:val="0"/>
                <w:sz w:val="20"/>
                <w:szCs w:val="20"/>
                <w:u w:val="none"/>
                <w:lang w:val="en-US" w:eastAsia="zh-CN" w:bidi="ar"/>
              </w:rPr>
              <w:t>10%</w:t>
            </w:r>
          </w:p>
        </w:tc>
      </w:tr>
    </w:tbl>
    <w:p w14:paraId="39ABDD8D">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lang w:val="en-US" w:eastAsia="zh-CN"/>
        </w:rPr>
      </w:pPr>
      <w:r>
        <w:rPr>
          <w:rFonts w:hint="eastAsia" w:ascii="仿宋_GB2312" w:hAnsi="仿宋_GB2312" w:eastAsia="仿宋_GB2312" w:cs="仿宋_GB2312"/>
          <w:sz w:val="28"/>
          <w:highlight w:val="none"/>
        </w:rPr>
        <w:t>根据上述修正过程，确定区位条件修正系数为</w:t>
      </w:r>
      <w:r>
        <w:rPr>
          <w:rFonts w:hint="eastAsia" w:ascii="仿宋_GB2312" w:hAnsi="仿宋_GB2312" w:eastAsia="仿宋_GB2312" w:cs="仿宋_GB2312"/>
          <w:sz w:val="28"/>
          <w:highlight w:val="none"/>
          <w:lang w:val="en-US" w:eastAsia="zh-CN"/>
        </w:rPr>
        <w:t>10%</w:t>
      </w:r>
      <w:r>
        <w:rPr>
          <w:rFonts w:hint="eastAsia" w:ascii="仿宋_GB2312" w:hAnsi="仿宋_GB2312" w:eastAsia="仿宋_GB2312" w:cs="仿宋_GB2312"/>
          <w:sz w:val="28"/>
          <w:highlight w:val="none"/>
        </w:rPr>
        <w:t>。</w:t>
      </w:r>
    </w:p>
    <w:p w14:paraId="3D274630">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rPr>
      </w:pPr>
      <w:r>
        <w:rPr>
          <w:rFonts w:hint="eastAsia" w:ascii="仿宋_GB2312" w:hAnsi="仿宋_GB2312" w:eastAsia="仿宋_GB2312" w:cs="仿宋_GB2312"/>
          <w:bCs/>
          <w:sz w:val="28"/>
          <w:highlight w:val="none"/>
          <w:lang w:val="en-US" w:eastAsia="zh-CN"/>
        </w:rPr>
        <w:t>9</w:t>
      </w:r>
      <w:r>
        <w:rPr>
          <w:rFonts w:hint="eastAsia" w:ascii="仿宋_GB2312" w:hAnsi="仿宋_GB2312" w:eastAsia="仿宋_GB2312" w:cs="仿宋_GB2312"/>
          <w:bCs/>
          <w:sz w:val="28"/>
          <w:highlight w:val="none"/>
        </w:rPr>
        <w:t>、成本逼近法价格计算</w:t>
      </w:r>
    </w:p>
    <w:p w14:paraId="401DF346">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rPr>
      </w:pPr>
      <w:r>
        <w:rPr>
          <w:rFonts w:hint="eastAsia" w:ascii="仿宋_GB2312" w:hAnsi="仿宋_GB2312" w:eastAsia="仿宋_GB2312" w:cs="仿宋_GB2312"/>
          <w:bCs/>
          <w:sz w:val="28"/>
          <w:highlight w:val="none"/>
        </w:rPr>
        <w:t>P=</w:t>
      </w:r>
      <w:r>
        <w:rPr>
          <w:rFonts w:hint="eastAsia" w:ascii="仿宋_GB2312" w:hAnsi="仿宋_GB2312" w:eastAsia="仿宋_GB2312" w:cs="仿宋_GB2312"/>
          <w:color w:val="000000"/>
          <w:sz w:val="28"/>
          <w:highlight w:val="none"/>
        </w:rPr>
        <w:t>（土地取得费+相关税费+土地开发费+投资利息+投资利润</w:t>
      </w:r>
      <w:r>
        <w:rPr>
          <w:rFonts w:hint="eastAsia" w:ascii="仿宋_GB2312" w:hAnsi="仿宋_GB2312" w:eastAsia="仿宋_GB2312" w:cs="仿宋_GB2312"/>
          <w:color w:val="000000"/>
          <w:sz w:val="28"/>
          <w:highlight w:val="none"/>
          <w:lang w:val="en-US" w:eastAsia="zh-CN"/>
        </w:rPr>
        <w:t>+土地增值收益</w:t>
      </w:r>
      <w:r>
        <w:rPr>
          <w:rFonts w:hint="eastAsia" w:ascii="仿宋_GB2312" w:hAnsi="仿宋_GB2312" w:eastAsia="仿宋_GB2312" w:cs="仿宋_GB2312"/>
          <w:color w:val="000000"/>
          <w:sz w:val="28"/>
          <w:highlight w:val="none"/>
        </w:rPr>
        <w:t>）×土地使用年期修正系数×区位修正系数</w:t>
      </w:r>
    </w:p>
    <w:p w14:paraId="5D1A7182">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rPr>
      </w:pPr>
      <w:r>
        <w:rPr>
          <w:rFonts w:hint="eastAsia" w:ascii="仿宋_GB2312" w:hAnsi="仿宋_GB2312" w:eastAsia="仿宋_GB2312" w:cs="仿宋_GB2312"/>
          <w:bCs/>
          <w:sz w:val="28"/>
          <w:highlight w:val="none"/>
        </w:rPr>
        <w:t>＝（</w:t>
      </w:r>
      <w:r>
        <w:rPr>
          <w:rFonts w:hint="eastAsia" w:ascii="仿宋_GB2312" w:hAnsi="仿宋_GB2312" w:eastAsia="仿宋_GB2312" w:cs="仿宋_GB2312"/>
          <w:bCs/>
          <w:sz w:val="28"/>
          <w:highlight w:val="none"/>
          <w:lang w:val="en-US" w:eastAsia="zh-CN"/>
        </w:rPr>
        <w:t>238.26</w:t>
      </w:r>
      <w:r>
        <w:rPr>
          <w:rFonts w:hint="eastAsia" w:ascii="仿宋_GB2312" w:hAnsi="仿宋_GB2312" w:eastAsia="仿宋_GB2312" w:cs="仿宋_GB2312"/>
          <w:bCs/>
          <w:sz w:val="28"/>
          <w:highlight w:val="none"/>
        </w:rPr>
        <w:t>+</w:t>
      </w:r>
      <w:r>
        <w:rPr>
          <w:rFonts w:hint="eastAsia" w:ascii="仿宋_GB2312" w:hAnsi="仿宋_GB2312" w:eastAsia="仿宋_GB2312" w:cs="仿宋_GB2312"/>
          <w:bCs/>
          <w:sz w:val="28"/>
          <w:highlight w:val="none"/>
          <w:lang w:val="en-US" w:eastAsia="zh-CN"/>
        </w:rPr>
        <w:t>155.6</w:t>
      </w:r>
      <w:r>
        <w:rPr>
          <w:rFonts w:hint="eastAsia" w:ascii="仿宋_GB2312" w:hAnsi="仿宋_GB2312" w:eastAsia="仿宋_GB2312" w:cs="仿宋_GB2312"/>
          <w:bCs/>
          <w:sz w:val="28"/>
          <w:highlight w:val="none"/>
        </w:rPr>
        <w:t>+</w:t>
      </w:r>
      <w:r>
        <w:rPr>
          <w:rFonts w:hint="eastAsia" w:ascii="仿宋_GB2312" w:hAnsi="仿宋_GB2312" w:eastAsia="仿宋_GB2312" w:cs="仿宋_GB2312"/>
          <w:bCs/>
          <w:sz w:val="28"/>
          <w:highlight w:val="none"/>
          <w:lang w:val="en-US" w:eastAsia="zh-CN"/>
        </w:rPr>
        <w:t>82</w:t>
      </w:r>
      <w:r>
        <w:rPr>
          <w:rFonts w:hint="eastAsia" w:ascii="仿宋_GB2312" w:hAnsi="仿宋_GB2312" w:eastAsia="仿宋_GB2312" w:cs="仿宋_GB2312"/>
          <w:bCs/>
          <w:sz w:val="28"/>
          <w:highlight w:val="none"/>
        </w:rPr>
        <w:t>+</w:t>
      </w:r>
      <w:r>
        <w:rPr>
          <w:rFonts w:hint="eastAsia" w:ascii="仿宋_GB2312" w:hAnsi="仿宋_GB2312" w:eastAsia="仿宋_GB2312" w:cs="仿宋_GB2312"/>
          <w:bCs/>
          <w:sz w:val="28"/>
          <w:highlight w:val="none"/>
          <w:lang w:val="en-US" w:eastAsia="zh-CN"/>
        </w:rPr>
        <w:t>13.05</w:t>
      </w:r>
      <w:r>
        <w:rPr>
          <w:rFonts w:hint="eastAsia" w:ascii="仿宋_GB2312" w:hAnsi="仿宋_GB2312" w:eastAsia="仿宋_GB2312" w:cs="仿宋_GB2312"/>
          <w:bCs/>
          <w:sz w:val="28"/>
          <w:highlight w:val="none"/>
        </w:rPr>
        <w:t>+</w:t>
      </w:r>
      <w:r>
        <w:rPr>
          <w:rFonts w:hint="eastAsia" w:ascii="仿宋_GB2312" w:hAnsi="仿宋_GB2312" w:eastAsia="仿宋_GB2312" w:cs="仿宋_GB2312"/>
          <w:bCs/>
          <w:sz w:val="28"/>
          <w:highlight w:val="none"/>
          <w:lang w:val="en-US" w:eastAsia="zh-CN"/>
        </w:rPr>
        <w:t>95.17+204.43</w:t>
      </w:r>
      <w:r>
        <w:rPr>
          <w:rFonts w:hint="eastAsia" w:ascii="仿宋_GB2312" w:hAnsi="仿宋_GB2312" w:eastAsia="仿宋_GB2312" w:cs="仿宋_GB2312"/>
          <w:bCs/>
          <w:sz w:val="28"/>
          <w:highlight w:val="none"/>
        </w:rPr>
        <w:t>）</w:t>
      </w:r>
      <w:r>
        <w:rPr>
          <w:rFonts w:hint="eastAsia" w:ascii="仿宋_GB2312" w:hAnsi="仿宋_GB2312" w:eastAsia="仿宋_GB2312" w:cs="仿宋_GB2312"/>
          <w:bCs/>
          <w:sz w:val="28"/>
          <w:highlight w:val="none"/>
          <w:lang w:val="en-US" w:eastAsia="zh-CN"/>
        </w:rPr>
        <w:t>×0.9878</w:t>
      </w:r>
      <w:r>
        <w:rPr>
          <w:rFonts w:hint="eastAsia" w:ascii="仿宋_GB2312" w:hAnsi="仿宋_GB2312" w:eastAsia="仿宋_GB2312" w:cs="仿宋_GB2312"/>
          <w:bCs/>
          <w:sz w:val="28"/>
          <w:highlight w:val="none"/>
        </w:rPr>
        <w:t>×</w:t>
      </w:r>
      <w:r>
        <w:rPr>
          <w:rFonts w:hint="eastAsia" w:ascii="仿宋_GB2312" w:hAnsi="仿宋_GB2312" w:eastAsia="仿宋_GB2312" w:cs="仿宋_GB2312"/>
          <w:bCs/>
          <w:sz w:val="28"/>
          <w:highlight w:val="none"/>
          <w:lang w:eastAsia="zh-CN"/>
        </w:rPr>
        <w:t>（</w:t>
      </w:r>
      <w:r>
        <w:rPr>
          <w:rFonts w:hint="eastAsia" w:ascii="仿宋_GB2312" w:hAnsi="仿宋_GB2312" w:eastAsia="仿宋_GB2312" w:cs="仿宋_GB2312"/>
          <w:bCs/>
          <w:sz w:val="28"/>
          <w:highlight w:val="none"/>
          <w:lang w:val="en-US" w:eastAsia="zh-CN"/>
        </w:rPr>
        <w:t>1+10%）</w:t>
      </w:r>
      <w:r>
        <w:rPr>
          <w:rFonts w:hint="eastAsia" w:ascii="仿宋_GB2312" w:hAnsi="仿宋_GB2312" w:eastAsia="仿宋_GB2312" w:cs="仿宋_GB2312"/>
          <w:bCs/>
          <w:sz w:val="28"/>
          <w:highlight w:val="none"/>
        </w:rPr>
        <w:t>＝</w:t>
      </w:r>
      <w:r>
        <w:rPr>
          <w:rFonts w:hint="eastAsia" w:ascii="仿宋_GB2312" w:hAnsi="仿宋_GB2312" w:eastAsia="仿宋_GB2312" w:cs="仿宋_GB2312"/>
          <w:bCs/>
          <w:sz w:val="28"/>
          <w:highlight w:val="none"/>
          <w:lang w:val="en-US" w:eastAsia="zh-CN"/>
        </w:rPr>
        <w:t>856.8</w:t>
      </w:r>
      <w:r>
        <w:rPr>
          <w:rFonts w:hint="eastAsia" w:ascii="仿宋_GB2312" w:hAnsi="仿宋_GB2312" w:eastAsia="仿宋_GB2312" w:cs="仿宋_GB2312"/>
          <w:bCs/>
          <w:sz w:val="28"/>
          <w:highlight w:val="none"/>
        </w:rPr>
        <w:t>元／平方米</w:t>
      </w:r>
    </w:p>
    <w:p w14:paraId="686910A3">
      <w:pPr>
        <w:pStyle w:val="6"/>
        <w:keepNext w:val="0"/>
        <w:keepLines w:val="0"/>
        <w:pageBreakBefore w:val="0"/>
        <w:widowControl w:val="0"/>
        <w:numPr>
          <w:ilvl w:val="0"/>
          <w:numId w:val="0"/>
        </w:numPr>
        <w:kinsoku/>
        <w:wordWrap/>
        <w:topLinePunct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color w:val="000000"/>
          <w:sz w:val="28"/>
          <w:szCs w:val="20"/>
          <w:highlight w:val="none"/>
        </w:rPr>
        <w:t>成本逼近法</w:t>
      </w:r>
      <w:r>
        <w:rPr>
          <w:rFonts w:hint="eastAsia" w:ascii="仿宋_GB2312" w:hAnsi="仿宋_GB2312" w:eastAsia="仿宋_GB2312" w:cs="仿宋_GB2312"/>
          <w:color w:val="000000"/>
          <w:sz w:val="28"/>
          <w:highlight w:val="none"/>
        </w:rPr>
        <w:t>测算地价的结果为：估价对象于估价期日</w:t>
      </w:r>
      <w:r>
        <w:rPr>
          <w:rFonts w:hint="eastAsia" w:ascii="仿宋_GB2312" w:hAnsi="仿宋_GB2312" w:cs="仿宋_GB2312"/>
          <w:color w:val="000000"/>
          <w:sz w:val="28"/>
          <w:highlight w:val="none"/>
          <w:lang w:val="en-US" w:eastAsia="zh-CN"/>
        </w:rPr>
        <w:t>2026年5月18日</w:t>
      </w:r>
      <w:r>
        <w:rPr>
          <w:rFonts w:hint="eastAsia" w:ascii="仿宋_GB2312" w:hAnsi="仿宋_GB2312" w:eastAsia="仿宋_GB2312" w:cs="仿宋_GB2312"/>
          <w:color w:val="000000"/>
          <w:sz w:val="28"/>
          <w:highlight w:val="none"/>
        </w:rPr>
        <w:t>，在设定土地用途，设定土地使用年限，设定土地开发程度，</w:t>
      </w:r>
      <w:r>
        <w:rPr>
          <w:rFonts w:hint="eastAsia" w:ascii="仿宋_GB2312" w:hAnsi="仿宋_GB2312" w:cs="仿宋_GB2312"/>
          <w:color w:val="000000"/>
          <w:sz w:val="28"/>
          <w:highlight w:val="none"/>
          <w:lang w:val="en-US" w:eastAsia="zh-CN"/>
        </w:rPr>
        <w:t>现状</w:t>
      </w:r>
      <w:r>
        <w:rPr>
          <w:rFonts w:hint="eastAsia" w:ascii="仿宋_GB2312" w:hAnsi="仿宋_GB2312" w:eastAsia="仿宋_GB2312" w:cs="仿宋_GB2312"/>
          <w:color w:val="000000"/>
          <w:sz w:val="28"/>
          <w:highlight w:val="none"/>
        </w:rPr>
        <w:t>利用条件下的国有土地</w:t>
      </w:r>
      <w:r>
        <w:rPr>
          <w:rFonts w:hint="eastAsia" w:ascii="仿宋_GB2312" w:hAnsi="仿宋_GB2312" w:eastAsia="仿宋_GB2312" w:cs="仿宋_GB2312"/>
          <w:color w:val="000000"/>
          <w:sz w:val="28"/>
          <w:highlight w:val="none"/>
          <w:lang w:val="en-US" w:eastAsia="zh-CN"/>
        </w:rPr>
        <w:t>出让</w:t>
      </w:r>
      <w:r>
        <w:rPr>
          <w:rFonts w:hint="eastAsia" w:ascii="仿宋_GB2312" w:hAnsi="仿宋_GB2312" w:eastAsia="仿宋_GB2312" w:cs="仿宋_GB2312"/>
          <w:color w:val="000000"/>
          <w:sz w:val="28"/>
          <w:highlight w:val="none"/>
        </w:rPr>
        <w:t>使用权价格为</w:t>
      </w:r>
      <w:r>
        <w:rPr>
          <w:rFonts w:hint="eastAsia" w:ascii="仿宋_GB2312" w:hAnsi="仿宋_GB2312" w:cs="仿宋_GB2312"/>
          <w:color w:val="000000"/>
          <w:sz w:val="28"/>
          <w:highlight w:val="none"/>
          <w:lang w:val="en-US" w:eastAsia="zh-CN"/>
        </w:rPr>
        <w:t>856.8</w:t>
      </w:r>
      <w:r>
        <w:rPr>
          <w:rFonts w:hint="eastAsia" w:ascii="仿宋_GB2312" w:hAnsi="仿宋_GB2312" w:eastAsia="仿宋_GB2312" w:cs="仿宋_GB2312"/>
          <w:color w:val="000000"/>
          <w:sz w:val="28"/>
          <w:highlight w:val="none"/>
          <w:lang w:val="en-US" w:eastAsia="zh-CN"/>
        </w:rPr>
        <w:t>元/平方米</w:t>
      </w:r>
      <w:r>
        <w:rPr>
          <w:rFonts w:hint="eastAsia" w:ascii="仿宋_GB2312" w:hAnsi="仿宋_GB2312" w:eastAsia="仿宋_GB2312" w:cs="仿宋_GB2312"/>
          <w:color w:val="000000"/>
          <w:sz w:val="28"/>
          <w:highlight w:val="none"/>
        </w:rPr>
        <w:t>。</w:t>
      </w:r>
    </w:p>
    <w:p w14:paraId="13D1C3A9">
      <w:pPr>
        <w:pStyle w:val="6"/>
        <w:keepNext w:val="0"/>
        <w:keepLines w:val="0"/>
        <w:pageBreakBefore w:val="0"/>
        <w:widowControl w:val="0"/>
        <w:kinsoku/>
        <w:wordWrap/>
        <w:overflowPunct/>
        <w:topLinePunct w:val="0"/>
        <w:autoSpaceDE/>
        <w:autoSpaceDN/>
        <w:bidi w:val="0"/>
        <w:adjustRightInd/>
        <w:snapToGrid/>
        <w:spacing w:line="480" w:lineRule="exact"/>
        <w:ind w:firstLine="562" w:firstLineChars="200"/>
        <w:textAlignment w:val="auto"/>
        <w:outlineLvl w:val="2"/>
        <w:rPr>
          <w:rFonts w:hint="eastAsia" w:ascii="仿宋_GB2312" w:hAnsi="仿宋_GB2312" w:eastAsia="仿宋_GB2312" w:cs="仿宋_GB2312"/>
          <w:b w:val="0"/>
          <w:bCs w:val="0"/>
          <w:color w:val="000000"/>
          <w:kern w:val="2"/>
          <w:sz w:val="28"/>
          <w:szCs w:val="28"/>
          <w:highlight w:val="none"/>
          <w:lang w:val="en-US" w:eastAsia="zh-CN" w:bidi="ar-SA"/>
        </w:rPr>
      </w:pPr>
      <w:bookmarkStart w:id="26" w:name="_Toc16838"/>
      <w:bookmarkStart w:id="27" w:name="_Toc23310"/>
      <w:r>
        <w:rPr>
          <w:rFonts w:hint="eastAsia" w:ascii="仿宋_GB2312" w:hAnsi="Times New Roman" w:eastAsia="仿宋_GB2312" w:cs="Times New Roman"/>
          <w:b/>
          <w:bCs/>
          <w:sz w:val="28"/>
          <w:szCs w:val="30"/>
          <w:highlight w:val="none"/>
          <w:lang w:val="en-GB"/>
        </w:rPr>
        <w:t>★</w:t>
      </w:r>
      <w:r>
        <w:rPr>
          <w:rFonts w:hint="eastAsia" w:ascii="仿宋_GB2312" w:hAnsi="仿宋_GB2312" w:eastAsia="仿宋_GB2312" w:cs="仿宋_GB2312"/>
          <w:b w:val="0"/>
          <w:bCs w:val="0"/>
          <w:color w:val="000000"/>
          <w:kern w:val="2"/>
          <w:sz w:val="28"/>
          <w:szCs w:val="28"/>
          <w:highlight w:val="none"/>
          <w:lang w:val="en-US" w:eastAsia="zh-CN" w:bidi="ar-SA"/>
        </w:rPr>
        <w:t>收益还原法</w:t>
      </w:r>
    </w:p>
    <w:p w14:paraId="6E7B1EFF">
      <w:pPr>
        <w:keepNext w:val="0"/>
        <w:keepLines w:val="0"/>
        <w:pageBreakBefore w:val="0"/>
        <w:widowControl w:val="0"/>
        <w:kinsoku/>
        <w:wordWrap/>
        <w:overflowPunct/>
        <w:topLinePunct w:val="0"/>
        <w:autoSpaceDE/>
        <w:autoSpaceDN/>
        <w:bidi w:val="0"/>
        <w:adjustRightInd w:val="0"/>
        <w:snapToGrid/>
        <w:spacing w:line="480" w:lineRule="exact"/>
        <w:ind w:firstLine="420" w:firstLineChars="15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收益还原法是在估算估价对象在未来每年预期纯收益（正常年纯收益）的基础上，以一定的土地还原率，将评估对象在未来每年的纯收益折算为估价期日收益总和的一种方法。</w:t>
      </w:r>
    </w:p>
    <w:p w14:paraId="3B5DDFBC">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法定有限年期的土地使用权价格计算公式为：</w:t>
      </w:r>
    </w:p>
    <w:p w14:paraId="550F5353">
      <w:pPr>
        <w:keepNext w:val="0"/>
        <w:keepLines w:val="0"/>
        <w:pageBreakBefore w:val="0"/>
        <w:widowControl w:val="0"/>
        <w:kinsoku/>
        <w:wordWrap/>
        <w:overflowPunct/>
        <w:topLinePunct w:val="0"/>
        <w:autoSpaceDE/>
        <w:autoSpaceDN/>
        <w:bidi w:val="0"/>
        <w:adjustRightInd w:val="0"/>
        <w:snapToGrid w:val="0"/>
        <w:spacing w:line="240" w:lineRule="auto"/>
        <w:ind w:firstLine="840" w:firstLineChars="3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object>
          <v:shape id="_x0000_i1025" o:spt="75" type="#_x0000_t75" style="height:38pt;width:103.95pt;" o:ole="t" filled="f" o:preferrelative="t" stroked="f" coordsize="21600,21600">
            <v:path/>
            <v:fill on="f" focussize="0,0"/>
            <v:stroke on="f"/>
            <v:imagedata r:id="rId27" o:title=""/>
            <o:lock v:ext="edit" aspectratio="t"/>
            <w10:wrap type="none"/>
            <w10:anchorlock/>
          </v:shape>
          <o:OLEObject Type="Embed" ProgID="Equation.3" ShapeID="_x0000_i1025" DrawAspect="Content" ObjectID="_1468075725" r:id="rId26">
            <o:LockedField>false</o:LockedField>
          </o:OLEObject>
        </w:object>
      </w:r>
    </w:p>
    <w:p w14:paraId="6AC76995">
      <w:pPr>
        <w:pStyle w:val="6"/>
        <w:adjustRightInd w:val="0"/>
        <w:snapToGrid w:val="0"/>
        <w:spacing w:line="480" w:lineRule="exac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式中：</w:t>
      </w:r>
      <w:r>
        <w:rPr>
          <w:rFonts w:hint="eastAsia" w:ascii="仿宋_GB2312" w:hAnsi="仿宋_GB2312" w:eastAsia="仿宋_GB2312" w:cs="仿宋_GB2312"/>
          <w:b w:val="0"/>
          <w:bCs w:val="0"/>
          <w:color w:val="000000"/>
          <w:kern w:val="2"/>
          <w:sz w:val="28"/>
          <w:szCs w:val="28"/>
          <w:highlight w:val="none"/>
          <w:lang w:val="en-US" w:eastAsia="zh-CN" w:bidi="ar-SA"/>
        </w:rPr>
        <w:object>
          <v:shape id="_x0000_i1026" o:spt="75" type="#_x0000_t75" style="height:13pt;width:12pt;" o:ole="t" filled="f" o:preferrelative="t" stroked="f" coordsize="21600,21600">
            <v:path/>
            <v:fill on="f" focussize="0,0"/>
            <v:stroke on="f"/>
            <v:imagedata r:id="rId29" o:title=""/>
            <o:lock v:ext="edit" aspectratio="t"/>
            <w10:wrap type="none"/>
            <w10:anchorlock/>
          </v:shape>
          <o:OLEObject Type="Embed" ProgID="Equation.3" ShapeID="_x0000_i1026" DrawAspect="Content" ObjectID="_1468075726" r:id="rId28">
            <o:LockedField>false</o:LockedField>
          </o:OLEObject>
        </w:object>
      </w:r>
      <w:r>
        <w:rPr>
          <w:rFonts w:hint="eastAsia" w:ascii="仿宋_GB2312" w:hAnsi="仿宋_GB2312" w:eastAsia="仿宋_GB2312" w:cs="仿宋_GB2312"/>
          <w:b w:val="0"/>
          <w:bCs w:val="0"/>
          <w:color w:val="000000"/>
          <w:kern w:val="2"/>
          <w:sz w:val="28"/>
          <w:szCs w:val="28"/>
          <w:highlight w:val="none"/>
          <w:lang w:val="en-US" w:eastAsia="zh-CN" w:bidi="ar-SA"/>
        </w:rPr>
        <w:t>－土地价格</w:t>
      </w:r>
    </w:p>
    <w:p w14:paraId="4471A620">
      <w:pPr>
        <w:pStyle w:val="6"/>
        <w:adjustRightInd w:val="0"/>
        <w:snapToGrid w:val="0"/>
        <w:spacing w:line="480" w:lineRule="exac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object>
          <v:shape id="_x0000_i1027" o:spt="75" type="#_x0000_t75" style="height:11pt;width:10pt;" o:ole="t" filled="f" o:preferrelative="t" stroked="f" coordsize="21600,21600">
            <v:path/>
            <v:fill on="f" focussize="0,0"/>
            <v:stroke on="f"/>
            <v:imagedata r:id="rId31" o:title=""/>
            <o:lock v:ext="edit" aspectratio="t"/>
            <w10:wrap type="none"/>
            <w10:anchorlock/>
          </v:shape>
          <o:OLEObject Type="Embed" ProgID="Equation.3" ShapeID="_x0000_i1027" DrawAspect="Content" ObjectID="_1468075727" r:id="rId30">
            <o:LockedField>false</o:LockedField>
          </o:OLEObject>
        </w:object>
      </w:r>
      <w:r>
        <w:rPr>
          <w:rFonts w:hint="eastAsia" w:ascii="仿宋_GB2312" w:hAnsi="仿宋_GB2312" w:eastAsia="仿宋_GB2312" w:cs="仿宋_GB2312"/>
          <w:b w:val="0"/>
          <w:bCs w:val="0"/>
          <w:color w:val="000000"/>
          <w:kern w:val="2"/>
          <w:sz w:val="28"/>
          <w:szCs w:val="28"/>
          <w:highlight w:val="none"/>
          <w:lang w:val="en-US" w:eastAsia="zh-CN" w:bidi="ar-SA"/>
        </w:rPr>
        <w:t>－土地年纯收益</w:t>
      </w:r>
    </w:p>
    <w:p w14:paraId="5962B9E9">
      <w:pPr>
        <w:pStyle w:val="6"/>
        <w:adjustRightInd w:val="0"/>
        <w:snapToGrid w:val="0"/>
        <w:spacing w:line="480" w:lineRule="exac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object>
          <v:shape id="_x0000_i1028" o:spt="75" type="#_x0000_t75" style="height:10pt;width:9pt;" o:ole="t" filled="f" o:preferrelative="t" stroked="f" coordsize="21600,21600">
            <v:path/>
            <v:fill on="f" focussize="0,0"/>
            <v:stroke on="f"/>
            <v:imagedata r:id="rId33" o:title=""/>
            <o:lock v:ext="edit" aspectratio="t"/>
            <w10:wrap type="none"/>
            <w10:anchorlock/>
          </v:shape>
          <o:OLEObject Type="Embed" ProgID="Equation.3" ShapeID="_x0000_i1028" DrawAspect="Content" ObjectID="_1468075728" r:id="rId32">
            <o:LockedField>false</o:LockedField>
          </o:OLEObject>
        </w:object>
      </w:r>
      <w:r>
        <w:rPr>
          <w:rFonts w:hint="eastAsia" w:ascii="仿宋_GB2312" w:hAnsi="仿宋_GB2312" w:eastAsia="仿宋_GB2312" w:cs="仿宋_GB2312"/>
          <w:b w:val="0"/>
          <w:bCs w:val="0"/>
          <w:color w:val="000000"/>
          <w:kern w:val="2"/>
          <w:sz w:val="28"/>
          <w:szCs w:val="28"/>
          <w:highlight w:val="none"/>
          <w:lang w:val="en-US" w:eastAsia="zh-CN" w:bidi="ar-SA"/>
        </w:rPr>
        <w:t>－土地还原利率</w:t>
      </w:r>
    </w:p>
    <w:p w14:paraId="7CF796DC">
      <w:pPr>
        <w:pStyle w:val="6"/>
        <w:adjustRightInd w:val="0"/>
        <w:snapToGrid w:val="0"/>
        <w:spacing w:line="480" w:lineRule="exac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object>
          <v:shape id="_x0000_i1029" o:spt="75" type="#_x0000_t75" style="height:11pt;width:10pt;" o:ole="t" filled="f" o:preferrelative="t" stroked="f" coordsize="21600,21600">
            <v:path/>
            <v:fill on="f" focussize="0,0"/>
            <v:stroke on="f"/>
            <v:imagedata r:id="rId35" o:title=""/>
            <o:lock v:ext="edit" aspectratio="t"/>
            <w10:wrap type="none"/>
            <w10:anchorlock/>
          </v:shape>
          <o:OLEObject Type="Embed" ProgID="Equation.3" ShapeID="_x0000_i1029" DrawAspect="Content" ObjectID="_1468075729" r:id="rId34">
            <o:LockedField>false</o:LockedField>
          </o:OLEObject>
        </w:object>
      </w:r>
      <w:r>
        <w:rPr>
          <w:rFonts w:hint="eastAsia" w:ascii="仿宋_GB2312" w:hAnsi="仿宋_GB2312" w:eastAsia="仿宋_GB2312" w:cs="仿宋_GB2312"/>
          <w:b w:val="0"/>
          <w:bCs w:val="0"/>
          <w:color w:val="000000"/>
          <w:kern w:val="2"/>
          <w:sz w:val="28"/>
          <w:szCs w:val="28"/>
          <w:highlight w:val="none"/>
          <w:lang w:val="en-US" w:eastAsia="zh-CN" w:bidi="ar-SA"/>
        </w:rPr>
        <w:t>－使用土地的年期或有土地收益的年期</w:t>
      </w:r>
    </w:p>
    <w:p w14:paraId="6523A0A9">
      <w:pPr>
        <w:adjustRightInd w:val="0"/>
        <w:snapToGrid w:val="0"/>
        <w:spacing w:line="480" w:lineRule="exact"/>
        <w:ind w:firstLine="555"/>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具体测算思路是：</w:t>
      </w:r>
    </w:p>
    <w:p w14:paraId="5D074D73">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A.房地年总收益＝房地年租金＝月租金×12×收益总面积×出租率×有效使用面积比率</w:t>
      </w:r>
    </w:p>
    <w:p w14:paraId="71974E23">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B．房地出租年总费用＝维修费+管理费+保险费+税金</w:t>
      </w:r>
    </w:p>
    <w:p w14:paraId="082CED8B">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C．房地年纯收益＝房地年总收益-房地出租年总费用</w:t>
      </w:r>
    </w:p>
    <w:p w14:paraId="46AB2466">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D．房屋年纯收益＝房屋现值×房屋还原率</w:t>
      </w:r>
    </w:p>
    <w:p w14:paraId="1964B3C4">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房屋现值＝重置价－折旧总额＝重置成本－年折旧费×已使用年限</w:t>
      </w:r>
    </w:p>
    <w:p w14:paraId="0C30B48A">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E．土地年纯收益＝房地年纯收益—房屋年纯收益</w:t>
      </w:r>
    </w:p>
    <w:p w14:paraId="2AE802BF">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F．总地价＝土地年纯收益÷r×[1-1/（1+r）n]</w:t>
      </w:r>
    </w:p>
    <w:p w14:paraId="6F2CCE87">
      <w:pPr>
        <w:adjustRightInd w:val="0"/>
        <w:snapToGrid w:val="0"/>
        <w:spacing w:line="480" w:lineRule="exact"/>
        <w:ind w:firstLine="57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G．单位面积地价＝总地价÷总用地面积</w:t>
      </w:r>
    </w:p>
    <w:p w14:paraId="553F947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收益还原法评估过程：</w:t>
      </w:r>
    </w:p>
    <w:p w14:paraId="5C643C9B">
      <w:pPr>
        <w:pStyle w:val="6"/>
        <w:adjustRightInd w:val="0"/>
        <w:snapToGrid w:val="0"/>
        <w:spacing w:line="480" w:lineRule="exac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1、确定房地年总收益</w:t>
      </w:r>
    </w:p>
    <w:p w14:paraId="777D18DB">
      <w:pPr>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Cs/>
          <w:color w:val="auto"/>
          <w:kern w:val="2"/>
          <w:sz w:val="28"/>
          <w:szCs w:val="28"/>
          <w:highlight w:val="none"/>
          <w:lang w:val="en-GB" w:eastAsia="zh-CN" w:bidi="ar-SA"/>
        </w:rPr>
        <w:t>根据受托估价人员现场勘察，估价</w:t>
      </w:r>
      <w:r>
        <w:rPr>
          <w:rFonts w:hint="eastAsia" w:ascii="仿宋_GB2312" w:hAnsi="仿宋_GB2312" w:eastAsia="仿宋_GB2312" w:cs="仿宋_GB2312"/>
          <w:bCs/>
          <w:color w:val="auto"/>
          <w:kern w:val="2"/>
          <w:sz w:val="28"/>
          <w:szCs w:val="28"/>
          <w:highlight w:val="none"/>
          <w:lang w:val="en-US" w:eastAsia="zh-CN" w:bidi="ar-SA"/>
        </w:rPr>
        <w:t>对象位于月岩西路皮革厂家属楼3栋4层404房</w:t>
      </w:r>
      <w:r>
        <w:rPr>
          <w:rFonts w:hint="default" w:ascii="仿宋_GB2312" w:hAnsi="仿宋_GB2312" w:eastAsia="仿宋_GB2312" w:cs="仿宋_GB2312"/>
          <w:bCs/>
          <w:color w:val="auto"/>
          <w:kern w:val="2"/>
          <w:sz w:val="28"/>
          <w:szCs w:val="28"/>
          <w:highlight w:val="none"/>
          <w:lang w:val="en-GB" w:eastAsia="zh-CN" w:bidi="ar-SA"/>
        </w:rPr>
        <w:t>，所在宗地上有独栋建筑物，总层数为</w:t>
      </w:r>
      <w:r>
        <w:rPr>
          <w:rFonts w:hint="eastAsia" w:ascii="仿宋_GB2312" w:hAnsi="仿宋_GB2312" w:eastAsia="仿宋_GB2312" w:cs="仿宋_GB2312"/>
          <w:bCs/>
          <w:color w:val="auto"/>
          <w:kern w:val="2"/>
          <w:sz w:val="28"/>
          <w:szCs w:val="28"/>
          <w:highlight w:val="none"/>
          <w:lang w:val="en-US" w:eastAsia="zh-CN" w:bidi="ar-SA"/>
        </w:rPr>
        <w:t>5层</w:t>
      </w:r>
      <w:r>
        <w:rPr>
          <w:rFonts w:hint="default" w:ascii="仿宋_GB2312" w:hAnsi="仿宋_GB2312" w:eastAsia="仿宋_GB2312" w:cs="仿宋_GB2312"/>
          <w:bCs/>
          <w:color w:val="auto"/>
          <w:kern w:val="2"/>
          <w:sz w:val="28"/>
          <w:szCs w:val="28"/>
          <w:highlight w:val="none"/>
          <w:lang w:val="en-GB" w:eastAsia="zh-CN" w:bidi="ar-SA"/>
        </w:rPr>
        <w:t>，业主房屋所在层数为</w:t>
      </w:r>
      <w:r>
        <w:rPr>
          <w:rFonts w:hint="eastAsia" w:ascii="仿宋_GB2312" w:hAnsi="仿宋_GB2312" w:eastAsia="仿宋_GB2312" w:cs="仿宋_GB2312"/>
          <w:bCs/>
          <w:color w:val="auto"/>
          <w:kern w:val="2"/>
          <w:sz w:val="28"/>
          <w:szCs w:val="28"/>
          <w:highlight w:val="none"/>
          <w:lang w:val="en-US" w:eastAsia="zh-CN" w:bidi="ar-SA"/>
        </w:rPr>
        <w:t>4层</w:t>
      </w:r>
      <w:r>
        <w:rPr>
          <w:rFonts w:hint="default"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建成年份为2004年，</w:t>
      </w:r>
      <w:r>
        <w:rPr>
          <w:rFonts w:hint="default" w:ascii="仿宋_GB2312" w:hAnsi="仿宋_GB2312" w:eastAsia="仿宋_GB2312" w:cs="仿宋_GB2312"/>
          <w:bCs/>
          <w:color w:val="auto"/>
          <w:kern w:val="2"/>
          <w:sz w:val="28"/>
          <w:szCs w:val="28"/>
          <w:highlight w:val="none"/>
          <w:lang w:val="en-GB" w:eastAsia="zh-CN" w:bidi="ar-SA"/>
        </w:rPr>
        <w:t>建筑物为</w:t>
      </w:r>
      <w:r>
        <w:rPr>
          <w:rFonts w:hint="eastAsia" w:ascii="仿宋_GB2312" w:hAnsi="仿宋_GB2312" w:eastAsia="仿宋_GB2312" w:cs="仿宋_GB2312"/>
          <w:bCs/>
          <w:color w:val="auto"/>
          <w:kern w:val="2"/>
          <w:sz w:val="28"/>
          <w:szCs w:val="28"/>
          <w:highlight w:val="none"/>
          <w:lang w:val="en-US" w:eastAsia="zh-CN" w:bidi="ar-SA"/>
        </w:rPr>
        <w:t>砖混</w:t>
      </w:r>
      <w:r>
        <w:rPr>
          <w:rFonts w:hint="default" w:ascii="仿宋_GB2312" w:hAnsi="仿宋_GB2312" w:eastAsia="仿宋_GB2312" w:cs="仿宋_GB2312"/>
          <w:bCs/>
          <w:color w:val="auto"/>
          <w:kern w:val="2"/>
          <w:sz w:val="28"/>
          <w:szCs w:val="28"/>
          <w:highlight w:val="none"/>
          <w:lang w:val="en-GB" w:eastAsia="zh-CN" w:bidi="ar-SA"/>
        </w:rPr>
        <w:t>结构，</w:t>
      </w:r>
      <w:r>
        <w:rPr>
          <w:rFonts w:hint="eastAsia" w:ascii="仿宋_GB2312" w:hAnsi="仿宋_GB2312" w:eastAsia="仿宋_GB2312" w:cs="仿宋_GB2312"/>
          <w:bCs/>
          <w:color w:val="auto"/>
          <w:kern w:val="2"/>
          <w:sz w:val="28"/>
          <w:szCs w:val="28"/>
          <w:highlight w:val="none"/>
          <w:lang w:val="en-US" w:eastAsia="zh-CN" w:bidi="ar-SA"/>
        </w:rPr>
        <w:t>不锈钢及木质入户门，塑钢窗户，铁艺防盗网，外墙双飞粉，屋内地贴瓷砖，顶棚木质装饰吊顶，简单装修，</w:t>
      </w:r>
      <w:r>
        <w:rPr>
          <w:rFonts w:hint="default" w:ascii="仿宋_GB2312" w:hAnsi="仿宋_GB2312" w:eastAsia="仿宋_GB2312" w:cs="仿宋_GB2312"/>
          <w:bCs/>
          <w:color w:val="auto"/>
          <w:kern w:val="2"/>
          <w:sz w:val="28"/>
          <w:szCs w:val="28"/>
          <w:highlight w:val="none"/>
          <w:lang w:val="en-GB" w:eastAsia="zh-CN" w:bidi="ar-SA"/>
        </w:rPr>
        <w:t>维护保养状况</w:t>
      </w:r>
      <w:r>
        <w:rPr>
          <w:rFonts w:hint="eastAsia" w:ascii="仿宋_GB2312" w:hAnsi="仿宋_GB2312" w:eastAsia="仿宋_GB2312" w:cs="仿宋_GB2312"/>
          <w:bCs/>
          <w:color w:val="auto"/>
          <w:kern w:val="2"/>
          <w:sz w:val="28"/>
          <w:szCs w:val="28"/>
          <w:highlight w:val="none"/>
          <w:lang w:val="en-US" w:eastAsia="zh-CN" w:bidi="ar-SA"/>
        </w:rPr>
        <w:t>一般</w:t>
      </w:r>
      <w:r>
        <w:rPr>
          <w:rFonts w:hint="default" w:ascii="仿宋_GB2312" w:hAnsi="仿宋_GB2312" w:eastAsia="仿宋_GB2312" w:cs="仿宋_GB2312"/>
          <w:bCs/>
          <w:color w:val="auto"/>
          <w:kern w:val="2"/>
          <w:sz w:val="28"/>
          <w:szCs w:val="28"/>
          <w:highlight w:val="none"/>
          <w:lang w:val="en-GB" w:eastAsia="zh-CN" w:bidi="ar-SA"/>
        </w:rPr>
        <w:t>，约</w:t>
      </w:r>
      <w:r>
        <w:rPr>
          <w:rFonts w:hint="eastAsia" w:ascii="仿宋_GB2312" w:hAnsi="仿宋_GB2312" w:eastAsia="仿宋_GB2312" w:cs="仿宋_GB2312"/>
          <w:bCs/>
          <w:color w:val="auto"/>
          <w:kern w:val="2"/>
          <w:sz w:val="28"/>
          <w:szCs w:val="28"/>
          <w:highlight w:val="none"/>
          <w:lang w:val="en-US" w:eastAsia="zh-CN" w:bidi="ar-SA"/>
        </w:rPr>
        <w:t>六成新</w:t>
      </w:r>
      <w:r>
        <w:rPr>
          <w:rFonts w:hint="default" w:ascii="仿宋_GB2312" w:hAnsi="仿宋_GB2312" w:eastAsia="仿宋_GB2312" w:cs="仿宋_GB2312"/>
          <w:bCs/>
          <w:color w:val="auto"/>
          <w:kern w:val="2"/>
          <w:sz w:val="28"/>
          <w:szCs w:val="28"/>
          <w:highlight w:val="none"/>
          <w:lang w:val="en-GB" w:eastAsia="zh-CN" w:bidi="ar-SA"/>
        </w:rPr>
        <w:t>，房屋整体经济耐用年限为50年，已使用</w:t>
      </w:r>
      <w:r>
        <w:rPr>
          <w:rFonts w:hint="eastAsia" w:ascii="仿宋_GB2312" w:hAnsi="仿宋_GB2312" w:eastAsia="仿宋_GB2312" w:cs="仿宋_GB2312"/>
          <w:bCs/>
          <w:color w:val="auto"/>
          <w:kern w:val="2"/>
          <w:sz w:val="28"/>
          <w:szCs w:val="28"/>
          <w:highlight w:val="none"/>
          <w:lang w:val="en-US" w:eastAsia="zh-CN" w:bidi="ar-SA"/>
        </w:rPr>
        <w:t>22年</w:t>
      </w:r>
      <w:r>
        <w:rPr>
          <w:rFonts w:hint="default" w:ascii="仿宋_GB2312" w:hAnsi="仿宋_GB2312" w:eastAsia="仿宋_GB2312" w:cs="仿宋_GB2312"/>
          <w:bCs/>
          <w:color w:val="auto"/>
          <w:kern w:val="2"/>
          <w:sz w:val="28"/>
          <w:szCs w:val="28"/>
          <w:highlight w:val="none"/>
          <w:lang w:val="en-GB" w:eastAsia="zh-CN" w:bidi="ar-SA"/>
        </w:rPr>
        <w:t>，剩余使用年限为</w:t>
      </w:r>
      <w:r>
        <w:rPr>
          <w:rFonts w:hint="eastAsia" w:ascii="仿宋_GB2312" w:hAnsi="仿宋_GB2312" w:eastAsia="仿宋_GB2312" w:cs="仿宋_GB2312"/>
          <w:bCs/>
          <w:color w:val="auto"/>
          <w:kern w:val="2"/>
          <w:sz w:val="28"/>
          <w:szCs w:val="28"/>
          <w:highlight w:val="none"/>
          <w:lang w:val="en-US" w:eastAsia="zh-CN" w:bidi="ar-SA"/>
        </w:rPr>
        <w:t>28</w:t>
      </w:r>
      <w:r>
        <w:rPr>
          <w:rFonts w:hint="default" w:ascii="仿宋_GB2312" w:hAnsi="仿宋_GB2312" w:eastAsia="仿宋_GB2312" w:cs="仿宋_GB2312"/>
          <w:bCs/>
          <w:color w:val="auto"/>
          <w:kern w:val="2"/>
          <w:sz w:val="28"/>
          <w:szCs w:val="28"/>
          <w:highlight w:val="none"/>
          <w:lang w:val="en-GB" w:eastAsia="zh-CN" w:bidi="ar-SA"/>
        </w:rPr>
        <w:t>年。根据委托方提供的估价对象</w:t>
      </w:r>
      <w:r>
        <w:rPr>
          <w:rFonts w:hint="eastAsia" w:ascii="仿宋_GB2312" w:eastAsia="仿宋_GB2312"/>
          <w:color w:val="000000" w:themeColor="text1"/>
          <w:sz w:val="28"/>
          <w:szCs w:val="30"/>
          <w:highlight w:val="none"/>
          <w:lang w:eastAsia="zh-CN"/>
          <w14:textFill>
            <w14:solidFill>
              <w14:schemeClr w14:val="tx1"/>
            </w14:solidFill>
          </w14:textFill>
        </w:rPr>
        <w:t>《户室面积对照表》、《土地分摊表》</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估价对象建筑面积为</w:t>
      </w:r>
      <w:r>
        <w:rPr>
          <w:rFonts w:hint="eastAsia" w:ascii="仿宋_GB2312" w:hAnsi="仿宋_GB2312" w:eastAsia="仿宋_GB2312" w:cs="仿宋_GB2312"/>
          <w:bCs/>
          <w:color w:val="auto"/>
          <w:kern w:val="2"/>
          <w:sz w:val="28"/>
          <w:szCs w:val="28"/>
          <w:highlight w:val="none"/>
          <w:lang w:val="en-US" w:eastAsia="zh-CN" w:bidi="ar-SA"/>
        </w:rPr>
        <w:t>73.415平方米，分摊土地使用权面积15.2平方米</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根据《评估委托书》</w:t>
      </w:r>
      <w:r>
        <w:rPr>
          <w:rFonts w:hint="default" w:ascii="仿宋_GB2312" w:hAnsi="仿宋_GB2312" w:eastAsia="仿宋_GB2312" w:cs="仿宋_GB2312"/>
          <w:bCs/>
          <w:color w:val="auto"/>
          <w:kern w:val="2"/>
          <w:sz w:val="28"/>
          <w:szCs w:val="28"/>
          <w:highlight w:val="none"/>
          <w:lang w:val="en-GB" w:eastAsia="zh-CN" w:bidi="ar-SA"/>
        </w:rPr>
        <w:t>委托方拟按估价对象现状使用条件进行出让</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则估价对象现状容积率</w:t>
      </w:r>
      <w:r>
        <w:rPr>
          <w:rFonts w:hint="eastAsia" w:ascii="仿宋_GB2312" w:hAnsi="仿宋_GB2312" w:eastAsia="仿宋_GB2312" w:cs="仿宋_GB2312"/>
          <w:bCs/>
          <w:color w:val="auto"/>
          <w:kern w:val="2"/>
          <w:sz w:val="28"/>
          <w:szCs w:val="28"/>
          <w:highlight w:val="none"/>
          <w:lang w:val="en-GB" w:eastAsia="zh-CN" w:bidi="ar-SA"/>
        </w:rPr>
        <w:t>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。根据估价目的，本次评估设定土地容积率为</w:t>
      </w:r>
      <w:r>
        <w:rPr>
          <w:rFonts w:hint="eastAsia" w:ascii="仿宋_GB2312" w:hAnsi="仿宋_GB2312" w:eastAsia="仿宋_GB2312" w:cs="仿宋_GB2312"/>
          <w:bCs/>
          <w:color w:val="auto"/>
          <w:kern w:val="2"/>
          <w:sz w:val="28"/>
          <w:szCs w:val="28"/>
          <w:highlight w:val="none"/>
          <w:lang w:val="en-US" w:eastAsia="zh-CN" w:bidi="ar-SA"/>
        </w:rPr>
        <w:t>4.83</w:t>
      </w:r>
      <w:r>
        <w:rPr>
          <w:rFonts w:hint="eastAsia" w:ascii="仿宋_GB2312" w:hAnsi="仿宋_GB2312" w:eastAsia="仿宋_GB2312" w:cs="仿宋_GB2312"/>
          <w:b w:val="0"/>
          <w:bCs w:val="0"/>
          <w:color w:val="000000"/>
          <w:kern w:val="2"/>
          <w:sz w:val="28"/>
          <w:szCs w:val="28"/>
          <w:highlight w:val="none"/>
          <w:lang w:val="en-US" w:eastAsia="zh-CN" w:bidi="ar-SA"/>
        </w:rPr>
        <w:t>。</w:t>
      </w:r>
    </w:p>
    <w:p w14:paraId="0A69025E">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zh-CN" w:eastAsia="zh-CN" w:bidi="ar-SA"/>
        </w:rPr>
        <w:t>①</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月租金的确定</w:t>
      </w:r>
    </w:p>
    <w:p w14:paraId="556F25D5">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调查估价对象所处区域与估价对象条件相当的用于出租的住宅物业租金水平，确定估价对象房地产出租的总收益。经估价人员调查与估价对象在同一供需圈内的类似物业情况，选取了三个具有普遍性的物业的租金水平作为比较实例：</w:t>
      </w:r>
    </w:p>
    <w:p w14:paraId="2CF84553">
      <w:pPr>
        <w:spacing w:line="44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实例A：</w:t>
      </w:r>
      <w:r>
        <w:rPr>
          <w:rFonts w:hint="eastAsia" w:ascii="仿宋_GB2312" w:hAnsi="仿宋_GB2312" w:eastAsia="仿宋_GB2312" w:cs="仿宋_GB2312"/>
          <w:b w:val="0"/>
          <w:bCs w:val="0"/>
          <w:color w:val="000000"/>
          <w:kern w:val="2"/>
          <w:sz w:val="28"/>
          <w:szCs w:val="28"/>
          <w:highlight w:val="none"/>
          <w:lang w:val="en-US" w:eastAsia="zh-CN" w:bidi="ar-SA"/>
        </w:rPr>
        <w:t>柒酒烤肉楼上住宅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潇水中路三街，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12.01元/平方米·月。</w:t>
      </w:r>
    </w:p>
    <w:p w14:paraId="6AD7212B">
      <w:pPr>
        <w:spacing w:line="44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实例B：</w:t>
      </w:r>
      <w:r>
        <w:rPr>
          <w:rFonts w:hint="eastAsia" w:ascii="仿宋_GB2312" w:hAnsi="仿宋_GB2312" w:eastAsia="仿宋_GB2312" w:cs="仿宋_GB2312"/>
          <w:b w:val="0"/>
          <w:bCs w:val="0"/>
          <w:color w:val="000000"/>
          <w:kern w:val="2"/>
          <w:sz w:val="28"/>
          <w:szCs w:val="28"/>
          <w:highlight w:val="none"/>
          <w:lang w:val="en-US" w:eastAsia="zh-CN" w:bidi="ar-SA"/>
        </w:rPr>
        <w:t>哈牛士原切牛排楼上住宅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滨河路步行街，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11.99元/平方米·月。</w:t>
      </w:r>
    </w:p>
    <w:p w14:paraId="73F35F8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实例C：</w:t>
      </w:r>
      <w:r>
        <w:rPr>
          <w:rFonts w:hint="eastAsia" w:ascii="仿宋_GB2312" w:hAnsi="仿宋_GB2312" w:eastAsia="仿宋_GB2312" w:cs="仿宋_GB2312"/>
          <w:b w:val="0"/>
          <w:bCs w:val="0"/>
          <w:color w:val="000000"/>
          <w:kern w:val="2"/>
          <w:sz w:val="28"/>
          <w:szCs w:val="28"/>
          <w:highlight w:val="none"/>
          <w:lang w:val="en-US" w:eastAsia="zh-CN" w:bidi="ar-SA"/>
        </w:rPr>
        <w:t>爷爷不泡茶楼上住宅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西洲街道潇水中路，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12.01元/平方米·月。</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58"/>
        <w:gridCol w:w="4364"/>
      </w:tblGrid>
      <w:tr w14:paraId="11547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9" w:hRule="atLeast"/>
          <w:jc w:val="center"/>
        </w:trPr>
        <w:tc>
          <w:tcPr>
            <w:tcW w:w="4158" w:type="dxa"/>
            <w:vAlign w:val="center"/>
          </w:tcPr>
          <w:p w14:paraId="2FFB4032">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548890" cy="2337435"/>
                  <wp:effectExtent l="0" t="0" r="3810" b="5715"/>
                  <wp:docPr id="22" name="图片 22" descr="7315a4faa2fa7bd86044428dc8f68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315a4faa2fa7bd86044428dc8f68116"/>
                          <pic:cNvPicPr>
                            <a:picLocks noChangeAspect="1"/>
                          </pic:cNvPicPr>
                        </pic:nvPicPr>
                        <pic:blipFill>
                          <a:blip r:embed="rId36"/>
                          <a:srcRect b="15501"/>
                          <a:stretch>
                            <a:fillRect/>
                          </a:stretch>
                        </pic:blipFill>
                        <pic:spPr>
                          <a:xfrm>
                            <a:off x="0" y="0"/>
                            <a:ext cx="2548890" cy="2337435"/>
                          </a:xfrm>
                          <a:prstGeom prst="rect">
                            <a:avLst/>
                          </a:prstGeom>
                        </pic:spPr>
                      </pic:pic>
                    </a:graphicData>
                  </a:graphic>
                </wp:inline>
              </w:drawing>
            </w:r>
          </w:p>
          <w:p w14:paraId="4E99BD99">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案例A照片</w:t>
            </w:r>
          </w:p>
        </w:tc>
        <w:tc>
          <w:tcPr>
            <w:tcW w:w="4364" w:type="dxa"/>
            <w:vAlign w:val="center"/>
          </w:tcPr>
          <w:p w14:paraId="76BB7361">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93060" cy="2363470"/>
                  <wp:effectExtent l="0" t="0" r="2540" b="1778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37"/>
                          <a:srcRect l="6694" t="4940" r="28320" b="17434"/>
                          <a:stretch>
                            <a:fillRect/>
                          </a:stretch>
                        </pic:blipFill>
                        <pic:spPr>
                          <a:xfrm>
                            <a:off x="0" y="0"/>
                            <a:ext cx="2893060" cy="2363470"/>
                          </a:xfrm>
                          <a:prstGeom prst="rect">
                            <a:avLst/>
                          </a:prstGeom>
                          <a:noFill/>
                          <a:ln>
                            <a:noFill/>
                          </a:ln>
                        </pic:spPr>
                      </pic:pic>
                    </a:graphicData>
                  </a:graphic>
                </wp:inline>
              </w:drawing>
            </w:r>
          </w:p>
          <w:p w14:paraId="5A0B012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案例A位置</w:t>
            </w:r>
          </w:p>
        </w:tc>
      </w:tr>
      <w:tr w14:paraId="3CC27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8" w:type="dxa"/>
            <w:vAlign w:val="center"/>
          </w:tcPr>
          <w:p w14:paraId="1E42CAE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497455" cy="2201545"/>
                  <wp:effectExtent l="0" t="0" r="17145" b="8255"/>
                  <wp:docPr id="24" name="图片 24" descr="a17d939fa52d5b154669017b0405c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17d939fa52d5b154669017b0405c0f4"/>
                          <pic:cNvPicPr>
                            <a:picLocks noChangeAspect="1"/>
                          </pic:cNvPicPr>
                        </pic:nvPicPr>
                        <pic:blipFill>
                          <a:blip r:embed="rId38"/>
                          <a:srcRect b="13372"/>
                          <a:stretch>
                            <a:fillRect/>
                          </a:stretch>
                        </pic:blipFill>
                        <pic:spPr>
                          <a:xfrm>
                            <a:off x="0" y="0"/>
                            <a:ext cx="2497455" cy="2201545"/>
                          </a:xfrm>
                          <a:prstGeom prst="rect">
                            <a:avLst/>
                          </a:prstGeom>
                        </pic:spPr>
                      </pic:pic>
                    </a:graphicData>
                  </a:graphic>
                </wp:inline>
              </w:drawing>
            </w: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案例B照片</w:t>
            </w:r>
          </w:p>
        </w:tc>
        <w:tc>
          <w:tcPr>
            <w:tcW w:w="4364" w:type="dxa"/>
            <w:vAlign w:val="center"/>
          </w:tcPr>
          <w:p w14:paraId="36FD8AA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99410" cy="2159000"/>
                  <wp:effectExtent l="0" t="0" r="15240" b="12700"/>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39"/>
                          <a:stretch>
                            <a:fillRect/>
                          </a:stretch>
                        </pic:blipFill>
                        <pic:spPr>
                          <a:xfrm>
                            <a:off x="0" y="0"/>
                            <a:ext cx="2899410" cy="2159000"/>
                          </a:xfrm>
                          <a:prstGeom prst="rect">
                            <a:avLst/>
                          </a:prstGeom>
                          <a:noFill/>
                          <a:ln>
                            <a:noFill/>
                          </a:ln>
                        </pic:spPr>
                      </pic:pic>
                    </a:graphicData>
                  </a:graphic>
                </wp:inline>
              </w:drawing>
            </w:r>
          </w:p>
          <w:p w14:paraId="5173A409">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案例B位置</w:t>
            </w:r>
          </w:p>
        </w:tc>
      </w:tr>
      <w:tr w14:paraId="26E61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8" w:type="dxa"/>
            <w:vAlign w:val="center"/>
          </w:tcPr>
          <w:p w14:paraId="0183C418">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499360" cy="2244725"/>
                  <wp:effectExtent l="0" t="0" r="0" b="0"/>
                  <wp:docPr id="25" name="图片 25" descr="4c72a4886265f81ba59b2f250436d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c72a4886265f81ba59b2f250436d107"/>
                          <pic:cNvPicPr>
                            <a:picLocks noChangeAspect="1"/>
                          </pic:cNvPicPr>
                        </pic:nvPicPr>
                        <pic:blipFill>
                          <a:blip r:embed="rId40"/>
                          <a:srcRect b="8656"/>
                          <a:stretch>
                            <a:fillRect/>
                          </a:stretch>
                        </pic:blipFill>
                        <pic:spPr>
                          <a:xfrm>
                            <a:off x="0" y="0"/>
                            <a:ext cx="2499360" cy="2244725"/>
                          </a:xfrm>
                          <a:prstGeom prst="rect">
                            <a:avLst/>
                          </a:prstGeom>
                        </pic:spPr>
                      </pic:pic>
                    </a:graphicData>
                  </a:graphic>
                </wp:inline>
              </w:drawing>
            </w: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案例C照片</w:t>
            </w:r>
          </w:p>
        </w:tc>
        <w:tc>
          <w:tcPr>
            <w:tcW w:w="4364" w:type="dxa"/>
            <w:vAlign w:val="center"/>
          </w:tcPr>
          <w:p w14:paraId="13582936">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81630" cy="2188210"/>
                  <wp:effectExtent l="0" t="0" r="13970" b="2540"/>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41"/>
                          <a:stretch>
                            <a:fillRect/>
                          </a:stretch>
                        </pic:blipFill>
                        <pic:spPr>
                          <a:xfrm>
                            <a:off x="0" y="0"/>
                            <a:ext cx="2881630" cy="2188210"/>
                          </a:xfrm>
                          <a:prstGeom prst="rect">
                            <a:avLst/>
                          </a:prstGeom>
                          <a:noFill/>
                          <a:ln>
                            <a:noFill/>
                          </a:ln>
                        </pic:spPr>
                      </pic:pic>
                    </a:graphicData>
                  </a:graphic>
                </wp:inline>
              </w:drawing>
            </w:r>
          </w:p>
          <w:p w14:paraId="0A0C38C5">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案例C位置</w:t>
            </w:r>
          </w:p>
        </w:tc>
      </w:tr>
    </w:tbl>
    <w:p w14:paraId="282B9236">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2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zh-CN" w:eastAsia="zh-CN" w:bidi="ar-SA"/>
        </w:rPr>
        <w:t>②</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编制租金案例比较因素表</w:t>
      </w:r>
    </w:p>
    <w:p w14:paraId="630BCB6D">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结合影响房屋租金的主要因素，以估价对象因素为100进行租金修正，估价对象与实例比较因素情况详见下表。</w:t>
      </w:r>
    </w:p>
    <w:p w14:paraId="7F9490BD">
      <w:pPr>
        <w:pStyle w:val="11"/>
        <w:keepNext w:val="0"/>
        <w:keepLines w:val="0"/>
        <w:pageBreakBefore w:val="0"/>
        <w:widowControl/>
        <w:kinsoku w:val="0"/>
        <w:wordWrap/>
        <w:overflowPunct/>
        <w:topLinePunct w:val="0"/>
        <w:autoSpaceDE w:val="0"/>
        <w:autoSpaceDN w:val="0"/>
        <w:bidi w:val="0"/>
        <w:adjustRightInd w:val="0"/>
        <w:snapToGrid w:val="0"/>
        <w:spacing w:before="157" w:beforeLines="50" w:after="10" w:line="360" w:lineRule="auto"/>
        <w:ind w:left="0" w:leftChars="0" w:firstLine="0" w:firstLineChars="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表3-1</w:t>
      </w:r>
      <w:r>
        <w:rPr>
          <w:rFonts w:hint="eastAsia" w:ascii="仿宋_GB2312" w:hAnsi="仿宋_GB2312" w:cs="仿宋_GB2312"/>
          <w:b w:val="0"/>
          <w:bCs/>
          <w:color w:val="auto"/>
          <w:kern w:val="2"/>
          <w:sz w:val="28"/>
          <w:szCs w:val="28"/>
          <w:highlight w:val="none"/>
          <w:lang w:val="en-US" w:eastAsia="zh-CN" w:bidi="ar-SA"/>
        </w:rPr>
        <w:t xml:space="preserve">1 </w:t>
      </w:r>
      <w:r>
        <w:rPr>
          <w:rFonts w:hint="eastAsia" w:ascii="仿宋_GB2312" w:hAnsi="仿宋_GB2312" w:eastAsia="仿宋_GB2312" w:cs="仿宋_GB2312"/>
          <w:b w:val="0"/>
          <w:bCs/>
          <w:color w:val="auto"/>
          <w:kern w:val="2"/>
          <w:sz w:val="28"/>
          <w:szCs w:val="28"/>
          <w:highlight w:val="none"/>
          <w:lang w:val="en-US" w:eastAsia="zh-CN" w:bidi="ar-SA"/>
        </w:rPr>
        <w:t>比较因素条件说明表</w:t>
      </w:r>
    </w:p>
    <w:tbl>
      <w:tblPr>
        <w:tblStyle w:val="12"/>
        <w:tblW w:w="501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11"/>
        <w:gridCol w:w="1615"/>
        <w:gridCol w:w="1299"/>
        <w:gridCol w:w="1358"/>
        <w:gridCol w:w="1391"/>
        <w:gridCol w:w="1374"/>
      </w:tblGrid>
      <w:tr w14:paraId="12957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74" w:hRule="atLeast"/>
        </w:trPr>
        <w:tc>
          <w:tcPr>
            <w:tcW w:w="1752" w:type="pct"/>
            <w:gridSpan w:val="2"/>
            <w:tcBorders>
              <w:tl2br w:val="single" w:color="000000" w:sz="4" w:space="0"/>
            </w:tcBorders>
            <w:noWrap w:val="0"/>
            <w:tcMar>
              <w:top w:w="0" w:type="dxa"/>
              <w:left w:w="0" w:type="dxa"/>
              <w:bottom w:w="0" w:type="dxa"/>
              <w:right w:w="0" w:type="dxa"/>
            </w:tcMar>
            <w:vAlign w:val="center"/>
          </w:tcPr>
          <w:p w14:paraId="3E47AF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 xml:space="preserve">       估价对象及比较实例</w:t>
            </w:r>
          </w:p>
          <w:p w14:paraId="22AF3C8F">
            <w:pPr>
              <w:keepNext w:val="0"/>
              <w:keepLines w:val="0"/>
              <w:pageBreakBefore w:val="0"/>
              <w:widowControl/>
              <w:kinsoku/>
              <w:wordWrap/>
              <w:overflowPunct/>
              <w:topLinePunct w:val="0"/>
              <w:autoSpaceDE/>
              <w:autoSpaceDN/>
              <w:bidi w:val="0"/>
              <w:adjustRightInd/>
              <w:snapToGrid/>
              <w:spacing w:line="260" w:lineRule="exact"/>
              <w:ind w:firstLine="200" w:firstLineChars="100"/>
              <w:jc w:val="both"/>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比较因素</w:t>
            </w:r>
          </w:p>
        </w:tc>
        <w:tc>
          <w:tcPr>
            <w:tcW w:w="778" w:type="pct"/>
            <w:noWrap w:val="0"/>
            <w:tcMar>
              <w:top w:w="0" w:type="dxa"/>
              <w:left w:w="0" w:type="dxa"/>
              <w:bottom w:w="0" w:type="dxa"/>
              <w:right w:w="0" w:type="dxa"/>
            </w:tcMar>
            <w:vAlign w:val="center"/>
          </w:tcPr>
          <w:p w14:paraId="7BA5A91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w:t>
            </w:r>
          </w:p>
        </w:tc>
        <w:tc>
          <w:tcPr>
            <w:tcW w:w="813" w:type="pct"/>
            <w:noWrap w:val="0"/>
            <w:tcMar>
              <w:top w:w="0" w:type="dxa"/>
              <w:left w:w="0" w:type="dxa"/>
              <w:bottom w:w="0" w:type="dxa"/>
              <w:right w:w="0" w:type="dxa"/>
            </w:tcMar>
            <w:vAlign w:val="center"/>
          </w:tcPr>
          <w:p w14:paraId="412D6F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案例A</w:t>
            </w:r>
          </w:p>
        </w:tc>
        <w:tc>
          <w:tcPr>
            <w:tcW w:w="833" w:type="pct"/>
            <w:noWrap w:val="0"/>
            <w:tcMar>
              <w:top w:w="0" w:type="dxa"/>
              <w:left w:w="0" w:type="dxa"/>
              <w:bottom w:w="0" w:type="dxa"/>
              <w:right w:w="0" w:type="dxa"/>
            </w:tcMar>
            <w:vAlign w:val="center"/>
          </w:tcPr>
          <w:p w14:paraId="1FFF195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案例B</w:t>
            </w:r>
          </w:p>
        </w:tc>
        <w:tc>
          <w:tcPr>
            <w:tcW w:w="822" w:type="pct"/>
            <w:noWrap w:val="0"/>
            <w:tcMar>
              <w:top w:w="0" w:type="dxa"/>
              <w:left w:w="0" w:type="dxa"/>
              <w:bottom w:w="0" w:type="dxa"/>
              <w:right w:w="0" w:type="dxa"/>
            </w:tcMar>
            <w:vAlign w:val="center"/>
          </w:tcPr>
          <w:p w14:paraId="12B615E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案例C</w:t>
            </w:r>
          </w:p>
        </w:tc>
      </w:tr>
      <w:tr w14:paraId="60368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1752" w:type="pct"/>
            <w:gridSpan w:val="2"/>
            <w:noWrap w:val="0"/>
            <w:tcMar>
              <w:top w:w="0" w:type="dxa"/>
              <w:left w:w="0" w:type="dxa"/>
              <w:bottom w:w="0" w:type="dxa"/>
              <w:right w:w="0" w:type="dxa"/>
            </w:tcMar>
            <w:vAlign w:val="center"/>
          </w:tcPr>
          <w:p w14:paraId="31F691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位置</w:t>
            </w:r>
          </w:p>
        </w:tc>
        <w:tc>
          <w:tcPr>
            <w:tcW w:w="778" w:type="pct"/>
            <w:shd w:val="clear" w:color="auto" w:fill="auto"/>
            <w:noWrap w:val="0"/>
            <w:tcMar>
              <w:top w:w="0" w:type="dxa"/>
              <w:left w:w="0" w:type="dxa"/>
              <w:bottom w:w="0" w:type="dxa"/>
              <w:right w:w="0" w:type="dxa"/>
            </w:tcMar>
            <w:vAlign w:val="center"/>
          </w:tcPr>
          <w:p w14:paraId="7D5FC5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道州月岩西路皮革厂家属楼3栋4层404房</w:t>
            </w:r>
          </w:p>
        </w:tc>
        <w:tc>
          <w:tcPr>
            <w:tcW w:w="813" w:type="pct"/>
            <w:noWrap w:val="0"/>
            <w:tcMar>
              <w:top w:w="0" w:type="dxa"/>
              <w:left w:w="0" w:type="dxa"/>
              <w:bottom w:w="0" w:type="dxa"/>
              <w:right w:w="0" w:type="dxa"/>
            </w:tcMar>
            <w:vAlign w:val="center"/>
          </w:tcPr>
          <w:p w14:paraId="2BF9BA6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833" w:type="pct"/>
            <w:noWrap w:val="0"/>
            <w:tcMar>
              <w:top w:w="0" w:type="dxa"/>
              <w:left w:w="0" w:type="dxa"/>
              <w:bottom w:w="0" w:type="dxa"/>
              <w:right w:w="0" w:type="dxa"/>
            </w:tcMar>
            <w:vAlign w:val="center"/>
          </w:tcPr>
          <w:p w14:paraId="6BDFDA6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822" w:type="pct"/>
            <w:noWrap w:val="0"/>
            <w:tcMar>
              <w:top w:w="0" w:type="dxa"/>
              <w:left w:w="0" w:type="dxa"/>
              <w:bottom w:w="0" w:type="dxa"/>
              <w:right w:w="0" w:type="dxa"/>
            </w:tcMar>
            <w:vAlign w:val="center"/>
          </w:tcPr>
          <w:p w14:paraId="1C28E2C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04C2E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05524CF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住宅租金(元/m</w:t>
            </w:r>
            <w:r>
              <w:rPr>
                <w:rFonts w:hint="eastAsia" w:ascii="仿宋_GB2312" w:hAnsi="仿宋_GB2312" w:eastAsia="仿宋_GB2312" w:cs="仿宋_GB2312"/>
                <w:b w:val="0"/>
                <w:bCs w:val="0"/>
                <w:color w:val="000000"/>
                <w:kern w:val="2"/>
                <w:sz w:val="20"/>
                <w:szCs w:val="20"/>
                <w:highlight w:val="none"/>
                <w:vertAlign w:val="superscript"/>
                <w:lang w:val="en-US" w:eastAsia="zh-CN" w:bidi="ar-SA"/>
              </w:rPr>
              <w:t>2</w:t>
            </w:r>
            <w:r>
              <w:rPr>
                <w:rFonts w:hint="eastAsia" w:ascii="仿宋_GB2312" w:hAnsi="仿宋_GB2312" w:eastAsia="仿宋_GB2312" w:cs="仿宋_GB2312"/>
                <w:b w:val="0"/>
                <w:bCs w:val="0"/>
                <w:color w:val="000000"/>
                <w:kern w:val="2"/>
                <w:sz w:val="20"/>
                <w:szCs w:val="20"/>
                <w:highlight w:val="none"/>
                <w:lang w:val="en-US" w:eastAsia="zh-CN" w:bidi="ar-SA"/>
              </w:rPr>
              <w:t>·月)</w:t>
            </w:r>
          </w:p>
        </w:tc>
        <w:tc>
          <w:tcPr>
            <w:tcW w:w="778" w:type="pct"/>
            <w:noWrap w:val="0"/>
            <w:tcMar>
              <w:top w:w="0" w:type="dxa"/>
              <w:left w:w="0" w:type="dxa"/>
              <w:bottom w:w="0" w:type="dxa"/>
              <w:right w:w="0" w:type="dxa"/>
            </w:tcMar>
            <w:vAlign w:val="center"/>
          </w:tcPr>
          <w:p w14:paraId="0A082FF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待估</w:t>
            </w:r>
          </w:p>
        </w:tc>
        <w:tc>
          <w:tcPr>
            <w:tcW w:w="1358" w:type="dxa"/>
            <w:noWrap w:val="0"/>
            <w:tcMar>
              <w:top w:w="0" w:type="dxa"/>
              <w:left w:w="0" w:type="dxa"/>
              <w:bottom w:w="0" w:type="dxa"/>
              <w:right w:w="0" w:type="dxa"/>
            </w:tcMar>
            <w:vAlign w:val="center"/>
          </w:tcPr>
          <w:p w14:paraId="598C363B">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391" w:type="dxa"/>
            <w:noWrap w:val="0"/>
            <w:tcMar>
              <w:top w:w="0" w:type="dxa"/>
              <w:left w:w="0" w:type="dxa"/>
              <w:bottom w:w="0" w:type="dxa"/>
              <w:right w:w="0" w:type="dxa"/>
            </w:tcMar>
            <w:vAlign w:val="center"/>
          </w:tcPr>
          <w:p w14:paraId="3F5A4950">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374" w:type="dxa"/>
            <w:noWrap w:val="0"/>
            <w:tcMar>
              <w:top w:w="0" w:type="dxa"/>
              <w:left w:w="0" w:type="dxa"/>
              <w:bottom w:w="0" w:type="dxa"/>
              <w:right w:w="0" w:type="dxa"/>
            </w:tcMar>
            <w:vAlign w:val="center"/>
          </w:tcPr>
          <w:p w14:paraId="038A0638">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3757E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16D2D9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用途</w:t>
            </w:r>
          </w:p>
        </w:tc>
        <w:tc>
          <w:tcPr>
            <w:tcW w:w="778" w:type="pct"/>
            <w:noWrap w:val="0"/>
            <w:tcMar>
              <w:top w:w="0" w:type="dxa"/>
              <w:left w:w="0" w:type="dxa"/>
              <w:bottom w:w="0" w:type="dxa"/>
              <w:right w:w="0" w:type="dxa"/>
            </w:tcMar>
            <w:vAlign w:val="center"/>
          </w:tcPr>
          <w:p w14:paraId="1BAD8F0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13" w:type="pct"/>
            <w:noWrap w:val="0"/>
            <w:tcMar>
              <w:top w:w="0" w:type="dxa"/>
              <w:left w:w="0" w:type="dxa"/>
              <w:bottom w:w="0" w:type="dxa"/>
              <w:right w:w="0" w:type="dxa"/>
            </w:tcMar>
            <w:vAlign w:val="center"/>
          </w:tcPr>
          <w:p w14:paraId="725CC3F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33" w:type="pct"/>
            <w:noWrap w:val="0"/>
            <w:tcMar>
              <w:top w:w="0" w:type="dxa"/>
              <w:left w:w="0" w:type="dxa"/>
              <w:bottom w:w="0" w:type="dxa"/>
              <w:right w:w="0" w:type="dxa"/>
            </w:tcMar>
            <w:vAlign w:val="center"/>
          </w:tcPr>
          <w:p w14:paraId="215AE20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22" w:type="pct"/>
            <w:noWrap w:val="0"/>
            <w:tcMar>
              <w:top w:w="0" w:type="dxa"/>
              <w:left w:w="0" w:type="dxa"/>
              <w:bottom w:w="0" w:type="dxa"/>
              <w:right w:w="0" w:type="dxa"/>
            </w:tcMar>
            <w:vAlign w:val="center"/>
          </w:tcPr>
          <w:p w14:paraId="5F11D3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r>
      <w:tr w14:paraId="145CB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22ECEB9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交易时间</w:t>
            </w:r>
          </w:p>
        </w:tc>
        <w:tc>
          <w:tcPr>
            <w:tcW w:w="778" w:type="pct"/>
            <w:noWrap w:val="0"/>
            <w:tcMar>
              <w:top w:w="0" w:type="dxa"/>
              <w:left w:w="0" w:type="dxa"/>
              <w:bottom w:w="0" w:type="dxa"/>
              <w:right w:w="0" w:type="dxa"/>
            </w:tcMar>
            <w:vAlign w:val="center"/>
          </w:tcPr>
          <w:p w14:paraId="0863086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13" w:type="pct"/>
            <w:noWrap w:val="0"/>
            <w:tcMar>
              <w:top w:w="0" w:type="dxa"/>
              <w:left w:w="0" w:type="dxa"/>
              <w:bottom w:w="0" w:type="dxa"/>
              <w:right w:w="0" w:type="dxa"/>
            </w:tcMar>
            <w:vAlign w:val="center"/>
          </w:tcPr>
          <w:p w14:paraId="76C8AA7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33" w:type="pct"/>
            <w:noWrap w:val="0"/>
            <w:tcMar>
              <w:top w:w="0" w:type="dxa"/>
              <w:left w:w="0" w:type="dxa"/>
              <w:bottom w:w="0" w:type="dxa"/>
              <w:right w:w="0" w:type="dxa"/>
            </w:tcMar>
            <w:vAlign w:val="center"/>
          </w:tcPr>
          <w:p w14:paraId="52BFDB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22" w:type="pct"/>
            <w:noWrap w:val="0"/>
            <w:tcMar>
              <w:top w:w="0" w:type="dxa"/>
              <w:left w:w="0" w:type="dxa"/>
              <w:bottom w:w="0" w:type="dxa"/>
              <w:right w:w="0" w:type="dxa"/>
            </w:tcMar>
            <w:vAlign w:val="center"/>
          </w:tcPr>
          <w:p w14:paraId="7AC1007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r>
      <w:tr w14:paraId="29F1F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414D40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交易情况</w:t>
            </w:r>
          </w:p>
        </w:tc>
        <w:tc>
          <w:tcPr>
            <w:tcW w:w="1299" w:type="dxa"/>
            <w:noWrap w:val="0"/>
            <w:tcMar>
              <w:top w:w="0" w:type="dxa"/>
              <w:left w:w="0" w:type="dxa"/>
              <w:bottom w:w="0" w:type="dxa"/>
              <w:right w:w="0" w:type="dxa"/>
            </w:tcMar>
            <w:vAlign w:val="center"/>
          </w:tcPr>
          <w:p w14:paraId="563CC6B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58" w:type="dxa"/>
            <w:noWrap w:val="0"/>
            <w:tcMar>
              <w:top w:w="0" w:type="dxa"/>
              <w:left w:w="0" w:type="dxa"/>
              <w:bottom w:w="0" w:type="dxa"/>
              <w:right w:w="0" w:type="dxa"/>
            </w:tcMar>
            <w:vAlign w:val="center"/>
          </w:tcPr>
          <w:p w14:paraId="68DFB83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91" w:type="dxa"/>
            <w:noWrap w:val="0"/>
            <w:tcMar>
              <w:top w:w="0" w:type="dxa"/>
              <w:left w:w="0" w:type="dxa"/>
              <w:bottom w:w="0" w:type="dxa"/>
              <w:right w:w="0" w:type="dxa"/>
            </w:tcMar>
            <w:vAlign w:val="center"/>
          </w:tcPr>
          <w:p w14:paraId="6709151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74" w:type="dxa"/>
            <w:noWrap w:val="0"/>
            <w:tcMar>
              <w:top w:w="0" w:type="dxa"/>
              <w:left w:w="0" w:type="dxa"/>
              <w:bottom w:w="0" w:type="dxa"/>
              <w:right w:w="0" w:type="dxa"/>
            </w:tcMar>
            <w:vAlign w:val="center"/>
          </w:tcPr>
          <w:p w14:paraId="70D2F25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r>
      <w:tr w14:paraId="3818C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rPr>
        <w:tc>
          <w:tcPr>
            <w:tcW w:w="785" w:type="pct"/>
            <w:vMerge w:val="restart"/>
            <w:noWrap w:val="0"/>
            <w:tcMar>
              <w:top w:w="0" w:type="dxa"/>
              <w:left w:w="0" w:type="dxa"/>
              <w:bottom w:w="0" w:type="dxa"/>
              <w:right w:w="0" w:type="dxa"/>
            </w:tcMar>
            <w:vAlign w:val="center"/>
          </w:tcPr>
          <w:p w14:paraId="49B3803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区域因素</w:t>
            </w:r>
          </w:p>
        </w:tc>
        <w:tc>
          <w:tcPr>
            <w:tcW w:w="967" w:type="pct"/>
            <w:noWrap w:val="0"/>
            <w:tcMar>
              <w:top w:w="0" w:type="dxa"/>
              <w:left w:w="0" w:type="dxa"/>
              <w:bottom w:w="0" w:type="dxa"/>
              <w:right w:w="0" w:type="dxa"/>
            </w:tcMar>
            <w:vAlign w:val="center"/>
          </w:tcPr>
          <w:p w14:paraId="7E3003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商服繁华度</w:t>
            </w:r>
          </w:p>
        </w:tc>
        <w:tc>
          <w:tcPr>
            <w:tcW w:w="1299" w:type="dxa"/>
            <w:noWrap w:val="0"/>
            <w:tcMar>
              <w:top w:w="0" w:type="dxa"/>
              <w:left w:w="0" w:type="dxa"/>
              <w:bottom w:w="0" w:type="dxa"/>
              <w:right w:w="0" w:type="dxa"/>
            </w:tcMar>
            <w:vAlign w:val="center"/>
          </w:tcPr>
          <w:p w14:paraId="52FDF1B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一般</w:t>
            </w:r>
          </w:p>
        </w:tc>
        <w:tc>
          <w:tcPr>
            <w:tcW w:w="1358" w:type="dxa"/>
            <w:noWrap w:val="0"/>
            <w:tcMar>
              <w:top w:w="0" w:type="dxa"/>
              <w:left w:w="0" w:type="dxa"/>
              <w:bottom w:w="0" w:type="dxa"/>
              <w:right w:w="0" w:type="dxa"/>
            </w:tcMar>
            <w:vAlign w:val="center"/>
          </w:tcPr>
          <w:p w14:paraId="73EB252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c>
          <w:tcPr>
            <w:tcW w:w="1391" w:type="dxa"/>
            <w:noWrap w:val="0"/>
            <w:tcMar>
              <w:top w:w="0" w:type="dxa"/>
              <w:left w:w="0" w:type="dxa"/>
              <w:bottom w:w="0" w:type="dxa"/>
              <w:right w:w="0" w:type="dxa"/>
            </w:tcMar>
            <w:vAlign w:val="center"/>
          </w:tcPr>
          <w:p w14:paraId="1922FFE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c>
          <w:tcPr>
            <w:tcW w:w="1374" w:type="dxa"/>
            <w:noWrap w:val="0"/>
            <w:tcMar>
              <w:top w:w="0" w:type="dxa"/>
              <w:left w:w="0" w:type="dxa"/>
              <w:bottom w:w="0" w:type="dxa"/>
              <w:right w:w="0" w:type="dxa"/>
            </w:tcMar>
            <w:vAlign w:val="center"/>
          </w:tcPr>
          <w:p w14:paraId="79587DA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r>
      <w:tr w14:paraId="6FA35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578C24C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51000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公交便捷度</w:t>
            </w:r>
          </w:p>
        </w:tc>
        <w:tc>
          <w:tcPr>
            <w:tcW w:w="1299" w:type="dxa"/>
            <w:noWrap w:val="0"/>
            <w:tcMar>
              <w:top w:w="0" w:type="dxa"/>
              <w:left w:w="0" w:type="dxa"/>
              <w:bottom w:w="0" w:type="dxa"/>
              <w:right w:w="0" w:type="dxa"/>
            </w:tcMar>
            <w:vAlign w:val="center"/>
          </w:tcPr>
          <w:p w14:paraId="2CDB0F3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58" w:type="dxa"/>
            <w:noWrap w:val="0"/>
            <w:tcMar>
              <w:top w:w="0" w:type="dxa"/>
              <w:left w:w="0" w:type="dxa"/>
              <w:bottom w:w="0" w:type="dxa"/>
              <w:right w:w="0" w:type="dxa"/>
            </w:tcMar>
            <w:vAlign w:val="center"/>
          </w:tcPr>
          <w:p w14:paraId="346FA24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91" w:type="dxa"/>
            <w:noWrap w:val="0"/>
            <w:tcMar>
              <w:top w:w="0" w:type="dxa"/>
              <w:left w:w="0" w:type="dxa"/>
              <w:bottom w:w="0" w:type="dxa"/>
              <w:right w:w="0" w:type="dxa"/>
            </w:tcMar>
            <w:vAlign w:val="center"/>
          </w:tcPr>
          <w:p w14:paraId="111DFFA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74" w:type="dxa"/>
            <w:noWrap w:val="0"/>
            <w:tcMar>
              <w:top w:w="0" w:type="dxa"/>
              <w:left w:w="0" w:type="dxa"/>
              <w:bottom w:w="0" w:type="dxa"/>
              <w:right w:w="0" w:type="dxa"/>
            </w:tcMar>
            <w:vAlign w:val="center"/>
          </w:tcPr>
          <w:p w14:paraId="3BACB5A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r>
      <w:tr w14:paraId="72F82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416C58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22ECBC0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道路通达度</w:t>
            </w:r>
          </w:p>
        </w:tc>
        <w:tc>
          <w:tcPr>
            <w:tcW w:w="1299" w:type="dxa"/>
            <w:noWrap w:val="0"/>
            <w:tcMar>
              <w:top w:w="0" w:type="dxa"/>
              <w:left w:w="0" w:type="dxa"/>
              <w:bottom w:w="0" w:type="dxa"/>
              <w:right w:w="0" w:type="dxa"/>
            </w:tcMar>
            <w:vAlign w:val="center"/>
          </w:tcPr>
          <w:p w14:paraId="7749A9C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58" w:type="dxa"/>
            <w:noWrap w:val="0"/>
            <w:tcMar>
              <w:top w:w="0" w:type="dxa"/>
              <w:left w:w="0" w:type="dxa"/>
              <w:bottom w:w="0" w:type="dxa"/>
              <w:right w:w="0" w:type="dxa"/>
            </w:tcMar>
            <w:vAlign w:val="center"/>
          </w:tcPr>
          <w:p w14:paraId="29964EB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91" w:type="dxa"/>
            <w:noWrap w:val="0"/>
            <w:tcMar>
              <w:top w:w="0" w:type="dxa"/>
              <w:left w:w="0" w:type="dxa"/>
              <w:bottom w:w="0" w:type="dxa"/>
              <w:right w:w="0" w:type="dxa"/>
            </w:tcMar>
            <w:vAlign w:val="center"/>
          </w:tcPr>
          <w:p w14:paraId="51E24BF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74" w:type="dxa"/>
            <w:noWrap w:val="0"/>
            <w:tcMar>
              <w:top w:w="0" w:type="dxa"/>
              <w:left w:w="0" w:type="dxa"/>
              <w:bottom w:w="0" w:type="dxa"/>
              <w:right w:w="0" w:type="dxa"/>
            </w:tcMar>
            <w:vAlign w:val="center"/>
          </w:tcPr>
          <w:p w14:paraId="4D6D0CE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r>
      <w:tr w14:paraId="201CE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75F59CD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4DD0EC8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水电等基础设施综合保证率</w:t>
            </w:r>
          </w:p>
        </w:tc>
        <w:tc>
          <w:tcPr>
            <w:tcW w:w="1299" w:type="dxa"/>
            <w:noWrap w:val="0"/>
            <w:tcMar>
              <w:top w:w="0" w:type="dxa"/>
              <w:left w:w="0" w:type="dxa"/>
              <w:bottom w:w="0" w:type="dxa"/>
              <w:right w:w="0" w:type="dxa"/>
            </w:tcMar>
            <w:vAlign w:val="center"/>
          </w:tcPr>
          <w:p w14:paraId="59B366B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58" w:type="dxa"/>
            <w:noWrap w:val="0"/>
            <w:tcMar>
              <w:top w:w="0" w:type="dxa"/>
              <w:left w:w="0" w:type="dxa"/>
              <w:bottom w:w="0" w:type="dxa"/>
              <w:right w:w="0" w:type="dxa"/>
            </w:tcMar>
            <w:vAlign w:val="center"/>
          </w:tcPr>
          <w:p w14:paraId="71E3DEC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91" w:type="dxa"/>
            <w:noWrap w:val="0"/>
            <w:tcMar>
              <w:top w:w="0" w:type="dxa"/>
              <w:left w:w="0" w:type="dxa"/>
              <w:bottom w:w="0" w:type="dxa"/>
              <w:right w:w="0" w:type="dxa"/>
            </w:tcMar>
            <w:vAlign w:val="center"/>
          </w:tcPr>
          <w:p w14:paraId="68D14E9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74" w:type="dxa"/>
            <w:noWrap w:val="0"/>
            <w:tcMar>
              <w:top w:w="0" w:type="dxa"/>
              <w:left w:w="0" w:type="dxa"/>
              <w:bottom w:w="0" w:type="dxa"/>
              <w:right w:w="0" w:type="dxa"/>
            </w:tcMar>
            <w:vAlign w:val="center"/>
          </w:tcPr>
          <w:p w14:paraId="0C674EB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r>
      <w:tr w14:paraId="3DC80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1C5F2D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2CC1A2D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环境质量</w:t>
            </w:r>
          </w:p>
        </w:tc>
        <w:tc>
          <w:tcPr>
            <w:tcW w:w="1299" w:type="dxa"/>
            <w:noWrap w:val="0"/>
            <w:tcMar>
              <w:top w:w="0" w:type="dxa"/>
              <w:left w:w="0" w:type="dxa"/>
              <w:bottom w:w="0" w:type="dxa"/>
              <w:right w:w="0" w:type="dxa"/>
            </w:tcMar>
            <w:vAlign w:val="center"/>
          </w:tcPr>
          <w:p w14:paraId="2211DE2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58" w:type="dxa"/>
            <w:noWrap w:val="0"/>
            <w:tcMar>
              <w:top w:w="0" w:type="dxa"/>
              <w:left w:w="0" w:type="dxa"/>
              <w:bottom w:w="0" w:type="dxa"/>
              <w:right w:w="0" w:type="dxa"/>
            </w:tcMar>
            <w:vAlign w:val="center"/>
          </w:tcPr>
          <w:p w14:paraId="78063D0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91" w:type="dxa"/>
            <w:noWrap w:val="0"/>
            <w:tcMar>
              <w:top w:w="0" w:type="dxa"/>
              <w:left w:w="0" w:type="dxa"/>
              <w:bottom w:w="0" w:type="dxa"/>
              <w:right w:w="0" w:type="dxa"/>
            </w:tcMar>
            <w:vAlign w:val="center"/>
          </w:tcPr>
          <w:p w14:paraId="126A097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74" w:type="dxa"/>
            <w:noWrap w:val="0"/>
            <w:tcMar>
              <w:top w:w="0" w:type="dxa"/>
              <w:left w:w="0" w:type="dxa"/>
              <w:bottom w:w="0" w:type="dxa"/>
              <w:right w:w="0" w:type="dxa"/>
            </w:tcMar>
            <w:vAlign w:val="center"/>
          </w:tcPr>
          <w:p w14:paraId="1834339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r>
      <w:tr w14:paraId="0F110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740F22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8CBB5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区域公共设施状况</w:t>
            </w:r>
          </w:p>
        </w:tc>
        <w:tc>
          <w:tcPr>
            <w:tcW w:w="1299" w:type="dxa"/>
            <w:noWrap w:val="0"/>
            <w:tcMar>
              <w:top w:w="0" w:type="dxa"/>
              <w:left w:w="0" w:type="dxa"/>
              <w:bottom w:w="0" w:type="dxa"/>
              <w:right w:w="0" w:type="dxa"/>
            </w:tcMar>
            <w:vAlign w:val="center"/>
          </w:tcPr>
          <w:p w14:paraId="6D91D56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临支路</w:t>
            </w:r>
          </w:p>
        </w:tc>
        <w:tc>
          <w:tcPr>
            <w:tcW w:w="1358" w:type="dxa"/>
            <w:noWrap w:val="0"/>
            <w:tcMar>
              <w:top w:w="0" w:type="dxa"/>
              <w:left w:w="0" w:type="dxa"/>
              <w:bottom w:w="0" w:type="dxa"/>
              <w:right w:w="0" w:type="dxa"/>
            </w:tcMar>
            <w:vAlign w:val="center"/>
          </w:tcPr>
          <w:p w14:paraId="2AF9864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c>
          <w:tcPr>
            <w:tcW w:w="1391" w:type="dxa"/>
            <w:noWrap w:val="0"/>
            <w:tcMar>
              <w:top w:w="0" w:type="dxa"/>
              <w:left w:w="0" w:type="dxa"/>
              <w:bottom w:w="0" w:type="dxa"/>
              <w:right w:w="0" w:type="dxa"/>
            </w:tcMar>
            <w:vAlign w:val="center"/>
          </w:tcPr>
          <w:p w14:paraId="04E84F8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c>
          <w:tcPr>
            <w:tcW w:w="1374" w:type="dxa"/>
            <w:noWrap w:val="0"/>
            <w:tcMar>
              <w:top w:w="0" w:type="dxa"/>
              <w:left w:w="0" w:type="dxa"/>
              <w:bottom w:w="0" w:type="dxa"/>
              <w:right w:w="0" w:type="dxa"/>
            </w:tcMar>
            <w:vAlign w:val="center"/>
          </w:tcPr>
          <w:p w14:paraId="552E191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r>
      <w:tr w14:paraId="07885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restart"/>
            <w:noWrap w:val="0"/>
            <w:tcMar>
              <w:top w:w="0" w:type="dxa"/>
              <w:left w:w="0" w:type="dxa"/>
              <w:bottom w:w="0" w:type="dxa"/>
              <w:right w:w="0" w:type="dxa"/>
            </w:tcMar>
            <w:vAlign w:val="center"/>
          </w:tcPr>
          <w:p w14:paraId="6294FE8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个别因素</w:t>
            </w:r>
          </w:p>
        </w:tc>
        <w:tc>
          <w:tcPr>
            <w:tcW w:w="967" w:type="pct"/>
            <w:noWrap w:val="0"/>
            <w:tcMar>
              <w:top w:w="0" w:type="dxa"/>
              <w:left w:w="0" w:type="dxa"/>
              <w:bottom w:w="0" w:type="dxa"/>
              <w:right w:w="0" w:type="dxa"/>
            </w:tcMar>
            <w:vAlign w:val="center"/>
          </w:tcPr>
          <w:p w14:paraId="30BDC9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所临道路类型</w:t>
            </w:r>
          </w:p>
        </w:tc>
        <w:tc>
          <w:tcPr>
            <w:tcW w:w="1299" w:type="dxa"/>
            <w:noWrap w:val="0"/>
            <w:tcMar>
              <w:top w:w="0" w:type="dxa"/>
              <w:left w:w="0" w:type="dxa"/>
              <w:bottom w:w="0" w:type="dxa"/>
              <w:right w:w="0" w:type="dxa"/>
            </w:tcMar>
            <w:vAlign w:val="center"/>
          </w:tcPr>
          <w:p w14:paraId="567BE90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58" w:type="dxa"/>
            <w:noWrap w:val="0"/>
            <w:tcMar>
              <w:top w:w="0" w:type="dxa"/>
              <w:left w:w="0" w:type="dxa"/>
              <w:bottom w:w="0" w:type="dxa"/>
              <w:right w:w="0" w:type="dxa"/>
            </w:tcMar>
            <w:vAlign w:val="center"/>
          </w:tcPr>
          <w:p w14:paraId="13AB3CB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91" w:type="dxa"/>
            <w:noWrap w:val="0"/>
            <w:tcMar>
              <w:top w:w="0" w:type="dxa"/>
              <w:left w:w="0" w:type="dxa"/>
              <w:bottom w:w="0" w:type="dxa"/>
              <w:right w:w="0" w:type="dxa"/>
            </w:tcMar>
            <w:vAlign w:val="center"/>
          </w:tcPr>
          <w:p w14:paraId="329F123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74" w:type="dxa"/>
            <w:noWrap w:val="0"/>
            <w:tcMar>
              <w:top w:w="0" w:type="dxa"/>
              <w:left w:w="0" w:type="dxa"/>
              <w:bottom w:w="0" w:type="dxa"/>
              <w:right w:w="0" w:type="dxa"/>
            </w:tcMar>
            <w:vAlign w:val="center"/>
          </w:tcPr>
          <w:p w14:paraId="5616190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r>
      <w:tr w14:paraId="2B40D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4FE73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7E195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通风采光</w:t>
            </w:r>
          </w:p>
        </w:tc>
        <w:tc>
          <w:tcPr>
            <w:tcW w:w="1299" w:type="dxa"/>
            <w:noWrap w:val="0"/>
            <w:tcMar>
              <w:top w:w="0" w:type="dxa"/>
              <w:left w:w="0" w:type="dxa"/>
              <w:bottom w:w="0" w:type="dxa"/>
              <w:right w:w="0" w:type="dxa"/>
            </w:tcMar>
            <w:vAlign w:val="center"/>
          </w:tcPr>
          <w:p w14:paraId="6CA4893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58" w:type="dxa"/>
            <w:noWrap w:val="0"/>
            <w:tcMar>
              <w:top w:w="0" w:type="dxa"/>
              <w:left w:w="0" w:type="dxa"/>
              <w:bottom w:w="0" w:type="dxa"/>
              <w:right w:w="0" w:type="dxa"/>
            </w:tcMar>
            <w:vAlign w:val="center"/>
          </w:tcPr>
          <w:p w14:paraId="61DA9B8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91" w:type="dxa"/>
            <w:noWrap w:val="0"/>
            <w:tcMar>
              <w:top w:w="0" w:type="dxa"/>
              <w:left w:w="0" w:type="dxa"/>
              <w:bottom w:w="0" w:type="dxa"/>
              <w:right w:w="0" w:type="dxa"/>
            </w:tcMar>
            <w:vAlign w:val="center"/>
          </w:tcPr>
          <w:p w14:paraId="7A67C7A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74" w:type="dxa"/>
            <w:noWrap w:val="0"/>
            <w:tcMar>
              <w:top w:w="0" w:type="dxa"/>
              <w:left w:w="0" w:type="dxa"/>
              <w:bottom w:w="0" w:type="dxa"/>
              <w:right w:w="0" w:type="dxa"/>
            </w:tcMar>
            <w:vAlign w:val="center"/>
          </w:tcPr>
          <w:p w14:paraId="0C668B3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r>
      <w:tr w14:paraId="50A8B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30B9DB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3182A50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房屋成新度</w:t>
            </w:r>
          </w:p>
        </w:tc>
        <w:tc>
          <w:tcPr>
            <w:tcW w:w="1299" w:type="dxa"/>
            <w:noWrap w:val="0"/>
            <w:tcMar>
              <w:top w:w="0" w:type="dxa"/>
              <w:left w:w="0" w:type="dxa"/>
              <w:bottom w:w="0" w:type="dxa"/>
              <w:right w:w="0" w:type="dxa"/>
            </w:tcMar>
            <w:vAlign w:val="center"/>
          </w:tcPr>
          <w:p w14:paraId="30192EF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58" w:type="dxa"/>
            <w:noWrap w:val="0"/>
            <w:tcMar>
              <w:top w:w="0" w:type="dxa"/>
              <w:left w:w="0" w:type="dxa"/>
              <w:bottom w:w="0" w:type="dxa"/>
              <w:right w:w="0" w:type="dxa"/>
            </w:tcMar>
            <w:vAlign w:val="center"/>
          </w:tcPr>
          <w:p w14:paraId="5D7E390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91" w:type="dxa"/>
            <w:noWrap w:val="0"/>
            <w:tcMar>
              <w:top w:w="0" w:type="dxa"/>
              <w:left w:w="0" w:type="dxa"/>
              <w:bottom w:w="0" w:type="dxa"/>
              <w:right w:w="0" w:type="dxa"/>
            </w:tcMar>
            <w:vAlign w:val="center"/>
          </w:tcPr>
          <w:p w14:paraId="042EF43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74" w:type="dxa"/>
            <w:noWrap w:val="0"/>
            <w:tcMar>
              <w:top w:w="0" w:type="dxa"/>
              <w:left w:w="0" w:type="dxa"/>
              <w:bottom w:w="0" w:type="dxa"/>
              <w:right w:w="0" w:type="dxa"/>
            </w:tcMar>
            <w:vAlign w:val="center"/>
          </w:tcPr>
          <w:p w14:paraId="7E86AF5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r>
      <w:tr w14:paraId="0B77B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0DD0D5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0B93F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建筑物结构</w:t>
            </w:r>
          </w:p>
        </w:tc>
        <w:tc>
          <w:tcPr>
            <w:tcW w:w="1299" w:type="dxa"/>
            <w:noWrap w:val="0"/>
            <w:tcMar>
              <w:top w:w="0" w:type="dxa"/>
              <w:left w:w="0" w:type="dxa"/>
              <w:bottom w:w="0" w:type="dxa"/>
              <w:right w:w="0" w:type="dxa"/>
            </w:tcMar>
            <w:vAlign w:val="center"/>
          </w:tcPr>
          <w:p w14:paraId="47EE7A9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58" w:type="dxa"/>
            <w:noWrap w:val="0"/>
            <w:tcMar>
              <w:top w:w="0" w:type="dxa"/>
              <w:left w:w="0" w:type="dxa"/>
              <w:bottom w:w="0" w:type="dxa"/>
              <w:right w:w="0" w:type="dxa"/>
            </w:tcMar>
            <w:vAlign w:val="center"/>
          </w:tcPr>
          <w:p w14:paraId="45B4C69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91" w:type="dxa"/>
            <w:noWrap w:val="0"/>
            <w:tcMar>
              <w:top w:w="0" w:type="dxa"/>
              <w:left w:w="0" w:type="dxa"/>
              <w:bottom w:w="0" w:type="dxa"/>
              <w:right w:w="0" w:type="dxa"/>
            </w:tcMar>
            <w:vAlign w:val="center"/>
          </w:tcPr>
          <w:p w14:paraId="5C1EA33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74" w:type="dxa"/>
            <w:noWrap w:val="0"/>
            <w:tcMar>
              <w:top w:w="0" w:type="dxa"/>
              <w:left w:w="0" w:type="dxa"/>
              <w:bottom w:w="0" w:type="dxa"/>
              <w:right w:w="0" w:type="dxa"/>
            </w:tcMar>
            <w:vAlign w:val="center"/>
          </w:tcPr>
          <w:p w14:paraId="0731EF2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r>
      <w:tr w14:paraId="01A43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34E2422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43F0C72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建筑物内部格局</w:t>
            </w:r>
          </w:p>
        </w:tc>
        <w:tc>
          <w:tcPr>
            <w:tcW w:w="1299" w:type="dxa"/>
            <w:noWrap w:val="0"/>
            <w:tcMar>
              <w:top w:w="0" w:type="dxa"/>
              <w:left w:w="0" w:type="dxa"/>
              <w:bottom w:w="0" w:type="dxa"/>
              <w:right w:w="0" w:type="dxa"/>
            </w:tcMar>
            <w:vAlign w:val="center"/>
          </w:tcPr>
          <w:p w14:paraId="652F7E7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58" w:type="dxa"/>
            <w:noWrap w:val="0"/>
            <w:tcMar>
              <w:top w:w="0" w:type="dxa"/>
              <w:left w:w="0" w:type="dxa"/>
              <w:bottom w:w="0" w:type="dxa"/>
              <w:right w:w="0" w:type="dxa"/>
            </w:tcMar>
            <w:vAlign w:val="center"/>
          </w:tcPr>
          <w:p w14:paraId="4612E51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91" w:type="dxa"/>
            <w:noWrap w:val="0"/>
            <w:tcMar>
              <w:top w:w="0" w:type="dxa"/>
              <w:left w:w="0" w:type="dxa"/>
              <w:bottom w:w="0" w:type="dxa"/>
              <w:right w:w="0" w:type="dxa"/>
            </w:tcMar>
            <w:vAlign w:val="center"/>
          </w:tcPr>
          <w:p w14:paraId="22E235C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74" w:type="dxa"/>
            <w:noWrap w:val="0"/>
            <w:tcMar>
              <w:top w:w="0" w:type="dxa"/>
              <w:left w:w="0" w:type="dxa"/>
              <w:bottom w:w="0" w:type="dxa"/>
              <w:right w:w="0" w:type="dxa"/>
            </w:tcMar>
            <w:vAlign w:val="center"/>
          </w:tcPr>
          <w:p w14:paraId="2D2D5AD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r>
      <w:tr w14:paraId="4B8E9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7E9203F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AD6679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装修档次</w:t>
            </w:r>
          </w:p>
        </w:tc>
        <w:tc>
          <w:tcPr>
            <w:tcW w:w="1299" w:type="dxa"/>
            <w:noWrap w:val="0"/>
            <w:tcMar>
              <w:top w:w="0" w:type="dxa"/>
              <w:left w:w="0" w:type="dxa"/>
              <w:bottom w:w="0" w:type="dxa"/>
              <w:right w:w="0" w:type="dxa"/>
            </w:tcMar>
            <w:vAlign w:val="center"/>
          </w:tcPr>
          <w:p w14:paraId="52B11D2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w:t>
            </w:r>
          </w:p>
        </w:tc>
        <w:tc>
          <w:tcPr>
            <w:tcW w:w="1358" w:type="dxa"/>
            <w:noWrap w:val="0"/>
            <w:tcMar>
              <w:top w:w="0" w:type="dxa"/>
              <w:left w:w="0" w:type="dxa"/>
              <w:bottom w:w="0" w:type="dxa"/>
              <w:right w:w="0" w:type="dxa"/>
            </w:tcMar>
            <w:vAlign w:val="center"/>
          </w:tcPr>
          <w:p w14:paraId="117D203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基本满足停车需求</w:t>
            </w:r>
          </w:p>
        </w:tc>
        <w:tc>
          <w:tcPr>
            <w:tcW w:w="1391" w:type="dxa"/>
            <w:noWrap w:val="0"/>
            <w:tcMar>
              <w:top w:w="0" w:type="dxa"/>
              <w:left w:w="0" w:type="dxa"/>
              <w:bottom w:w="0" w:type="dxa"/>
              <w:right w:w="0" w:type="dxa"/>
            </w:tcMar>
            <w:vAlign w:val="center"/>
          </w:tcPr>
          <w:p w14:paraId="7780A24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基本满足停车需求</w:t>
            </w:r>
          </w:p>
        </w:tc>
        <w:tc>
          <w:tcPr>
            <w:tcW w:w="1374" w:type="dxa"/>
            <w:noWrap w:val="0"/>
            <w:tcMar>
              <w:top w:w="0" w:type="dxa"/>
              <w:left w:w="0" w:type="dxa"/>
              <w:bottom w:w="0" w:type="dxa"/>
              <w:right w:w="0" w:type="dxa"/>
            </w:tcMar>
            <w:vAlign w:val="center"/>
          </w:tcPr>
          <w:p w14:paraId="7C2B4E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w:t>
            </w:r>
          </w:p>
        </w:tc>
      </w:tr>
      <w:tr w14:paraId="7E215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24397E5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524FECA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停车情况</w:t>
            </w:r>
          </w:p>
        </w:tc>
        <w:tc>
          <w:tcPr>
            <w:tcW w:w="1299" w:type="dxa"/>
            <w:noWrap w:val="0"/>
            <w:tcMar>
              <w:top w:w="0" w:type="dxa"/>
              <w:left w:w="0" w:type="dxa"/>
              <w:bottom w:w="0" w:type="dxa"/>
              <w:right w:w="0" w:type="dxa"/>
            </w:tcMar>
            <w:vAlign w:val="center"/>
          </w:tcPr>
          <w:p w14:paraId="6224D66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58" w:type="dxa"/>
            <w:noWrap w:val="0"/>
            <w:tcMar>
              <w:top w:w="0" w:type="dxa"/>
              <w:left w:w="0" w:type="dxa"/>
              <w:bottom w:w="0" w:type="dxa"/>
              <w:right w:w="0" w:type="dxa"/>
            </w:tcMar>
            <w:vAlign w:val="center"/>
          </w:tcPr>
          <w:p w14:paraId="6C29411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91" w:type="dxa"/>
            <w:noWrap w:val="0"/>
            <w:tcMar>
              <w:top w:w="0" w:type="dxa"/>
              <w:left w:w="0" w:type="dxa"/>
              <w:bottom w:w="0" w:type="dxa"/>
              <w:right w:w="0" w:type="dxa"/>
            </w:tcMar>
            <w:vAlign w:val="center"/>
          </w:tcPr>
          <w:p w14:paraId="259188D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74" w:type="dxa"/>
            <w:noWrap w:val="0"/>
            <w:tcMar>
              <w:top w:w="0" w:type="dxa"/>
              <w:left w:w="0" w:type="dxa"/>
              <w:bottom w:w="0" w:type="dxa"/>
              <w:right w:w="0" w:type="dxa"/>
            </w:tcMar>
            <w:vAlign w:val="center"/>
          </w:tcPr>
          <w:p w14:paraId="28ECF1D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r>
      <w:tr w14:paraId="4B164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2" w:hRule="atLeast"/>
        </w:trPr>
        <w:tc>
          <w:tcPr>
            <w:tcW w:w="785" w:type="pct"/>
            <w:vMerge w:val="continue"/>
            <w:noWrap w:val="0"/>
            <w:tcMar>
              <w:top w:w="0" w:type="dxa"/>
              <w:left w:w="0" w:type="dxa"/>
              <w:bottom w:w="0" w:type="dxa"/>
              <w:right w:w="0" w:type="dxa"/>
            </w:tcMar>
            <w:vAlign w:val="center"/>
          </w:tcPr>
          <w:p w14:paraId="35BD403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F6ED6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物业情况</w:t>
            </w:r>
          </w:p>
        </w:tc>
        <w:tc>
          <w:tcPr>
            <w:tcW w:w="1299" w:type="dxa"/>
            <w:noWrap w:val="0"/>
            <w:tcMar>
              <w:top w:w="0" w:type="dxa"/>
              <w:left w:w="0" w:type="dxa"/>
              <w:bottom w:w="0" w:type="dxa"/>
              <w:right w:w="0" w:type="dxa"/>
            </w:tcMar>
            <w:vAlign w:val="center"/>
          </w:tcPr>
          <w:p w14:paraId="30B9AF8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58" w:type="dxa"/>
            <w:noWrap w:val="0"/>
            <w:tcMar>
              <w:top w:w="0" w:type="dxa"/>
              <w:left w:w="0" w:type="dxa"/>
              <w:bottom w:w="0" w:type="dxa"/>
              <w:right w:w="0" w:type="dxa"/>
            </w:tcMar>
            <w:vAlign w:val="center"/>
          </w:tcPr>
          <w:p w14:paraId="3829D56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91" w:type="dxa"/>
            <w:noWrap w:val="0"/>
            <w:tcMar>
              <w:top w:w="0" w:type="dxa"/>
              <w:left w:w="0" w:type="dxa"/>
              <w:bottom w:w="0" w:type="dxa"/>
              <w:right w:w="0" w:type="dxa"/>
            </w:tcMar>
            <w:vAlign w:val="center"/>
          </w:tcPr>
          <w:p w14:paraId="018B66E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74" w:type="dxa"/>
            <w:noWrap w:val="0"/>
            <w:tcMar>
              <w:top w:w="0" w:type="dxa"/>
              <w:left w:w="0" w:type="dxa"/>
              <w:bottom w:w="0" w:type="dxa"/>
              <w:right w:w="0" w:type="dxa"/>
            </w:tcMar>
            <w:vAlign w:val="center"/>
          </w:tcPr>
          <w:p w14:paraId="46F35BB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r>
    </w:tbl>
    <w:p w14:paraId="70C32AE6">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租金的比较因素修正说明：</w:t>
      </w:r>
    </w:p>
    <w:p w14:paraId="0E5560CF">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A、用途修正：估价对象与三个比较案例用途都为住宅楼，因此不用做修正；</w:t>
      </w:r>
    </w:p>
    <w:p w14:paraId="221C20A9">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B、交易时间修正，估价对象与三个比较案例交易时间接近，因此不需要做时间修正;</w:t>
      </w:r>
    </w:p>
    <w:p w14:paraId="0FABF522">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C、交易情况：估价对象与三个比较案例均是在正常情况下交易的，因此不做交易情况修正；</w:t>
      </w:r>
    </w:p>
    <w:p w14:paraId="3ABE2375">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D、区域因素修正</w:t>
      </w:r>
    </w:p>
    <w:p w14:paraId="3146A8A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a、</w:t>
      </w:r>
      <w:r>
        <w:rPr>
          <w:rFonts w:hint="default" w:ascii="仿宋_GB2312" w:hAnsi="仿宋_GB2312" w:eastAsia="仿宋_GB2312" w:cs="仿宋_GB2312"/>
          <w:b w:val="0"/>
          <w:bCs w:val="0"/>
          <w:color w:val="000000"/>
          <w:kern w:val="2"/>
          <w:sz w:val="28"/>
          <w:szCs w:val="28"/>
          <w:highlight w:val="none"/>
          <w:lang w:val="en-US" w:eastAsia="zh-CN" w:bidi="ar-SA"/>
        </w:rPr>
        <w:t>商服繁华度：商服繁华度分为优、较优、一般、较劣、劣五个等级，以估价对象商服繁华度修正系数为100，每上升或下降一个级别，指数增加或减少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2</w:t>
      </w:r>
      <w:r>
        <w:rPr>
          <w:rFonts w:hint="default" w:ascii="仿宋_GB2312" w:hAnsi="仿宋_GB2312" w:eastAsia="仿宋_GB2312" w:cs="仿宋_GB2312"/>
          <w:b w:val="0"/>
          <w:bCs w:val="0"/>
          <w:color w:val="000000"/>
          <w:kern w:val="2"/>
          <w:sz w:val="28"/>
          <w:szCs w:val="28"/>
          <w:highlight w:val="none"/>
          <w:lang w:val="en-US" w:eastAsia="zh-CN" w:bidi="ar-SA"/>
        </w:rPr>
        <w:t>;</w:t>
      </w:r>
    </w:p>
    <w:p w14:paraId="6248B0E7">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b、公交便捷度：交通便捷度分为优、较优、一般、较劣、劣五个等级，以估价对象交通便捷度修正系数为100，每上升或下降一个级别，指数增加或减少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2</w:t>
      </w:r>
      <w:r>
        <w:rPr>
          <w:rFonts w:hint="default" w:ascii="仿宋_GB2312" w:hAnsi="仿宋_GB2312" w:eastAsia="仿宋_GB2312" w:cs="仿宋_GB2312"/>
          <w:b w:val="0"/>
          <w:bCs w:val="0"/>
          <w:color w:val="000000"/>
          <w:kern w:val="2"/>
          <w:sz w:val="28"/>
          <w:szCs w:val="28"/>
          <w:highlight w:val="none"/>
          <w:lang w:val="en-US" w:eastAsia="zh-CN" w:bidi="ar-SA"/>
        </w:rPr>
        <w:t>；</w:t>
      </w:r>
    </w:p>
    <w:p w14:paraId="12BACB3D">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度分为通畅、较通畅、一般通畅、较不通畅、不通畅五个等级，以估价对象道路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度修正系数为100，每上升或下降一个级别，指数增加或减少2；</w:t>
      </w:r>
    </w:p>
    <w:p w14:paraId="0D767F4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d、水电等基础设施综合保证率：水电等基础设施综合保证率分为≥95%、[90，95]、≤90%三个等级,以估价对象为100，每上升或下降一个级别，指数增加或减少2。</w:t>
      </w:r>
    </w:p>
    <w:p w14:paraId="464FBC66">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e、环境质量：环境质量分为好、较好、一般、较差、差五个等级，以估价对象为100, 每上升或下降一个级别，指数增加或减少2。</w:t>
      </w:r>
    </w:p>
    <w:p w14:paraId="7CE13308">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f、区域公共设施状况：区域公共设施状况分为齐全，较齐全，一般，较低，低5个等级，以估价对象为100,每上升或下降一个级别，指数增加或减少2。</w:t>
      </w:r>
    </w:p>
    <w:p w14:paraId="728692DE">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E、个别因素</w:t>
      </w:r>
    </w:p>
    <w:p w14:paraId="2A756B27">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a、所临道路类型</w:t>
      </w:r>
      <w:r>
        <w:rPr>
          <w:rFonts w:hint="eastAsia" w:ascii="仿宋_GB2312" w:hAnsi="仿宋_GB2312" w:eastAsia="仿宋_GB2312" w:cs="仿宋_GB2312"/>
          <w:b w:val="0"/>
          <w:bCs w:val="0"/>
          <w:color w:val="000000"/>
          <w:kern w:val="2"/>
          <w:sz w:val="28"/>
          <w:szCs w:val="28"/>
          <w:highlight w:val="none"/>
          <w:lang w:val="en-US" w:eastAsia="zh-CN" w:bidi="ar-SA"/>
        </w:rPr>
        <w:t>：所临道路类型分为</w:t>
      </w:r>
      <w:r>
        <w:rPr>
          <w:rFonts w:hint="default" w:ascii="仿宋_GB2312" w:hAnsi="仿宋_GB2312" w:eastAsia="仿宋_GB2312" w:cs="仿宋_GB2312"/>
          <w:b w:val="0"/>
          <w:bCs w:val="0"/>
          <w:color w:val="000000"/>
          <w:kern w:val="2"/>
          <w:sz w:val="28"/>
          <w:szCs w:val="28"/>
          <w:highlight w:val="none"/>
          <w:lang w:val="en-US" w:eastAsia="zh-CN" w:bidi="ar-SA"/>
        </w:rPr>
        <w:t>临主干道、临次干道、临支路、不临路等级别。以估价对象指数为100，每上升或下降一个级别，指数增加或减少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1</w:t>
      </w:r>
      <w:r>
        <w:rPr>
          <w:rFonts w:hint="default" w:ascii="仿宋_GB2312" w:hAnsi="仿宋_GB2312" w:eastAsia="仿宋_GB2312" w:cs="仿宋_GB2312"/>
          <w:b w:val="0"/>
          <w:bCs w:val="0"/>
          <w:color w:val="000000"/>
          <w:kern w:val="2"/>
          <w:sz w:val="28"/>
          <w:szCs w:val="28"/>
          <w:highlight w:val="none"/>
          <w:lang w:val="en-US" w:eastAsia="zh-CN" w:bidi="ar-SA"/>
        </w:rPr>
        <w:t>。</w:t>
      </w:r>
    </w:p>
    <w:p w14:paraId="6899693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b、通风采光</w:t>
      </w:r>
      <w:r>
        <w:rPr>
          <w:rFonts w:hint="eastAsia" w:ascii="仿宋_GB2312" w:hAnsi="仿宋_GB2312" w:eastAsia="仿宋_GB2312" w:cs="仿宋_GB2312"/>
          <w:b w:val="0"/>
          <w:bCs w:val="0"/>
          <w:color w:val="000000"/>
          <w:kern w:val="2"/>
          <w:sz w:val="28"/>
          <w:szCs w:val="28"/>
          <w:highlight w:val="none"/>
          <w:lang w:val="en-US" w:eastAsia="zh-CN" w:bidi="ar-SA"/>
        </w:rPr>
        <w:t>：通风采光分为</w:t>
      </w:r>
      <w:r>
        <w:rPr>
          <w:rFonts w:hint="default" w:ascii="仿宋_GB2312" w:hAnsi="仿宋_GB2312" w:eastAsia="仿宋_GB2312" w:cs="仿宋_GB2312"/>
          <w:b w:val="0"/>
          <w:bCs w:val="0"/>
          <w:color w:val="000000"/>
          <w:kern w:val="2"/>
          <w:sz w:val="28"/>
          <w:szCs w:val="28"/>
          <w:highlight w:val="none"/>
          <w:lang w:val="en-US" w:eastAsia="zh-CN" w:bidi="ar-SA"/>
        </w:rPr>
        <w:t>好、较好、一般、较差、差五个等级，以估价对象条件指数为100, 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1</w:t>
      </w:r>
      <w:r>
        <w:rPr>
          <w:rFonts w:hint="default" w:ascii="仿宋_GB2312" w:hAnsi="仿宋_GB2312" w:eastAsia="仿宋_GB2312" w:cs="仿宋_GB2312"/>
          <w:b w:val="0"/>
          <w:bCs w:val="0"/>
          <w:color w:val="000000"/>
          <w:kern w:val="2"/>
          <w:sz w:val="28"/>
          <w:szCs w:val="28"/>
          <w:highlight w:val="none"/>
          <w:lang w:val="en-US" w:eastAsia="zh-CN" w:bidi="ar-SA"/>
        </w:rPr>
        <w:t>。</w:t>
      </w:r>
    </w:p>
    <w:p w14:paraId="07E351EB">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c、房屋成新度：以估价对象成新度为100，每上升或下降一个级别，指数增加或减少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w:t>
      </w:r>
    </w:p>
    <w:p w14:paraId="6F408F2A">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d、建筑物结构</w:t>
      </w:r>
      <w:r>
        <w:rPr>
          <w:rFonts w:hint="eastAsia" w:ascii="仿宋_GB2312" w:hAnsi="仿宋_GB2312" w:eastAsia="仿宋_GB2312" w:cs="仿宋_GB2312"/>
          <w:b w:val="0"/>
          <w:bCs w:val="0"/>
          <w:color w:val="000000"/>
          <w:kern w:val="2"/>
          <w:sz w:val="28"/>
          <w:szCs w:val="28"/>
          <w:highlight w:val="none"/>
          <w:lang w:val="en-US" w:eastAsia="zh-CN" w:bidi="ar-SA"/>
        </w:rPr>
        <w:t>：建筑物结构分为</w:t>
      </w:r>
      <w:r>
        <w:rPr>
          <w:rFonts w:hint="default" w:ascii="仿宋_GB2312" w:hAnsi="仿宋_GB2312" w:eastAsia="仿宋_GB2312" w:cs="仿宋_GB2312"/>
          <w:b w:val="0"/>
          <w:bCs w:val="0"/>
          <w:color w:val="000000"/>
          <w:kern w:val="2"/>
          <w:sz w:val="28"/>
          <w:szCs w:val="28"/>
          <w:highlight w:val="none"/>
          <w:lang w:val="en-US" w:eastAsia="zh-CN" w:bidi="ar-SA"/>
        </w:rPr>
        <w:t>框架、钢混、砖混、砖木等4个等级,以估价对象为100, 每上升或下降一个级别，指数增加或减少2。</w:t>
      </w:r>
    </w:p>
    <w:p w14:paraId="29EC76CA">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w:t>
      </w:r>
      <w:r>
        <w:rPr>
          <w:rFonts w:hint="eastAsia" w:ascii="仿宋_GB2312" w:hAnsi="仿宋_GB2312" w:eastAsia="仿宋_GB2312" w:cs="仿宋_GB2312"/>
          <w:b w:val="0"/>
          <w:bCs w:val="0"/>
          <w:color w:val="000000"/>
          <w:kern w:val="2"/>
          <w:sz w:val="28"/>
          <w:szCs w:val="28"/>
          <w:highlight w:val="none"/>
          <w:lang w:val="en-US" w:eastAsia="zh-CN" w:bidi="ar-SA"/>
        </w:rPr>
        <w:t>建筑物内部格局：</w:t>
      </w:r>
      <w:r>
        <w:rPr>
          <w:rFonts w:hint="default" w:ascii="仿宋_GB2312" w:hAnsi="仿宋_GB2312" w:eastAsia="仿宋_GB2312" w:cs="仿宋_GB2312"/>
          <w:b w:val="0"/>
          <w:bCs w:val="0"/>
          <w:color w:val="000000"/>
          <w:kern w:val="2"/>
          <w:sz w:val="28"/>
          <w:szCs w:val="28"/>
          <w:highlight w:val="none"/>
          <w:lang w:val="en-US" w:eastAsia="zh-CN" w:bidi="ar-SA"/>
        </w:rPr>
        <w:t>建筑物内部格局分为有合理、较合理、不合理三个等级,以估价对象为100, 每上升或下降一个级别，指数增加或减少1。</w:t>
      </w:r>
    </w:p>
    <w:p w14:paraId="3CAD1A3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f、</w:t>
      </w:r>
      <w:r>
        <w:rPr>
          <w:rFonts w:hint="eastAsia" w:ascii="仿宋_GB2312" w:hAnsi="仿宋_GB2312" w:eastAsia="仿宋_GB2312" w:cs="仿宋_GB2312"/>
          <w:b w:val="0"/>
          <w:bCs w:val="0"/>
          <w:color w:val="000000"/>
          <w:kern w:val="2"/>
          <w:sz w:val="28"/>
          <w:szCs w:val="28"/>
          <w:highlight w:val="none"/>
          <w:lang w:val="en-US" w:eastAsia="zh-CN" w:bidi="ar-SA"/>
        </w:rPr>
        <w:t>装修档次：</w:t>
      </w:r>
      <w:r>
        <w:rPr>
          <w:rFonts w:hint="default" w:ascii="仿宋_GB2312" w:hAnsi="仿宋_GB2312" w:eastAsia="仿宋_GB2312" w:cs="仿宋_GB2312"/>
          <w:b w:val="0"/>
          <w:bCs w:val="0"/>
          <w:color w:val="000000"/>
          <w:kern w:val="2"/>
          <w:sz w:val="28"/>
          <w:szCs w:val="28"/>
          <w:highlight w:val="none"/>
          <w:lang w:val="en-US" w:eastAsia="zh-CN" w:bidi="ar-SA"/>
        </w:rPr>
        <w:t>装修档次分为毛坯、简单装修、中档装修、中高档装修、高档装修等5个等级,以估价对象为100,每上升或下降一个级别，指数增加或减少2。</w:t>
      </w:r>
    </w:p>
    <w:p w14:paraId="3E984AB1">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g、</w:t>
      </w:r>
      <w:r>
        <w:rPr>
          <w:rFonts w:hint="eastAsia" w:ascii="仿宋_GB2312" w:hAnsi="仿宋_GB2312" w:eastAsia="仿宋_GB2312" w:cs="仿宋_GB2312"/>
          <w:b w:val="0"/>
          <w:bCs w:val="0"/>
          <w:color w:val="000000"/>
          <w:kern w:val="2"/>
          <w:sz w:val="28"/>
          <w:szCs w:val="28"/>
          <w:highlight w:val="none"/>
          <w:lang w:val="en-US" w:eastAsia="zh-CN" w:bidi="ar-SA"/>
        </w:rPr>
        <w:t>停车情况：</w:t>
      </w:r>
      <w:r>
        <w:rPr>
          <w:rFonts w:hint="default" w:ascii="仿宋_GB2312" w:hAnsi="仿宋_GB2312" w:eastAsia="仿宋_GB2312" w:cs="仿宋_GB2312"/>
          <w:b w:val="0"/>
          <w:bCs w:val="0"/>
          <w:color w:val="000000"/>
          <w:kern w:val="2"/>
          <w:sz w:val="28"/>
          <w:szCs w:val="28"/>
          <w:highlight w:val="none"/>
          <w:lang w:val="en-US" w:eastAsia="zh-CN" w:bidi="ar-SA"/>
        </w:rPr>
        <w:t>停车情况分为能满足停车需求、基本满足停车需求、不能满足停车需求三个等别，以估价对象条件指数为100,每上升或下降一个级别，指数增加或减少2。</w:t>
      </w:r>
    </w:p>
    <w:p w14:paraId="4482B4FD">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h、物业情况分为无物业管理、物业管理一般、物业管理较好等三个等级,以估价对象为100,每上升或下降一个级别，指数增加或减少2。</w:t>
      </w:r>
    </w:p>
    <w:p w14:paraId="3C2BD054">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得到估价对象比较因素条件指数表和</w:t>
      </w:r>
      <w:r>
        <w:rPr>
          <w:rFonts w:hint="eastAsia" w:ascii="仿宋_GB2312" w:hAnsi="仿宋_GB2312" w:eastAsia="仿宋_GB2312" w:cs="仿宋_GB2312"/>
          <w:b w:val="0"/>
          <w:bCs/>
          <w:color w:val="auto"/>
          <w:kern w:val="2"/>
          <w:sz w:val="28"/>
          <w:szCs w:val="28"/>
          <w:highlight w:val="none"/>
          <w:lang w:val="en-US" w:eastAsia="zh-CN" w:bidi="ar-SA"/>
        </w:rPr>
        <w:t>比较因素条件修正系数表</w:t>
      </w:r>
    </w:p>
    <w:p w14:paraId="444BD2E8">
      <w:pPr>
        <w:pStyle w:val="11"/>
        <w:keepNext w:val="0"/>
        <w:keepLines w:val="0"/>
        <w:pageBreakBefore w:val="0"/>
        <w:widowControl/>
        <w:kinsoku w:val="0"/>
        <w:wordWrap/>
        <w:overflowPunct/>
        <w:topLinePunct w:val="0"/>
        <w:autoSpaceDE w:val="0"/>
        <w:autoSpaceDN w:val="0"/>
        <w:bidi w:val="0"/>
        <w:adjustRightInd w:val="0"/>
        <w:snapToGrid w:val="0"/>
        <w:spacing w:before="157" w:beforeLines="50" w:after="10" w:line="360" w:lineRule="auto"/>
        <w:ind w:left="0" w:leftChars="0" w:firstLine="0" w:firstLineChars="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b w:val="0"/>
          <w:bCs/>
          <w:color w:val="auto"/>
          <w:kern w:val="2"/>
          <w:sz w:val="28"/>
          <w:szCs w:val="28"/>
          <w:highlight w:val="none"/>
          <w:lang w:val="en-US" w:eastAsia="zh-CN" w:bidi="ar-SA"/>
        </w:rPr>
        <w:t>12</w:t>
      </w:r>
      <w:r>
        <w:rPr>
          <w:rFonts w:hint="eastAsia" w:ascii="仿宋_GB2312" w:hAnsi="仿宋_GB2312" w:eastAsia="仿宋_GB2312" w:cs="仿宋_GB2312"/>
          <w:b w:val="0"/>
          <w:bCs/>
          <w:color w:val="auto"/>
          <w:kern w:val="2"/>
          <w:sz w:val="28"/>
          <w:szCs w:val="28"/>
          <w:highlight w:val="none"/>
          <w:lang w:val="en-US" w:eastAsia="zh-CN" w:bidi="ar-SA"/>
        </w:rPr>
        <w:t xml:space="preserve"> 比较因素条件指数表</w:t>
      </w:r>
    </w:p>
    <w:tbl>
      <w:tblPr>
        <w:tblStyle w:val="12"/>
        <w:tblW w:w="504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182"/>
        <w:gridCol w:w="1757"/>
        <w:gridCol w:w="1269"/>
        <w:gridCol w:w="1401"/>
        <w:gridCol w:w="1401"/>
        <w:gridCol w:w="1404"/>
      </w:tblGrid>
      <w:tr w14:paraId="6AA38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43" w:hRule="atLeast"/>
        </w:trPr>
        <w:tc>
          <w:tcPr>
            <w:tcW w:w="1746" w:type="pct"/>
            <w:gridSpan w:val="2"/>
            <w:tcBorders>
              <w:tl2br w:val="single" w:color="000000" w:sz="4" w:space="0"/>
            </w:tcBorders>
            <w:noWrap w:val="0"/>
            <w:vAlign w:val="center"/>
          </w:tcPr>
          <w:p w14:paraId="3F419F8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估价对象及比较实例</w:t>
            </w:r>
          </w:p>
          <w:p w14:paraId="498A63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比较因素</w:t>
            </w:r>
          </w:p>
        </w:tc>
        <w:tc>
          <w:tcPr>
            <w:tcW w:w="754" w:type="pct"/>
            <w:noWrap w:val="0"/>
            <w:vAlign w:val="center"/>
          </w:tcPr>
          <w:p w14:paraId="29E6D42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w:t>
            </w:r>
          </w:p>
        </w:tc>
        <w:tc>
          <w:tcPr>
            <w:tcW w:w="832" w:type="pct"/>
            <w:noWrap w:val="0"/>
            <w:vAlign w:val="center"/>
          </w:tcPr>
          <w:p w14:paraId="527AA01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案例A</w:t>
            </w:r>
          </w:p>
        </w:tc>
        <w:tc>
          <w:tcPr>
            <w:tcW w:w="832" w:type="pct"/>
            <w:noWrap w:val="0"/>
            <w:vAlign w:val="center"/>
          </w:tcPr>
          <w:p w14:paraId="75590A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案例B</w:t>
            </w:r>
          </w:p>
        </w:tc>
        <w:tc>
          <w:tcPr>
            <w:tcW w:w="834" w:type="pct"/>
            <w:noWrap w:val="0"/>
            <w:vAlign w:val="center"/>
          </w:tcPr>
          <w:p w14:paraId="73A4D38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案例C</w:t>
            </w:r>
          </w:p>
        </w:tc>
      </w:tr>
      <w:tr w14:paraId="4B990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 w:hRule="atLeast"/>
        </w:trPr>
        <w:tc>
          <w:tcPr>
            <w:tcW w:w="1746" w:type="pct"/>
            <w:gridSpan w:val="2"/>
            <w:noWrap w:val="0"/>
            <w:vAlign w:val="center"/>
          </w:tcPr>
          <w:p w14:paraId="3BEAD53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位置</w:t>
            </w:r>
          </w:p>
        </w:tc>
        <w:tc>
          <w:tcPr>
            <w:tcW w:w="1269" w:type="dxa"/>
            <w:noWrap w:val="0"/>
            <w:vAlign w:val="center"/>
          </w:tcPr>
          <w:p w14:paraId="19D8EB1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道州月岩西路皮革厂家属楼3栋4层404房</w:t>
            </w:r>
          </w:p>
        </w:tc>
        <w:tc>
          <w:tcPr>
            <w:tcW w:w="1401" w:type="dxa"/>
            <w:noWrap w:val="0"/>
            <w:vAlign w:val="center"/>
          </w:tcPr>
          <w:p w14:paraId="57718F1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1401" w:type="dxa"/>
            <w:noWrap w:val="0"/>
            <w:vAlign w:val="center"/>
          </w:tcPr>
          <w:p w14:paraId="26A11C0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1404" w:type="dxa"/>
            <w:noWrap w:val="0"/>
            <w:vAlign w:val="center"/>
          </w:tcPr>
          <w:p w14:paraId="1B2537B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3A741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3E62DD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住宅租金(元/m</w:t>
            </w:r>
            <w:r>
              <w:rPr>
                <w:rFonts w:hint="eastAsia" w:ascii="仿宋_GB2312" w:hAnsi="仿宋_GB2312" w:eastAsia="仿宋_GB2312" w:cs="仿宋_GB2312"/>
                <w:b w:val="0"/>
                <w:bCs w:val="0"/>
                <w:color w:val="000000"/>
                <w:kern w:val="2"/>
                <w:sz w:val="20"/>
                <w:szCs w:val="20"/>
                <w:highlight w:val="none"/>
                <w:vertAlign w:val="superscript"/>
                <w:lang w:val="en-US" w:eastAsia="zh-CN" w:bidi="ar-SA"/>
              </w:rPr>
              <w:t>2</w:t>
            </w:r>
            <w:r>
              <w:rPr>
                <w:rFonts w:hint="eastAsia" w:ascii="仿宋_GB2312" w:hAnsi="仿宋_GB2312" w:eastAsia="仿宋_GB2312" w:cs="仿宋_GB2312"/>
                <w:b w:val="0"/>
                <w:bCs w:val="0"/>
                <w:color w:val="000000"/>
                <w:kern w:val="2"/>
                <w:sz w:val="20"/>
                <w:szCs w:val="20"/>
                <w:highlight w:val="none"/>
                <w:lang w:val="en-US" w:eastAsia="zh-CN" w:bidi="ar-SA"/>
              </w:rPr>
              <w:t>·月)</w:t>
            </w:r>
          </w:p>
        </w:tc>
        <w:tc>
          <w:tcPr>
            <w:tcW w:w="1269" w:type="dxa"/>
            <w:noWrap w:val="0"/>
            <w:vAlign w:val="center"/>
          </w:tcPr>
          <w:p w14:paraId="73DA182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待估</w:t>
            </w:r>
          </w:p>
        </w:tc>
        <w:tc>
          <w:tcPr>
            <w:tcW w:w="1401" w:type="dxa"/>
            <w:noWrap w:val="0"/>
            <w:vAlign w:val="center"/>
          </w:tcPr>
          <w:p w14:paraId="7898EA63">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401" w:type="dxa"/>
            <w:noWrap w:val="0"/>
            <w:vAlign w:val="center"/>
          </w:tcPr>
          <w:p w14:paraId="7F66CDF7">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404" w:type="dxa"/>
            <w:noWrap w:val="0"/>
            <w:vAlign w:val="center"/>
          </w:tcPr>
          <w:p w14:paraId="460F1408">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43FD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5A96202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用途</w:t>
            </w:r>
          </w:p>
        </w:tc>
        <w:tc>
          <w:tcPr>
            <w:tcW w:w="754" w:type="pct"/>
            <w:noWrap w:val="0"/>
            <w:vAlign w:val="center"/>
          </w:tcPr>
          <w:p w14:paraId="529621B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26F1638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23D3D03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1FD0F3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170FD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063DA5F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交易时间</w:t>
            </w:r>
          </w:p>
        </w:tc>
        <w:tc>
          <w:tcPr>
            <w:tcW w:w="754" w:type="pct"/>
            <w:noWrap w:val="0"/>
            <w:vAlign w:val="center"/>
          </w:tcPr>
          <w:p w14:paraId="43C002E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010E4F7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32C061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1F9DE0E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169D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7FF224A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交易情况</w:t>
            </w:r>
          </w:p>
        </w:tc>
        <w:tc>
          <w:tcPr>
            <w:tcW w:w="754" w:type="pct"/>
            <w:noWrap w:val="0"/>
            <w:vAlign w:val="center"/>
          </w:tcPr>
          <w:p w14:paraId="2927B2B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3D3F46A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14610E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044F166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0AC1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restart"/>
            <w:noWrap w:val="0"/>
            <w:vAlign w:val="center"/>
          </w:tcPr>
          <w:p w14:paraId="3561CC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区域因素</w:t>
            </w:r>
          </w:p>
        </w:tc>
        <w:tc>
          <w:tcPr>
            <w:tcW w:w="1043" w:type="pct"/>
            <w:noWrap w:val="0"/>
            <w:vAlign w:val="center"/>
          </w:tcPr>
          <w:p w14:paraId="5F802EF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商服繁华度</w:t>
            </w:r>
          </w:p>
        </w:tc>
        <w:tc>
          <w:tcPr>
            <w:tcW w:w="1269" w:type="dxa"/>
            <w:noWrap w:val="0"/>
            <w:vAlign w:val="center"/>
          </w:tcPr>
          <w:p w14:paraId="381E67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23FFD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09CE4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95CF43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0DDC4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F70F1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6D675BA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公交便捷度</w:t>
            </w:r>
          </w:p>
        </w:tc>
        <w:tc>
          <w:tcPr>
            <w:tcW w:w="1269" w:type="dxa"/>
            <w:noWrap w:val="0"/>
            <w:vAlign w:val="center"/>
          </w:tcPr>
          <w:p w14:paraId="3F288A0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C75EE2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1" w:type="dxa"/>
            <w:noWrap w:val="0"/>
            <w:vAlign w:val="center"/>
          </w:tcPr>
          <w:p w14:paraId="2BF961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4" w:type="dxa"/>
            <w:noWrap w:val="0"/>
            <w:vAlign w:val="center"/>
          </w:tcPr>
          <w:p w14:paraId="4762DE3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r>
      <w:tr w14:paraId="602E7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69E0742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293CBA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道路通达度</w:t>
            </w:r>
          </w:p>
        </w:tc>
        <w:tc>
          <w:tcPr>
            <w:tcW w:w="1269" w:type="dxa"/>
            <w:noWrap w:val="0"/>
            <w:vAlign w:val="center"/>
          </w:tcPr>
          <w:p w14:paraId="68C2D12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B3E310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9F6553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7C6EC9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05557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5ED0F4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FDF99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水电综合保证率</w:t>
            </w:r>
          </w:p>
        </w:tc>
        <w:tc>
          <w:tcPr>
            <w:tcW w:w="1269" w:type="dxa"/>
            <w:noWrap w:val="0"/>
            <w:vAlign w:val="center"/>
          </w:tcPr>
          <w:p w14:paraId="56C3641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3D4B39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1EBAF7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FF8A92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34FB5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31DC8F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1C12E6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环境质量</w:t>
            </w:r>
          </w:p>
        </w:tc>
        <w:tc>
          <w:tcPr>
            <w:tcW w:w="1269" w:type="dxa"/>
            <w:noWrap w:val="0"/>
            <w:vAlign w:val="center"/>
          </w:tcPr>
          <w:p w14:paraId="7F2812E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FCE05A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529B732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E73714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37115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 w:hRule="atLeast"/>
        </w:trPr>
        <w:tc>
          <w:tcPr>
            <w:tcW w:w="702" w:type="pct"/>
            <w:vMerge w:val="continue"/>
            <w:noWrap w:val="0"/>
            <w:vAlign w:val="center"/>
          </w:tcPr>
          <w:p w14:paraId="01DBB4C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485D05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区域公共设施状况</w:t>
            </w:r>
          </w:p>
        </w:tc>
        <w:tc>
          <w:tcPr>
            <w:tcW w:w="1269" w:type="dxa"/>
            <w:noWrap w:val="0"/>
            <w:vAlign w:val="center"/>
          </w:tcPr>
          <w:p w14:paraId="11CDEB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CB4949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1C7EC6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914842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702A1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restart"/>
            <w:noWrap w:val="0"/>
            <w:vAlign w:val="center"/>
          </w:tcPr>
          <w:p w14:paraId="1E1A38F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个别因素</w:t>
            </w:r>
          </w:p>
        </w:tc>
        <w:tc>
          <w:tcPr>
            <w:tcW w:w="1043" w:type="pct"/>
            <w:noWrap w:val="0"/>
            <w:vAlign w:val="center"/>
          </w:tcPr>
          <w:p w14:paraId="2635D1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所临道路类型</w:t>
            </w:r>
          </w:p>
        </w:tc>
        <w:tc>
          <w:tcPr>
            <w:tcW w:w="1269" w:type="dxa"/>
            <w:noWrap w:val="0"/>
            <w:vAlign w:val="center"/>
          </w:tcPr>
          <w:p w14:paraId="213CD59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C51D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1" w:type="dxa"/>
            <w:noWrap w:val="0"/>
            <w:vAlign w:val="center"/>
          </w:tcPr>
          <w:p w14:paraId="2DE651F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4" w:type="dxa"/>
            <w:noWrap w:val="0"/>
            <w:vAlign w:val="center"/>
          </w:tcPr>
          <w:p w14:paraId="6C880E3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r>
      <w:tr w14:paraId="61EF9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7D418F3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C87F36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通风采光</w:t>
            </w:r>
          </w:p>
        </w:tc>
        <w:tc>
          <w:tcPr>
            <w:tcW w:w="1269" w:type="dxa"/>
            <w:noWrap w:val="0"/>
            <w:vAlign w:val="center"/>
          </w:tcPr>
          <w:p w14:paraId="3C61639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A644BE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60B196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1EAB83C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64257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024750D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0CF1E4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房屋成新度</w:t>
            </w:r>
          </w:p>
        </w:tc>
        <w:tc>
          <w:tcPr>
            <w:tcW w:w="1269" w:type="dxa"/>
            <w:noWrap w:val="0"/>
            <w:vAlign w:val="center"/>
          </w:tcPr>
          <w:p w14:paraId="6E41A20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B3199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c>
          <w:tcPr>
            <w:tcW w:w="1401" w:type="dxa"/>
            <w:noWrap w:val="0"/>
            <w:vAlign w:val="center"/>
          </w:tcPr>
          <w:p w14:paraId="5371F53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c>
          <w:tcPr>
            <w:tcW w:w="1404" w:type="dxa"/>
            <w:noWrap w:val="0"/>
            <w:vAlign w:val="center"/>
          </w:tcPr>
          <w:p w14:paraId="49C08B0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r>
      <w:tr w14:paraId="33EF0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10CBF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504B5AE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建筑物结构</w:t>
            </w:r>
          </w:p>
        </w:tc>
        <w:tc>
          <w:tcPr>
            <w:tcW w:w="1269" w:type="dxa"/>
            <w:noWrap w:val="0"/>
            <w:vAlign w:val="center"/>
          </w:tcPr>
          <w:p w14:paraId="57EBB3F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9EC985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C7D18C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469ECD3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61A0E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0615D8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C3F3C4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建筑物内部格局</w:t>
            </w:r>
          </w:p>
        </w:tc>
        <w:tc>
          <w:tcPr>
            <w:tcW w:w="1269" w:type="dxa"/>
            <w:noWrap w:val="0"/>
            <w:vAlign w:val="center"/>
          </w:tcPr>
          <w:p w14:paraId="3CE4CB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9EE8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28E59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4DBE9F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7744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8194A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572C63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装修档次</w:t>
            </w:r>
          </w:p>
        </w:tc>
        <w:tc>
          <w:tcPr>
            <w:tcW w:w="1269" w:type="dxa"/>
            <w:noWrap w:val="0"/>
            <w:vAlign w:val="center"/>
          </w:tcPr>
          <w:p w14:paraId="011A3D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3630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ABE08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FA9487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1748C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7D8378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D4D5DB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停车情况</w:t>
            </w:r>
          </w:p>
        </w:tc>
        <w:tc>
          <w:tcPr>
            <w:tcW w:w="1269" w:type="dxa"/>
            <w:noWrap w:val="0"/>
            <w:vAlign w:val="center"/>
          </w:tcPr>
          <w:p w14:paraId="5092EDF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42396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3E79C18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166497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A093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0" w:hRule="atLeast"/>
        </w:trPr>
        <w:tc>
          <w:tcPr>
            <w:tcW w:w="702" w:type="pct"/>
            <w:vMerge w:val="continue"/>
            <w:noWrap w:val="0"/>
            <w:vAlign w:val="center"/>
          </w:tcPr>
          <w:p w14:paraId="7CD469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6FCA4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物业情况</w:t>
            </w:r>
          </w:p>
        </w:tc>
        <w:tc>
          <w:tcPr>
            <w:tcW w:w="1269" w:type="dxa"/>
            <w:noWrap w:val="0"/>
            <w:vAlign w:val="center"/>
          </w:tcPr>
          <w:p w14:paraId="548CE6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6658D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87634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ADFD15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bl>
    <w:p w14:paraId="35F53835">
      <w:pPr>
        <w:pStyle w:val="11"/>
        <w:keepNext w:val="0"/>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0" w:firstLineChars="0"/>
        <w:jc w:val="center"/>
        <w:textAlignment w:val="baseline"/>
        <w:rPr>
          <w:rFonts w:hint="eastAsia" w:ascii="仿宋" w:hAnsi="仿宋" w:eastAsia="仿宋" w:cs="仿宋"/>
          <w:sz w:val="28"/>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b w:val="0"/>
          <w:bCs/>
          <w:color w:val="auto"/>
          <w:kern w:val="2"/>
          <w:sz w:val="28"/>
          <w:szCs w:val="28"/>
          <w:highlight w:val="none"/>
          <w:lang w:val="en-US" w:eastAsia="zh-CN" w:bidi="ar-SA"/>
        </w:rPr>
        <w:t>13</w:t>
      </w:r>
      <w:r>
        <w:rPr>
          <w:rFonts w:hint="eastAsia" w:ascii="仿宋_GB2312" w:hAnsi="仿宋_GB2312" w:eastAsia="仿宋_GB2312" w:cs="仿宋_GB2312"/>
          <w:b w:val="0"/>
          <w:bCs/>
          <w:color w:val="auto"/>
          <w:kern w:val="2"/>
          <w:sz w:val="28"/>
          <w:szCs w:val="28"/>
          <w:highlight w:val="none"/>
          <w:lang w:val="en-US" w:eastAsia="zh-CN" w:bidi="ar-SA"/>
        </w:rPr>
        <w:t xml:space="preserve"> 比较因素条件修正系数表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659"/>
        <w:gridCol w:w="1661"/>
        <w:gridCol w:w="1658"/>
        <w:gridCol w:w="1660"/>
        <w:gridCol w:w="9"/>
        <w:gridCol w:w="1650"/>
      </w:tblGrid>
      <w:tr w14:paraId="4EE34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6" w:hRule="atLeast"/>
        </w:trPr>
        <w:tc>
          <w:tcPr>
            <w:tcW w:w="3320" w:type="dxa"/>
            <w:gridSpan w:val="2"/>
            <w:tcBorders>
              <w:tl2br w:val="single" w:color="000000" w:sz="4" w:space="0"/>
            </w:tcBorders>
            <w:noWrap w:val="0"/>
            <w:vAlign w:val="center"/>
          </w:tcPr>
          <w:p w14:paraId="378B4F4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估价对象及比较实例</w:t>
            </w:r>
          </w:p>
          <w:p w14:paraId="6D20375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比较因素</w:t>
            </w:r>
          </w:p>
        </w:tc>
        <w:tc>
          <w:tcPr>
            <w:tcW w:w="1658" w:type="dxa"/>
            <w:noWrap w:val="0"/>
            <w:vAlign w:val="center"/>
          </w:tcPr>
          <w:p w14:paraId="32A5779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案例A</w:t>
            </w:r>
          </w:p>
        </w:tc>
        <w:tc>
          <w:tcPr>
            <w:tcW w:w="1660" w:type="dxa"/>
            <w:noWrap w:val="0"/>
            <w:vAlign w:val="center"/>
          </w:tcPr>
          <w:p w14:paraId="71B8DC9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案例B</w:t>
            </w:r>
          </w:p>
        </w:tc>
        <w:tc>
          <w:tcPr>
            <w:tcW w:w="1659" w:type="dxa"/>
            <w:gridSpan w:val="2"/>
            <w:noWrap w:val="0"/>
            <w:vAlign w:val="center"/>
          </w:tcPr>
          <w:p w14:paraId="005973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案例C</w:t>
            </w:r>
          </w:p>
        </w:tc>
      </w:tr>
      <w:tr w14:paraId="0F9BE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rPr>
        <w:tc>
          <w:tcPr>
            <w:tcW w:w="3320" w:type="dxa"/>
            <w:gridSpan w:val="2"/>
            <w:noWrap w:val="0"/>
            <w:vAlign w:val="center"/>
          </w:tcPr>
          <w:p w14:paraId="3E5779E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位置</w:t>
            </w:r>
          </w:p>
        </w:tc>
        <w:tc>
          <w:tcPr>
            <w:tcW w:w="1658" w:type="dxa"/>
            <w:noWrap w:val="0"/>
            <w:vAlign w:val="center"/>
          </w:tcPr>
          <w:p w14:paraId="02A6E17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1660" w:type="dxa"/>
            <w:noWrap w:val="0"/>
            <w:vAlign w:val="center"/>
          </w:tcPr>
          <w:p w14:paraId="2B388D3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1659" w:type="dxa"/>
            <w:gridSpan w:val="2"/>
            <w:noWrap w:val="0"/>
            <w:vAlign w:val="center"/>
          </w:tcPr>
          <w:p w14:paraId="00559B4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2CA1B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2FA5035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住宅租金(元/m</w:t>
            </w:r>
            <w:r>
              <w:rPr>
                <w:rFonts w:hint="eastAsia" w:ascii="仿宋_GB2312" w:hAnsi="仿宋_GB2312" w:eastAsia="仿宋_GB2312" w:cs="仿宋_GB2312"/>
                <w:b w:val="0"/>
                <w:bCs w:val="0"/>
                <w:color w:val="000000"/>
                <w:kern w:val="2"/>
                <w:sz w:val="21"/>
                <w:szCs w:val="21"/>
                <w:highlight w:val="none"/>
                <w:vertAlign w:val="superscript"/>
                <w:lang w:val="en-US" w:eastAsia="zh-CN" w:bidi="ar-SA"/>
              </w:rPr>
              <w:t>2</w:t>
            </w:r>
            <w:r>
              <w:rPr>
                <w:rFonts w:hint="eastAsia" w:ascii="仿宋_GB2312" w:hAnsi="仿宋_GB2312" w:eastAsia="仿宋_GB2312" w:cs="仿宋_GB2312"/>
                <w:b w:val="0"/>
                <w:bCs w:val="0"/>
                <w:color w:val="000000"/>
                <w:kern w:val="2"/>
                <w:sz w:val="21"/>
                <w:szCs w:val="21"/>
                <w:highlight w:val="none"/>
                <w:lang w:val="en-US" w:eastAsia="zh-CN" w:bidi="ar-SA"/>
              </w:rPr>
              <w:t>·月)</w:t>
            </w:r>
          </w:p>
        </w:tc>
        <w:tc>
          <w:tcPr>
            <w:tcW w:w="1658" w:type="dxa"/>
            <w:noWrap w:val="0"/>
            <w:vAlign w:val="center"/>
          </w:tcPr>
          <w:p w14:paraId="33A9C3CC">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660" w:type="dxa"/>
            <w:noWrap w:val="0"/>
            <w:vAlign w:val="center"/>
          </w:tcPr>
          <w:p w14:paraId="590374B9">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659" w:type="dxa"/>
            <w:gridSpan w:val="2"/>
            <w:noWrap w:val="0"/>
            <w:vAlign w:val="center"/>
          </w:tcPr>
          <w:p w14:paraId="2A3E58B3">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00CF4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2A27D99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用途</w:t>
            </w:r>
          </w:p>
        </w:tc>
        <w:tc>
          <w:tcPr>
            <w:tcW w:w="1658" w:type="dxa"/>
            <w:noWrap w:val="0"/>
            <w:vAlign w:val="center"/>
          </w:tcPr>
          <w:p w14:paraId="1E7E5E0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7F15F00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71E3EBB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F45B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66675E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交易时间</w:t>
            </w:r>
          </w:p>
        </w:tc>
        <w:tc>
          <w:tcPr>
            <w:tcW w:w="1658" w:type="dxa"/>
            <w:noWrap w:val="0"/>
            <w:vAlign w:val="center"/>
          </w:tcPr>
          <w:p w14:paraId="4A7C4BD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4E02DE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13AB266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F246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1EC98AF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交易情况</w:t>
            </w:r>
          </w:p>
        </w:tc>
        <w:tc>
          <w:tcPr>
            <w:tcW w:w="1658" w:type="dxa"/>
            <w:noWrap w:val="0"/>
            <w:vAlign w:val="center"/>
          </w:tcPr>
          <w:p w14:paraId="2BC00FD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D6C39F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77F873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22CE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restart"/>
            <w:noWrap w:val="0"/>
            <w:vAlign w:val="center"/>
          </w:tcPr>
          <w:p w14:paraId="362C15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区域因素</w:t>
            </w:r>
          </w:p>
        </w:tc>
        <w:tc>
          <w:tcPr>
            <w:tcW w:w="1661" w:type="dxa"/>
            <w:noWrap w:val="0"/>
            <w:vAlign w:val="center"/>
          </w:tcPr>
          <w:p w14:paraId="41A4508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商服繁华度</w:t>
            </w:r>
          </w:p>
        </w:tc>
        <w:tc>
          <w:tcPr>
            <w:tcW w:w="1658" w:type="dxa"/>
            <w:noWrap w:val="0"/>
            <w:vAlign w:val="center"/>
          </w:tcPr>
          <w:p w14:paraId="67BEB5B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7ED842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7B23F1C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64EE6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141D21E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9EE520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公交便捷度</w:t>
            </w:r>
          </w:p>
        </w:tc>
        <w:tc>
          <w:tcPr>
            <w:tcW w:w="1658" w:type="dxa"/>
            <w:noWrap w:val="0"/>
            <w:vAlign w:val="center"/>
          </w:tcPr>
          <w:p w14:paraId="409543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60" w:type="dxa"/>
            <w:noWrap w:val="0"/>
            <w:vAlign w:val="center"/>
          </w:tcPr>
          <w:p w14:paraId="4B8D43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59" w:type="dxa"/>
            <w:gridSpan w:val="2"/>
            <w:noWrap w:val="0"/>
            <w:vAlign w:val="center"/>
          </w:tcPr>
          <w:p w14:paraId="007126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r>
      <w:tr w14:paraId="049E1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EDFE9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B28605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道路通达度</w:t>
            </w:r>
          </w:p>
        </w:tc>
        <w:tc>
          <w:tcPr>
            <w:tcW w:w="1658" w:type="dxa"/>
            <w:noWrap w:val="0"/>
            <w:vAlign w:val="center"/>
          </w:tcPr>
          <w:p w14:paraId="439995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1213CAF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3AEB32E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056D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37F98C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51F9B25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水电综合保证率</w:t>
            </w:r>
          </w:p>
        </w:tc>
        <w:tc>
          <w:tcPr>
            <w:tcW w:w="1658" w:type="dxa"/>
            <w:noWrap w:val="0"/>
            <w:vAlign w:val="center"/>
          </w:tcPr>
          <w:p w14:paraId="303207E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6A64C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4BD6D53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11707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6BC1DC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5BA38BC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环境质量</w:t>
            </w:r>
          </w:p>
        </w:tc>
        <w:tc>
          <w:tcPr>
            <w:tcW w:w="1658" w:type="dxa"/>
            <w:noWrap w:val="0"/>
            <w:vAlign w:val="center"/>
          </w:tcPr>
          <w:p w14:paraId="7EAE5D1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CEF20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545354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1B7AE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6" w:hRule="atLeast"/>
        </w:trPr>
        <w:tc>
          <w:tcPr>
            <w:tcW w:w="1659" w:type="dxa"/>
            <w:vMerge w:val="continue"/>
            <w:noWrap w:val="0"/>
            <w:vAlign w:val="center"/>
          </w:tcPr>
          <w:p w14:paraId="0F6367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C87D82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区域公共设施状况</w:t>
            </w:r>
          </w:p>
        </w:tc>
        <w:tc>
          <w:tcPr>
            <w:tcW w:w="1658" w:type="dxa"/>
            <w:noWrap w:val="0"/>
            <w:vAlign w:val="center"/>
          </w:tcPr>
          <w:p w14:paraId="5C6B10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013679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1A1B34A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7BBB3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restart"/>
            <w:noWrap w:val="0"/>
            <w:vAlign w:val="center"/>
          </w:tcPr>
          <w:p w14:paraId="7C96E64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个别因素</w:t>
            </w:r>
          </w:p>
        </w:tc>
        <w:tc>
          <w:tcPr>
            <w:tcW w:w="1661" w:type="dxa"/>
            <w:noWrap w:val="0"/>
            <w:vAlign w:val="center"/>
          </w:tcPr>
          <w:p w14:paraId="6496540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所临道路类型</w:t>
            </w:r>
          </w:p>
        </w:tc>
        <w:tc>
          <w:tcPr>
            <w:tcW w:w="1658" w:type="dxa"/>
            <w:noWrap w:val="0"/>
            <w:vAlign w:val="center"/>
          </w:tcPr>
          <w:p w14:paraId="6D30F73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60" w:type="dxa"/>
            <w:noWrap w:val="0"/>
            <w:vAlign w:val="center"/>
          </w:tcPr>
          <w:p w14:paraId="4E6C738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59" w:type="dxa"/>
            <w:gridSpan w:val="2"/>
            <w:noWrap w:val="0"/>
            <w:vAlign w:val="center"/>
          </w:tcPr>
          <w:p w14:paraId="6892A58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r>
      <w:tr w14:paraId="5B31F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407B81D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78AEFF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通风采光</w:t>
            </w:r>
          </w:p>
        </w:tc>
        <w:tc>
          <w:tcPr>
            <w:tcW w:w="1658" w:type="dxa"/>
            <w:noWrap w:val="0"/>
            <w:vAlign w:val="center"/>
          </w:tcPr>
          <w:p w14:paraId="56403BE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16B2591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025EFE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309A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1F0C82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49B7C1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房屋成新度</w:t>
            </w:r>
          </w:p>
        </w:tc>
        <w:tc>
          <w:tcPr>
            <w:tcW w:w="1658" w:type="dxa"/>
            <w:noWrap w:val="0"/>
            <w:vAlign w:val="center"/>
          </w:tcPr>
          <w:p w14:paraId="6971D9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33553B4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5858D6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657C9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7299238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9F015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建筑物结构</w:t>
            </w:r>
          </w:p>
        </w:tc>
        <w:tc>
          <w:tcPr>
            <w:tcW w:w="1658" w:type="dxa"/>
            <w:noWrap w:val="0"/>
            <w:vAlign w:val="center"/>
          </w:tcPr>
          <w:p w14:paraId="43E3748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4B8FE5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23DB739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432C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039A50D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1EC5C1C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建筑物内部格局</w:t>
            </w:r>
          </w:p>
        </w:tc>
        <w:tc>
          <w:tcPr>
            <w:tcW w:w="1658" w:type="dxa"/>
            <w:noWrap w:val="0"/>
            <w:vAlign w:val="center"/>
          </w:tcPr>
          <w:p w14:paraId="05145B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0ACFA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34379DE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6D05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3C2D648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414089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装修档次</w:t>
            </w:r>
          </w:p>
        </w:tc>
        <w:tc>
          <w:tcPr>
            <w:tcW w:w="1658" w:type="dxa"/>
            <w:noWrap w:val="0"/>
            <w:vAlign w:val="center"/>
          </w:tcPr>
          <w:p w14:paraId="11CAAE6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20E9A3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FA1766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A1AF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719FF6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438600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停车情况</w:t>
            </w:r>
          </w:p>
        </w:tc>
        <w:tc>
          <w:tcPr>
            <w:tcW w:w="1658" w:type="dxa"/>
            <w:noWrap w:val="0"/>
            <w:vAlign w:val="center"/>
          </w:tcPr>
          <w:p w14:paraId="325EDE6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324763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4B1B703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4CEB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0DB522A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19F50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物业情况</w:t>
            </w:r>
          </w:p>
        </w:tc>
        <w:tc>
          <w:tcPr>
            <w:tcW w:w="1658" w:type="dxa"/>
            <w:noWrap w:val="0"/>
            <w:vAlign w:val="center"/>
          </w:tcPr>
          <w:p w14:paraId="7EC7534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0843835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6109404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90C8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77F5662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比准租金（元/平方米·天）</w:t>
            </w:r>
          </w:p>
        </w:tc>
        <w:tc>
          <w:tcPr>
            <w:tcW w:w="1658" w:type="dxa"/>
            <w:noWrap w:val="0"/>
            <w:vAlign w:val="center"/>
          </w:tcPr>
          <w:p w14:paraId="1248508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11.32 </w:t>
            </w:r>
          </w:p>
        </w:tc>
        <w:tc>
          <w:tcPr>
            <w:tcW w:w="1669" w:type="dxa"/>
            <w:gridSpan w:val="2"/>
            <w:noWrap w:val="0"/>
            <w:vAlign w:val="center"/>
          </w:tcPr>
          <w:p w14:paraId="5ABF40B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11.52 </w:t>
            </w:r>
          </w:p>
        </w:tc>
        <w:tc>
          <w:tcPr>
            <w:tcW w:w="1650" w:type="dxa"/>
            <w:noWrap w:val="0"/>
            <w:vAlign w:val="center"/>
          </w:tcPr>
          <w:p w14:paraId="04F3FF6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11.54 </w:t>
            </w:r>
          </w:p>
        </w:tc>
      </w:tr>
      <w:tr w14:paraId="582FC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0" w:hRule="atLeast"/>
        </w:trPr>
        <w:tc>
          <w:tcPr>
            <w:tcW w:w="3320" w:type="dxa"/>
            <w:gridSpan w:val="2"/>
            <w:noWrap w:val="0"/>
            <w:vAlign w:val="center"/>
          </w:tcPr>
          <w:p w14:paraId="0598364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算术平均值（元/平方米·天）</w:t>
            </w:r>
          </w:p>
        </w:tc>
        <w:tc>
          <w:tcPr>
            <w:tcW w:w="4977" w:type="dxa"/>
            <w:gridSpan w:val="4"/>
            <w:noWrap w:val="0"/>
            <w:vAlign w:val="center"/>
          </w:tcPr>
          <w:p w14:paraId="7ABCAD8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11.46 </w:t>
            </w:r>
          </w:p>
        </w:tc>
      </w:tr>
    </w:tbl>
    <w:p w14:paraId="0367F22D">
      <w:pPr>
        <w:keepNext w:val="0"/>
        <w:keepLines w:val="0"/>
        <w:pageBreakBefore w:val="0"/>
        <w:widowControl w:val="0"/>
        <w:kinsoku/>
        <w:wordWrap/>
        <w:overflowPunct/>
        <w:topLinePunct w:val="0"/>
        <w:bidi w:val="0"/>
        <w:adjustRightInd w:val="0"/>
        <w:snapToGrid w:val="0"/>
        <w:spacing w:line="480" w:lineRule="exact"/>
        <w:ind w:firstLine="616"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Times New Roman" w:hAnsi="Times New Roman" w:eastAsia="仿宋" w:cs="Times New Roman"/>
          <w:spacing w:val="14"/>
          <w:sz w:val="28"/>
          <w:szCs w:val="28"/>
        </w:rPr>
        <w:t>通</w:t>
      </w:r>
      <w:r>
        <w:rPr>
          <w:rFonts w:hint="default" w:ascii="仿宋_GB2312" w:hAnsi="仿宋_GB2312" w:eastAsia="仿宋_GB2312" w:cs="仿宋_GB2312"/>
          <w:b w:val="0"/>
          <w:bCs w:val="0"/>
          <w:color w:val="000000"/>
          <w:kern w:val="2"/>
          <w:sz w:val="28"/>
          <w:szCs w:val="28"/>
          <w:highlight w:val="none"/>
          <w:lang w:val="en-US" w:eastAsia="zh-CN" w:bidi="ar-SA"/>
        </w:rPr>
        <w:t>过市场比较，3个比较实例的比准租金接近，所以采取3个比较实例的比准租金结果的算术平均值作为估价对象的租金。</w:t>
      </w:r>
    </w:p>
    <w:p w14:paraId="3EC3A952">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住宅用房月租金</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（11.32</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11.52</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11.54）/3</w:t>
      </w:r>
      <w:r>
        <w:rPr>
          <w:rFonts w:hint="eastAsia" w:ascii="仿宋_GB2312" w:hAnsi="仿宋_GB2312" w:eastAsia="仿宋_GB2312" w:cs="仿宋_GB2312"/>
          <w:b w:val="0"/>
          <w:bCs w:val="0"/>
          <w:color w:val="000000"/>
          <w:kern w:val="2"/>
          <w:sz w:val="28"/>
          <w:szCs w:val="28"/>
          <w:highlight w:val="none"/>
          <w:lang w:val="en-US" w:eastAsia="zh-CN" w:bidi="ar-SA"/>
        </w:rPr>
        <w:t>＝11.46</w:t>
      </w:r>
      <w:r>
        <w:rPr>
          <w:rFonts w:hint="default" w:ascii="仿宋_GB2312" w:hAnsi="仿宋_GB2312" w:eastAsia="仿宋_GB2312" w:cs="仿宋_GB2312"/>
          <w:b w:val="0"/>
          <w:bCs w:val="0"/>
          <w:color w:val="000000"/>
          <w:kern w:val="2"/>
          <w:sz w:val="28"/>
          <w:szCs w:val="28"/>
          <w:highlight w:val="none"/>
          <w:lang w:val="en-US" w:eastAsia="zh-CN" w:bidi="ar-SA"/>
        </w:rPr>
        <w:t>（元/平方米·月）</w:t>
      </w:r>
    </w:p>
    <w:p w14:paraId="33DDE937">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fldChar w:fldCharType="begin"/>
      </w:r>
      <w:r>
        <w:rPr>
          <w:rFonts w:hint="default" w:ascii="仿宋_GB2312" w:hAnsi="仿宋_GB2312" w:eastAsia="仿宋_GB2312" w:cs="仿宋_GB2312"/>
          <w:b w:val="0"/>
          <w:bCs w:val="0"/>
          <w:color w:val="000000"/>
          <w:kern w:val="2"/>
          <w:sz w:val="28"/>
          <w:szCs w:val="28"/>
          <w:highlight w:val="none"/>
          <w:lang w:val="en-US" w:eastAsia="zh-CN" w:bidi="ar-SA"/>
        </w:rPr>
        <w:instrText xml:space="preserve"> = 3 \* GB3 </w:instrText>
      </w:r>
      <w:r>
        <w:rPr>
          <w:rFonts w:hint="default" w:ascii="仿宋_GB2312" w:hAnsi="仿宋_GB2312" w:eastAsia="仿宋_GB2312" w:cs="仿宋_GB2312"/>
          <w:b w:val="0"/>
          <w:bCs w:val="0"/>
          <w:color w:val="000000"/>
          <w:kern w:val="2"/>
          <w:sz w:val="28"/>
          <w:szCs w:val="28"/>
          <w:highlight w:val="none"/>
          <w:lang w:val="en-US" w:eastAsia="zh-CN" w:bidi="ar-SA"/>
        </w:rPr>
        <w:fldChar w:fldCharType="separate"/>
      </w:r>
      <w:r>
        <w:rPr>
          <w:rFonts w:hint="default" w:ascii="仿宋_GB2312" w:hAnsi="仿宋_GB2312" w:eastAsia="仿宋_GB2312" w:cs="仿宋_GB2312"/>
          <w:b w:val="0"/>
          <w:bCs w:val="0"/>
          <w:color w:val="000000"/>
          <w:kern w:val="2"/>
          <w:sz w:val="28"/>
          <w:szCs w:val="28"/>
          <w:highlight w:val="none"/>
          <w:lang w:val="zh-CN" w:eastAsia="zh-CN" w:bidi="ar-SA"/>
        </w:rPr>
        <w:t>③</w:t>
      </w:r>
      <w:r>
        <w:rPr>
          <w:rFonts w:hint="default" w:ascii="仿宋_GB2312" w:hAnsi="仿宋_GB2312" w:eastAsia="仿宋_GB2312" w:cs="仿宋_GB2312"/>
          <w:b w:val="0"/>
          <w:bCs w:val="0"/>
          <w:color w:val="000000"/>
          <w:kern w:val="2"/>
          <w:sz w:val="28"/>
          <w:szCs w:val="28"/>
          <w:highlight w:val="none"/>
          <w:lang w:val="en-US" w:eastAsia="zh-CN" w:bidi="ar-SA"/>
        </w:rPr>
        <w:fldChar w:fldCharType="end"/>
      </w:r>
      <w:r>
        <w:rPr>
          <w:rFonts w:hint="default" w:ascii="仿宋_GB2312" w:hAnsi="仿宋_GB2312" w:eastAsia="仿宋_GB2312" w:cs="仿宋_GB2312"/>
          <w:b w:val="0"/>
          <w:bCs w:val="0"/>
          <w:color w:val="000000"/>
          <w:kern w:val="2"/>
          <w:sz w:val="28"/>
          <w:szCs w:val="28"/>
          <w:highlight w:val="none"/>
          <w:lang w:val="en-US" w:eastAsia="zh-CN" w:bidi="ar-SA"/>
        </w:rPr>
        <w:t>房地年总收益的确定</w:t>
      </w:r>
    </w:p>
    <w:p w14:paraId="2BF94777">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估价人员通过对周边出租行情进行调查,区域内出租案例较多，根据市场调查区域商住房地产平均空置率为</w:t>
      </w:r>
      <w:r>
        <w:rPr>
          <w:rFonts w:hint="eastAsia" w:ascii="仿宋_GB2312" w:hAnsi="仿宋_GB2312" w:eastAsia="仿宋_GB2312" w:cs="仿宋_GB2312"/>
          <w:b w:val="0"/>
          <w:bCs w:val="0"/>
          <w:color w:val="000000"/>
          <w:kern w:val="2"/>
          <w:sz w:val="28"/>
          <w:szCs w:val="28"/>
          <w:highlight w:val="none"/>
          <w:lang w:val="en-US" w:eastAsia="zh-CN" w:bidi="ar-SA"/>
        </w:rPr>
        <w:t>3</w:t>
      </w:r>
      <w:r>
        <w:rPr>
          <w:rFonts w:hint="default" w:ascii="仿宋_GB2312" w:hAnsi="仿宋_GB2312" w:eastAsia="仿宋_GB2312" w:cs="仿宋_GB2312"/>
          <w:b w:val="0"/>
          <w:bCs w:val="0"/>
          <w:color w:val="000000"/>
          <w:kern w:val="2"/>
          <w:sz w:val="28"/>
          <w:szCs w:val="28"/>
          <w:highlight w:val="none"/>
          <w:lang w:val="en-US" w:eastAsia="zh-CN" w:bidi="ar-SA"/>
        </w:rPr>
        <w:t>%至</w:t>
      </w:r>
      <w:r>
        <w:rPr>
          <w:rFonts w:hint="eastAsia" w:ascii="仿宋_GB2312" w:hAnsi="仿宋_GB2312" w:eastAsia="仿宋_GB2312" w:cs="仿宋_GB2312"/>
          <w:b w:val="0"/>
          <w:bCs w:val="0"/>
          <w:color w:val="000000"/>
          <w:kern w:val="2"/>
          <w:sz w:val="28"/>
          <w:szCs w:val="28"/>
          <w:highlight w:val="none"/>
          <w:lang w:val="en-US" w:eastAsia="zh-CN" w:bidi="ar-SA"/>
        </w:rPr>
        <w:t>5</w:t>
      </w:r>
      <w:r>
        <w:rPr>
          <w:rFonts w:hint="default" w:ascii="仿宋_GB2312" w:hAnsi="仿宋_GB2312" w:eastAsia="仿宋_GB2312" w:cs="仿宋_GB2312"/>
          <w:b w:val="0"/>
          <w:bCs w:val="0"/>
          <w:color w:val="000000"/>
          <w:kern w:val="2"/>
          <w:sz w:val="28"/>
          <w:szCs w:val="28"/>
          <w:highlight w:val="none"/>
          <w:lang w:val="en-US" w:eastAsia="zh-CN" w:bidi="ar-SA"/>
        </w:rPr>
        <w:t>%，本次评估取平均空置率</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%。估价对象地上建筑物可出租房屋比例为96%。</w:t>
      </w:r>
    </w:p>
    <w:p w14:paraId="6C8F2BB3">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房地年总</w:t>
      </w:r>
      <w:r>
        <w:rPr>
          <w:rFonts w:hint="default" w:ascii="仿宋_GB2312" w:hAnsi="仿宋_GB2312" w:eastAsia="仿宋_GB2312" w:cs="仿宋_GB2312"/>
          <w:b w:val="0"/>
          <w:bCs w:val="0"/>
          <w:color w:val="000000"/>
          <w:kern w:val="2"/>
          <w:sz w:val="28"/>
          <w:szCs w:val="28"/>
          <w:highlight w:val="none"/>
          <w:lang w:val="en-US" w:eastAsia="zh-CN" w:bidi="ar-SA"/>
        </w:rPr>
        <w:t>收益</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住宅用房月租金×12×（1-空置率）×住宅用房</w:t>
      </w:r>
      <w:r>
        <w:rPr>
          <w:rFonts w:hint="eastAsia" w:ascii="仿宋_GB2312" w:hAnsi="仿宋_GB2312" w:eastAsia="仿宋_GB2312" w:cs="仿宋_GB2312"/>
          <w:b w:val="0"/>
          <w:bCs w:val="0"/>
          <w:color w:val="000000"/>
          <w:kern w:val="2"/>
          <w:sz w:val="28"/>
          <w:szCs w:val="28"/>
          <w:highlight w:val="none"/>
          <w:lang w:val="en-US" w:eastAsia="zh-CN" w:bidi="ar-SA"/>
        </w:rPr>
        <w:t>出租率＝11.46</w:t>
      </w:r>
      <w:r>
        <w:rPr>
          <w:rFonts w:hint="default" w:ascii="仿宋_GB2312" w:hAnsi="仿宋_GB2312" w:eastAsia="仿宋_GB2312" w:cs="仿宋_GB2312"/>
          <w:b w:val="0"/>
          <w:bCs w:val="0"/>
          <w:color w:val="000000"/>
          <w:kern w:val="2"/>
          <w:sz w:val="28"/>
          <w:szCs w:val="28"/>
          <w:highlight w:val="none"/>
          <w:lang w:val="en-US" w:eastAsia="zh-CN" w:bidi="ar-SA"/>
        </w:rPr>
        <w:t>×12×（1-</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73.415</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96</w:t>
      </w:r>
      <w:r>
        <w:rPr>
          <w:rFonts w:hint="default" w:ascii="仿宋_GB2312" w:hAnsi="仿宋_GB2312" w:eastAsia="仿宋_GB2312" w:cs="仿宋_GB2312"/>
          <w:b w:val="0"/>
          <w:bCs w:val="0"/>
          <w:color w:val="000000"/>
          <w:kern w:val="2"/>
          <w:sz w:val="28"/>
          <w:szCs w:val="28"/>
          <w:highlight w:val="none"/>
          <w:lang w:val="en-US" w:eastAsia="zh-CN" w:bidi="ar-SA"/>
        </w:rPr>
        <w:t>%÷1000</w:t>
      </w:r>
      <w:r>
        <w:rPr>
          <w:rFonts w:hint="eastAsia" w:ascii="仿宋_GB2312" w:hAnsi="仿宋_GB2312" w:eastAsia="仿宋_GB2312" w:cs="仿宋_GB2312"/>
          <w:b w:val="0"/>
          <w:bCs w:val="0"/>
          <w:color w:val="000000"/>
          <w:kern w:val="2"/>
          <w:sz w:val="28"/>
          <w:szCs w:val="28"/>
          <w:highlight w:val="none"/>
          <w:lang w:val="en-US" w:eastAsia="zh-CN" w:bidi="ar-SA"/>
        </w:rPr>
        <w:t>0＝0.9305（万元）</w:t>
      </w:r>
    </w:p>
    <w:p w14:paraId="65718552">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2、确定</w:t>
      </w:r>
      <w:r>
        <w:rPr>
          <w:rFonts w:hint="eastAsia" w:ascii="仿宋_GB2312" w:hAnsi="仿宋_GB2312" w:eastAsia="仿宋_GB2312" w:cs="仿宋_GB2312"/>
          <w:b w:val="0"/>
          <w:bCs w:val="0"/>
          <w:color w:val="000000"/>
          <w:kern w:val="2"/>
          <w:sz w:val="28"/>
          <w:szCs w:val="28"/>
          <w:highlight w:val="none"/>
          <w:lang w:val="en-US" w:eastAsia="zh-CN" w:bidi="ar-SA"/>
        </w:rPr>
        <w:t>房地</w:t>
      </w:r>
      <w:r>
        <w:rPr>
          <w:rFonts w:hint="default" w:ascii="仿宋_GB2312" w:hAnsi="仿宋_GB2312" w:eastAsia="仿宋_GB2312" w:cs="仿宋_GB2312"/>
          <w:b w:val="0"/>
          <w:bCs w:val="0"/>
          <w:color w:val="000000"/>
          <w:kern w:val="2"/>
          <w:sz w:val="28"/>
          <w:szCs w:val="28"/>
          <w:highlight w:val="none"/>
          <w:lang w:val="en-US" w:eastAsia="zh-CN" w:bidi="ar-SA"/>
        </w:rPr>
        <w:t>年总费用</w:t>
      </w:r>
    </w:p>
    <w:p w14:paraId="63F6A16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总费用是指利用土地进行经营活动时正常合理的必要年支出。</w:t>
      </w:r>
    </w:p>
    <w:p w14:paraId="78143A07">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（1）经营管理费：指对出租房屋进行的必要管理所需的费用。按年租金的2%～5%计，本次评估中根据估价对象地上建筑物管理难易程度确定为2%，则：</w:t>
      </w:r>
    </w:p>
    <w:p w14:paraId="7225B8FD">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经营管理费＝房地年总收益×2%</w:t>
      </w:r>
    </w:p>
    <w:p w14:paraId="7AEC1EB4">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0.9305</w:t>
      </w:r>
      <w:r>
        <w:rPr>
          <w:rFonts w:hint="default" w:ascii="仿宋_GB2312" w:hAnsi="仿宋_GB2312" w:eastAsia="仿宋_GB2312" w:cs="仿宋_GB2312"/>
          <w:b w:val="0"/>
          <w:bCs w:val="0"/>
          <w:color w:val="000000"/>
          <w:kern w:val="2"/>
          <w:sz w:val="28"/>
          <w:szCs w:val="28"/>
          <w:highlight w:val="none"/>
          <w:lang w:val="en-US" w:eastAsia="zh-CN" w:bidi="ar-SA"/>
        </w:rPr>
        <w:t>×2%</w:t>
      </w:r>
    </w:p>
    <w:p w14:paraId="15E473F9">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0.0186</w:t>
      </w:r>
      <w:r>
        <w:rPr>
          <w:rFonts w:hint="default" w:ascii="仿宋_GB2312" w:hAnsi="仿宋_GB2312" w:eastAsia="仿宋_GB2312" w:cs="仿宋_GB2312"/>
          <w:b w:val="0"/>
          <w:bCs w:val="0"/>
          <w:color w:val="000000"/>
          <w:kern w:val="2"/>
          <w:sz w:val="28"/>
          <w:szCs w:val="28"/>
          <w:highlight w:val="none"/>
          <w:lang w:val="en-US" w:eastAsia="zh-CN" w:bidi="ar-SA"/>
        </w:rPr>
        <w:t>（万元）</w:t>
      </w:r>
    </w:p>
    <w:p w14:paraId="6078E48A">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（2）经营维修费：指为保障房屋正常使用每年需支付的修缮费。根据估价对象房屋的实际使用情况，按建筑物重置价格的2%计算。</w:t>
      </w:r>
    </w:p>
    <w:p w14:paraId="0D05F9B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_GB2312" w:hAnsi="仿宋_GB2312" w:eastAsia="仿宋_GB2312" w:cs="仿宋_GB2312"/>
          <w:sz w:val="28"/>
          <w:szCs w:val="30"/>
          <w:lang w:val="en-US" w:eastAsia="zh-CN"/>
        </w:rPr>
      </w:pPr>
      <w:r>
        <w:rPr>
          <w:rFonts w:hint="eastAsia" w:ascii="仿宋_GB2312" w:hAnsi="Times New Roman" w:eastAsia="仿宋_GB2312" w:cs="Times New Roman"/>
          <w:sz w:val="28"/>
          <w:szCs w:val="30"/>
          <w:lang w:val="en-GB"/>
        </w:rPr>
        <w:t>根据《湖南省房地产协会关于发布&lt;湖南省建筑物建设成本参考标准研究成果&gt;的通知》（编号：湘房协[2023]3号，2023年2月14日）中的“各类建筑物建设成本参考标准”，住宅类</w:t>
      </w:r>
      <w:r>
        <w:rPr>
          <w:rFonts w:hint="eastAsia" w:ascii="仿宋_GB2312" w:eastAsia="仿宋_GB2312" w:cs="Times New Roman"/>
          <w:sz w:val="28"/>
          <w:szCs w:val="30"/>
          <w:lang w:val="en-US" w:eastAsia="zh-CN"/>
        </w:rPr>
        <w:t>砖混</w:t>
      </w:r>
      <w:r>
        <w:rPr>
          <w:rFonts w:hint="eastAsia" w:ascii="仿宋_GB2312" w:hAnsi="Times New Roman" w:eastAsia="仿宋_GB2312" w:cs="Times New Roman"/>
          <w:sz w:val="28"/>
          <w:szCs w:val="30"/>
          <w:lang w:val="en-GB"/>
        </w:rPr>
        <w:t>结构</w:t>
      </w:r>
      <w:r>
        <w:rPr>
          <w:rFonts w:hint="eastAsia" w:ascii="仿宋_GB2312" w:eastAsia="仿宋_GB2312" w:cs="Times New Roman"/>
          <w:sz w:val="28"/>
          <w:szCs w:val="30"/>
          <w:lang w:val="en-US" w:eastAsia="zh-CN"/>
        </w:rPr>
        <w:t>二等</w:t>
      </w:r>
      <w:r>
        <w:rPr>
          <w:rFonts w:hint="eastAsia" w:ascii="仿宋_GB2312" w:hAnsi="Times New Roman" w:eastAsia="仿宋_GB2312" w:cs="Times New Roman"/>
          <w:sz w:val="28"/>
          <w:szCs w:val="30"/>
          <w:lang w:val="en-GB"/>
        </w:rPr>
        <w:t>建设成本价格在1</w:t>
      </w:r>
      <w:r>
        <w:rPr>
          <w:rFonts w:hint="eastAsia" w:ascii="仿宋_GB2312" w:eastAsia="仿宋_GB2312" w:cs="Times New Roman"/>
          <w:sz w:val="28"/>
          <w:szCs w:val="30"/>
          <w:lang w:val="en-US" w:eastAsia="zh-CN"/>
        </w:rPr>
        <w:t>2</w:t>
      </w:r>
      <w:r>
        <w:rPr>
          <w:rFonts w:hint="eastAsia" w:ascii="仿宋_GB2312" w:hAnsi="Times New Roman" w:eastAsia="仿宋_GB2312" w:cs="Times New Roman"/>
          <w:sz w:val="28"/>
          <w:szCs w:val="30"/>
          <w:lang w:val="en-GB"/>
        </w:rPr>
        <w:t>00-1</w:t>
      </w:r>
      <w:r>
        <w:rPr>
          <w:rFonts w:hint="eastAsia" w:ascii="仿宋_GB2312" w:eastAsia="仿宋_GB2312" w:cs="Times New Roman"/>
          <w:sz w:val="28"/>
          <w:szCs w:val="30"/>
          <w:lang w:val="en-US" w:eastAsia="zh-CN"/>
        </w:rPr>
        <w:t>3</w:t>
      </w:r>
      <w:r>
        <w:rPr>
          <w:rFonts w:hint="eastAsia" w:ascii="仿宋_GB2312" w:hAnsi="Times New Roman" w:eastAsia="仿宋_GB2312" w:cs="Times New Roman"/>
          <w:sz w:val="28"/>
          <w:szCs w:val="30"/>
          <w:lang w:val="en-GB"/>
        </w:rPr>
        <w:t>00元/平方米</w:t>
      </w:r>
      <w:r>
        <w:rPr>
          <w:rFonts w:hint="eastAsia" w:ascii="仿宋_GB2312" w:hAnsi="Times New Roman" w:eastAsia="仿宋_GB2312" w:cs="Times New Roman"/>
          <w:sz w:val="28"/>
          <w:szCs w:val="30"/>
          <w:lang w:val="en-GB" w:eastAsia="zh-CN"/>
        </w:rPr>
        <w:t>，</w:t>
      </w:r>
      <w:r>
        <w:rPr>
          <w:rFonts w:hint="eastAsia" w:ascii="仿宋_GB2312" w:hAnsi="Times New Roman" w:eastAsia="仿宋_GB2312" w:cs="Times New Roman"/>
          <w:sz w:val="28"/>
          <w:szCs w:val="30"/>
          <w:lang w:val="en-GB"/>
        </w:rPr>
        <w:t>根据《湖南省房地产协会关于发布&lt;湖南省建筑物建设成本参考标准研究成果&gt;的通知》（编号：湘房协[2023]3号，2023年2月14日）中的“利用系数表”，估价对象位于</w:t>
      </w:r>
      <w:r>
        <w:rPr>
          <w:rFonts w:hint="eastAsia" w:ascii="仿宋_GB2312" w:hAnsi="Times New Roman" w:eastAsia="仿宋_GB2312" w:cs="Times New Roman"/>
          <w:sz w:val="28"/>
          <w:szCs w:val="30"/>
          <w:lang w:val="en-US" w:eastAsia="zh-CN"/>
        </w:rPr>
        <w:t>道县</w:t>
      </w:r>
      <w:r>
        <w:rPr>
          <w:rFonts w:hint="eastAsia" w:ascii="仿宋_GB2312" w:hAnsi="Times New Roman" w:eastAsia="仿宋_GB2312" w:cs="Times New Roman"/>
          <w:sz w:val="28"/>
          <w:szCs w:val="30"/>
          <w:lang w:val="en-GB"/>
        </w:rPr>
        <w:t>，应进行利用系数修正，修正系数为</w:t>
      </w:r>
      <w:r>
        <w:rPr>
          <w:rFonts w:hint="eastAsia" w:ascii="仿宋_GB2312" w:hAnsi="Times New Roman" w:eastAsia="仿宋_GB2312" w:cs="Times New Roman"/>
          <w:sz w:val="28"/>
          <w:szCs w:val="30"/>
          <w:lang w:val="en-US" w:eastAsia="zh-CN"/>
        </w:rPr>
        <w:t>0.90</w:t>
      </w:r>
      <w:r>
        <w:rPr>
          <w:rFonts w:hint="eastAsia" w:ascii="仿宋_GB2312" w:hAnsi="Times New Roman" w:eastAsia="仿宋_GB2312" w:cs="Times New Roman"/>
          <w:sz w:val="28"/>
          <w:szCs w:val="30"/>
          <w:lang w:val="en-GB"/>
        </w:rPr>
        <w:t>，取</w:t>
      </w:r>
      <w:r>
        <w:rPr>
          <w:rFonts w:hint="eastAsia" w:ascii="仿宋_GB2312" w:eastAsia="仿宋_GB2312" w:cs="Times New Roman"/>
          <w:sz w:val="28"/>
          <w:szCs w:val="30"/>
          <w:lang w:val="en-US" w:eastAsia="zh-CN"/>
        </w:rPr>
        <w:t>二等砖混</w:t>
      </w:r>
      <w:r>
        <w:rPr>
          <w:rFonts w:hint="eastAsia" w:ascii="仿宋_GB2312" w:hAnsi="Times New Roman" w:eastAsia="仿宋_GB2312" w:cs="Times New Roman"/>
          <w:sz w:val="28"/>
          <w:szCs w:val="30"/>
          <w:lang w:val="en-GB"/>
        </w:rPr>
        <w:t>结构住宅用房重置价格为</w:t>
      </w:r>
      <w:r>
        <w:rPr>
          <w:rFonts w:hint="eastAsia" w:ascii="仿宋_GB2312" w:hAnsi="Times New Roman" w:eastAsia="仿宋_GB2312" w:cs="Times New Roman"/>
          <w:sz w:val="28"/>
          <w:szCs w:val="30"/>
          <w:lang w:val="en-US" w:eastAsia="zh-CN"/>
        </w:rPr>
        <w:t>1</w:t>
      </w:r>
      <w:r>
        <w:rPr>
          <w:rFonts w:hint="eastAsia" w:ascii="仿宋_GB2312" w:eastAsia="仿宋_GB2312" w:cs="Times New Roman"/>
          <w:sz w:val="28"/>
          <w:szCs w:val="30"/>
          <w:lang w:val="en-US" w:eastAsia="zh-CN"/>
        </w:rPr>
        <w:t>3</w:t>
      </w:r>
      <w:r>
        <w:rPr>
          <w:rFonts w:hint="eastAsia" w:ascii="仿宋_GB2312" w:hAnsi="Times New Roman" w:eastAsia="仿宋_GB2312" w:cs="Times New Roman"/>
          <w:sz w:val="28"/>
          <w:szCs w:val="30"/>
          <w:lang w:val="en-US" w:eastAsia="zh-CN"/>
        </w:rPr>
        <w:t>00</w:t>
      </w:r>
      <w:r>
        <w:rPr>
          <w:rFonts w:hint="eastAsia" w:ascii="仿宋_GB2312" w:hAnsi="Times New Roman" w:eastAsia="仿宋_GB2312" w:cs="Times New Roman"/>
          <w:sz w:val="28"/>
          <w:szCs w:val="30"/>
          <w:lang w:val="en-GB"/>
        </w:rPr>
        <w:t>元/平方米，</w:t>
      </w:r>
      <w:r>
        <w:rPr>
          <w:rFonts w:hint="eastAsia" w:ascii="仿宋_GB2312" w:eastAsia="仿宋_GB2312" w:cs="Times New Roman"/>
          <w:sz w:val="28"/>
          <w:szCs w:val="30"/>
          <w:lang w:val="en-US" w:eastAsia="zh-CN"/>
        </w:rPr>
        <w:t>则道县类似混合结构住宅楼建筑物重置价为1300×0.9=</w:t>
      </w:r>
      <w:r>
        <w:rPr>
          <w:rFonts w:hint="eastAsia" w:ascii="仿宋_GB2312" w:hAnsi="仿宋_GB2312" w:eastAsia="仿宋_GB2312" w:cs="仿宋_GB2312"/>
          <w:sz w:val="28"/>
          <w:szCs w:val="30"/>
          <w:lang w:val="en-US" w:eastAsia="zh-CN"/>
        </w:rPr>
        <w:t>1170元/平方米。</w:t>
      </w:r>
    </w:p>
    <w:p w14:paraId="16EACBA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_GB2312" w:hAnsi="仿宋_GB2312" w:eastAsia="仿宋_GB2312" w:cs="仿宋_GB2312"/>
          <w:sz w:val="28"/>
        </w:rPr>
      </w:pPr>
      <w:r>
        <w:rPr>
          <w:rFonts w:hint="eastAsia" w:ascii="仿宋_GB2312" w:hAnsi="仿宋_GB2312" w:eastAsia="仿宋_GB2312" w:cs="仿宋_GB2312"/>
          <w:sz w:val="28"/>
          <w:szCs w:val="28"/>
        </w:rPr>
        <w:t>考虑近几年价格上涨水平，取砖混结构重置价格年增长率为</w:t>
      </w:r>
      <w:r>
        <w:rPr>
          <w:rFonts w:hint="eastAsia" w:ascii="仿宋_GB2312" w:hAnsi="仿宋_GB2312" w:eastAsia="仿宋_GB2312" w:cs="仿宋_GB2312"/>
          <w:sz w:val="28"/>
          <w:szCs w:val="28"/>
          <w:lang w:val="en-US" w:eastAsia="zh-CN"/>
        </w:rPr>
        <w:t>2.2</w:t>
      </w:r>
      <w:r>
        <w:rPr>
          <w:rFonts w:hint="eastAsia" w:ascii="仿宋_GB2312" w:hAnsi="仿宋_GB2312" w:eastAsia="仿宋_GB2312" w:cs="仿宋_GB2312"/>
          <w:sz w:val="28"/>
          <w:szCs w:val="28"/>
        </w:rPr>
        <w:t>%。</w:t>
      </w:r>
      <w:r>
        <w:rPr>
          <w:rFonts w:hint="eastAsia" w:ascii="仿宋_GB2312" w:hAnsi="Times New Roman" w:eastAsia="仿宋_GB2312" w:cs="Times New Roman"/>
          <w:sz w:val="28"/>
          <w:szCs w:val="30"/>
          <w:lang w:val="en-GB"/>
        </w:rPr>
        <w:t>《湖南省房地产协会关于发布&lt;湖南省建筑物建设成本参考标准研究成果&gt;的通知》（编号：湘房协[2023]3号，2023年2月14日）建筑物建设成本对应的价值时点为2023年1月</w:t>
      </w:r>
      <w:r>
        <w:rPr>
          <w:rFonts w:hint="eastAsia" w:ascii="仿宋_GB2312" w:hAnsi="仿宋_GB2312" w:eastAsia="仿宋_GB2312" w:cs="仿宋_GB2312"/>
          <w:sz w:val="28"/>
          <w:szCs w:val="30"/>
          <w:lang w:val="en-GB"/>
        </w:rPr>
        <w:t xml:space="preserve">1 </w:t>
      </w:r>
      <w:r>
        <w:rPr>
          <w:rFonts w:hint="eastAsia" w:ascii="仿宋_GB2312" w:hAnsi="仿宋_GB2312" w:eastAsia="仿宋_GB2312" w:cs="仿宋_GB2312"/>
          <w:b w:val="0"/>
          <w:bCs w:val="0"/>
          <w:color w:val="000000"/>
          <w:sz w:val="28"/>
          <w:szCs w:val="28"/>
        </w:rPr>
        <w:t>日</w:t>
      </w:r>
      <w:r>
        <w:rPr>
          <w:rFonts w:hint="eastAsia" w:ascii="仿宋_GB2312" w:hAnsi="仿宋_GB2312" w:eastAsia="仿宋_GB2312" w:cs="仿宋_GB2312"/>
          <w:sz w:val="28"/>
        </w:rPr>
        <w:t>，而本次评估的估价期日是</w:t>
      </w:r>
      <w:r>
        <w:rPr>
          <w:rFonts w:hint="eastAsia" w:ascii="仿宋_GB2312" w:hAnsi="仿宋_GB2312" w:eastAsia="仿宋_GB2312" w:cs="仿宋_GB2312"/>
          <w:sz w:val="28"/>
          <w:lang w:eastAsia="zh-CN"/>
        </w:rPr>
        <w:t>2026年</w:t>
      </w:r>
      <w:r>
        <w:rPr>
          <w:rFonts w:hint="eastAsia" w:ascii="仿宋_GB2312" w:hAnsi="仿宋_GB2312" w:eastAsia="仿宋_GB2312" w:cs="仿宋_GB2312"/>
          <w:sz w:val="28"/>
          <w:lang w:val="en-US" w:eastAsia="zh-CN"/>
        </w:rPr>
        <w:t>5</w:t>
      </w:r>
      <w:r>
        <w:rPr>
          <w:rFonts w:hint="eastAsia" w:ascii="仿宋_GB2312" w:hAnsi="仿宋_GB2312" w:eastAsia="仿宋_GB2312" w:cs="仿宋_GB2312"/>
          <w:sz w:val="28"/>
          <w:lang w:eastAsia="zh-CN"/>
        </w:rPr>
        <w:t>月</w:t>
      </w:r>
      <w:r>
        <w:rPr>
          <w:rFonts w:hint="eastAsia" w:ascii="仿宋_GB2312" w:hAnsi="仿宋_GB2312" w:eastAsia="仿宋_GB2312" w:cs="仿宋_GB2312"/>
          <w:sz w:val="28"/>
          <w:lang w:val="en-US" w:eastAsia="zh-CN"/>
        </w:rPr>
        <w:t>18</w:t>
      </w:r>
      <w:r>
        <w:rPr>
          <w:rFonts w:hint="eastAsia" w:ascii="仿宋_GB2312" w:hAnsi="仿宋_GB2312" w:eastAsia="仿宋_GB2312" w:cs="仿宋_GB2312"/>
          <w:sz w:val="28"/>
          <w:lang w:eastAsia="zh-CN"/>
        </w:rPr>
        <w:t>日</w:t>
      </w:r>
      <w:r>
        <w:rPr>
          <w:rFonts w:hint="eastAsia" w:ascii="仿宋_GB2312" w:hAnsi="仿宋_GB2312" w:eastAsia="仿宋_GB2312" w:cs="仿宋_GB2312"/>
          <w:sz w:val="28"/>
        </w:rPr>
        <w:t>，相距</w:t>
      </w:r>
      <w:r>
        <w:rPr>
          <w:rFonts w:hint="eastAsia" w:ascii="仿宋_GB2312" w:hAnsi="仿宋_GB2312" w:eastAsia="仿宋_GB2312" w:cs="仿宋_GB2312"/>
          <w:sz w:val="28"/>
          <w:lang w:val="en-US" w:eastAsia="zh-CN"/>
        </w:rPr>
        <w:t>3.38</w:t>
      </w:r>
      <w:r>
        <w:rPr>
          <w:rFonts w:hint="eastAsia" w:ascii="仿宋_GB2312" w:hAnsi="仿宋_GB2312" w:eastAsia="仿宋_GB2312" w:cs="仿宋_GB2312"/>
          <w:sz w:val="28"/>
        </w:rPr>
        <w:t>年。</w:t>
      </w:r>
    </w:p>
    <w:p w14:paraId="617891A6">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sz w:val="28"/>
          <w:szCs w:val="28"/>
        </w:rPr>
        <w:t>可确定估价对象估价期日的房屋重置价格</w:t>
      </w:r>
      <w:r>
        <w:rPr>
          <w:rFonts w:hint="eastAsia" w:ascii="仿宋_GB2312" w:hAnsi="仿宋_GB2312" w:eastAsia="仿宋_GB2312" w:cs="仿宋_GB2312"/>
          <w:sz w:val="28"/>
          <w:szCs w:val="28"/>
          <w:lang w:val="en-US" w:eastAsia="zh-CN"/>
        </w:rPr>
        <w:t>单价</w:t>
      </w:r>
      <w:r>
        <w:rPr>
          <w:rFonts w:hint="eastAsia" w:ascii="仿宋_GB2312" w:hAnsi="仿宋_GB2312" w:eastAsia="仿宋_GB2312" w:cs="仿宋_GB2312"/>
          <w:sz w:val="28"/>
          <w:szCs w:val="28"/>
        </w:rPr>
        <w:t>为</w:t>
      </w:r>
      <w:r>
        <w:rPr>
          <w:rFonts w:hint="eastAsia" w:ascii="仿宋_GB2312" w:hAnsi="仿宋_GB2312" w:eastAsia="仿宋_GB2312" w:cs="仿宋_GB2312"/>
          <w:sz w:val="28"/>
          <w:szCs w:val="28"/>
          <w:lang w:val="en-US" w:eastAsia="zh-CN"/>
        </w:rPr>
        <w:t>1170</w:t>
      </w:r>
      <w:r>
        <w:rPr>
          <w:rFonts w:hint="eastAsia" w:ascii="仿宋_GB2312" w:hAnsi="仿宋_GB2312" w:eastAsia="仿宋_GB2312" w:cs="仿宋_GB2312"/>
          <w:sz w:val="28"/>
          <w:szCs w:val="28"/>
        </w:rPr>
        <w:t>×(1+</w:t>
      </w:r>
      <w:r>
        <w:rPr>
          <w:rFonts w:hint="eastAsia" w:ascii="仿宋_GB2312" w:hAnsi="仿宋_GB2312" w:eastAsia="仿宋_GB2312" w:cs="仿宋_GB2312"/>
          <w:sz w:val="28"/>
          <w:szCs w:val="28"/>
          <w:lang w:val="en-US" w:eastAsia="zh-CN"/>
        </w:rPr>
        <w:t>2.2</w:t>
      </w:r>
      <w:r>
        <w:rPr>
          <w:rFonts w:hint="eastAsia" w:ascii="仿宋_GB2312" w:hAnsi="仿宋_GB2312" w:eastAsia="仿宋_GB2312" w:cs="仿宋_GB2312"/>
          <w:sz w:val="28"/>
          <w:szCs w:val="28"/>
        </w:rPr>
        <w:t>%)</w:t>
      </w:r>
      <w:r>
        <w:rPr>
          <w:rFonts w:hint="eastAsia" w:ascii="仿宋_GB2312" w:hAnsi="仿宋_GB2312" w:eastAsia="仿宋_GB2312" w:cs="仿宋_GB2312"/>
          <w:sz w:val="28"/>
          <w:vertAlign w:val="superscript"/>
          <w:lang w:val="en-US" w:eastAsia="zh-CN"/>
        </w:rPr>
        <w:t>3.38</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1259</w:t>
      </w:r>
      <w:r>
        <w:rPr>
          <w:rFonts w:hint="eastAsia" w:ascii="仿宋_GB2312" w:hAnsi="仿宋_GB2312" w:eastAsia="仿宋_GB2312" w:cs="仿宋_GB2312"/>
          <w:sz w:val="28"/>
          <w:szCs w:val="28"/>
        </w:rPr>
        <w:t>元/平方米。</w:t>
      </w:r>
    </w:p>
    <w:p w14:paraId="2D225B2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房屋重置价格＝重置单价×总建筑面积</w:t>
      </w:r>
    </w:p>
    <w:p w14:paraId="1751CC21">
      <w:pPr>
        <w:keepNext w:val="0"/>
        <w:keepLines w:val="0"/>
        <w:pageBreakBefore w:val="0"/>
        <w:widowControl w:val="0"/>
        <w:kinsoku/>
        <w:wordWrap/>
        <w:overflowPunct/>
        <w:topLinePunct w:val="0"/>
        <w:bidi w:val="0"/>
        <w:adjustRightInd w:val="0"/>
        <w:snapToGrid w:val="0"/>
        <w:spacing w:line="480" w:lineRule="exact"/>
        <w:ind w:firstLine="2240" w:firstLineChars="8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＝1259×73.415＝9.2429（万元）</w:t>
      </w:r>
    </w:p>
    <w:p w14:paraId="3E35FEA9">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则：经营维修费＝房屋重置价格×2%</w:t>
      </w:r>
    </w:p>
    <w:p w14:paraId="2B3444C6">
      <w:pPr>
        <w:keepNext w:val="0"/>
        <w:keepLines w:val="0"/>
        <w:pageBreakBefore w:val="0"/>
        <w:widowControl w:val="0"/>
        <w:kinsoku/>
        <w:wordWrap/>
        <w:overflowPunct/>
        <w:topLinePunct w:val="0"/>
        <w:bidi w:val="0"/>
        <w:adjustRightInd w:val="0"/>
        <w:snapToGrid w:val="0"/>
        <w:spacing w:line="480" w:lineRule="exact"/>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＝9.2429×2%</w:t>
      </w:r>
    </w:p>
    <w:p w14:paraId="413D9D3D">
      <w:pPr>
        <w:keepNext w:val="0"/>
        <w:keepLines w:val="0"/>
        <w:pageBreakBefore w:val="0"/>
        <w:widowControl w:val="0"/>
        <w:kinsoku/>
        <w:wordWrap/>
        <w:overflowPunct/>
        <w:topLinePunct w:val="0"/>
        <w:bidi w:val="0"/>
        <w:adjustRightInd w:val="0"/>
        <w:snapToGrid w:val="0"/>
        <w:spacing w:line="480" w:lineRule="exact"/>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＝0.1849（万元）</w:t>
      </w:r>
    </w:p>
    <w:p w14:paraId="6DD769B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（3）房屋年保险费：指房产所有人为使自己的房产避免意外损失而向保险公司支付的费用。按房屋现值乘以保险费率2‰计算，则：</w:t>
      </w:r>
    </w:p>
    <w:p w14:paraId="5BEAFAAD">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①</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计算房屋年折旧费：房屋年折旧费指房屋在使用过程中因损耗而在租金中补偿的那部分价值。</w:t>
      </w:r>
    </w:p>
    <w:p w14:paraId="417125C3">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估价对象建筑为混合结构，耐用年限为50年，残值率2%，估价对象地上房屋建成于2004年，已使用年限约为22年，剩余使用年限28年，此次评估设定出让土地使用权年限为70年，大于房屋剩余使用年限，根据孰短原则，折旧年限＝房屋已使用年限+房屋剩余使用年限。则年折旧费计算公式为：</w:t>
      </w:r>
    </w:p>
    <w:p w14:paraId="64AAAC8F">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年折旧费＝房屋重置价×（1-残值率）÷（房屋已使用年限+房屋剩余使用年限）</w:t>
      </w:r>
    </w:p>
    <w:p w14:paraId="253B825C">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＝9.2429×（1-2%）÷（22+28）</w:t>
      </w:r>
    </w:p>
    <w:p w14:paraId="43F0ECF0">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＝0.1812（万元）</w:t>
      </w:r>
    </w:p>
    <w:p w14:paraId="55DF112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2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②</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计算房屋现值</w:t>
      </w:r>
    </w:p>
    <w:p w14:paraId="2BF6FF0F">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房屋现值＝房屋重置价格-折旧总额</w:t>
      </w:r>
    </w:p>
    <w:p w14:paraId="3292E274">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＝9.2429-年折旧费×已使用年限</w:t>
      </w:r>
    </w:p>
    <w:p w14:paraId="63B88B0A">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＝9.2429-0.1812×22</w:t>
      </w:r>
    </w:p>
    <w:p w14:paraId="7B3E59DC">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＝5.2565（万元）</w:t>
      </w:r>
    </w:p>
    <w:p w14:paraId="299E9477">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3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③</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计算房屋年保险费</w:t>
      </w:r>
    </w:p>
    <w:p w14:paraId="2BBEF3D0">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房屋年保险费＝房屋现值×2‰</w:t>
      </w:r>
    </w:p>
    <w:p w14:paraId="5642A7CE">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＝5.2565×2%</w:t>
      </w:r>
    </w:p>
    <w:p w14:paraId="033A52BC">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＝0.0105（万元）</w:t>
      </w:r>
    </w:p>
    <w:p w14:paraId="4127948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（4）出租年应交税金</w:t>
      </w:r>
    </w:p>
    <w:p w14:paraId="27578D64">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de-DE" w:eastAsia="zh-CN" w:bidi="ar-SA"/>
        </w:rPr>
        <w:fldChar w:fldCharType="begin"/>
      </w:r>
      <w:r>
        <w:rPr>
          <w:rFonts w:hint="eastAsia" w:ascii="仿宋_GB2312" w:hAnsi="仿宋_GB2312" w:eastAsia="仿宋_GB2312" w:cs="仿宋_GB2312"/>
          <w:b w:val="0"/>
          <w:bCs w:val="0"/>
          <w:color w:val="000000"/>
          <w:kern w:val="2"/>
          <w:sz w:val="28"/>
          <w:szCs w:val="28"/>
          <w:highlight w:val="none"/>
          <w:lang w:val="de-DE"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de-DE" w:eastAsia="zh-CN" w:bidi="ar-SA"/>
        </w:rPr>
        <w:fldChar w:fldCharType="separate"/>
      </w:r>
      <w:r>
        <w:rPr>
          <w:rFonts w:hint="eastAsia" w:ascii="仿宋_GB2312" w:hAnsi="仿宋_GB2312" w:eastAsia="仿宋_GB2312" w:cs="仿宋_GB2312"/>
          <w:b w:val="0"/>
          <w:bCs w:val="0"/>
          <w:color w:val="000000"/>
          <w:kern w:val="2"/>
          <w:sz w:val="28"/>
          <w:szCs w:val="28"/>
          <w:highlight w:val="none"/>
          <w:lang w:val="de-DE" w:eastAsia="zh-CN" w:bidi="ar-SA"/>
        </w:rPr>
        <w:t>①</w:t>
      </w:r>
      <w:r>
        <w:rPr>
          <w:rFonts w:hint="eastAsia" w:ascii="仿宋_GB2312" w:hAnsi="仿宋_GB2312" w:eastAsia="仿宋_GB2312" w:cs="仿宋_GB2312"/>
          <w:b w:val="0"/>
          <w:bCs w:val="0"/>
          <w:color w:val="000000"/>
          <w:kern w:val="2"/>
          <w:sz w:val="28"/>
          <w:szCs w:val="28"/>
          <w:highlight w:val="none"/>
          <w:lang w:val="de-DE"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增值税及城市建设维护税和教育费附加</w:t>
      </w:r>
    </w:p>
    <w:p w14:paraId="0FF08B93">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根据《关于全面推开营业税改征增值税试点有关税收征收管理事项的公告》（2016年第23号）、《国务院办公厅关于加快培育和发展住房租赁市场的若干意见》（国办发〔2016〕39号），落实营改增关于住房租赁的有关政策，对个人出租住房的，由按照5%的征收率减按1.5%计算缴纳增值税；根据《财政部税务总局关于增值税法施行后增值税优惠政策衔接事项的公告》（财政部 税务总局公告2026年第10号，2026年1月30日），小规模纳税人增值税起征点为月销售额10万元，估价对象平均月租金收入未超过10万元，免征增值税。</w:t>
      </w:r>
    </w:p>
    <w:p w14:paraId="20D36B83">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②附加税（城市维护建设税、教育费附加、地方教育附加）</w:t>
      </w:r>
    </w:p>
    <w:p w14:paraId="539696DD">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增值税附加是以缴纳的增值税为基数，估价对象免征增值税，因此增值税附加为0。</w:t>
      </w:r>
    </w:p>
    <w:p w14:paraId="2F356D76">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③印花税：根据《财政部 国家税务总局 关于廉租住房经济适用住房和住房租赁有关税收政策的通知》（财税〔2008〕24号），对个人出租、承租住房签订的租赁合同，免征印花税。</w:t>
      </w:r>
    </w:p>
    <w:p w14:paraId="65FB287F">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④房产税：根据《财政部 国家税务总局 关于廉租住房经济适用住房和住房租赁有关税收政策的通知》（财税〔2008〕24号），对个人出租住房，按4%的税率征收房产税。根据《财政部税务总局关于进一步支持小微企业和个体工商户发展有关税费政策的公告》（财政部 税务总局公告2023年第12号，2023年8月2日），对增值税小规模纳税人减半征收房产税。</w:t>
      </w:r>
    </w:p>
    <w:p w14:paraId="3A829260">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出租年应交税金＝年总收益×税率</w:t>
      </w:r>
    </w:p>
    <w:p w14:paraId="1BB057FF">
      <w:pPr>
        <w:keepNext w:val="0"/>
        <w:keepLines w:val="0"/>
        <w:pageBreakBefore w:val="0"/>
        <w:widowControl w:val="0"/>
        <w:kinsoku/>
        <w:wordWrap/>
        <w:overflowPunct/>
        <w:topLinePunct w:val="0"/>
        <w:bidi w:val="0"/>
        <w:adjustRightInd w:val="0"/>
        <w:snapToGrid w:val="0"/>
        <w:spacing w:line="480" w:lineRule="exact"/>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＝0.9305×4%×50%</w:t>
      </w:r>
    </w:p>
    <w:p w14:paraId="4CAB0B96">
      <w:pPr>
        <w:keepNext w:val="0"/>
        <w:keepLines w:val="0"/>
        <w:pageBreakBefore w:val="0"/>
        <w:widowControl w:val="0"/>
        <w:kinsoku/>
        <w:wordWrap/>
        <w:overflowPunct/>
        <w:topLinePunct w:val="0"/>
        <w:bidi w:val="0"/>
        <w:adjustRightInd w:val="0"/>
        <w:snapToGrid w:val="0"/>
        <w:spacing w:line="480" w:lineRule="exact"/>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＝0.0186（万元）</w:t>
      </w:r>
    </w:p>
    <w:p w14:paraId="0F5FA4A2">
      <w:pPr>
        <w:keepNext w:val="0"/>
        <w:keepLines w:val="0"/>
        <w:pageBreakBefore w:val="0"/>
        <w:widowControl w:val="0"/>
        <w:kinsoku/>
        <w:wordWrap/>
        <w:overflowPunct/>
        <w:topLinePunct w:val="0"/>
        <w:bidi w:val="0"/>
        <w:adjustRightInd w:val="0"/>
        <w:snapToGrid w:val="0"/>
        <w:spacing w:line="480" w:lineRule="exact"/>
        <w:ind w:firstLine="560" w:firstLineChars="200"/>
        <w:jc w:val="lef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房地出租年总费用＝经营管理费+经营维修费+房屋年保险费+房屋出租年应交税金＝0.0186+0.1849+0.0105+0.0186＝0.2326（万元）</w:t>
      </w:r>
    </w:p>
    <w:p w14:paraId="4368597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3、房地年纯收益</w:t>
      </w:r>
    </w:p>
    <w:p w14:paraId="3AF48718">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房地年纯收益＝房地年总收益-房地年总费用</w:t>
      </w:r>
    </w:p>
    <w:p w14:paraId="53D6B511">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＝0.9305-0.2326</w:t>
      </w:r>
    </w:p>
    <w:p w14:paraId="57761BD1">
      <w:pPr>
        <w:keepNext w:val="0"/>
        <w:keepLines w:val="0"/>
        <w:pageBreakBefore w:val="0"/>
        <w:widowControl w:val="0"/>
        <w:kinsoku/>
        <w:wordWrap/>
        <w:overflowPunct/>
        <w:topLinePunct w:val="0"/>
        <w:bidi w:val="0"/>
        <w:adjustRightInd w:val="0"/>
        <w:snapToGrid w:val="0"/>
        <w:spacing w:line="480" w:lineRule="exact"/>
        <w:ind w:firstLine="2240" w:firstLineChars="8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＝0.6979（万元）</w:t>
      </w:r>
    </w:p>
    <w:p w14:paraId="6A17CAFF">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4、房屋年纯收益</w:t>
      </w:r>
    </w:p>
    <w:p w14:paraId="4910DC75">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根据前文，采用土地纯收益与价格比率法、投资收益法测算确定土地和房屋的还原率，详见下表：</w:t>
      </w:r>
    </w:p>
    <w:p w14:paraId="3903085F">
      <w:pPr>
        <w:pStyle w:val="11"/>
        <w:keepNext w:val="0"/>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0" w:firstLineChars="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b w:val="0"/>
          <w:bCs/>
          <w:color w:val="auto"/>
          <w:kern w:val="2"/>
          <w:sz w:val="28"/>
          <w:szCs w:val="28"/>
          <w:highlight w:val="none"/>
          <w:lang w:val="en-US" w:eastAsia="zh-CN" w:bidi="ar-SA"/>
        </w:rPr>
        <w:t>14</w:t>
      </w:r>
      <w:r>
        <w:rPr>
          <w:rFonts w:hint="eastAsia" w:ascii="仿宋_GB2312" w:hAnsi="仿宋_GB2312" w:eastAsia="仿宋_GB2312" w:cs="仿宋_GB2312"/>
          <w:b w:val="0"/>
          <w:bCs/>
          <w:color w:val="auto"/>
          <w:kern w:val="2"/>
          <w:sz w:val="28"/>
          <w:szCs w:val="28"/>
          <w:highlight w:val="none"/>
          <w:lang w:val="en-US" w:eastAsia="zh-CN" w:bidi="ar-SA"/>
        </w:rPr>
        <w:t xml:space="preserve"> 道县土地和房屋还原利率表(%)</w:t>
      </w:r>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9"/>
        <w:gridCol w:w="6060"/>
      </w:tblGrid>
      <w:tr w14:paraId="5DC7F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443" w:type="pct"/>
            <w:vMerge w:val="restart"/>
            <w:tcBorders>
              <w:top w:val="single" w:color="auto" w:sz="6" w:space="0"/>
              <w:left w:val="single" w:color="auto" w:sz="6" w:space="0"/>
              <w:bottom w:val="single" w:color="auto" w:sz="4" w:space="0"/>
              <w:right w:val="single" w:color="auto" w:sz="4" w:space="0"/>
            </w:tcBorders>
            <w:noWrap w:val="0"/>
            <w:vAlign w:val="center"/>
          </w:tcPr>
          <w:p w14:paraId="16B7F38B">
            <w:pPr>
              <w:keepNext w:val="0"/>
              <w:keepLines w:val="0"/>
              <w:pageBreakBefore w:val="0"/>
              <w:widowControl/>
              <w:kinsoku/>
              <w:wordWrap/>
              <w:overflowPunct w:val="0"/>
              <w:topLinePunct w:val="0"/>
              <w:autoSpaceDE w:val="0"/>
              <w:autoSpaceDN w:val="0"/>
              <w:bidi w:val="0"/>
              <w:adjustRightInd w:val="0"/>
              <w:snapToGrid w:val="0"/>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土地用途</w:t>
            </w:r>
          </w:p>
        </w:tc>
        <w:tc>
          <w:tcPr>
            <w:tcW w:w="3556" w:type="pct"/>
            <w:vMerge w:val="restart"/>
            <w:tcBorders>
              <w:top w:val="single" w:color="auto" w:sz="6" w:space="0"/>
              <w:left w:val="single" w:color="auto" w:sz="6" w:space="0"/>
              <w:right w:val="single" w:color="auto" w:sz="4" w:space="0"/>
            </w:tcBorders>
            <w:noWrap w:val="0"/>
            <w:vAlign w:val="center"/>
          </w:tcPr>
          <w:p w14:paraId="25B8E36A">
            <w:pPr>
              <w:keepNext w:val="0"/>
              <w:keepLines w:val="0"/>
              <w:pageBreakBefore w:val="0"/>
              <w:widowControl/>
              <w:kinsoku/>
              <w:wordWrap/>
              <w:overflowPunct w:val="0"/>
              <w:topLinePunct w:val="0"/>
              <w:autoSpaceDE w:val="0"/>
              <w:autoSpaceDN w:val="0"/>
              <w:bidi w:val="0"/>
              <w:adjustRightInd w:val="0"/>
              <w:snapToGrid w:val="0"/>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住宅用地</w:t>
            </w:r>
          </w:p>
        </w:tc>
      </w:tr>
      <w:tr w14:paraId="54DFA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443" w:type="pct"/>
            <w:vMerge w:val="continue"/>
            <w:tcBorders>
              <w:top w:val="single" w:color="auto" w:sz="6" w:space="0"/>
              <w:left w:val="single" w:color="auto" w:sz="6" w:space="0"/>
              <w:bottom w:val="single" w:color="auto" w:sz="4" w:space="0"/>
              <w:right w:val="single" w:color="auto" w:sz="4" w:space="0"/>
            </w:tcBorders>
            <w:noWrap w:val="0"/>
            <w:vAlign w:val="center"/>
          </w:tcPr>
          <w:p w14:paraId="2BF22A83">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3556" w:type="pct"/>
            <w:vMerge w:val="continue"/>
            <w:tcBorders>
              <w:left w:val="single" w:color="auto" w:sz="6" w:space="0"/>
              <w:bottom w:val="single" w:color="auto" w:sz="4" w:space="0"/>
              <w:right w:val="single" w:color="auto" w:sz="4" w:space="0"/>
            </w:tcBorders>
            <w:noWrap w:val="0"/>
            <w:vAlign w:val="center"/>
          </w:tcPr>
          <w:p w14:paraId="23CC3E85">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r>
      <w:tr w14:paraId="0754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43" w:type="pct"/>
            <w:tcBorders>
              <w:top w:val="single" w:color="auto" w:sz="4" w:space="0"/>
              <w:left w:val="single" w:color="auto" w:sz="6" w:space="0"/>
              <w:bottom w:val="single" w:color="auto" w:sz="4" w:space="0"/>
              <w:right w:val="single" w:color="auto" w:sz="4" w:space="0"/>
            </w:tcBorders>
            <w:noWrap w:val="0"/>
            <w:vAlign w:val="center"/>
          </w:tcPr>
          <w:p w14:paraId="1EA3ABA3">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土地还原利率</w:t>
            </w:r>
          </w:p>
        </w:tc>
        <w:tc>
          <w:tcPr>
            <w:tcW w:w="3556" w:type="pct"/>
            <w:tcBorders>
              <w:top w:val="single" w:color="auto" w:sz="4" w:space="0"/>
              <w:left w:val="single" w:color="auto" w:sz="6" w:space="0"/>
              <w:bottom w:val="single" w:color="auto" w:sz="4" w:space="0"/>
              <w:right w:val="single" w:color="auto" w:sz="4" w:space="0"/>
            </w:tcBorders>
            <w:noWrap w:val="0"/>
            <w:vAlign w:val="center"/>
          </w:tcPr>
          <w:p w14:paraId="1D20EE16">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6.5%</w:t>
            </w:r>
          </w:p>
        </w:tc>
      </w:tr>
      <w:tr w14:paraId="7FB9C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43" w:type="pct"/>
            <w:tcBorders>
              <w:top w:val="single" w:color="auto" w:sz="4" w:space="0"/>
              <w:left w:val="single" w:color="auto" w:sz="6" w:space="0"/>
              <w:bottom w:val="single" w:color="auto" w:sz="6" w:space="0"/>
              <w:right w:val="single" w:color="auto" w:sz="4" w:space="0"/>
            </w:tcBorders>
            <w:noWrap w:val="0"/>
            <w:vAlign w:val="center"/>
          </w:tcPr>
          <w:p w14:paraId="76F73E04">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房屋还原利率</w:t>
            </w:r>
          </w:p>
        </w:tc>
        <w:tc>
          <w:tcPr>
            <w:tcW w:w="3556" w:type="pct"/>
            <w:tcBorders>
              <w:top w:val="single" w:color="auto" w:sz="4" w:space="0"/>
              <w:left w:val="single" w:color="auto" w:sz="6" w:space="0"/>
              <w:bottom w:val="single" w:color="auto" w:sz="6" w:space="0"/>
              <w:right w:val="single" w:color="auto" w:sz="4" w:space="0"/>
            </w:tcBorders>
            <w:noWrap w:val="0"/>
            <w:vAlign w:val="center"/>
          </w:tcPr>
          <w:p w14:paraId="6B87FBF4">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8.5%</w:t>
            </w:r>
          </w:p>
        </w:tc>
      </w:tr>
    </w:tbl>
    <w:p w14:paraId="27EA69F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则，房屋年纯收益＝房屋现值×房屋还原利率</w:t>
      </w:r>
    </w:p>
    <w:p w14:paraId="2E47AF7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＝5.2565×8.75%</w:t>
      </w:r>
    </w:p>
    <w:p w14:paraId="77B982C7">
      <w:pPr>
        <w:keepNext w:val="0"/>
        <w:keepLines w:val="0"/>
        <w:pageBreakBefore w:val="0"/>
        <w:widowControl w:val="0"/>
        <w:kinsoku/>
        <w:wordWrap/>
        <w:overflowPunct/>
        <w:topLinePunct w:val="0"/>
        <w:autoSpaceDE/>
        <w:autoSpaceDN/>
        <w:bidi w:val="0"/>
        <w:adjustRightInd w:val="0"/>
        <w:snapToGrid w:val="0"/>
        <w:spacing w:line="460" w:lineRule="exact"/>
        <w:ind w:firstLine="2800" w:firstLineChars="10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＝0.4468（万元）</w:t>
      </w:r>
    </w:p>
    <w:p w14:paraId="7F46D56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5、土地年纯收益</w:t>
      </w:r>
    </w:p>
    <w:p w14:paraId="60C1E0C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土地年纯收益＝房地年纯收益-房屋年纯收益</w:t>
      </w:r>
    </w:p>
    <w:p w14:paraId="1A764BB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＝0.6979-0.4468</w:t>
      </w:r>
    </w:p>
    <w:p w14:paraId="1B141CE7">
      <w:pPr>
        <w:keepNext w:val="0"/>
        <w:keepLines w:val="0"/>
        <w:pageBreakBefore w:val="0"/>
        <w:widowControl w:val="0"/>
        <w:kinsoku/>
        <w:wordWrap/>
        <w:overflowPunct/>
        <w:topLinePunct w:val="0"/>
        <w:autoSpaceDE/>
        <w:autoSpaceDN/>
        <w:bidi w:val="0"/>
        <w:adjustRightInd w:val="0"/>
        <w:snapToGrid w:val="0"/>
        <w:spacing w:line="460" w:lineRule="exact"/>
        <w:ind w:firstLine="2240" w:firstLineChars="8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＝0.2511（万元）</w:t>
      </w:r>
    </w:p>
    <w:p w14:paraId="3038667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6、计算待估宗地总地价</w:t>
      </w:r>
    </w:p>
    <w:p w14:paraId="7E52E1F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总地价＝土地年纯收益÷r×[1-1/（1＋r）</w:t>
      </w:r>
      <w:r>
        <w:rPr>
          <w:rFonts w:hint="eastAsia" w:ascii="仿宋_GB2312" w:hAnsi="仿宋_GB2312" w:eastAsia="仿宋_GB2312" w:cs="仿宋_GB2312"/>
          <w:b w:val="0"/>
          <w:bCs w:val="0"/>
          <w:color w:val="000000"/>
          <w:kern w:val="2"/>
          <w:sz w:val="28"/>
          <w:szCs w:val="28"/>
          <w:highlight w:val="none"/>
          <w:vertAlign w:val="superscript"/>
          <w:lang w:val="en-US" w:eastAsia="zh-CN" w:bidi="ar-SA"/>
        </w:rPr>
        <w:t>n</w:t>
      </w:r>
      <w:r>
        <w:rPr>
          <w:rFonts w:hint="eastAsia" w:ascii="仿宋_GB2312" w:hAnsi="仿宋_GB2312" w:eastAsia="仿宋_GB2312" w:cs="仿宋_GB2312"/>
          <w:b w:val="0"/>
          <w:bCs w:val="0"/>
          <w:color w:val="000000"/>
          <w:kern w:val="2"/>
          <w:sz w:val="28"/>
          <w:szCs w:val="28"/>
          <w:highlight w:val="none"/>
          <w:lang w:val="en-US" w:eastAsia="zh-CN" w:bidi="ar-SA"/>
        </w:rPr>
        <w:t>]</w:t>
      </w:r>
    </w:p>
    <w:p w14:paraId="5905851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其中：r—土地还原率6.5%。</w:t>
      </w:r>
    </w:p>
    <w:p w14:paraId="3A453CB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n—待估宗地土地使用年期</w:t>
      </w:r>
    </w:p>
    <w:p w14:paraId="5B2B4C6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＝0.2511÷6.5%×[1-1/（1+6.5%）</w:t>
      </w:r>
      <w:r>
        <w:rPr>
          <w:rFonts w:hint="eastAsia" w:ascii="仿宋_GB2312" w:hAnsi="仿宋_GB2312" w:eastAsia="仿宋_GB2312" w:cs="仿宋_GB2312"/>
          <w:b w:val="0"/>
          <w:bCs w:val="0"/>
          <w:color w:val="000000"/>
          <w:kern w:val="2"/>
          <w:sz w:val="28"/>
          <w:szCs w:val="28"/>
          <w:highlight w:val="none"/>
          <w:vertAlign w:val="superscript"/>
          <w:lang w:val="en-US" w:eastAsia="zh-CN" w:bidi="ar-SA"/>
        </w:rPr>
        <w:t>70</w:t>
      </w:r>
      <w:r>
        <w:rPr>
          <w:rFonts w:hint="eastAsia" w:ascii="仿宋_GB2312" w:hAnsi="仿宋_GB2312" w:eastAsia="仿宋_GB2312" w:cs="仿宋_GB2312"/>
          <w:b w:val="0"/>
          <w:bCs w:val="0"/>
          <w:color w:val="000000"/>
          <w:kern w:val="2"/>
          <w:sz w:val="28"/>
          <w:szCs w:val="28"/>
          <w:highlight w:val="none"/>
          <w:lang w:val="en-US" w:eastAsia="zh-CN" w:bidi="ar-SA"/>
        </w:rPr>
        <w:t>]</w:t>
      </w:r>
    </w:p>
    <w:p w14:paraId="3AD7D1BF">
      <w:pPr>
        <w:keepNext w:val="0"/>
        <w:keepLines w:val="0"/>
        <w:pageBreakBefore w:val="0"/>
        <w:widowControl w:val="0"/>
        <w:kinsoku/>
        <w:wordWrap/>
        <w:overflowPunct/>
        <w:topLinePunct w:val="0"/>
        <w:autoSpaceDE/>
        <w:autoSpaceDN/>
        <w:bidi w:val="0"/>
        <w:adjustRightInd w:val="0"/>
        <w:snapToGrid w:val="0"/>
        <w:spacing w:line="460" w:lineRule="exact"/>
        <w:ind w:firstLine="1400" w:firstLineChars="5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＝3.8159（万元）</w:t>
      </w:r>
    </w:p>
    <w:p w14:paraId="58CC3B7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7、计算宗地单位面积地价</w:t>
      </w:r>
    </w:p>
    <w:p w14:paraId="6BF47B7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单位面积地价＝总地价÷总用地面积</w:t>
      </w:r>
    </w:p>
    <w:p w14:paraId="2991523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＝3.8159×10000÷15.2</w:t>
      </w:r>
    </w:p>
    <w:p w14:paraId="224783B6">
      <w:pPr>
        <w:keepNext w:val="0"/>
        <w:keepLines w:val="0"/>
        <w:pageBreakBefore w:val="0"/>
        <w:widowControl w:val="0"/>
        <w:kinsoku/>
        <w:wordWrap/>
        <w:overflowPunct/>
        <w:topLinePunct w:val="0"/>
        <w:autoSpaceDE/>
        <w:autoSpaceDN/>
        <w:bidi w:val="0"/>
        <w:adjustRightInd w:val="0"/>
        <w:snapToGrid w:val="0"/>
        <w:spacing w:line="460" w:lineRule="exact"/>
        <w:ind w:firstLine="2240" w:firstLineChars="8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＝2510.5（元/平方米）</w:t>
      </w:r>
    </w:p>
    <w:p w14:paraId="10513B99">
      <w:pPr>
        <w:pStyle w:val="6"/>
        <w:keepNext w:val="0"/>
        <w:keepLines w:val="0"/>
        <w:pageBreakBefore w:val="0"/>
        <w:widowControl w:val="0"/>
        <w:kinsoku/>
        <w:wordWrap/>
        <w:topLinePunct w:val="0"/>
        <w:bidi w:val="0"/>
        <w:adjustRightInd w:val="0"/>
        <w:snapToGrid w:val="0"/>
        <w:spacing w:line="480" w:lineRule="exact"/>
        <w:ind w:left="0" w:leftChars="0" w:firstLine="560" w:firstLineChars="200"/>
        <w:textAlignment w:val="auto"/>
        <w:outlineLvl w:val="9"/>
        <w:rPr>
          <w:rFonts w:hint="eastAsia" w:ascii="仿宋_GB2312" w:hAnsi="Times New Roman" w:eastAsia="仿宋_GB2312" w:cs="Times New Roman"/>
          <w:sz w:val="28"/>
          <w:szCs w:val="30"/>
          <w:highlight w:val="none"/>
          <w:lang w:val="en-GB" w:eastAsia="zh-CN"/>
        </w:rPr>
      </w:pPr>
      <w:r>
        <w:rPr>
          <w:rFonts w:hint="eastAsia" w:ascii="仿宋_GB2312" w:hAnsi="仿宋_GB2312" w:eastAsia="仿宋_GB2312" w:cs="仿宋_GB2312"/>
          <w:b w:val="0"/>
          <w:bCs w:val="0"/>
          <w:color w:val="000000"/>
          <w:kern w:val="2"/>
          <w:sz w:val="28"/>
          <w:szCs w:val="28"/>
          <w:highlight w:val="none"/>
          <w:lang w:val="en-US" w:eastAsia="zh-CN" w:bidi="ar-SA"/>
        </w:rPr>
        <w:t>收益还原法法测算地价的结果为：估价对象于估价期日2026年</w:t>
      </w:r>
      <w:r>
        <w:rPr>
          <w:rFonts w:hint="eastAsia" w:ascii="仿宋_GB2312" w:hAnsi="仿宋_GB2312" w:cs="仿宋_GB2312"/>
          <w:b w:val="0"/>
          <w:bCs w:val="0"/>
          <w:color w:val="000000"/>
          <w:kern w:val="2"/>
          <w:sz w:val="28"/>
          <w:szCs w:val="28"/>
          <w:highlight w:val="none"/>
          <w:lang w:val="en-US" w:eastAsia="zh-CN" w:bidi="ar-SA"/>
        </w:rPr>
        <w:t>5</w:t>
      </w:r>
      <w:r>
        <w:rPr>
          <w:rFonts w:hint="eastAsia" w:ascii="仿宋_GB2312" w:hAnsi="仿宋_GB2312" w:eastAsia="仿宋_GB2312" w:cs="仿宋_GB2312"/>
          <w:b w:val="0"/>
          <w:bCs w:val="0"/>
          <w:color w:val="000000"/>
          <w:kern w:val="2"/>
          <w:sz w:val="28"/>
          <w:szCs w:val="28"/>
          <w:highlight w:val="none"/>
          <w:lang w:val="en-US" w:eastAsia="zh-CN" w:bidi="ar-SA"/>
        </w:rPr>
        <w:t>月</w:t>
      </w:r>
      <w:r>
        <w:rPr>
          <w:rFonts w:hint="eastAsia" w:ascii="仿宋_GB2312" w:hAnsi="仿宋_GB2312" w:cs="仿宋_GB2312"/>
          <w:b w:val="0"/>
          <w:bCs w:val="0"/>
          <w:color w:val="000000"/>
          <w:kern w:val="2"/>
          <w:sz w:val="28"/>
          <w:szCs w:val="28"/>
          <w:highlight w:val="none"/>
          <w:lang w:val="en-US" w:eastAsia="zh-CN" w:bidi="ar-SA"/>
        </w:rPr>
        <w:t>18</w:t>
      </w:r>
      <w:r>
        <w:rPr>
          <w:rFonts w:hint="eastAsia" w:ascii="仿宋_GB2312" w:hAnsi="仿宋_GB2312" w:eastAsia="仿宋_GB2312" w:cs="仿宋_GB2312"/>
          <w:b w:val="0"/>
          <w:bCs w:val="0"/>
          <w:color w:val="000000"/>
          <w:kern w:val="2"/>
          <w:sz w:val="28"/>
          <w:szCs w:val="28"/>
          <w:highlight w:val="none"/>
          <w:lang w:val="en-US" w:eastAsia="zh-CN" w:bidi="ar-SA"/>
        </w:rPr>
        <w:t>日，在设定土地用途，设定土地使用年限，设定土地开发程度，现状利用条件下的国有土地出让使用权价格为住宅用地</w:t>
      </w:r>
      <w:r>
        <w:rPr>
          <w:rFonts w:hint="eastAsia" w:ascii="仿宋_GB2312" w:hAnsi="仿宋_GB2312" w:cs="仿宋_GB2312"/>
          <w:b w:val="0"/>
          <w:bCs w:val="0"/>
          <w:color w:val="000000"/>
          <w:kern w:val="2"/>
          <w:sz w:val="28"/>
          <w:szCs w:val="28"/>
          <w:highlight w:val="none"/>
          <w:lang w:val="en-US" w:eastAsia="zh-CN" w:bidi="ar-SA"/>
        </w:rPr>
        <w:t>2510.5</w:t>
      </w:r>
      <w:r>
        <w:rPr>
          <w:rFonts w:hint="eastAsia" w:ascii="仿宋_GB2312" w:hAnsi="仿宋_GB2312" w:eastAsia="仿宋_GB2312" w:cs="仿宋_GB2312"/>
          <w:b w:val="0"/>
          <w:bCs w:val="0"/>
          <w:color w:val="000000"/>
          <w:kern w:val="2"/>
          <w:sz w:val="28"/>
          <w:szCs w:val="28"/>
          <w:highlight w:val="none"/>
          <w:lang w:val="en-US" w:eastAsia="zh-CN" w:bidi="ar-SA"/>
        </w:rPr>
        <w:t>元/平方米。</w:t>
      </w:r>
    </w:p>
    <w:p w14:paraId="4265A839">
      <w:pPr>
        <w:keepNext w:val="0"/>
        <w:keepLines w:val="0"/>
        <w:pageBreakBefore w:val="0"/>
        <w:widowControl w:val="0"/>
        <w:kinsoku/>
        <w:wordWrap/>
        <w:overflowPunct/>
        <w:topLinePunct w:val="0"/>
        <w:bidi w:val="0"/>
        <w:adjustRightInd w:val="0"/>
        <w:snapToGrid w:val="0"/>
        <w:spacing w:line="480" w:lineRule="exact"/>
        <w:ind w:firstLine="562" w:firstLineChars="200"/>
        <w:outlineLvl w:val="1"/>
        <w:rPr>
          <w:rFonts w:hint="eastAsia" w:ascii="仿宋_GB2312" w:hAnsi="仿宋_GB2312" w:eastAsia="仿宋_GB2312" w:cs="仿宋_GB2312"/>
          <w:b/>
          <w:bCs/>
          <w:color w:val="000000"/>
          <w:kern w:val="2"/>
          <w:sz w:val="28"/>
          <w:szCs w:val="28"/>
          <w:highlight w:val="none"/>
          <w:lang w:val="en-US" w:eastAsia="zh-CN" w:bidi="ar-SA"/>
        </w:rPr>
      </w:pPr>
      <w:r>
        <w:rPr>
          <w:rFonts w:hint="eastAsia" w:ascii="仿宋_GB2312" w:hAnsi="仿宋_GB2312" w:eastAsia="仿宋_GB2312" w:cs="仿宋_GB2312"/>
          <w:b/>
          <w:bCs/>
          <w:color w:val="000000"/>
          <w:kern w:val="2"/>
          <w:sz w:val="28"/>
          <w:szCs w:val="28"/>
          <w:highlight w:val="none"/>
          <w:lang w:val="en-US" w:eastAsia="zh-CN" w:bidi="ar-SA"/>
        </w:rPr>
        <w:t>三、地价的确定</w:t>
      </w:r>
      <w:bookmarkEnd w:id="26"/>
      <w:bookmarkEnd w:id="27"/>
    </w:p>
    <w:p w14:paraId="44F099AA">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3"/>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1、地价的确定</w:t>
      </w:r>
    </w:p>
    <w:p w14:paraId="45A108AB">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是以开发土地所耗费的各项客观费用之和为主要依据，再加上一定的利润、利息、应缴纳的税金和土地增值收益来确定土地价格的方法，尤其对新开发土地，可采用成本逼近法进行评估。考虑到估价对象所在区域有类似征地案例，能够通过征地案例的调查分析，对各项土地取得成本进行量化得出土地价格。</w:t>
      </w:r>
    </w:p>
    <w:p w14:paraId="7FCAA58B">
      <w:pPr>
        <w:pStyle w:val="6"/>
        <w:keepNext w:val="0"/>
        <w:keepLines w:val="0"/>
        <w:pageBreakBefore w:val="0"/>
        <w:widowControl w:val="0"/>
        <w:kinsoku/>
        <w:wordWrap/>
        <w:overflowPunct w:val="0"/>
        <w:topLinePunct w:val="0"/>
        <w:autoSpaceDE w:val="0"/>
        <w:autoSpaceDN w:val="0"/>
        <w:bidi w:val="0"/>
        <w:adjustRightInd w:val="0"/>
        <w:snapToGrid w:val="0"/>
        <w:spacing w:line="480" w:lineRule="exact"/>
        <w:ind w:left="0" w:leftChars="0" w:firstLine="560" w:firstLineChars="200"/>
        <w:textAlignment w:val="auto"/>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sz w:val="28"/>
          <w:szCs w:val="28"/>
        </w:rPr>
        <w:t>收益还原法是在估算估价对象在未来每年预期纯收益（正常年纯收益）的基础上，以一定的土地还原率，将评估对象在未来每年的纯收益折算为估价期日收益总和的一种方法。因此该方法的测算结果能够比较真实的反映待估宗地的客观合理的市场价格</w:t>
      </w:r>
      <w:r>
        <w:rPr>
          <w:rFonts w:hint="eastAsia" w:ascii="仿宋_GB2312" w:hAnsi="仿宋_GB2312" w:eastAsia="仿宋_GB2312" w:cs="仿宋_GB2312"/>
          <w:snapToGrid w:val="0"/>
          <w:color w:val="000000"/>
          <w:kern w:val="0"/>
          <w:sz w:val="28"/>
          <w:szCs w:val="28"/>
          <w:highlight w:val="none"/>
        </w:rPr>
        <w:t>。</w:t>
      </w:r>
    </w:p>
    <w:p w14:paraId="1D0B73D3">
      <w:pPr>
        <w:pStyle w:val="6"/>
        <w:keepNext w:val="0"/>
        <w:keepLines w:val="0"/>
        <w:pageBreakBefore w:val="0"/>
        <w:widowControl w:val="0"/>
        <w:kinsoku/>
        <w:wordWrap/>
        <w:overflowPunct w:val="0"/>
        <w:topLinePunct w:val="0"/>
        <w:autoSpaceDE w:val="0"/>
        <w:autoSpaceDN w:val="0"/>
        <w:bidi w:val="0"/>
        <w:adjustRightInd w:val="0"/>
        <w:snapToGrid w:val="0"/>
        <w:spacing w:line="480" w:lineRule="exact"/>
        <w:ind w:left="0" w:leftChars="0" w:firstLine="560" w:firstLineChars="200"/>
        <w:textAlignment w:val="auto"/>
        <w:rPr>
          <w:rFonts w:hint="eastAsia" w:ascii="仿宋_GB2312" w:hAnsi="仿宋_GB2312" w:eastAsia="仿宋_GB2312" w:cs="仿宋_GB2312"/>
          <w:snapToGrid w:val="0"/>
          <w:color w:val="000000"/>
          <w:kern w:val="0"/>
          <w:sz w:val="28"/>
          <w:szCs w:val="28"/>
          <w:highlight w:val="none"/>
          <w:lang w:val="en-US" w:eastAsia="zh-CN"/>
        </w:rPr>
      </w:pPr>
      <w:r>
        <w:rPr>
          <w:rFonts w:hint="eastAsia" w:ascii="仿宋_GB2312" w:hAnsi="仿宋_GB2312" w:eastAsia="仿宋_GB2312" w:cs="仿宋_GB2312"/>
          <w:snapToGrid w:val="0"/>
          <w:color w:val="000000"/>
          <w:kern w:val="0"/>
          <w:sz w:val="28"/>
          <w:szCs w:val="28"/>
          <w:highlight w:val="none"/>
        </w:rPr>
        <w:t>通过对当地土地市场和土地价格的分析和两种方法的可靠性综合分析，根据项目特点，综合考虑宗地所在区域的地价水平，确定以剩余法的评估结果作为本次评估的最终结果。</w:t>
      </w:r>
    </w:p>
    <w:p w14:paraId="0CF2A8F9">
      <w:pPr>
        <w:pStyle w:val="11"/>
        <w:keepNext w:val="0"/>
        <w:keepLines w:val="0"/>
        <w:pageBreakBefore w:val="0"/>
        <w:widowControl/>
        <w:kinsoku w:val="0"/>
        <w:wordWrap/>
        <w:overflowPunct/>
        <w:topLinePunct w:val="0"/>
        <w:autoSpaceDE w:val="0"/>
        <w:autoSpaceDN w:val="0"/>
        <w:bidi w:val="0"/>
        <w:adjustRightInd w:val="0"/>
        <w:snapToGrid w:val="0"/>
        <w:spacing w:before="157" w:beforeLines="50" w:after="10" w:line="360" w:lineRule="auto"/>
        <w:ind w:left="0" w:leftChars="0" w:firstLine="0" w:firstLineChars="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w:t>
      </w:r>
      <w:r>
        <w:rPr>
          <w:rFonts w:hint="eastAsia" w:ascii="仿宋_GB2312" w:hAnsi="仿宋_GB2312" w:cs="仿宋_GB2312"/>
          <w:b w:val="0"/>
          <w:bCs/>
          <w:color w:val="auto"/>
          <w:kern w:val="2"/>
          <w:sz w:val="28"/>
          <w:szCs w:val="28"/>
          <w:highlight w:val="none"/>
          <w:lang w:val="en-US" w:eastAsia="zh-CN" w:bidi="ar-SA"/>
        </w:rPr>
        <w:t>3</w:t>
      </w:r>
      <w:r>
        <w:rPr>
          <w:rFonts w:hint="eastAsia" w:ascii="仿宋_GB2312" w:hAnsi="仿宋_GB2312" w:eastAsia="仿宋_GB2312" w:cs="仿宋_GB2312"/>
          <w:b w:val="0"/>
          <w:bCs/>
          <w:color w:val="auto"/>
          <w:kern w:val="2"/>
          <w:sz w:val="28"/>
          <w:szCs w:val="28"/>
          <w:highlight w:val="none"/>
          <w:lang w:val="en-US" w:eastAsia="zh-CN" w:bidi="ar-SA"/>
        </w:rPr>
        <w:t xml:space="preserve">-1  </w:t>
      </w:r>
      <w:r>
        <w:rPr>
          <w:rFonts w:hint="eastAsia" w:ascii="仿宋_GB2312" w:hAnsi="仿宋_GB2312" w:cs="仿宋_GB2312"/>
          <w:b w:val="0"/>
          <w:bCs/>
          <w:color w:val="auto"/>
          <w:kern w:val="2"/>
          <w:sz w:val="28"/>
          <w:szCs w:val="28"/>
          <w:highlight w:val="none"/>
          <w:lang w:val="en-US" w:eastAsia="zh-CN" w:bidi="ar-SA"/>
        </w:rPr>
        <w:t>估价对象地价</w:t>
      </w:r>
      <w:r>
        <w:rPr>
          <w:rFonts w:hint="eastAsia" w:ascii="仿宋_GB2312" w:hAnsi="仿宋_GB2312" w:eastAsia="仿宋_GB2312" w:cs="仿宋_GB2312"/>
          <w:b w:val="0"/>
          <w:bCs/>
          <w:color w:val="auto"/>
          <w:kern w:val="2"/>
          <w:sz w:val="28"/>
          <w:szCs w:val="28"/>
          <w:highlight w:val="none"/>
          <w:lang w:val="en-US" w:eastAsia="zh-CN" w:bidi="ar-SA"/>
        </w:rPr>
        <w:t>表</w:t>
      </w:r>
    </w:p>
    <w:tbl>
      <w:tblPr>
        <w:tblStyle w:val="12"/>
        <w:tblW w:w="545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0"/>
        <w:gridCol w:w="663"/>
        <w:gridCol w:w="900"/>
        <w:gridCol w:w="525"/>
        <w:gridCol w:w="1050"/>
        <w:gridCol w:w="660"/>
        <w:gridCol w:w="1120"/>
        <w:gridCol w:w="984"/>
        <w:gridCol w:w="1035"/>
        <w:gridCol w:w="967"/>
      </w:tblGrid>
      <w:tr w14:paraId="6F308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jc w:val="center"/>
        </w:trPr>
        <w:tc>
          <w:tcPr>
            <w:tcW w:w="747" w:type="pct"/>
            <w:vMerge w:val="restart"/>
            <w:noWrap w:val="0"/>
            <w:vAlign w:val="center"/>
          </w:tcPr>
          <w:p w14:paraId="1E81C327">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评估项目</w:t>
            </w:r>
          </w:p>
        </w:tc>
        <w:tc>
          <w:tcPr>
            <w:tcW w:w="356" w:type="pct"/>
            <w:vMerge w:val="restart"/>
            <w:noWrap w:val="0"/>
            <w:vAlign w:val="center"/>
          </w:tcPr>
          <w:p w14:paraId="23ECC265">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用途</w:t>
            </w:r>
          </w:p>
        </w:tc>
        <w:tc>
          <w:tcPr>
            <w:tcW w:w="766" w:type="pct"/>
            <w:gridSpan w:val="2"/>
            <w:noWrap w:val="0"/>
            <w:vAlign w:val="center"/>
          </w:tcPr>
          <w:p w14:paraId="38787FA7">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eastAsia" w:ascii="仿宋_GB2312" w:hAnsi="仿宋_GB2312" w:eastAsia="仿宋_GB2312" w:cs="仿宋_GB2312"/>
                <w:snapToGrid w:val="0"/>
                <w:sz w:val="21"/>
                <w:szCs w:val="21"/>
                <w:highlight w:val="none"/>
                <w:lang w:val="en-US" w:eastAsia="zh-CN"/>
              </w:rPr>
              <w:t>成本逼近法</w:t>
            </w:r>
          </w:p>
        </w:tc>
        <w:tc>
          <w:tcPr>
            <w:tcW w:w="919" w:type="pct"/>
            <w:gridSpan w:val="2"/>
            <w:noWrap w:val="0"/>
            <w:vAlign w:val="center"/>
          </w:tcPr>
          <w:p w14:paraId="09FDB7EE">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剩余法</w:t>
            </w:r>
          </w:p>
        </w:tc>
        <w:tc>
          <w:tcPr>
            <w:tcW w:w="602" w:type="pct"/>
            <w:vMerge w:val="restart"/>
            <w:noWrap w:val="0"/>
            <w:vAlign w:val="center"/>
          </w:tcPr>
          <w:p w14:paraId="0926344B">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确定土地单价（元/ m</w:t>
            </w:r>
            <w:r>
              <w:rPr>
                <w:rFonts w:hint="eastAsia" w:ascii="仿宋_GB2312" w:hAnsi="仿宋_GB2312" w:eastAsia="仿宋_GB2312" w:cs="仿宋_GB2312"/>
                <w:snapToGrid w:val="0"/>
                <w:sz w:val="21"/>
                <w:szCs w:val="21"/>
                <w:highlight w:val="none"/>
                <w:vertAlign w:val="superscript"/>
              </w:rPr>
              <w:t>2</w:t>
            </w:r>
            <w:r>
              <w:rPr>
                <w:rFonts w:hint="eastAsia" w:ascii="仿宋_GB2312" w:hAnsi="仿宋_GB2312" w:eastAsia="仿宋_GB2312" w:cs="仿宋_GB2312"/>
                <w:snapToGrid w:val="0"/>
                <w:sz w:val="21"/>
                <w:szCs w:val="21"/>
                <w:highlight w:val="none"/>
              </w:rPr>
              <w:t>）</w:t>
            </w:r>
          </w:p>
        </w:tc>
        <w:tc>
          <w:tcPr>
            <w:tcW w:w="529" w:type="pct"/>
            <w:vMerge w:val="restart"/>
            <w:noWrap w:val="0"/>
            <w:vAlign w:val="center"/>
          </w:tcPr>
          <w:p w14:paraId="5D9A7927">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土地面积（m</w:t>
            </w:r>
            <w:r>
              <w:rPr>
                <w:rFonts w:hint="eastAsia" w:ascii="仿宋_GB2312" w:hAnsi="仿宋_GB2312" w:eastAsia="仿宋_GB2312" w:cs="仿宋_GB2312"/>
                <w:snapToGrid w:val="0"/>
                <w:sz w:val="21"/>
                <w:szCs w:val="21"/>
                <w:highlight w:val="none"/>
                <w:vertAlign w:val="superscript"/>
              </w:rPr>
              <w:t>2</w:t>
            </w:r>
            <w:r>
              <w:rPr>
                <w:rFonts w:hint="eastAsia" w:ascii="仿宋_GB2312" w:hAnsi="仿宋_GB2312" w:eastAsia="仿宋_GB2312" w:cs="仿宋_GB2312"/>
                <w:snapToGrid w:val="0"/>
                <w:sz w:val="21"/>
                <w:szCs w:val="21"/>
                <w:highlight w:val="none"/>
              </w:rPr>
              <w:t>）</w:t>
            </w:r>
          </w:p>
        </w:tc>
        <w:tc>
          <w:tcPr>
            <w:tcW w:w="556" w:type="pct"/>
            <w:vMerge w:val="restart"/>
            <w:noWrap w:val="0"/>
            <w:vAlign w:val="center"/>
          </w:tcPr>
          <w:p w14:paraId="709BC544">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土地总价（万元）</w:t>
            </w:r>
          </w:p>
        </w:tc>
        <w:tc>
          <w:tcPr>
            <w:tcW w:w="520" w:type="pct"/>
            <w:vMerge w:val="restart"/>
            <w:noWrap w:val="0"/>
            <w:vAlign w:val="center"/>
          </w:tcPr>
          <w:p w14:paraId="60D609F8">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lang w:val="en-US" w:eastAsia="zh-CN"/>
              </w:rPr>
              <w:t>楼面</w:t>
            </w:r>
            <w:r>
              <w:rPr>
                <w:rFonts w:hint="eastAsia" w:ascii="仿宋_GB2312" w:hAnsi="仿宋_GB2312" w:eastAsia="仿宋_GB2312" w:cs="仿宋_GB2312"/>
                <w:snapToGrid w:val="0"/>
                <w:sz w:val="21"/>
                <w:szCs w:val="21"/>
                <w:highlight w:val="none"/>
              </w:rPr>
              <w:t>地价（元/m</w:t>
            </w:r>
            <w:r>
              <w:rPr>
                <w:rFonts w:hint="eastAsia" w:ascii="仿宋_GB2312" w:hAnsi="仿宋_GB2312" w:eastAsia="仿宋_GB2312" w:cs="仿宋_GB2312"/>
                <w:snapToGrid w:val="0"/>
                <w:sz w:val="21"/>
                <w:szCs w:val="21"/>
                <w:highlight w:val="none"/>
                <w:vertAlign w:val="superscript"/>
              </w:rPr>
              <w:t>2</w:t>
            </w:r>
            <w:r>
              <w:rPr>
                <w:rFonts w:hint="eastAsia" w:ascii="仿宋_GB2312" w:hAnsi="仿宋_GB2312" w:eastAsia="仿宋_GB2312" w:cs="仿宋_GB2312"/>
                <w:snapToGrid w:val="0"/>
                <w:sz w:val="21"/>
                <w:szCs w:val="21"/>
                <w:highlight w:val="none"/>
              </w:rPr>
              <w:t>）</w:t>
            </w:r>
          </w:p>
        </w:tc>
      </w:tr>
      <w:tr w14:paraId="0C6BE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jc w:val="center"/>
        </w:trPr>
        <w:tc>
          <w:tcPr>
            <w:tcW w:w="747" w:type="pct"/>
            <w:vMerge w:val="continue"/>
            <w:noWrap w:val="0"/>
            <w:vAlign w:val="center"/>
          </w:tcPr>
          <w:p w14:paraId="160D65BB">
            <w:pPr>
              <w:adjustRightInd w:val="0"/>
              <w:snapToGrid w:val="0"/>
              <w:spacing w:line="240" w:lineRule="exact"/>
              <w:jc w:val="center"/>
              <w:rPr>
                <w:rFonts w:hint="eastAsia" w:ascii="仿宋_GB2312" w:hAnsi="仿宋_GB2312" w:eastAsia="仿宋_GB2312" w:cs="仿宋_GB2312"/>
                <w:snapToGrid w:val="0"/>
                <w:sz w:val="21"/>
                <w:szCs w:val="21"/>
                <w:highlight w:val="none"/>
              </w:rPr>
            </w:pPr>
          </w:p>
        </w:tc>
        <w:tc>
          <w:tcPr>
            <w:tcW w:w="356" w:type="pct"/>
            <w:vMerge w:val="continue"/>
            <w:noWrap w:val="0"/>
            <w:vAlign w:val="center"/>
          </w:tcPr>
          <w:p w14:paraId="245C66D4">
            <w:pPr>
              <w:adjustRightInd w:val="0"/>
              <w:snapToGrid w:val="0"/>
              <w:spacing w:line="240" w:lineRule="exact"/>
              <w:jc w:val="center"/>
              <w:rPr>
                <w:rFonts w:hint="eastAsia" w:ascii="仿宋_GB2312" w:hAnsi="仿宋_GB2312" w:eastAsia="仿宋_GB2312" w:cs="仿宋_GB2312"/>
                <w:snapToGrid w:val="0"/>
                <w:sz w:val="21"/>
                <w:szCs w:val="21"/>
                <w:highlight w:val="none"/>
              </w:rPr>
            </w:pPr>
          </w:p>
        </w:tc>
        <w:tc>
          <w:tcPr>
            <w:tcW w:w="484" w:type="pct"/>
            <w:noWrap w:val="0"/>
            <w:vAlign w:val="center"/>
          </w:tcPr>
          <w:p w14:paraId="52C4574E">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土地单价（元/ m</w:t>
            </w:r>
            <w:r>
              <w:rPr>
                <w:rFonts w:hint="eastAsia" w:ascii="仿宋_GB2312" w:hAnsi="仿宋_GB2312" w:eastAsia="仿宋_GB2312" w:cs="仿宋_GB2312"/>
                <w:snapToGrid w:val="0"/>
                <w:sz w:val="21"/>
                <w:szCs w:val="21"/>
                <w:highlight w:val="none"/>
                <w:vertAlign w:val="superscript"/>
              </w:rPr>
              <w:t>2</w:t>
            </w:r>
            <w:r>
              <w:rPr>
                <w:rFonts w:hint="eastAsia" w:ascii="仿宋_GB2312" w:hAnsi="仿宋_GB2312" w:eastAsia="仿宋_GB2312" w:cs="仿宋_GB2312"/>
                <w:snapToGrid w:val="0"/>
                <w:sz w:val="21"/>
                <w:szCs w:val="21"/>
                <w:highlight w:val="none"/>
              </w:rPr>
              <w:t>）</w:t>
            </w:r>
          </w:p>
        </w:tc>
        <w:tc>
          <w:tcPr>
            <w:tcW w:w="282" w:type="pct"/>
            <w:noWrap w:val="0"/>
            <w:vAlign w:val="center"/>
          </w:tcPr>
          <w:p w14:paraId="79704C6C">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权重</w:t>
            </w:r>
          </w:p>
        </w:tc>
        <w:tc>
          <w:tcPr>
            <w:tcW w:w="564" w:type="pct"/>
            <w:noWrap w:val="0"/>
            <w:vAlign w:val="center"/>
          </w:tcPr>
          <w:p w14:paraId="48742B25">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土地单价（元/ m</w:t>
            </w:r>
            <w:r>
              <w:rPr>
                <w:rFonts w:hint="eastAsia" w:ascii="仿宋_GB2312" w:hAnsi="仿宋_GB2312" w:eastAsia="仿宋_GB2312" w:cs="仿宋_GB2312"/>
                <w:snapToGrid w:val="0"/>
                <w:sz w:val="21"/>
                <w:szCs w:val="21"/>
                <w:highlight w:val="none"/>
                <w:vertAlign w:val="superscript"/>
              </w:rPr>
              <w:t>2</w:t>
            </w:r>
            <w:r>
              <w:rPr>
                <w:rFonts w:hint="eastAsia" w:ascii="仿宋_GB2312" w:hAnsi="仿宋_GB2312" w:eastAsia="仿宋_GB2312" w:cs="仿宋_GB2312"/>
                <w:snapToGrid w:val="0"/>
                <w:sz w:val="21"/>
                <w:szCs w:val="21"/>
                <w:highlight w:val="none"/>
              </w:rPr>
              <w:t>）</w:t>
            </w:r>
          </w:p>
        </w:tc>
        <w:tc>
          <w:tcPr>
            <w:tcW w:w="355" w:type="pct"/>
            <w:noWrap w:val="0"/>
            <w:vAlign w:val="center"/>
          </w:tcPr>
          <w:p w14:paraId="2D465058">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权重</w:t>
            </w:r>
          </w:p>
        </w:tc>
        <w:tc>
          <w:tcPr>
            <w:tcW w:w="602" w:type="pct"/>
            <w:vMerge w:val="continue"/>
            <w:noWrap w:val="0"/>
            <w:vAlign w:val="center"/>
          </w:tcPr>
          <w:p w14:paraId="53ABD2F5">
            <w:pPr>
              <w:adjustRightInd w:val="0"/>
              <w:snapToGrid w:val="0"/>
              <w:spacing w:line="240" w:lineRule="exact"/>
              <w:jc w:val="center"/>
              <w:rPr>
                <w:rFonts w:hint="eastAsia" w:ascii="仿宋_GB2312" w:hAnsi="仿宋_GB2312" w:eastAsia="仿宋_GB2312" w:cs="仿宋_GB2312"/>
                <w:snapToGrid w:val="0"/>
                <w:sz w:val="21"/>
                <w:szCs w:val="21"/>
                <w:highlight w:val="none"/>
              </w:rPr>
            </w:pPr>
          </w:p>
        </w:tc>
        <w:tc>
          <w:tcPr>
            <w:tcW w:w="529" w:type="pct"/>
            <w:vMerge w:val="continue"/>
            <w:noWrap w:val="0"/>
            <w:vAlign w:val="center"/>
          </w:tcPr>
          <w:p w14:paraId="47755CC5">
            <w:pPr>
              <w:adjustRightInd w:val="0"/>
              <w:snapToGrid w:val="0"/>
              <w:spacing w:line="240" w:lineRule="exact"/>
              <w:jc w:val="center"/>
              <w:rPr>
                <w:rFonts w:hint="eastAsia" w:ascii="仿宋_GB2312" w:hAnsi="仿宋_GB2312" w:eastAsia="仿宋_GB2312" w:cs="仿宋_GB2312"/>
                <w:snapToGrid w:val="0"/>
                <w:sz w:val="21"/>
                <w:szCs w:val="21"/>
                <w:highlight w:val="none"/>
              </w:rPr>
            </w:pPr>
          </w:p>
        </w:tc>
        <w:tc>
          <w:tcPr>
            <w:tcW w:w="556" w:type="pct"/>
            <w:vMerge w:val="continue"/>
            <w:noWrap w:val="0"/>
            <w:vAlign w:val="center"/>
          </w:tcPr>
          <w:p w14:paraId="5FEF09E8">
            <w:pPr>
              <w:adjustRightInd w:val="0"/>
              <w:snapToGrid w:val="0"/>
              <w:spacing w:line="240" w:lineRule="exact"/>
              <w:jc w:val="center"/>
              <w:rPr>
                <w:rFonts w:hint="eastAsia" w:ascii="仿宋_GB2312" w:hAnsi="仿宋_GB2312" w:eastAsia="仿宋_GB2312" w:cs="仿宋_GB2312"/>
                <w:snapToGrid w:val="0"/>
                <w:sz w:val="21"/>
                <w:szCs w:val="21"/>
                <w:highlight w:val="none"/>
              </w:rPr>
            </w:pPr>
          </w:p>
        </w:tc>
        <w:tc>
          <w:tcPr>
            <w:tcW w:w="520" w:type="pct"/>
            <w:vMerge w:val="continue"/>
            <w:noWrap w:val="0"/>
            <w:vAlign w:val="center"/>
          </w:tcPr>
          <w:p w14:paraId="592C2DBE">
            <w:pPr>
              <w:adjustRightInd w:val="0"/>
              <w:snapToGrid w:val="0"/>
              <w:spacing w:line="240" w:lineRule="exact"/>
              <w:jc w:val="center"/>
              <w:rPr>
                <w:rFonts w:hint="eastAsia" w:ascii="仿宋_GB2312" w:hAnsi="仿宋_GB2312" w:eastAsia="仿宋_GB2312" w:cs="仿宋_GB2312"/>
                <w:snapToGrid w:val="0"/>
                <w:sz w:val="21"/>
                <w:szCs w:val="21"/>
                <w:highlight w:val="none"/>
              </w:rPr>
            </w:pPr>
          </w:p>
        </w:tc>
      </w:tr>
      <w:tr w14:paraId="1FC3D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747" w:type="pct"/>
            <w:noWrap w:val="0"/>
            <w:vAlign w:val="center"/>
          </w:tcPr>
          <w:p w14:paraId="6F3D2796">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eastAsia" w:ascii="仿宋_GB2312" w:hAnsi="仿宋_GB2312" w:eastAsia="仿宋_GB2312" w:cs="仿宋_GB2312"/>
                <w:snapToGrid w:val="0"/>
                <w:sz w:val="21"/>
                <w:szCs w:val="21"/>
                <w:highlight w:val="none"/>
                <w:lang w:val="en-US" w:eastAsia="zh-CN"/>
              </w:rPr>
              <w:t>道县月岩西路宗地</w:t>
            </w:r>
          </w:p>
        </w:tc>
        <w:tc>
          <w:tcPr>
            <w:tcW w:w="356" w:type="pct"/>
            <w:noWrap w:val="0"/>
            <w:vAlign w:val="center"/>
          </w:tcPr>
          <w:p w14:paraId="4B7CB0FF">
            <w:pPr>
              <w:adjustRightInd w:val="0"/>
              <w:snapToGrid w:val="0"/>
              <w:spacing w:line="240" w:lineRule="exact"/>
              <w:jc w:val="both"/>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住宅用地</w:t>
            </w:r>
          </w:p>
        </w:tc>
        <w:tc>
          <w:tcPr>
            <w:tcW w:w="484" w:type="pct"/>
            <w:noWrap w:val="0"/>
            <w:vAlign w:val="center"/>
          </w:tcPr>
          <w:p w14:paraId="042D249F">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eastAsia" w:ascii="仿宋_GB2312" w:hAnsi="仿宋_GB2312" w:eastAsia="仿宋_GB2312" w:cs="仿宋_GB2312"/>
                <w:snapToGrid w:val="0"/>
                <w:sz w:val="21"/>
                <w:szCs w:val="21"/>
                <w:highlight w:val="none"/>
                <w:lang w:val="en-US" w:eastAsia="zh-CN"/>
              </w:rPr>
              <w:t>856.8</w:t>
            </w:r>
          </w:p>
        </w:tc>
        <w:tc>
          <w:tcPr>
            <w:tcW w:w="282" w:type="pct"/>
            <w:noWrap w:val="0"/>
            <w:vAlign w:val="center"/>
          </w:tcPr>
          <w:p w14:paraId="23F813C9">
            <w:pPr>
              <w:adjustRightInd w:val="0"/>
              <w:snapToGrid w:val="0"/>
              <w:spacing w:line="240" w:lineRule="exact"/>
              <w:jc w:val="center"/>
              <w:rPr>
                <w:rFonts w:hint="eastAsia" w:ascii="仿宋_GB2312" w:hAnsi="仿宋_GB2312" w:eastAsia="仿宋_GB2312" w:cs="仿宋_GB2312"/>
                <w:snapToGrid w:val="0"/>
                <w:sz w:val="21"/>
                <w:szCs w:val="21"/>
                <w:highlight w:val="none"/>
                <w:lang w:val="en-US" w:eastAsia="zh-CN"/>
              </w:rPr>
            </w:pPr>
            <w:r>
              <w:rPr>
                <w:rFonts w:hint="default" w:ascii="仿宋_GB2312" w:hAnsi="仿宋_GB2312" w:eastAsia="仿宋_GB2312" w:cs="仿宋_GB2312"/>
                <w:snapToGrid w:val="0"/>
                <w:sz w:val="21"/>
                <w:szCs w:val="21"/>
                <w:highlight w:val="none"/>
                <w:lang w:val="en-US" w:eastAsia="zh-CN"/>
              </w:rPr>
              <w:t>0</w:t>
            </w:r>
          </w:p>
        </w:tc>
        <w:tc>
          <w:tcPr>
            <w:tcW w:w="564" w:type="pct"/>
            <w:noWrap w:val="0"/>
            <w:vAlign w:val="center"/>
          </w:tcPr>
          <w:p w14:paraId="3775F732">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default" w:ascii="仿宋_GB2312" w:hAnsi="仿宋_GB2312" w:eastAsia="仿宋_GB2312" w:cs="仿宋_GB2312"/>
                <w:snapToGrid w:val="0"/>
                <w:sz w:val="21"/>
                <w:szCs w:val="21"/>
                <w:highlight w:val="none"/>
                <w:lang w:val="en-US" w:eastAsia="zh-CN"/>
              </w:rPr>
              <w:t>2510.5</w:t>
            </w:r>
          </w:p>
        </w:tc>
        <w:tc>
          <w:tcPr>
            <w:tcW w:w="355" w:type="pct"/>
            <w:noWrap w:val="0"/>
            <w:vAlign w:val="center"/>
          </w:tcPr>
          <w:p w14:paraId="751F29EE">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default" w:ascii="仿宋_GB2312" w:hAnsi="仿宋_GB2312" w:eastAsia="仿宋_GB2312" w:cs="仿宋_GB2312"/>
                <w:snapToGrid w:val="0"/>
                <w:sz w:val="21"/>
                <w:szCs w:val="21"/>
                <w:highlight w:val="none"/>
                <w:lang w:val="en-US" w:eastAsia="zh-CN"/>
              </w:rPr>
              <w:t>1</w:t>
            </w:r>
          </w:p>
        </w:tc>
        <w:tc>
          <w:tcPr>
            <w:tcW w:w="602" w:type="pct"/>
            <w:noWrap w:val="0"/>
            <w:vAlign w:val="center"/>
          </w:tcPr>
          <w:p w14:paraId="3598F22B">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default" w:ascii="仿宋_GB2312" w:hAnsi="仿宋_GB2312" w:eastAsia="仿宋_GB2312" w:cs="仿宋_GB2312"/>
                <w:snapToGrid w:val="0"/>
                <w:sz w:val="21"/>
                <w:szCs w:val="21"/>
                <w:highlight w:val="none"/>
                <w:lang w:val="en-US" w:eastAsia="zh-CN"/>
              </w:rPr>
              <w:t>2511</w:t>
            </w:r>
          </w:p>
        </w:tc>
        <w:tc>
          <w:tcPr>
            <w:tcW w:w="529" w:type="pct"/>
            <w:noWrap w:val="0"/>
            <w:vAlign w:val="center"/>
          </w:tcPr>
          <w:p w14:paraId="3957488C">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default" w:ascii="仿宋_GB2312" w:hAnsi="仿宋_GB2312" w:eastAsia="仿宋_GB2312" w:cs="仿宋_GB2312"/>
                <w:snapToGrid w:val="0"/>
                <w:sz w:val="21"/>
                <w:szCs w:val="21"/>
                <w:highlight w:val="none"/>
                <w:lang w:val="en-US" w:eastAsia="zh-CN"/>
              </w:rPr>
              <w:t>15.2</w:t>
            </w:r>
          </w:p>
        </w:tc>
        <w:tc>
          <w:tcPr>
            <w:tcW w:w="556" w:type="pct"/>
            <w:noWrap w:val="0"/>
            <w:vAlign w:val="center"/>
          </w:tcPr>
          <w:p w14:paraId="355517E2">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default" w:ascii="仿宋_GB2312" w:hAnsi="仿宋_GB2312" w:eastAsia="仿宋_GB2312" w:cs="仿宋_GB2312"/>
                <w:snapToGrid w:val="0"/>
                <w:sz w:val="21"/>
                <w:szCs w:val="21"/>
                <w:highlight w:val="none"/>
                <w:lang w:val="en-US" w:eastAsia="zh-CN"/>
              </w:rPr>
              <w:t>3.82</w:t>
            </w:r>
          </w:p>
        </w:tc>
        <w:tc>
          <w:tcPr>
            <w:tcW w:w="520" w:type="pct"/>
            <w:noWrap w:val="0"/>
            <w:vAlign w:val="center"/>
          </w:tcPr>
          <w:p w14:paraId="45F53943">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eastAsia" w:ascii="仿宋_GB2312" w:hAnsi="仿宋_GB2312" w:eastAsia="仿宋_GB2312" w:cs="仿宋_GB2312"/>
                <w:snapToGrid w:val="0"/>
                <w:sz w:val="21"/>
                <w:szCs w:val="21"/>
                <w:highlight w:val="none"/>
                <w:lang w:val="en-US" w:eastAsia="zh-CN"/>
              </w:rPr>
              <w:t>519.88</w:t>
            </w:r>
          </w:p>
        </w:tc>
      </w:tr>
    </w:tbl>
    <w:p w14:paraId="5F21307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3"/>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2、估价结果</w:t>
      </w:r>
    </w:p>
    <w:p w14:paraId="5EE0C19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自然资源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委托评估的，位于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道县月岩西路</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的一宗国有土地，土地</w:t>
      </w:r>
      <w:bookmarkStart w:id="28" w:name="_GoBack"/>
      <w:bookmarkEnd w:id="28"/>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15.2平方米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，于估价期日2026年5月18日，评估设定土地用途为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auto"/>
          <w:sz w:val="28"/>
          <w:szCs w:val="30"/>
          <w:highlight w:val="none"/>
          <w:lang w:val="en-US" w:eastAsia="zh-CN"/>
        </w:rPr>
        <w:t>土地使用权出让年期为住宅用地70年</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设定土地开发程度为宗地红线外“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”（即通路、通电、供水、排水、通讯）及红线内场地平整，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现状</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利用条件下的土地使用权出让价格如下（币种：人民币）：</w:t>
      </w:r>
    </w:p>
    <w:p w14:paraId="0CC54389">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宗地数量：共一宗</w:t>
      </w:r>
    </w:p>
    <w:p w14:paraId="0C4DAA15">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w:t>
      </w:r>
      <w:r>
        <w:rPr>
          <w:rFonts w:hint="eastAsia" w:ascii="仿宋_GB2312" w:eastAsia="仿宋_GB2312"/>
          <w:b/>
          <w:bCs/>
          <w:color w:val="000000" w:themeColor="text1"/>
          <w:sz w:val="28"/>
          <w:szCs w:val="22"/>
          <w:highlight w:val="none"/>
          <w14:textFill>
            <w14:solidFill>
              <w14:schemeClr w14:val="tx1"/>
            </w14:solidFill>
          </w14:textFill>
        </w:rPr>
        <w:t>土地</w:t>
      </w:r>
      <w:r>
        <w:rPr>
          <w:rFonts w:hint="eastAsia" w:ascii="仿宋_GB2312" w:eastAsia="仿宋_GB2312"/>
          <w:b/>
          <w:bCs/>
          <w:color w:val="000000" w:themeColor="text1"/>
          <w:sz w:val="28"/>
          <w:szCs w:val="22"/>
          <w:highlight w:val="none"/>
          <w:lang w:val="en-US" w:eastAsia="zh-CN"/>
          <w14:textFill>
            <w14:solidFill>
              <w14:schemeClr w14:val="tx1"/>
            </w14:solidFill>
          </w14:textFill>
        </w:rPr>
        <w:t>总</w:t>
      </w:r>
      <w:r>
        <w:rPr>
          <w:rFonts w:hint="eastAsia" w:ascii="仿宋_GB2312" w:eastAsia="仿宋_GB2312"/>
          <w:b/>
          <w:bCs/>
          <w:color w:val="000000" w:themeColor="text1"/>
          <w:sz w:val="28"/>
          <w:szCs w:val="22"/>
          <w:highlight w:val="none"/>
          <w14:textFill>
            <w14:solidFill>
              <w14:schemeClr w14:val="tx1"/>
            </w14:solidFill>
          </w14:textFill>
        </w:rPr>
        <w:t>面积：</w:t>
      </w:r>
      <w:r>
        <w:rPr>
          <w:rFonts w:hint="eastAsia" w:ascii="仿宋_GB2312" w:eastAsia="仿宋_GB2312"/>
          <w:b/>
          <w:bCs/>
          <w:color w:val="000000" w:themeColor="text1"/>
          <w:sz w:val="28"/>
          <w:szCs w:val="22"/>
          <w:highlight w:val="none"/>
          <w:lang w:val="en-US" w:eastAsia="zh-CN"/>
          <w14:textFill>
            <w14:solidFill>
              <w14:schemeClr w14:val="tx1"/>
            </w14:solidFill>
          </w14:textFill>
        </w:rPr>
        <w:t>15.2平方米</w:t>
      </w:r>
    </w:p>
    <w:p w14:paraId="7C54F7FB">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lang w:val="en-US"/>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估价对象土地单价：2511.0元/平方米</w:t>
      </w:r>
      <w:r>
        <w:rPr>
          <w:rFonts w:hint="eastAsia" w:ascii="仿宋" w:hAnsi="仿宋" w:eastAsia="仿宋"/>
          <w:b/>
          <w:bCs/>
          <w:sz w:val="28"/>
          <w:szCs w:val="28"/>
          <w:highlight w:val="none"/>
        </w:rPr>
        <w:t>（折合</w:t>
      </w:r>
      <w:r>
        <w:rPr>
          <w:rFonts w:hint="eastAsia" w:ascii="仿宋" w:hAnsi="仿宋" w:eastAsia="仿宋"/>
          <w:b/>
          <w:bCs/>
          <w:sz w:val="28"/>
          <w:szCs w:val="28"/>
          <w:highlight w:val="none"/>
          <w:lang w:val="en-US" w:eastAsia="zh-CN"/>
        </w:rPr>
        <w:t>167.4</w:t>
      </w:r>
      <w:r>
        <w:rPr>
          <w:rFonts w:hint="eastAsia" w:ascii="仿宋" w:hAnsi="仿宋" w:eastAsia="仿宋"/>
          <w:b/>
          <w:bCs/>
          <w:sz w:val="28"/>
          <w:szCs w:val="28"/>
          <w:highlight w:val="none"/>
        </w:rPr>
        <w:t>万元/亩）</w:t>
      </w:r>
    </w:p>
    <w:p w14:paraId="24AE12E7">
      <w:pPr>
        <w:keepNext w:val="0"/>
        <w:keepLines w:val="0"/>
        <w:pageBreakBefore w:val="0"/>
        <w:widowControl w:val="0"/>
        <w:kinsoku/>
        <w:wordWrap/>
        <w:overflowPunct/>
        <w:topLinePunct w:val="0"/>
        <w:autoSpaceDE w:val="0"/>
        <w:autoSpaceDN w:val="0"/>
        <w:bidi w:val="0"/>
        <w:adjustRightInd w:val="0"/>
        <w:snapToGrid w:val="0"/>
        <w:spacing w:line="480" w:lineRule="exact"/>
        <w:ind w:left="0" w:leftChars="0" w:firstLine="562" w:firstLineChars="200"/>
        <w:textAlignment w:val="auto"/>
        <w:rPr>
          <w:rFonts w:hint="default"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估价对象楼面地价：519.88元/平方米</w:t>
      </w:r>
    </w:p>
    <w:p w14:paraId="7353C065">
      <w:pPr>
        <w:keepNext w:val="0"/>
        <w:keepLines w:val="0"/>
        <w:pageBreakBefore w:val="0"/>
        <w:widowControl w:val="0"/>
        <w:kinsoku/>
        <w:wordWrap/>
        <w:overflowPunct/>
        <w:topLinePunct w:val="0"/>
        <w:autoSpaceDE w:val="0"/>
        <w:autoSpaceDN w:val="0"/>
        <w:bidi w:val="0"/>
        <w:adjustRightInd w:val="0"/>
        <w:snapToGrid w:val="0"/>
        <w:spacing w:line="480" w:lineRule="exact"/>
        <w:ind w:left="0" w:leftChars="0" w:firstLine="562" w:firstLineChars="200"/>
        <w:textAlignment w:val="auto"/>
        <w:rPr>
          <w:rFonts w:hint="eastAsia" w:ascii="仿宋_GB2312" w:eastAsia="仿宋_GB2312"/>
          <w:b/>
          <w:bCs/>
          <w:color w:val="000000" w:themeColor="text1"/>
          <w:sz w:val="28"/>
          <w:szCs w:val="22"/>
          <w:highlight w:val="none"/>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估计对象土地</w:t>
      </w:r>
      <w:r>
        <w:rPr>
          <w:rFonts w:hint="eastAsia" w:ascii="仿宋_GB2312" w:eastAsia="仿宋_GB2312"/>
          <w:b/>
          <w:bCs/>
          <w:color w:val="000000" w:themeColor="text1"/>
          <w:sz w:val="28"/>
          <w:szCs w:val="22"/>
          <w:highlight w:val="none"/>
          <w14:textFill>
            <w14:solidFill>
              <w14:schemeClr w14:val="tx1"/>
            </w14:solidFill>
          </w14:textFill>
        </w:rPr>
        <w:t>总价：</w:t>
      </w:r>
      <w:r>
        <w:rPr>
          <w:rFonts w:hint="eastAsia" w:ascii="仿宋_GB2312" w:eastAsia="仿宋_GB2312"/>
          <w:b/>
          <w:bCs/>
          <w:color w:val="000000" w:themeColor="text1"/>
          <w:sz w:val="28"/>
          <w:szCs w:val="22"/>
          <w:highlight w:val="none"/>
          <w:lang w:val="en-US" w:eastAsia="zh-CN"/>
          <w14:textFill>
            <w14:solidFill>
              <w14:schemeClr w14:val="tx1"/>
            </w14:solidFill>
          </w14:textFill>
        </w:rPr>
        <w:t>3.82</w:t>
      </w:r>
      <w:r>
        <w:rPr>
          <w:rFonts w:hint="eastAsia" w:ascii="仿宋_GB2312" w:eastAsia="仿宋_GB2312"/>
          <w:b/>
          <w:bCs/>
          <w:color w:val="000000" w:themeColor="text1"/>
          <w:sz w:val="28"/>
          <w:szCs w:val="22"/>
          <w:highlight w:val="none"/>
          <w14:textFill>
            <w14:solidFill>
              <w14:schemeClr w14:val="tx1"/>
            </w14:solidFill>
          </w14:textFill>
        </w:rPr>
        <w:t>万元</w:t>
      </w:r>
    </w:p>
    <w:p w14:paraId="15D97A50">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14:textFill>
            <w14:solidFill>
              <w14:schemeClr w14:val="tx1"/>
            </w14:solidFill>
          </w14:textFill>
        </w:rPr>
      </w:pPr>
      <w:r>
        <w:rPr>
          <w:rFonts w:hint="eastAsia" w:ascii="仿宋_GB2312" w:eastAsia="仿宋_GB2312"/>
          <w:b/>
          <w:bCs/>
          <w:color w:val="000000" w:themeColor="text1"/>
          <w:sz w:val="28"/>
          <w:szCs w:val="22"/>
          <w:highlight w:val="none"/>
          <w14:textFill>
            <w14:solidFill>
              <w14:schemeClr w14:val="tx1"/>
            </w14:solidFill>
          </w14:textFill>
        </w:rPr>
        <w:t>大写：人民币</w:t>
      </w:r>
      <w:r>
        <w:rPr>
          <w:rFonts w:hint="eastAsia" w:ascii="仿宋_GB2312" w:eastAsia="仿宋_GB2312"/>
          <w:b/>
          <w:bCs/>
          <w:color w:val="000000" w:themeColor="text1"/>
          <w:sz w:val="28"/>
          <w:szCs w:val="22"/>
          <w:highlight w:val="none"/>
          <w:lang w:val="en-US" w:eastAsia="zh-CN"/>
          <w14:textFill>
            <w14:solidFill>
              <w14:schemeClr w14:val="tx1"/>
            </w14:solidFill>
          </w14:textFill>
        </w:rPr>
        <w:t>叁万捌仟贰佰</w:t>
      </w:r>
      <w:r>
        <w:rPr>
          <w:rFonts w:hint="eastAsia" w:ascii="仿宋_GB2312" w:eastAsia="仿宋_GB2312"/>
          <w:b/>
          <w:bCs/>
          <w:color w:val="000000" w:themeColor="text1"/>
          <w:sz w:val="28"/>
          <w:szCs w:val="22"/>
          <w:highlight w:val="none"/>
          <w14:textFill>
            <w14:solidFill>
              <w14:schemeClr w14:val="tx1"/>
            </w14:solidFill>
          </w14:textFill>
        </w:rPr>
        <w:t>元整</w:t>
      </w:r>
    </w:p>
    <w:p w14:paraId="5F6D7EAE">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pPr>
      <w:r>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t>详见《土地估价结果一览表》。</w:t>
      </w:r>
    </w:p>
    <w:p w14:paraId="623EA900">
      <w:pPr>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pPr>
      <w:r>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br w:type="page"/>
      </w:r>
    </w:p>
    <w:p w14:paraId="37F1DCA7">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pPr>
    </w:p>
    <w:p w14:paraId="0781E94D">
      <w:pPr>
        <w:pStyle w:val="2"/>
        <w:ind w:firstLine="0"/>
        <w:jc w:val="center"/>
        <w:rPr>
          <w:rFonts w:hint="eastAsia" w:asciiTheme="majorEastAsia" w:hAnsiTheme="majorEastAsia" w:eastAsiaTheme="majorEastAsia" w:cstheme="majorEastAsia"/>
          <w:b/>
          <w:bCs/>
          <w:sz w:val="32"/>
          <w:highlight w:val="none"/>
        </w:rPr>
      </w:pPr>
      <w:r>
        <w:rPr>
          <w:rFonts w:hint="eastAsia" w:asciiTheme="majorEastAsia" w:hAnsiTheme="majorEastAsia" w:eastAsiaTheme="majorEastAsia" w:cstheme="majorEastAsia"/>
          <w:b/>
          <w:bCs/>
          <w:sz w:val="32"/>
          <w:highlight w:val="none"/>
          <w:lang w:val="en-US" w:eastAsia="zh-CN"/>
        </w:rPr>
        <w:t xml:space="preserve">第四部分  </w:t>
      </w:r>
      <w:r>
        <w:rPr>
          <w:rFonts w:hint="eastAsia" w:asciiTheme="majorEastAsia" w:hAnsiTheme="majorEastAsia" w:eastAsiaTheme="majorEastAsia" w:cstheme="majorEastAsia"/>
          <w:b/>
          <w:bCs/>
          <w:sz w:val="32"/>
          <w:highlight w:val="none"/>
        </w:rPr>
        <w:t>附件</w:t>
      </w:r>
    </w:p>
    <w:p w14:paraId="49A37027">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7BCF7E1B">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59B8A49">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3.估价对象《房屋所有权证》（道房权证字第713000590号）；</w:t>
      </w:r>
    </w:p>
    <w:p w14:paraId="4431F614">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4.估价对象《户室面积对照表》；</w:t>
      </w:r>
    </w:p>
    <w:p w14:paraId="575EB89A">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5.估价对象《土地分摊表》；</w:t>
      </w:r>
    </w:p>
    <w:p w14:paraId="2053C986">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6.估价对象《土地权属及性质证明》（2026年5月19日）；</w:t>
      </w:r>
    </w:p>
    <w:p w14:paraId="7A1284C4">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7.估价对象《关于县科工局及所属破产企业单位房改房集资房办理不动产登记有关事项的会议纪要》（道科工字〔2020〕114号）；</w:t>
      </w:r>
    </w:p>
    <w:p w14:paraId="5A8C1124">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8.估价对象《关于原县皮革厂属县二轻集体企业的说明》（2025年5月6日）；</w:t>
      </w:r>
    </w:p>
    <w:p w14:paraId="0D46A96E">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9.估价对象宗地区域位置示意图；</w:t>
      </w:r>
    </w:p>
    <w:p w14:paraId="75304640">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10.现场勘查照片；</w:t>
      </w:r>
    </w:p>
    <w:p w14:paraId="3066B8F4">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11.现场勘查记录表；</w:t>
      </w:r>
    </w:p>
    <w:p w14:paraId="452A90A2">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12.收益还原法案例位置和现场照片；</w:t>
      </w:r>
    </w:p>
    <w:p w14:paraId="59C4C8AD">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13.土地评估中介机构企业营业执照；</w:t>
      </w:r>
    </w:p>
    <w:p w14:paraId="2374EEEF">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14.土地评估中介机构备案证明；</w:t>
      </w:r>
    </w:p>
    <w:p w14:paraId="2EE6B14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15.土地估价师资质证书。</w:t>
      </w:r>
    </w:p>
    <w:p w14:paraId="14795C38">
      <w:pPr>
        <w:keepNext w:val="0"/>
        <w:keepLines w:val="0"/>
        <w:pageBreakBefore w:val="0"/>
        <w:widowControl w:val="0"/>
        <w:kinsoku/>
        <w:wordWrap/>
        <w:overflowPunct/>
        <w:topLinePunct w:val="0"/>
        <w:bidi w:val="0"/>
        <w:spacing w:line="360" w:lineRule="auto"/>
        <w:jc w:val="right"/>
        <w:textAlignment w:val="auto"/>
        <w:rPr>
          <w:rFonts w:hint="eastAsia" w:ascii="仿宋_GB2312" w:eastAsia="仿宋_GB2312"/>
          <w:sz w:val="28"/>
          <w:szCs w:val="28"/>
          <w:highlight w:val="none"/>
        </w:rPr>
      </w:pPr>
    </w:p>
    <w:p w14:paraId="11E1C5AE">
      <w:pPr>
        <w:keepNext w:val="0"/>
        <w:keepLines w:val="0"/>
        <w:pageBreakBefore w:val="0"/>
        <w:widowControl w:val="0"/>
        <w:kinsoku/>
        <w:wordWrap/>
        <w:overflowPunct/>
        <w:topLinePunct w:val="0"/>
        <w:bidi w:val="0"/>
        <w:spacing w:line="360" w:lineRule="auto"/>
        <w:jc w:val="right"/>
        <w:textAlignment w:val="auto"/>
        <w:rPr>
          <w:rFonts w:hint="eastAsia" w:ascii="仿宋_GB2312" w:eastAsia="仿宋_GB2312"/>
          <w:sz w:val="28"/>
          <w:szCs w:val="28"/>
          <w:highlight w:val="none"/>
        </w:rPr>
      </w:pPr>
      <w:r>
        <w:rPr>
          <w:rFonts w:hint="eastAsia" w:ascii="仿宋_GB2312" w:eastAsia="仿宋_GB2312"/>
          <w:sz w:val="28"/>
          <w:szCs w:val="28"/>
          <w:highlight w:val="none"/>
        </w:rPr>
        <w:t>（以上资料均为复印件）</w:t>
      </w:r>
    </w:p>
    <w:p w14:paraId="7511B465">
      <w:pPr>
        <w:rPr>
          <w:highlight w:val="none"/>
        </w:rPr>
      </w:pP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体">
    <w:altName w:val="宋体"/>
    <w:panose1 w:val="00000000000000000000"/>
    <w:charset w:val="86"/>
    <w:family w:val="roman"/>
    <w:pitch w:val="default"/>
    <w:sig w:usb0="00000000" w:usb1="00000000" w:usb2="0000001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Tahoma">
    <w:panose1 w:val="020B0604030504040204"/>
    <w:charset w:val="00"/>
    <w:family w:val="auto"/>
    <w:pitch w:val="default"/>
    <w:sig w:usb0="E1002EFF" w:usb1="C000605B" w:usb2="00000029" w:usb3="00000000" w:csb0="200101FF" w:csb1="20280000"/>
  </w:font>
  <w:font w:name="昆仑仿宋">
    <w:altName w:val="黑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4F21D">
    <w:pPr>
      <w:pStyle w:val="9"/>
      <w:pBdr>
        <w:top w:val="single" w:color="auto" w:sz="4" w:space="1"/>
        <w:left w:val="none" w:color="auto" w:sz="0" w:space="0"/>
        <w:bottom w:val="none" w:color="auto" w:sz="0" w:space="0"/>
        <w:right w:val="none" w:color="auto" w:sz="0" w:space="0"/>
        <w:between w:val="none" w:color="auto" w:sz="0" w:space="0"/>
      </w:pBdr>
    </w:pPr>
    <w:r>
      <w:rPr>
        <w:sz w:val="21"/>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DA5265">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3DA5265">
                    <w:pPr>
                      <w:pStyle w:val="9"/>
                    </w:pPr>
                    <w:r>
                      <w:fldChar w:fldCharType="begin"/>
                    </w:r>
                    <w:r>
                      <w:instrText xml:space="preserve"> PAGE  \* MERGEFORMAT </w:instrText>
                    </w:r>
                    <w:r>
                      <w:fldChar w:fldCharType="separate"/>
                    </w:r>
                    <w:r>
                      <w:t>2</w:t>
                    </w:r>
                    <w:r>
                      <w:fldChar w:fldCharType="end"/>
                    </w:r>
                  </w:p>
                </w:txbxContent>
              </v:textbox>
            </v:shape>
          </w:pict>
        </mc:Fallback>
      </mc:AlternateContent>
    </w:r>
    <w:r>
      <w:rPr>
        <w:rFonts w:hint="eastAsia" w:ascii="仿宋_GB2312" w:hAnsi="仿宋_GB2312" w:eastAsia="仿宋_GB2312" w:cs="仿宋_GB2312"/>
        <w:spacing w:val="14"/>
        <w:sz w:val="21"/>
        <w:szCs w:val="21"/>
        <w:lang w:eastAsia="zh-CN"/>
      </w:rPr>
      <w:t>湖南兆财不动产规划评估有限公司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B8ED5">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26771F">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026771F">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6C785">
    <w:pPr>
      <w:pStyle w:val="9"/>
      <w:pBdr>
        <w:bottom w:val="single" w:color="auto" w:sz="6" w:space="1"/>
      </w:pBdr>
      <w:rPr>
        <w:rFonts w:ascii="仿宋_GB2312" w:eastAsia="仿宋_GB2312"/>
        <w:sz w:val="21"/>
        <w:szCs w:val="21"/>
      </w:rPr>
    </w:pPr>
  </w:p>
  <w:p w14:paraId="21E1C8DA">
    <w:pPr>
      <w:pStyle w:val="9"/>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57785" cy="131445"/>
              <wp:effectExtent l="0" t="0" r="0" b="0"/>
              <wp:wrapNone/>
              <wp:docPr id="14"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4384;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MQjOkm+AQAAcwMAAA4AAAAAAAAAAQAgAAAAIgEAAGRycy9lMm9Eb2MueG1sUEsF&#10;BgAAAAAGAAYAWQEAAFIFAAAAAA==&#10;">
              <v:fill on="f" focussize="0,0"/>
              <v:stroke on="f"/>
              <v:imagedata o:title=""/>
              <o:lock v:ext="edit" aspectratio="f"/>
              <v:textbox inset="0mm,0mm,0mm,0mm">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B4678">
    <w:pPr>
      <w:pStyle w:val="9"/>
      <w:pBdr>
        <w:top w:val="single" w:color="auto" w:sz="4" w:space="1"/>
        <w:left w:val="none" w:color="auto" w:sz="0" w:space="0"/>
        <w:bottom w:val="none" w:color="auto" w:sz="0" w:space="0"/>
        <w:right w:val="none" w:color="auto" w:sz="0" w:space="0"/>
        <w:between w:val="none" w:color="auto" w:sz="0" w:space="0"/>
      </w:pBdr>
    </w:pPr>
    <w:r>
      <w:rPr>
        <w:sz w:val="21"/>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775171">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57775171">
                    <w:pPr>
                      <w:pStyle w:val="9"/>
                    </w:pPr>
                    <w:r>
                      <w:fldChar w:fldCharType="begin"/>
                    </w:r>
                    <w:r>
                      <w:instrText xml:space="preserve"> PAGE  \* MERGEFORMAT </w:instrText>
                    </w:r>
                    <w:r>
                      <w:fldChar w:fldCharType="separate"/>
                    </w:r>
                    <w:r>
                      <w:t>2</w:t>
                    </w:r>
                    <w:r>
                      <w:fldChar w:fldCharType="end"/>
                    </w:r>
                  </w:p>
                </w:txbxContent>
              </v:textbox>
            </v:shape>
          </w:pict>
        </mc:Fallback>
      </mc:AlternateContent>
    </w:r>
    <w:r>
      <w:rPr>
        <w:rFonts w:hint="eastAsia" w:ascii="仿宋_GB2312" w:hAnsi="仿宋_GB2312" w:eastAsia="仿宋_GB2312" w:cs="仿宋_GB2312"/>
        <w:spacing w:val="14"/>
        <w:sz w:val="21"/>
        <w:szCs w:val="21"/>
        <w:lang w:eastAsia="zh-CN"/>
      </w:rPr>
      <w:t>湖南兆财不动产规划评估有限公司</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648B2">
    <w:pPr>
      <w:pStyle w:val="9"/>
      <w:pBdr>
        <w:top w:val="single" w:color="auto" w:sz="4" w:space="1"/>
        <w:left w:val="none" w:color="auto" w:sz="0" w:space="0"/>
        <w:bottom w:val="none" w:color="auto" w:sz="0" w:space="0"/>
        <w:right w:val="none" w:color="auto" w:sz="0" w:space="0"/>
        <w:between w:val="none" w:color="auto" w:sz="0" w:space="0"/>
      </w:pBdr>
    </w:pPr>
    <w:r>
      <w:rPr>
        <w:sz w:val="21"/>
      </w:rPr>
      <mc:AlternateContent>
        <mc:Choice Requires="wps">
          <w:drawing>
            <wp:anchor distT="0" distB="0" distL="114300" distR="114300" simplePos="0" relativeHeight="251663360" behindDoc="0" locked="0" layoutInCell="1" allowOverlap="1">
              <wp:simplePos x="0" y="0"/>
              <wp:positionH relativeFrom="margin">
                <wp:posOffset>5210810</wp:posOffset>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A90816">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0.3pt;margin-top:0pt;height:144pt;width:144pt;mso-position-horizontal-relative:margin;mso-wrap-style:none;z-index:251663360;mso-width-relative:page;mso-height-relative:page;" filled="f" stroked="f" coordsize="21600,21600" o:gfxdata="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AwEyhNQAAAAJAQAADwAAAAAAAAABACAAAAAiAAAAZHJzL2Rvd25yZXYueG1sUEsB&#10;AhQAFAAAAAgAh07iQKT72nYyAgAAYwQAAA4AAAAAAAAAAQAgAAAAIwEAAGRycy9lMm9Eb2MueG1s&#10;UEsFBgAAAAAGAAYAWQEAAMcFAAAAAA==&#10;">
              <v:fill on="f" focussize="0,0"/>
              <v:stroke on="f" weight="0.5pt"/>
              <v:imagedata o:title=""/>
              <o:lock v:ext="edit" aspectratio="f"/>
              <v:textbox inset="0mm,0mm,0mm,0mm" style="mso-fit-shape-to-text:t;">
                <w:txbxContent>
                  <w:p w14:paraId="7AA90816">
                    <w:pPr>
                      <w:pStyle w:val="9"/>
                    </w:pPr>
                    <w:r>
                      <w:fldChar w:fldCharType="begin"/>
                    </w:r>
                    <w:r>
                      <w:instrText xml:space="preserve"> PAGE  \* MERGEFORMAT </w:instrText>
                    </w:r>
                    <w:r>
                      <w:fldChar w:fldCharType="separate"/>
                    </w:r>
                    <w:r>
                      <w:t>2</w:t>
                    </w:r>
                    <w:r>
                      <w:fldChar w:fldCharType="end"/>
                    </w:r>
                  </w:p>
                </w:txbxContent>
              </v:textbox>
            </v:shape>
          </w:pict>
        </mc:Fallback>
      </mc:AlternateContent>
    </w:r>
    <w:r>
      <w:rPr>
        <w:rFonts w:hint="eastAsia" w:ascii="仿宋_GB2312" w:hAnsi="仿宋_GB2312" w:eastAsia="仿宋_GB2312" w:cs="仿宋_GB2312"/>
        <w:spacing w:val="14"/>
        <w:sz w:val="21"/>
        <w:szCs w:val="21"/>
        <w:lang w:eastAsia="zh-CN"/>
      </w:rPr>
      <w:t>湖南兆财不动产规划评估有限公司</w:t>
    </w:r>
  </w:p>
  <w:p w14:paraId="58D6942B">
    <w:pPr>
      <w:pStyle w:val="9"/>
    </w:pPr>
    <w:r>
      <w:rPr>
        <w:sz w:val="18"/>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E6744D">
                          <w:pPr>
                            <w:pStyle w:val="9"/>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4CE6744D">
                    <w:pPr>
                      <w:pStyle w:val="9"/>
                    </w:pP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C37DB">
    <w:pPr>
      <w:pStyle w:val="9"/>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7D2F87">
    <w:pPr>
      <w:pStyle w:val="9"/>
      <w:pBdr>
        <w:top w:val="single" w:color="auto" w:sz="4" w:space="1"/>
        <w:left w:val="none" w:color="auto" w:sz="0" w:space="0"/>
        <w:bottom w:val="none" w:color="auto" w:sz="0" w:space="0"/>
        <w:right w:val="none" w:color="auto" w:sz="0" w:space="0"/>
        <w:between w:val="none" w:color="auto" w:sz="0" w:space="0"/>
      </w:pBdr>
    </w:pPr>
    <w:r>
      <w:rPr>
        <w:sz w:val="21"/>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91E069">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4791E069">
                    <w:pPr>
                      <w:pStyle w:val="9"/>
                    </w:pPr>
                    <w:r>
                      <w:fldChar w:fldCharType="begin"/>
                    </w:r>
                    <w:r>
                      <w:instrText xml:space="preserve"> PAGE  \* MERGEFORMAT </w:instrText>
                    </w:r>
                    <w:r>
                      <w:fldChar w:fldCharType="separate"/>
                    </w:r>
                    <w:r>
                      <w:t>2</w:t>
                    </w:r>
                    <w:r>
                      <w:fldChar w:fldCharType="end"/>
                    </w:r>
                  </w:p>
                </w:txbxContent>
              </v:textbox>
            </v:shape>
          </w:pict>
        </mc:Fallback>
      </mc:AlternateContent>
    </w:r>
    <w:r>
      <w:rPr>
        <w:rFonts w:hint="eastAsia" w:ascii="仿宋_GB2312" w:hAnsi="仿宋_GB2312" w:eastAsia="仿宋_GB2312" w:cs="仿宋_GB2312"/>
        <w:spacing w:val="14"/>
        <w:sz w:val="21"/>
        <w:szCs w:val="21"/>
        <w:lang w:eastAsia="zh-CN"/>
      </w:rPr>
      <w:t>湖南兆财不动产规划评估有限公司</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DC9C9">
    <w:pPr>
      <w:pStyle w:val="9"/>
      <w:pBdr>
        <w:bottom w:val="single" w:color="auto" w:sz="6" w:space="1"/>
      </w:pBdr>
      <w:rPr>
        <w:rFonts w:ascii="仿宋_GB2312" w:eastAsia="仿宋_GB2312"/>
        <w:sz w:val="21"/>
        <w:szCs w:val="21"/>
      </w:rPr>
    </w:pPr>
  </w:p>
  <w:p w14:paraId="5BD50AF7">
    <w:pPr>
      <w:pStyle w:val="9"/>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57785" cy="131445"/>
              <wp:effectExtent l="0" t="0" r="0" b="0"/>
              <wp:wrapNone/>
              <wp:docPr id="31"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3EE86E11">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4384;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NWXcQe+AQAAcwMAAA4AAAAAAAAAAQAgAAAAIgEAAGRycy9lMm9Eb2MueG1sUEsF&#10;BgAAAAAGAAYAWQEAAFIFAAAAAA==&#10;">
              <v:fill on="f" focussize="0,0"/>
              <v:stroke on="f"/>
              <v:imagedata o:title=""/>
              <o:lock v:ext="edit" aspectratio="f"/>
              <v:textbox inset="0mm,0mm,0mm,0mm">
                <w:txbxContent>
                  <w:p w14:paraId="3EE86E11">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D6DE2E">
    <w:pPr>
      <w:pStyle w:val="10"/>
      <w:keepNext w:val="0"/>
      <w:keepLines w:val="0"/>
      <w:pageBreakBefore w:val="0"/>
      <w:widowControl w:val="0"/>
      <w:pBdr>
        <w:bottom w:val="single" w:color="auto" w:sz="4" w:space="1"/>
      </w:pBdr>
      <w:kinsoku/>
      <w:wordWrap/>
      <w:overflowPunct/>
      <w:topLinePunct w:val="0"/>
      <w:bidi w:val="0"/>
      <w:adjustRightInd/>
      <w:snapToGrid w:val="0"/>
      <w:spacing w:before="0" w:beforeLines="50"/>
      <w:jc w:val="center"/>
      <w:textAlignment w:val="auto"/>
      <w:rPr>
        <w:rFonts w:hint="eastAsia" w:eastAsia="仿宋_GB2312"/>
        <w:lang w:eastAsia="zh-CN"/>
      </w:rPr>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w:t>
    </w:r>
    <w:r>
      <w:rPr>
        <w:rFonts w:hint="eastAsia" w:ascii="仿宋_GB2312" w:hAnsi="仿宋_GB2312" w:eastAsia="仿宋_GB2312" w:cs="仿宋_GB2312"/>
        <w:sz w:val="21"/>
        <w:szCs w:val="21"/>
        <w:lang w:val="en-US" w:eastAsia="zh-CN"/>
      </w:rPr>
      <w:t>6</w:t>
    </w:r>
    <w:r>
      <w:rPr>
        <w:rFonts w:hint="eastAsia" w:ascii="仿宋_GB2312" w:hAnsi="仿宋_GB2312" w:eastAsia="仿宋_GB2312" w:cs="仿宋_GB2312"/>
        <w:sz w:val="21"/>
        <w:szCs w:val="21"/>
      </w:rPr>
      <w:t>]（</w:t>
    </w:r>
    <w:r>
      <w:rPr>
        <w:rFonts w:hint="eastAsia" w:ascii="仿宋_GB2312" w:hAnsi="仿宋_GB2312" w:eastAsia="仿宋_GB2312" w:cs="仿宋_GB2312"/>
        <w:sz w:val="21"/>
        <w:szCs w:val="21"/>
        <w:lang w:val="en-US" w:eastAsia="zh-CN"/>
      </w:rPr>
      <w:t>估</w:t>
    </w:r>
    <w:r>
      <w:rPr>
        <w:rFonts w:hint="eastAsia" w:ascii="仿宋_GB2312" w:hAnsi="仿宋_GB2312" w:eastAsia="仿宋_GB2312" w:cs="仿宋_GB2312"/>
        <w:sz w:val="21"/>
        <w:szCs w:val="21"/>
      </w:rPr>
      <w:t>）字第</w:t>
    </w:r>
    <w:r>
      <w:rPr>
        <w:rFonts w:hint="eastAsia" w:ascii="仿宋_GB2312" w:hAnsi="仿宋_GB2312" w:eastAsia="仿宋_GB2312" w:cs="仿宋_GB2312"/>
        <w:sz w:val="21"/>
        <w:szCs w:val="21"/>
        <w:lang w:eastAsia="zh-CN"/>
      </w:rPr>
      <w:t>ZC0007号</w:t>
    </w:r>
  </w:p>
  <w:p w14:paraId="27A76571">
    <w:pPr>
      <w:pStyle w:val="10"/>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24931">
    <w:pPr>
      <w:pStyle w:val="10"/>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0470B">
    <w:pPr>
      <w:pStyle w:val="10"/>
      <w:jc w:val="both"/>
    </w:pP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77782">
    <w:pPr>
      <w:pStyle w:val="10"/>
      <w:keepNext w:val="0"/>
      <w:keepLines w:val="0"/>
      <w:pageBreakBefore w:val="0"/>
      <w:widowControl w:val="0"/>
      <w:pBdr>
        <w:bottom w:val="single" w:color="auto" w:sz="4" w:space="1"/>
      </w:pBdr>
      <w:kinsoku/>
      <w:wordWrap/>
      <w:overflowPunct/>
      <w:topLinePunct w:val="0"/>
      <w:bidi w:val="0"/>
      <w:adjustRightInd/>
      <w:snapToGrid w:val="0"/>
      <w:spacing w:before="0" w:beforeLines="50"/>
      <w:jc w:val="center"/>
      <w:textAlignment w:val="auto"/>
    </w:pPr>
    <w:r>
      <w:rPr>
        <w:rFonts w:hint="eastAsia"/>
      </w:rPr>
      <w:t xml:space="preserve"> </w:t>
    </w: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（湖南）湘兆财土地[2025]（</w:t>
    </w:r>
    <w:r>
      <w:rPr>
        <w:rFonts w:hint="eastAsia" w:ascii="仿宋_GB2312" w:hAnsi="仿宋_GB2312" w:eastAsia="仿宋_GB2312" w:cs="仿宋_GB2312"/>
        <w:sz w:val="21"/>
        <w:szCs w:val="21"/>
        <w:lang w:val="en-US" w:eastAsia="zh-CN"/>
      </w:rPr>
      <w:t>估</w:t>
    </w:r>
    <w:r>
      <w:rPr>
        <w:rFonts w:hint="eastAsia" w:ascii="仿宋_GB2312" w:hAnsi="仿宋_GB2312" w:eastAsia="仿宋_GB2312" w:cs="仿宋_GB2312"/>
        <w:sz w:val="21"/>
        <w:szCs w:val="21"/>
      </w:rPr>
      <w:t>）字第ZC00</w:t>
    </w:r>
    <w:r>
      <w:rPr>
        <w:rFonts w:hint="eastAsia" w:ascii="仿宋_GB2312" w:hAnsi="仿宋_GB2312" w:eastAsia="仿宋_GB2312" w:cs="仿宋_GB2312"/>
        <w:sz w:val="21"/>
        <w:szCs w:val="21"/>
        <w:lang w:val="en-US" w:eastAsia="zh-CN"/>
      </w:rPr>
      <w:t>36</w:t>
    </w:r>
    <w:r>
      <w:rPr>
        <w:rFonts w:hint="eastAsia" w:ascii="仿宋_GB2312" w:hAnsi="仿宋_GB2312" w:eastAsia="仿宋_GB2312" w:cs="仿宋_GB2312"/>
        <w:sz w:val="21"/>
        <w:szCs w:val="21"/>
      </w:rPr>
      <w:t>号</w:t>
    </w:r>
  </w:p>
  <w:p w14:paraId="1C619443">
    <w:pPr>
      <w:pStyle w:val="10"/>
      <w:pBdr>
        <w:top w:val="none" w:color="auto" w:sz="0" w:space="0"/>
        <w:left w:val="none" w:color="auto" w:sz="0" w:space="0"/>
        <w:bottom w:val="none" w:color="auto" w:sz="0" w:space="1"/>
        <w:right w:val="none" w:color="auto" w:sz="0" w:space="0"/>
        <w:between w:val="none" w:color="auto" w:sz="0" w:space="0"/>
      </w:pBdr>
      <w:jc w:val="both"/>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21CC5F">
    <w:pPr>
      <w:pStyle w:val="10"/>
      <w:pBdr>
        <w:bottom w:val="none" w:color="auto" w:sz="0" w:space="1"/>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91C2D">
    <w:pPr>
      <w:pStyle w:val="10"/>
      <w:keepNext w:val="0"/>
      <w:keepLines w:val="0"/>
      <w:pageBreakBefore w:val="0"/>
      <w:widowControl w:val="0"/>
      <w:pBdr>
        <w:bottom w:val="single" w:color="auto" w:sz="4" w:space="1"/>
      </w:pBdr>
      <w:kinsoku/>
      <w:wordWrap/>
      <w:overflowPunct/>
      <w:topLinePunct w:val="0"/>
      <w:bidi w:val="0"/>
      <w:adjustRightInd/>
      <w:snapToGrid w:val="0"/>
      <w:spacing w:before="0" w:beforeLines="50"/>
      <w:jc w:val="center"/>
      <w:textAlignment w:val="auto"/>
      <w:rPr>
        <w:rFonts w:hint="eastAsia" w:eastAsia="仿宋_GB2312"/>
        <w:lang w:eastAsia="zh-CN"/>
      </w:rPr>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w:t>
    </w:r>
    <w:r>
      <w:rPr>
        <w:rFonts w:hint="eastAsia" w:ascii="仿宋_GB2312" w:hAnsi="仿宋_GB2312" w:eastAsia="仿宋_GB2312" w:cs="仿宋_GB2312"/>
        <w:sz w:val="21"/>
        <w:szCs w:val="21"/>
        <w:lang w:val="en-US" w:eastAsia="zh-CN"/>
      </w:rPr>
      <w:t>6</w:t>
    </w:r>
    <w:r>
      <w:rPr>
        <w:rFonts w:hint="eastAsia" w:ascii="仿宋_GB2312" w:hAnsi="仿宋_GB2312" w:eastAsia="仿宋_GB2312" w:cs="仿宋_GB2312"/>
        <w:sz w:val="21"/>
        <w:szCs w:val="21"/>
      </w:rPr>
      <w:t>]（</w:t>
    </w:r>
    <w:r>
      <w:rPr>
        <w:rFonts w:hint="eastAsia" w:ascii="仿宋_GB2312" w:hAnsi="仿宋_GB2312" w:eastAsia="仿宋_GB2312" w:cs="仿宋_GB2312"/>
        <w:sz w:val="21"/>
        <w:szCs w:val="21"/>
        <w:lang w:val="en-US" w:eastAsia="zh-CN"/>
      </w:rPr>
      <w:t>技</w:t>
    </w:r>
    <w:r>
      <w:rPr>
        <w:rFonts w:hint="eastAsia" w:ascii="仿宋_GB2312" w:hAnsi="仿宋_GB2312" w:eastAsia="仿宋_GB2312" w:cs="仿宋_GB2312"/>
        <w:sz w:val="21"/>
        <w:szCs w:val="21"/>
      </w:rPr>
      <w:t>）字第</w:t>
    </w:r>
    <w:r>
      <w:rPr>
        <w:rFonts w:hint="eastAsia" w:ascii="仿宋_GB2312" w:hAnsi="仿宋_GB2312" w:eastAsia="仿宋_GB2312" w:cs="仿宋_GB2312"/>
        <w:sz w:val="21"/>
        <w:szCs w:val="21"/>
        <w:lang w:eastAsia="zh-CN"/>
      </w:rPr>
      <w:t>ZC0007号</w:t>
    </w:r>
  </w:p>
  <w:p w14:paraId="05AA1E90">
    <w:pPr>
      <w:pStyle w:val="10"/>
      <w:pBdr>
        <w:bottom w:val="none" w:color="auto" w:sz="0" w:space="1"/>
      </w:pBd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B2521B">
    <w:pPr>
      <w:pStyle w:val="10"/>
      <w:jc w:val="both"/>
    </w:pP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D60BDE"/>
    <w:multiLevelType w:val="singleLevel"/>
    <w:tmpl w:val="DBD60BDE"/>
    <w:lvl w:ilvl="0" w:tentative="0">
      <w:start w:val="2"/>
      <w:numFmt w:val="chineseCounting"/>
      <w:suff w:val="nothing"/>
      <w:lvlText w:val="%1、"/>
      <w:lvlJc w:val="left"/>
      <w:rPr>
        <w:rFonts w:hint="eastAsia"/>
      </w:rPr>
    </w:lvl>
  </w:abstractNum>
  <w:abstractNum w:abstractNumId="1">
    <w:nsid w:val="E6C9BDCA"/>
    <w:multiLevelType w:val="singleLevel"/>
    <w:tmpl w:val="E6C9BDCA"/>
    <w:lvl w:ilvl="0" w:tentative="0">
      <w:start w:val="2"/>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050C37"/>
    <w:rsid w:val="0050638A"/>
    <w:rsid w:val="00A65FA9"/>
    <w:rsid w:val="00CB77BE"/>
    <w:rsid w:val="01685CBB"/>
    <w:rsid w:val="02A97FD3"/>
    <w:rsid w:val="02F474AE"/>
    <w:rsid w:val="02F573B1"/>
    <w:rsid w:val="031B668D"/>
    <w:rsid w:val="040556DD"/>
    <w:rsid w:val="04073203"/>
    <w:rsid w:val="0495202A"/>
    <w:rsid w:val="04E538B9"/>
    <w:rsid w:val="053C4D34"/>
    <w:rsid w:val="06BB4318"/>
    <w:rsid w:val="071F3380"/>
    <w:rsid w:val="07A43F8C"/>
    <w:rsid w:val="0911242E"/>
    <w:rsid w:val="0A2D56D2"/>
    <w:rsid w:val="0A580BC0"/>
    <w:rsid w:val="0AA7385B"/>
    <w:rsid w:val="0B26152B"/>
    <w:rsid w:val="0B685FD4"/>
    <w:rsid w:val="0BCF567D"/>
    <w:rsid w:val="0BD2614F"/>
    <w:rsid w:val="0D024545"/>
    <w:rsid w:val="0D3916C5"/>
    <w:rsid w:val="0D745238"/>
    <w:rsid w:val="0EC95C85"/>
    <w:rsid w:val="0EE57B2C"/>
    <w:rsid w:val="0F6F7D85"/>
    <w:rsid w:val="0FCB723E"/>
    <w:rsid w:val="100B7BDD"/>
    <w:rsid w:val="102869DB"/>
    <w:rsid w:val="11036C22"/>
    <w:rsid w:val="11841B42"/>
    <w:rsid w:val="11BA012C"/>
    <w:rsid w:val="11D02E86"/>
    <w:rsid w:val="12EB4609"/>
    <w:rsid w:val="1303728B"/>
    <w:rsid w:val="142764E5"/>
    <w:rsid w:val="14D42C8D"/>
    <w:rsid w:val="16691109"/>
    <w:rsid w:val="16A92BBA"/>
    <w:rsid w:val="16BC7E7D"/>
    <w:rsid w:val="17CE7E68"/>
    <w:rsid w:val="17FF3FCB"/>
    <w:rsid w:val="19227B8E"/>
    <w:rsid w:val="194B373A"/>
    <w:rsid w:val="1A116D99"/>
    <w:rsid w:val="1A2D6C30"/>
    <w:rsid w:val="1A6920CA"/>
    <w:rsid w:val="1A8769F4"/>
    <w:rsid w:val="1A8D2345"/>
    <w:rsid w:val="1ADE1860"/>
    <w:rsid w:val="1B6539E2"/>
    <w:rsid w:val="1B852C38"/>
    <w:rsid w:val="1BB90E2F"/>
    <w:rsid w:val="1BDC68CC"/>
    <w:rsid w:val="1D584C60"/>
    <w:rsid w:val="1D6A7EEF"/>
    <w:rsid w:val="1D9B5D99"/>
    <w:rsid w:val="1E0513AA"/>
    <w:rsid w:val="1E256308"/>
    <w:rsid w:val="1E8E0A96"/>
    <w:rsid w:val="1EFA3C38"/>
    <w:rsid w:val="1F5A2534"/>
    <w:rsid w:val="1F6D7F66"/>
    <w:rsid w:val="201B5A3A"/>
    <w:rsid w:val="2031368A"/>
    <w:rsid w:val="207177E8"/>
    <w:rsid w:val="20784E15"/>
    <w:rsid w:val="207D68CF"/>
    <w:rsid w:val="2189080C"/>
    <w:rsid w:val="21983295"/>
    <w:rsid w:val="22572D6D"/>
    <w:rsid w:val="22701C93"/>
    <w:rsid w:val="23130E25"/>
    <w:rsid w:val="237D2742"/>
    <w:rsid w:val="23A52A71"/>
    <w:rsid w:val="24B46637"/>
    <w:rsid w:val="252E1F46"/>
    <w:rsid w:val="25F50CB6"/>
    <w:rsid w:val="271401A9"/>
    <w:rsid w:val="274972F1"/>
    <w:rsid w:val="274E02E3"/>
    <w:rsid w:val="27D22E3F"/>
    <w:rsid w:val="2992630E"/>
    <w:rsid w:val="29D26541"/>
    <w:rsid w:val="2A173A58"/>
    <w:rsid w:val="2ABE1FBE"/>
    <w:rsid w:val="2D0F414A"/>
    <w:rsid w:val="2D1C2018"/>
    <w:rsid w:val="2D232E96"/>
    <w:rsid w:val="2E301933"/>
    <w:rsid w:val="2E677E28"/>
    <w:rsid w:val="2E764129"/>
    <w:rsid w:val="2E8157DC"/>
    <w:rsid w:val="2E9A689E"/>
    <w:rsid w:val="2FBE079E"/>
    <w:rsid w:val="30006BD5"/>
    <w:rsid w:val="30050C37"/>
    <w:rsid w:val="307373A7"/>
    <w:rsid w:val="30F35BEE"/>
    <w:rsid w:val="314259D7"/>
    <w:rsid w:val="31DA6AF7"/>
    <w:rsid w:val="31FA2CB1"/>
    <w:rsid w:val="321A1456"/>
    <w:rsid w:val="325251FF"/>
    <w:rsid w:val="333E1EB5"/>
    <w:rsid w:val="336932CF"/>
    <w:rsid w:val="33F311AB"/>
    <w:rsid w:val="36080591"/>
    <w:rsid w:val="36205584"/>
    <w:rsid w:val="36213401"/>
    <w:rsid w:val="367E46F6"/>
    <w:rsid w:val="36DB5CA6"/>
    <w:rsid w:val="37763DFC"/>
    <w:rsid w:val="377A2070"/>
    <w:rsid w:val="37970C53"/>
    <w:rsid w:val="37AC4521"/>
    <w:rsid w:val="38085800"/>
    <w:rsid w:val="389122A4"/>
    <w:rsid w:val="398B187A"/>
    <w:rsid w:val="399B3B29"/>
    <w:rsid w:val="39CE6B7E"/>
    <w:rsid w:val="3A306341"/>
    <w:rsid w:val="3AB605BC"/>
    <w:rsid w:val="3AFA4934"/>
    <w:rsid w:val="3B985CFD"/>
    <w:rsid w:val="3BCC4052"/>
    <w:rsid w:val="3CBE4263"/>
    <w:rsid w:val="3D92499B"/>
    <w:rsid w:val="3DBB413B"/>
    <w:rsid w:val="3E095C8C"/>
    <w:rsid w:val="3E3826A5"/>
    <w:rsid w:val="3F484871"/>
    <w:rsid w:val="3FBE5FE6"/>
    <w:rsid w:val="401150BE"/>
    <w:rsid w:val="40176647"/>
    <w:rsid w:val="40786313"/>
    <w:rsid w:val="40A13ABC"/>
    <w:rsid w:val="41236C02"/>
    <w:rsid w:val="413D180C"/>
    <w:rsid w:val="43390BE3"/>
    <w:rsid w:val="43AB62F8"/>
    <w:rsid w:val="44CD1324"/>
    <w:rsid w:val="4506156C"/>
    <w:rsid w:val="45333E46"/>
    <w:rsid w:val="46024DBE"/>
    <w:rsid w:val="47F70466"/>
    <w:rsid w:val="49C23DE4"/>
    <w:rsid w:val="4A004451"/>
    <w:rsid w:val="4A7C384F"/>
    <w:rsid w:val="4ABF1A3A"/>
    <w:rsid w:val="4B9C1A50"/>
    <w:rsid w:val="4BBE277F"/>
    <w:rsid w:val="4C3A381B"/>
    <w:rsid w:val="4C517170"/>
    <w:rsid w:val="4C5D11DF"/>
    <w:rsid w:val="4CA72A99"/>
    <w:rsid w:val="4D0F1C63"/>
    <w:rsid w:val="4D1F6494"/>
    <w:rsid w:val="4D3866EA"/>
    <w:rsid w:val="4D5F2FC1"/>
    <w:rsid w:val="4DA27FF9"/>
    <w:rsid w:val="4E7B6FE2"/>
    <w:rsid w:val="504E47AC"/>
    <w:rsid w:val="506369BC"/>
    <w:rsid w:val="510A55DB"/>
    <w:rsid w:val="51143E36"/>
    <w:rsid w:val="530F4D20"/>
    <w:rsid w:val="531A725B"/>
    <w:rsid w:val="53433B89"/>
    <w:rsid w:val="53935CD0"/>
    <w:rsid w:val="53BD1699"/>
    <w:rsid w:val="53E42A17"/>
    <w:rsid w:val="5412080D"/>
    <w:rsid w:val="54150FD4"/>
    <w:rsid w:val="547F16B0"/>
    <w:rsid w:val="55195A82"/>
    <w:rsid w:val="55393E05"/>
    <w:rsid w:val="56024BA5"/>
    <w:rsid w:val="56115CEB"/>
    <w:rsid w:val="56D13F4F"/>
    <w:rsid w:val="573174F0"/>
    <w:rsid w:val="582C415B"/>
    <w:rsid w:val="59FF44AD"/>
    <w:rsid w:val="5A513A05"/>
    <w:rsid w:val="5BFE196B"/>
    <w:rsid w:val="5C163158"/>
    <w:rsid w:val="5C4E46A0"/>
    <w:rsid w:val="5D1551BE"/>
    <w:rsid w:val="5E6A778C"/>
    <w:rsid w:val="5F2004B7"/>
    <w:rsid w:val="5F63348B"/>
    <w:rsid w:val="5FAE348C"/>
    <w:rsid w:val="603040BD"/>
    <w:rsid w:val="60CE7B5E"/>
    <w:rsid w:val="61566291"/>
    <w:rsid w:val="618D7A19"/>
    <w:rsid w:val="61FC4B9F"/>
    <w:rsid w:val="629D3584"/>
    <w:rsid w:val="62E056E2"/>
    <w:rsid w:val="638B43E1"/>
    <w:rsid w:val="63A20BAE"/>
    <w:rsid w:val="63FF54EA"/>
    <w:rsid w:val="64507CAB"/>
    <w:rsid w:val="646564E6"/>
    <w:rsid w:val="64771F77"/>
    <w:rsid w:val="64CD45D0"/>
    <w:rsid w:val="64F14763"/>
    <w:rsid w:val="65364186"/>
    <w:rsid w:val="664550B7"/>
    <w:rsid w:val="67452EF2"/>
    <w:rsid w:val="67E67187"/>
    <w:rsid w:val="68062ABB"/>
    <w:rsid w:val="6A6A7556"/>
    <w:rsid w:val="6AC22965"/>
    <w:rsid w:val="6BE96194"/>
    <w:rsid w:val="6C4433CA"/>
    <w:rsid w:val="6C877877"/>
    <w:rsid w:val="6CB84CCD"/>
    <w:rsid w:val="6F9E54E7"/>
    <w:rsid w:val="6FC447D3"/>
    <w:rsid w:val="70AE32E4"/>
    <w:rsid w:val="70F452EC"/>
    <w:rsid w:val="712D0709"/>
    <w:rsid w:val="71E73300"/>
    <w:rsid w:val="72C22916"/>
    <w:rsid w:val="73917AEE"/>
    <w:rsid w:val="741B2C62"/>
    <w:rsid w:val="741F27C9"/>
    <w:rsid w:val="750F0823"/>
    <w:rsid w:val="755307D3"/>
    <w:rsid w:val="75724890"/>
    <w:rsid w:val="75887FBF"/>
    <w:rsid w:val="75AC3360"/>
    <w:rsid w:val="76541732"/>
    <w:rsid w:val="765D1986"/>
    <w:rsid w:val="76933589"/>
    <w:rsid w:val="76A52B16"/>
    <w:rsid w:val="77CC15C1"/>
    <w:rsid w:val="78587AFF"/>
    <w:rsid w:val="799137CB"/>
    <w:rsid w:val="79A44897"/>
    <w:rsid w:val="7B0B7A4F"/>
    <w:rsid w:val="7B853E5A"/>
    <w:rsid w:val="7B937ECA"/>
    <w:rsid w:val="7BF65233"/>
    <w:rsid w:val="7C6F0028"/>
    <w:rsid w:val="7E540F3B"/>
    <w:rsid w:val="7E8F2BCB"/>
    <w:rsid w:val="7EF04D78"/>
    <w:rsid w:val="7F7E632E"/>
    <w:rsid w:val="7FD638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autoSpaceDE w:val="0"/>
      <w:autoSpaceDN w:val="0"/>
      <w:adjustRightInd w:val="0"/>
      <w:spacing w:line="312" w:lineRule="atLeast"/>
      <w:ind w:right="-113" w:firstLine="525"/>
      <w:jc w:val="left"/>
      <w:textAlignment w:val="bottom"/>
      <w:outlineLvl w:val="0"/>
    </w:pPr>
    <w:rPr>
      <w:rFonts w:ascii="仿宋体" w:eastAsia="仿宋体"/>
      <w:kern w:val="0"/>
      <w:sz w:val="28"/>
      <w:szCs w:val="20"/>
    </w:rPr>
  </w:style>
  <w:style w:type="paragraph" w:styleId="3">
    <w:name w:val="heading 2"/>
    <w:basedOn w:val="1"/>
    <w:next w:val="1"/>
    <w:qFormat/>
    <w:uiPriority w:val="0"/>
    <w:pPr>
      <w:keepNext/>
      <w:tabs>
        <w:tab w:val="left" w:pos="975"/>
      </w:tabs>
      <w:adjustRightInd w:val="0"/>
      <w:snapToGrid w:val="0"/>
      <w:ind w:left="975" w:hanging="420"/>
      <w:outlineLvl w:val="1"/>
    </w:pPr>
    <w:rPr>
      <w:rFonts w:ascii="仿宋_GB2312" w:hAnsi="仿宋_GB2312" w:eastAsia="仿宋_GB2312"/>
      <w:bCs/>
      <w:sz w:val="28"/>
      <w:szCs w:val="20"/>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w:basedOn w:val="1"/>
    <w:qFormat/>
    <w:uiPriority w:val="1"/>
    <w:rPr>
      <w:rFonts w:ascii="宋体" w:hAnsi="宋体" w:cs="宋体"/>
      <w:sz w:val="24"/>
      <w:szCs w:val="24"/>
      <w:lang w:val="zh-CN" w:bidi="zh-CN"/>
    </w:rPr>
  </w:style>
  <w:style w:type="paragraph" w:styleId="6">
    <w:name w:val="Body Text Indent"/>
    <w:basedOn w:val="1"/>
    <w:next w:val="7"/>
    <w:qFormat/>
    <w:uiPriority w:val="0"/>
    <w:pPr>
      <w:ind w:firstLine="560" w:firstLineChars="200"/>
    </w:pPr>
    <w:rPr>
      <w:rFonts w:eastAsia="仿宋_GB2312"/>
      <w:sz w:val="28"/>
    </w:rPr>
  </w:style>
  <w:style w:type="paragraph" w:styleId="7">
    <w:name w:val="Body Text Indent 2"/>
    <w:basedOn w:val="1"/>
    <w:qFormat/>
    <w:uiPriority w:val="0"/>
    <w:pPr>
      <w:spacing w:line="320" w:lineRule="atLeast"/>
      <w:ind w:right="-22" w:firstLine="600"/>
    </w:pPr>
    <w:rPr>
      <w:rFonts w:ascii="仿宋体" w:hAnsi="Tahoma" w:eastAsia="仿宋体"/>
      <w:spacing w:val="10"/>
      <w:sz w:val="28"/>
      <w:szCs w:val="20"/>
    </w:rPr>
  </w:style>
  <w:style w:type="paragraph" w:styleId="8">
    <w:name w:val="Plain Text"/>
    <w:basedOn w:val="1"/>
    <w:qFormat/>
    <w:uiPriority w:val="0"/>
    <w:rPr>
      <w:rFonts w:ascii="宋体"/>
      <w:sz w:val="28"/>
    </w:r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rPr>
  </w:style>
  <w:style w:type="paragraph" w:styleId="11">
    <w:name w:val="Body Text First Indent 2"/>
    <w:basedOn w:val="6"/>
    <w:next w:val="1"/>
    <w:qFormat/>
    <w:uiPriority w:val="0"/>
    <w:pPr>
      <w:ind w:firstLine="420" w:firstLineChars="200"/>
    </w:p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5">
    <w:name w:val="标准"/>
    <w:basedOn w:val="1"/>
    <w:qFormat/>
    <w:uiPriority w:val="0"/>
    <w:pPr>
      <w:autoSpaceDE w:val="0"/>
      <w:autoSpaceDN w:val="0"/>
      <w:adjustRightInd w:val="0"/>
      <w:spacing w:line="480" w:lineRule="atLeast"/>
      <w:textAlignment w:val="bottom"/>
    </w:pPr>
    <w:rPr>
      <w:rFonts w:ascii="昆仑仿宋" w:eastAsia="昆仑仿宋"/>
      <w:spacing w:val="40"/>
      <w:kern w:val="0"/>
      <w:sz w:val="28"/>
      <w:szCs w:val="20"/>
    </w:rPr>
  </w:style>
  <w:style w:type="paragraph" w:customStyle="1" w:styleId="16">
    <w:name w:val="1表格文字压缩"/>
    <w:basedOn w:val="1"/>
    <w:next w:val="1"/>
    <w:autoRedefine/>
    <w:qFormat/>
    <w:uiPriority w:val="0"/>
    <w:pPr>
      <w:widowControl/>
      <w:spacing w:line="260" w:lineRule="exact"/>
      <w:jc w:val="center"/>
      <w:textAlignment w:val="center"/>
    </w:pPr>
    <w:rPr>
      <w:rFonts w:ascii="仿宋_GB2312" w:hAnsi="宋体" w:eastAsia="仿宋_GB2312" w:cs="宋体"/>
      <w:spacing w:val="-20"/>
      <w:kern w:val="0"/>
      <w:szCs w:val="21"/>
    </w:rPr>
  </w:style>
  <w:style w:type="paragraph" w:customStyle="1" w:styleId="17">
    <w:name w:val="四号仿宋28磅"/>
    <w:basedOn w:val="1"/>
    <w:autoRedefine/>
    <w:qFormat/>
    <w:uiPriority w:val="0"/>
    <w:pPr>
      <w:spacing w:line="560" w:lineRule="exact"/>
      <w:ind w:firstLine="200" w:firstLineChars="200"/>
    </w:pPr>
    <w:rPr>
      <w:rFonts w:ascii="仿宋_GB2312" w:eastAsia="仿宋_GB2312"/>
      <w:sz w:val="28"/>
    </w:rPr>
  </w:style>
  <w:style w:type="paragraph" w:customStyle="1" w:styleId="18">
    <w:name w:val="列出段落1"/>
    <w:basedOn w:val="19"/>
    <w:autoRedefine/>
    <w:qFormat/>
    <w:uiPriority w:val="0"/>
    <w:pPr>
      <w:ind w:firstLine="420" w:firstLineChars="200"/>
    </w:pPr>
  </w:style>
  <w:style w:type="paragraph" w:customStyle="1" w:styleId="19">
    <w:name w:val="正文_10_43"/>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20">
    <w:name w:val="font11"/>
    <w:basedOn w:val="14"/>
    <w:qFormat/>
    <w:uiPriority w:val="0"/>
    <w:rPr>
      <w:rFonts w:hint="default" w:ascii="Times New Roman" w:hAnsi="Times New Roman" w:cs="Times New Roman"/>
      <w:color w:val="000000"/>
      <w:sz w:val="21"/>
      <w:szCs w:val="21"/>
      <w:u w:val="none"/>
    </w:rPr>
  </w:style>
  <w:style w:type="paragraph" w:customStyle="1" w:styleId="21">
    <w:name w:val="List Paragraph"/>
    <w:basedOn w:val="1"/>
    <w:qFormat/>
    <w:uiPriority w:val="0"/>
    <w:pPr>
      <w:ind w:firstLine="420" w:firstLineChars="200"/>
    </w:pPr>
  </w:style>
  <w:style w:type="paragraph" w:customStyle="1" w:styleId="22">
    <w:name w:val="图表名"/>
    <w:basedOn w:val="23"/>
    <w:qFormat/>
    <w:uiPriority w:val="0"/>
    <w:pPr>
      <w:ind w:firstLine="422"/>
      <w:jc w:val="center"/>
    </w:pPr>
    <w:rPr>
      <w:rFonts w:ascii="宋体" w:hAnsi="宋体"/>
      <w:b/>
      <w:bCs/>
      <w:sz w:val="21"/>
    </w:rPr>
  </w:style>
  <w:style w:type="paragraph" w:customStyle="1" w:styleId="23">
    <w:name w:val="正文1"/>
    <w:basedOn w:val="1"/>
    <w:qFormat/>
    <w:uiPriority w:val="0"/>
    <w:pPr>
      <w:ind w:firstLine="480" w:firstLineChars="200"/>
    </w:pPr>
    <w:rPr>
      <w:sz w:val="24"/>
      <w:szCs w:val="20"/>
    </w:rPr>
  </w:style>
  <w:style w:type="character" w:customStyle="1" w:styleId="24">
    <w:name w:val="font41"/>
    <w:basedOn w:val="14"/>
    <w:qFormat/>
    <w:uiPriority w:val="0"/>
    <w:rPr>
      <w:rFonts w:hint="eastAsia" w:ascii="宋体" w:hAnsi="宋体" w:eastAsia="宋体" w:cs="宋体"/>
      <w:color w:val="000000"/>
      <w:sz w:val="22"/>
      <w:szCs w:val="22"/>
      <w:u w:val="none"/>
    </w:rPr>
  </w:style>
  <w:style w:type="paragraph" w:customStyle="1" w:styleId="25">
    <w:name w:val="样式7"/>
    <w:basedOn w:val="1"/>
    <w:qFormat/>
    <w:uiPriority w:val="0"/>
    <w:pPr>
      <w:spacing w:line="360" w:lineRule="auto"/>
      <w:ind w:firstLine="567"/>
    </w:pPr>
    <w:rPr>
      <w:rFonts w:ascii="仿宋_GB2312" w:eastAsia="仿宋_GB2312"/>
      <w:sz w:val="28"/>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14.png"/><Relationship Id="rId40" Type="http://schemas.openxmlformats.org/officeDocument/2006/relationships/image" Target="media/image13.jpeg"/><Relationship Id="rId4" Type="http://schemas.openxmlformats.org/officeDocument/2006/relationships/header" Target="header2.xml"/><Relationship Id="rId39" Type="http://schemas.openxmlformats.org/officeDocument/2006/relationships/image" Target="media/image12.png"/><Relationship Id="rId38" Type="http://schemas.openxmlformats.org/officeDocument/2006/relationships/image" Target="media/image11.jpeg"/><Relationship Id="rId37" Type="http://schemas.openxmlformats.org/officeDocument/2006/relationships/image" Target="media/image10.png"/><Relationship Id="rId36" Type="http://schemas.openxmlformats.org/officeDocument/2006/relationships/image" Target="media/image9.jpeg"/><Relationship Id="rId35" Type="http://schemas.openxmlformats.org/officeDocument/2006/relationships/image" Target="media/image8.wmf"/><Relationship Id="rId34" Type="http://schemas.openxmlformats.org/officeDocument/2006/relationships/oleObject" Target="embeddings/oleObject5.bin"/><Relationship Id="rId33" Type="http://schemas.openxmlformats.org/officeDocument/2006/relationships/image" Target="media/image7.wmf"/><Relationship Id="rId32" Type="http://schemas.openxmlformats.org/officeDocument/2006/relationships/oleObject" Target="embeddings/oleObject4.bin"/><Relationship Id="rId31" Type="http://schemas.openxmlformats.org/officeDocument/2006/relationships/image" Target="media/image6.wmf"/><Relationship Id="rId30" Type="http://schemas.openxmlformats.org/officeDocument/2006/relationships/oleObject" Target="embeddings/oleObject3.bin"/><Relationship Id="rId3" Type="http://schemas.openxmlformats.org/officeDocument/2006/relationships/header" Target="header1.xml"/><Relationship Id="rId29" Type="http://schemas.openxmlformats.org/officeDocument/2006/relationships/image" Target="media/image5.wmf"/><Relationship Id="rId28" Type="http://schemas.openxmlformats.org/officeDocument/2006/relationships/oleObject" Target="embeddings/oleObject2.bin"/><Relationship Id="rId27" Type="http://schemas.openxmlformats.org/officeDocument/2006/relationships/image" Target="media/image4.wmf"/><Relationship Id="rId26" Type="http://schemas.openxmlformats.org/officeDocument/2006/relationships/oleObject" Target="embeddings/oleObject1.bin"/><Relationship Id="rId25" Type="http://schemas.openxmlformats.org/officeDocument/2006/relationships/chart" Target="charts/chart4.xml"/><Relationship Id="rId24" Type="http://schemas.openxmlformats.org/officeDocument/2006/relationships/chart" Target="charts/chart3.xml"/><Relationship Id="rId23" Type="http://schemas.openxmlformats.org/officeDocument/2006/relationships/chart" Target="charts/chart2.xml"/><Relationship Id="rId22" Type="http://schemas.openxmlformats.org/officeDocument/2006/relationships/image" Target="media/image3.emf"/><Relationship Id="rId21" Type="http://schemas.openxmlformats.org/officeDocument/2006/relationships/chart" Target="charts/chart1.xml"/><Relationship Id="rId20" Type="http://schemas.openxmlformats.org/officeDocument/2006/relationships/image" Target="media/image2.jpeg"/><Relationship Id="rId2" Type="http://schemas.openxmlformats.org/officeDocument/2006/relationships/settings" Target="settings.xml"/><Relationship Id="rId19" Type="http://schemas.openxmlformats.org/officeDocument/2006/relationships/image" Target="media/image1.jpeg"/><Relationship Id="rId18" Type="http://schemas.openxmlformats.org/officeDocument/2006/relationships/theme" Target="theme/theme1.xml"/><Relationship Id="rId17" Type="http://schemas.openxmlformats.org/officeDocument/2006/relationships/footer" Target="footer8.xml"/><Relationship Id="rId16" Type="http://schemas.openxmlformats.org/officeDocument/2006/relationships/header" Target="header7.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36433056168336"/>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36433056168336"/>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150</Pages>
  <Words>23108</Words>
  <Characters>25473</Characters>
  <Lines>0</Lines>
  <Paragraphs>0</Paragraphs>
  <TotalTime>2</TotalTime>
  <ScaleCrop>false</ScaleCrop>
  <LinksUpToDate>false</LinksUpToDate>
  <CharactersWithSpaces>26065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2025-12-08T08:23:00Z</dcterms:created>
  <dc:creator>熙里处</dc:creator>
  <cp:lastModifiedBy>歪比八卜</cp:lastModifiedBy>
  <dcterms:modified xsi:type="dcterms:W3CDTF">2026-06-01T02:50:39Z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D9436F401C8D42BABD8ABF23F8B61D2A_13</vt:lpwstr>
  </property>
  <property fmtid="{D5CDD505-2E9C-101B-9397-08002B2CF9AE}" pid="4" name="KSOTemplateDocerSaveRecord">
    <vt:lpwstr>eyJoZGlkIjoiYzg2ZDFhZjAxODU1NmRlODQ1YThmY2VjYmViZjg0YjgiLCJ1c2VySWQiOiIyNTc4NTE1ODcifQ==</vt:lpwstr>
  </property>
</Properties>
</file>