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emf" ContentType="image/x-emf"/>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750B0F">
      <w:pPr>
        <w:spacing w:line="520" w:lineRule="exact"/>
        <w:jc w:val="center"/>
        <w:rPr>
          <w:rFonts w:hint="eastAsia" w:asciiTheme="majorEastAsia" w:hAnsiTheme="majorEastAsia" w:eastAsiaTheme="majorEastAsia" w:cstheme="majorEastAsia"/>
          <w:b/>
          <w:bCs/>
          <w:sz w:val="44"/>
          <w:szCs w:val="44"/>
          <w:highlight w:val="none"/>
        </w:rPr>
      </w:pPr>
    </w:p>
    <w:p w14:paraId="77C3EE53">
      <w:pPr>
        <w:spacing w:line="520" w:lineRule="exact"/>
        <w:jc w:val="center"/>
        <w:rPr>
          <w:rFonts w:hint="eastAsia" w:asciiTheme="majorEastAsia" w:hAnsiTheme="majorEastAsia" w:eastAsiaTheme="majorEastAsia" w:cstheme="majorEastAsia"/>
          <w:b/>
          <w:bCs/>
          <w:sz w:val="44"/>
          <w:szCs w:val="44"/>
          <w:highlight w:val="none"/>
        </w:rPr>
      </w:pPr>
    </w:p>
    <w:p w14:paraId="0DB315FA">
      <w:pPr>
        <w:spacing w:line="520" w:lineRule="exact"/>
        <w:jc w:val="center"/>
        <w:rPr>
          <w:rFonts w:hint="eastAsia" w:asciiTheme="majorEastAsia" w:hAnsiTheme="majorEastAsia" w:eastAsiaTheme="majorEastAsia" w:cstheme="majorEastAsia"/>
          <w:b/>
          <w:bCs/>
          <w:sz w:val="44"/>
          <w:szCs w:val="44"/>
          <w:highlight w:val="none"/>
        </w:rPr>
      </w:pPr>
    </w:p>
    <w:p w14:paraId="158D3C24">
      <w:pPr>
        <w:spacing w:line="520" w:lineRule="exact"/>
        <w:jc w:val="center"/>
        <w:rPr>
          <w:rFonts w:hint="eastAsia" w:asciiTheme="majorEastAsia" w:hAnsiTheme="majorEastAsia" w:eastAsiaTheme="majorEastAsia" w:cstheme="majorEastAsia"/>
          <w:b/>
          <w:bCs/>
          <w:sz w:val="44"/>
          <w:szCs w:val="44"/>
          <w:highlight w:val="none"/>
        </w:rPr>
      </w:pPr>
    </w:p>
    <w:p w14:paraId="24F9D0B3">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土 地 估 价 报 告</w:t>
      </w:r>
    </w:p>
    <w:p w14:paraId="2E50EE65">
      <w:pPr>
        <w:spacing w:line="520" w:lineRule="exact"/>
        <w:jc w:val="center"/>
        <w:rPr>
          <w:rFonts w:hint="eastAsia" w:asciiTheme="majorEastAsia" w:hAnsiTheme="majorEastAsia" w:eastAsiaTheme="majorEastAsia" w:cstheme="majorEastAsia"/>
          <w:sz w:val="44"/>
          <w:szCs w:val="44"/>
          <w:highlight w:val="none"/>
        </w:rPr>
      </w:pPr>
    </w:p>
    <w:p w14:paraId="467E9F4E">
      <w:pPr>
        <w:spacing w:line="520" w:lineRule="exact"/>
        <w:rPr>
          <w:sz w:val="32"/>
          <w:highlight w:val="none"/>
        </w:rPr>
      </w:pPr>
    </w:p>
    <w:tbl>
      <w:tblPr>
        <w:tblStyle w:val="12"/>
        <w:tblpPr w:leftFromText="180" w:rightFromText="180" w:vertAnchor="text" w:horzAnchor="page" w:tblpX="1303" w:tblpY="1108"/>
        <w:tblOverlap w:val="never"/>
        <w:tblW w:w="9741" w:type="dxa"/>
        <w:tblInd w:w="0" w:type="dxa"/>
        <w:tblLayout w:type="fixed"/>
        <w:tblCellMar>
          <w:top w:w="0" w:type="dxa"/>
          <w:left w:w="108" w:type="dxa"/>
          <w:bottom w:w="0" w:type="dxa"/>
          <w:right w:w="108" w:type="dxa"/>
        </w:tblCellMar>
      </w:tblPr>
      <w:tblGrid>
        <w:gridCol w:w="3364"/>
        <w:gridCol w:w="6377"/>
      </w:tblGrid>
      <w:tr w14:paraId="2AECAE1C">
        <w:tblPrEx>
          <w:tblCellMar>
            <w:top w:w="0" w:type="dxa"/>
            <w:left w:w="108" w:type="dxa"/>
            <w:bottom w:w="0" w:type="dxa"/>
            <w:right w:w="108" w:type="dxa"/>
          </w:tblCellMar>
        </w:tblPrEx>
        <w:trPr>
          <w:trHeight w:val="1820" w:hRule="atLeast"/>
        </w:trPr>
        <w:tc>
          <w:tcPr>
            <w:tcW w:w="3364" w:type="dxa"/>
            <w:vAlign w:val="center"/>
          </w:tcPr>
          <w:p w14:paraId="62EE682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b/>
                <w:bCs/>
                <w:spacing w:val="14"/>
                <w:sz w:val="32"/>
                <w:szCs w:val="32"/>
                <w:highlight w:val="none"/>
              </w:rPr>
            </w:pPr>
            <w:r>
              <w:rPr>
                <w:rFonts w:hint="eastAsia" w:ascii="楷体" w:hAnsi="楷体" w:eastAsia="楷体"/>
                <w:b/>
                <w:bCs/>
                <w:spacing w:val="32"/>
                <w:kern w:val="0"/>
                <w:sz w:val="32"/>
                <w:szCs w:val="32"/>
                <w:highlight w:val="none"/>
                <w:fitText w:val="3200" w:id="676294051"/>
              </w:rPr>
              <w:t>项  目  名  称</w:t>
            </w:r>
            <w:r>
              <w:rPr>
                <w:rFonts w:hint="eastAsia" w:ascii="楷体" w:hAnsi="楷体" w:eastAsia="楷体"/>
                <w:b/>
                <w:bCs/>
                <w:spacing w:val="0"/>
                <w:kern w:val="0"/>
                <w:sz w:val="32"/>
                <w:szCs w:val="32"/>
                <w:highlight w:val="none"/>
                <w:fitText w:val="3200" w:id="676294051"/>
              </w:rPr>
              <w:t>：</w:t>
            </w:r>
          </w:p>
        </w:tc>
        <w:tc>
          <w:tcPr>
            <w:tcW w:w="6377" w:type="dxa"/>
            <w:vAlign w:val="center"/>
          </w:tcPr>
          <w:p w14:paraId="42CCF805">
            <w:pPr>
              <w:pStyle w:val="8"/>
              <w:keepNext w:val="0"/>
              <w:keepLines w:val="0"/>
              <w:pageBreakBefore w:val="0"/>
              <w:widowControl w:val="0"/>
              <w:suppressLineNumbers w:val="0"/>
              <w:tabs>
                <w:tab w:val="left" w:pos="0"/>
              </w:tabs>
              <w:kinsoku/>
              <w:wordWrap/>
              <w:overflowPunct/>
              <w:topLinePunct w:val="0"/>
              <w:autoSpaceDE/>
              <w:autoSpaceDN/>
              <w:bidi w:val="0"/>
              <w:adjustRightInd w:val="0"/>
              <w:snapToGrid w:val="0"/>
              <w:spacing w:before="0" w:beforeAutospacing="0" w:after="0" w:afterAutospacing="0" w:line="480" w:lineRule="exact"/>
              <w:ind w:right="0" w:rightChars="0"/>
              <w:jc w:val="both"/>
              <w:textAlignment w:val="auto"/>
              <w:rPr>
                <w:rFonts w:hint="default" w:ascii="楷体" w:hAnsi="楷体" w:eastAsia="楷体"/>
                <w:spacing w:val="14"/>
                <w:sz w:val="32"/>
                <w:szCs w:val="32"/>
                <w:highlight w:val="none"/>
                <w:lang w:val="en-US" w:eastAsia="zh-CN"/>
              </w:rPr>
            </w:pPr>
            <w:r>
              <w:rPr>
                <w:rFonts w:hint="default" w:ascii="楷体" w:hAnsi="楷体" w:eastAsia="楷体"/>
                <w:spacing w:val="14"/>
                <w:sz w:val="32"/>
                <w:szCs w:val="32"/>
                <w:highlight w:val="none"/>
                <w:lang w:val="en-US" w:eastAsia="zh-CN"/>
              </w:rPr>
              <w:t>道县自然资源局</w:t>
            </w:r>
            <w:r>
              <w:rPr>
                <w:rFonts w:hint="eastAsia" w:ascii="楷体" w:hAnsi="楷体" w:eastAsia="楷体" w:cs="楷体"/>
                <w:bCs/>
                <w:color w:val="auto"/>
                <w:sz w:val="32"/>
                <w:szCs w:val="32"/>
                <w:highlight w:val="none"/>
                <w:lang w:val="en-US" w:eastAsia="zh-CN"/>
              </w:rPr>
              <w:t>办理土地使用权出让手续涉及</w:t>
            </w:r>
            <w:r>
              <w:rPr>
                <w:rFonts w:hint="default" w:ascii="楷体" w:hAnsi="楷体" w:eastAsia="楷体"/>
                <w:spacing w:val="14"/>
                <w:sz w:val="32"/>
                <w:szCs w:val="32"/>
                <w:highlight w:val="none"/>
                <w:lang w:val="en-US" w:eastAsia="zh-CN"/>
              </w:rPr>
              <w:t>的位于</w:t>
            </w:r>
            <w:r>
              <w:rPr>
                <w:rFonts w:hint="eastAsia" w:ascii="楷体" w:hAnsi="楷体" w:eastAsia="楷体"/>
                <w:spacing w:val="14"/>
                <w:sz w:val="32"/>
                <w:szCs w:val="32"/>
                <w:highlight w:val="none"/>
                <w:lang w:val="en-US" w:eastAsia="zh-CN"/>
              </w:rPr>
              <w:t>道县月岩西路</w:t>
            </w:r>
            <w:r>
              <w:rPr>
                <w:rFonts w:hint="default" w:ascii="楷体" w:hAnsi="楷体" w:eastAsia="楷体"/>
                <w:spacing w:val="14"/>
                <w:sz w:val="32"/>
                <w:szCs w:val="32"/>
                <w:highlight w:val="none"/>
                <w:lang w:val="en-US" w:eastAsia="zh-CN"/>
              </w:rPr>
              <w:t>的一宗住宅用途国有建设用地使用权市场价格评估</w:t>
            </w:r>
          </w:p>
        </w:tc>
      </w:tr>
      <w:tr w14:paraId="1BDC1475">
        <w:tblPrEx>
          <w:tblCellMar>
            <w:top w:w="0" w:type="dxa"/>
            <w:left w:w="108" w:type="dxa"/>
            <w:bottom w:w="0" w:type="dxa"/>
            <w:right w:w="108" w:type="dxa"/>
          </w:tblCellMar>
        </w:tblPrEx>
        <w:trPr>
          <w:trHeight w:val="1134" w:hRule="atLeast"/>
        </w:trPr>
        <w:tc>
          <w:tcPr>
            <w:tcW w:w="3364" w:type="dxa"/>
            <w:vAlign w:val="center"/>
          </w:tcPr>
          <w:p w14:paraId="522D9DA5">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ascii="楷体" w:hAnsi="楷体" w:eastAsia="楷体"/>
                <w:b/>
                <w:bCs/>
                <w:spacing w:val="80"/>
                <w:kern w:val="0"/>
                <w:sz w:val="32"/>
                <w:szCs w:val="32"/>
                <w:highlight w:val="none"/>
                <w:fitText w:val="3200" w:id="237595524"/>
              </w:rPr>
              <w:t>受托估价单位</w:t>
            </w:r>
            <w:r>
              <w:rPr>
                <w:rFonts w:ascii="楷体" w:hAnsi="楷体" w:eastAsia="楷体"/>
                <w:b/>
                <w:bCs/>
                <w:spacing w:val="0"/>
                <w:kern w:val="0"/>
                <w:sz w:val="32"/>
                <w:szCs w:val="32"/>
                <w:highlight w:val="none"/>
                <w:fitText w:val="3200" w:id="237595524"/>
              </w:rPr>
              <w:t>：</w:t>
            </w:r>
          </w:p>
        </w:tc>
        <w:tc>
          <w:tcPr>
            <w:tcW w:w="6377" w:type="dxa"/>
            <w:vAlign w:val="center"/>
          </w:tcPr>
          <w:p w14:paraId="212B9C1F">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ascii="楷体" w:hAnsi="楷体" w:eastAsia="楷体"/>
                <w:spacing w:val="14"/>
                <w:sz w:val="32"/>
                <w:szCs w:val="32"/>
                <w:highlight w:val="none"/>
              </w:rPr>
            </w:pPr>
            <w:r>
              <w:rPr>
                <w:rFonts w:hint="eastAsia" w:ascii="楷体" w:hAnsi="楷体" w:eastAsia="楷体"/>
                <w:spacing w:val="14"/>
                <w:sz w:val="32"/>
                <w:szCs w:val="32"/>
                <w:highlight w:val="none"/>
                <w:lang w:eastAsia="zh-CN"/>
              </w:rPr>
              <w:t>湖南兆财不动产规划评估有限公司</w:t>
            </w:r>
          </w:p>
        </w:tc>
      </w:tr>
      <w:tr w14:paraId="2DB607AD">
        <w:tblPrEx>
          <w:tblCellMar>
            <w:top w:w="0" w:type="dxa"/>
            <w:left w:w="108" w:type="dxa"/>
            <w:bottom w:w="0" w:type="dxa"/>
            <w:right w:w="108" w:type="dxa"/>
          </w:tblCellMar>
        </w:tblPrEx>
        <w:trPr>
          <w:trHeight w:val="1134" w:hRule="atLeast"/>
        </w:trPr>
        <w:tc>
          <w:tcPr>
            <w:tcW w:w="3364" w:type="dxa"/>
            <w:vAlign w:val="center"/>
          </w:tcPr>
          <w:p w14:paraId="6A3C88CB">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highlight w:val="none"/>
              </w:rPr>
            </w:pPr>
            <w:r>
              <w:rPr>
                <w:rFonts w:ascii="楷体" w:hAnsi="楷体" w:eastAsia="楷体"/>
                <w:b/>
                <w:bCs/>
                <w:spacing w:val="20"/>
                <w:kern w:val="0"/>
                <w:sz w:val="32"/>
                <w:szCs w:val="32"/>
                <w:highlight w:val="none"/>
                <w:fitText w:val="3200" w:id="77156251"/>
              </w:rPr>
              <w:t>土地估价报告编号</w:t>
            </w:r>
            <w:r>
              <w:rPr>
                <w:rFonts w:ascii="楷体" w:hAnsi="楷体" w:eastAsia="楷体"/>
                <w:b/>
                <w:bCs/>
                <w:spacing w:val="0"/>
                <w:kern w:val="0"/>
                <w:sz w:val="32"/>
                <w:szCs w:val="32"/>
                <w:highlight w:val="none"/>
                <w:fitText w:val="3200" w:id="77156251"/>
              </w:rPr>
              <w:t>：</w:t>
            </w:r>
          </w:p>
        </w:tc>
        <w:tc>
          <w:tcPr>
            <w:tcW w:w="6377" w:type="dxa"/>
            <w:vAlign w:val="center"/>
          </w:tcPr>
          <w:p w14:paraId="10BB2AC7">
            <w:pPr>
              <w:pStyle w:val="8"/>
              <w:keepNext w:val="0"/>
              <w:keepLines w:val="0"/>
              <w:pageBreakBefore w:val="0"/>
              <w:widowControl w:val="0"/>
              <w:suppressLineNumbers w:val="0"/>
              <w:tabs>
                <w:tab w:val="left" w:pos="0"/>
                <w:tab w:val="left" w:pos="234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spacing w:val="14"/>
                <w:sz w:val="32"/>
                <w:szCs w:val="32"/>
                <w:highlight w:val="none"/>
                <w:lang w:val="en-US" w:eastAsia="zh-CN"/>
              </w:rPr>
            </w:pP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湖南</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湘兆财土地</w:t>
            </w:r>
            <w:r>
              <w:rPr>
                <w:rFonts w:hint="eastAsia" w:ascii="楷体" w:hAnsi="楷体" w:eastAsia="楷体"/>
                <w:color w:val="auto"/>
                <w:spacing w:val="-11"/>
                <w:sz w:val="32"/>
                <w:szCs w:val="32"/>
                <w:highlight w:val="none"/>
                <w:lang w:eastAsia="zh-CN"/>
              </w:rPr>
              <w:t>[202</w:t>
            </w:r>
            <w:r>
              <w:rPr>
                <w:rFonts w:hint="eastAsia" w:ascii="楷体" w:hAnsi="楷体" w:eastAsia="楷体"/>
                <w:color w:val="auto"/>
                <w:spacing w:val="-11"/>
                <w:sz w:val="32"/>
                <w:szCs w:val="32"/>
                <w:highlight w:val="none"/>
                <w:lang w:val="en-US" w:eastAsia="zh-CN"/>
              </w:rPr>
              <w:t>6</w:t>
            </w:r>
            <w:r>
              <w:rPr>
                <w:rFonts w:hint="eastAsia" w:ascii="楷体" w:hAnsi="楷体" w:eastAsia="楷体"/>
                <w:color w:val="auto"/>
                <w:spacing w:val="-11"/>
                <w:sz w:val="32"/>
                <w:szCs w:val="32"/>
                <w:highlight w:val="none"/>
                <w:lang w:eastAsia="zh-CN"/>
              </w:rPr>
              <w:t>]（</w:t>
            </w:r>
            <w:r>
              <w:rPr>
                <w:rFonts w:hint="eastAsia" w:ascii="楷体" w:hAnsi="楷体" w:eastAsia="楷体"/>
                <w:color w:val="auto"/>
                <w:spacing w:val="-11"/>
                <w:sz w:val="32"/>
                <w:szCs w:val="32"/>
                <w:highlight w:val="none"/>
                <w:lang w:val="en-US" w:eastAsia="zh-CN"/>
              </w:rPr>
              <w:t>估</w:t>
            </w:r>
            <w:r>
              <w:rPr>
                <w:rFonts w:hint="eastAsia" w:ascii="楷体" w:hAnsi="楷体" w:eastAsia="楷体"/>
                <w:color w:val="auto"/>
                <w:spacing w:val="-11"/>
                <w:sz w:val="32"/>
                <w:szCs w:val="32"/>
                <w:highlight w:val="none"/>
                <w:lang w:eastAsia="zh-CN"/>
              </w:rPr>
              <w:t>）字第</w:t>
            </w:r>
            <w:r>
              <w:rPr>
                <w:rFonts w:hint="eastAsia" w:ascii="楷体" w:hAnsi="楷体" w:eastAsia="楷体"/>
                <w:color w:val="auto"/>
                <w:spacing w:val="-11"/>
                <w:sz w:val="32"/>
                <w:szCs w:val="32"/>
                <w:highlight w:val="none"/>
                <w:lang w:val="en-US" w:eastAsia="zh-CN"/>
              </w:rPr>
              <w:t>ZC0007号</w:t>
            </w:r>
          </w:p>
        </w:tc>
      </w:tr>
      <w:tr w14:paraId="5FDA5F4D">
        <w:tblPrEx>
          <w:tblCellMar>
            <w:top w:w="0" w:type="dxa"/>
            <w:left w:w="108" w:type="dxa"/>
            <w:bottom w:w="0" w:type="dxa"/>
            <w:right w:w="108" w:type="dxa"/>
          </w:tblCellMar>
        </w:tblPrEx>
        <w:trPr>
          <w:trHeight w:val="1134" w:hRule="atLeast"/>
        </w:trPr>
        <w:tc>
          <w:tcPr>
            <w:tcW w:w="3364" w:type="dxa"/>
            <w:vAlign w:val="center"/>
          </w:tcPr>
          <w:p w14:paraId="79094739">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lang w:val="en-US" w:eastAsia="zh-CN"/>
              </w:rPr>
            </w:pPr>
            <w:r>
              <w:rPr>
                <w:rFonts w:hint="eastAsia" w:ascii="楷体" w:hAnsi="楷体" w:eastAsia="楷体"/>
                <w:b/>
                <w:bCs/>
                <w:spacing w:val="7"/>
                <w:kern w:val="0"/>
                <w:sz w:val="32"/>
                <w:szCs w:val="32"/>
                <w:highlight w:val="none"/>
                <w:fitText w:val="3200" w:id="553343314"/>
              </w:rPr>
              <w:t>电 子 备 案 编 号</w:t>
            </w:r>
            <w:r>
              <w:rPr>
                <w:rFonts w:hint="eastAsia" w:ascii="楷体" w:hAnsi="楷体" w:eastAsia="楷体"/>
                <w:b/>
                <w:bCs/>
                <w:spacing w:val="3"/>
                <w:kern w:val="0"/>
                <w:sz w:val="32"/>
                <w:szCs w:val="32"/>
                <w:highlight w:val="none"/>
                <w:fitText w:val="3200" w:id="553343314"/>
              </w:rPr>
              <w:t>：</w:t>
            </w:r>
          </w:p>
        </w:tc>
        <w:tc>
          <w:tcPr>
            <w:tcW w:w="6377" w:type="dxa"/>
            <w:vAlign w:val="center"/>
          </w:tcPr>
          <w:p w14:paraId="6090D46E">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default" w:ascii="楷体" w:hAnsi="楷体" w:eastAsia="楷体" w:cs="Times New Roman"/>
                <w:color w:val="auto"/>
                <w:spacing w:val="14"/>
                <w:kern w:val="2"/>
                <w:sz w:val="32"/>
                <w:szCs w:val="32"/>
                <w:highlight w:val="none"/>
                <w:lang w:val="en-US" w:eastAsia="zh-CN" w:bidi="ar-SA"/>
              </w:rPr>
            </w:pPr>
            <w:r>
              <w:rPr>
                <w:rFonts w:hint="eastAsia" w:ascii="楷体" w:hAnsi="楷体" w:eastAsia="楷体" w:cs="Times New Roman"/>
                <w:color w:val="auto"/>
                <w:spacing w:val="14"/>
                <w:kern w:val="2"/>
                <w:sz w:val="32"/>
                <w:szCs w:val="32"/>
                <w:highlight w:val="none"/>
                <w:lang w:val="en-US" w:eastAsia="zh-CN" w:bidi="ar-SA"/>
              </w:rPr>
              <w:t>详见备案页</w:t>
            </w:r>
          </w:p>
        </w:tc>
      </w:tr>
      <w:tr w14:paraId="3D671817">
        <w:tblPrEx>
          <w:tblCellMar>
            <w:top w:w="0" w:type="dxa"/>
            <w:left w:w="108" w:type="dxa"/>
            <w:bottom w:w="0" w:type="dxa"/>
            <w:right w:w="108" w:type="dxa"/>
          </w:tblCellMar>
        </w:tblPrEx>
        <w:trPr>
          <w:trHeight w:val="1134" w:hRule="atLeast"/>
        </w:trPr>
        <w:tc>
          <w:tcPr>
            <w:tcW w:w="3364" w:type="dxa"/>
            <w:vAlign w:val="center"/>
          </w:tcPr>
          <w:p w14:paraId="43AE1BDC">
            <w:pPr>
              <w:pStyle w:val="8"/>
              <w:keepNext w:val="0"/>
              <w:keepLines w:val="0"/>
              <w:pageBreakBefore w:val="0"/>
              <w:widowControl w:val="0"/>
              <w:kinsoku/>
              <w:wordWrap/>
              <w:overflowPunct/>
              <w:topLinePunct w:val="0"/>
              <w:autoSpaceDE/>
              <w:autoSpaceDN/>
              <w:bidi w:val="0"/>
              <w:spacing w:line="480" w:lineRule="exact"/>
              <w:ind w:left="0" w:leftChars="0" w:right="0" w:rightChars="0"/>
              <w:jc w:val="both"/>
              <w:textAlignment w:val="auto"/>
              <w:rPr>
                <w:rFonts w:ascii="楷体" w:hAnsi="楷体" w:eastAsia="楷体" w:cs="Times New Roman"/>
                <w:b/>
                <w:bCs/>
                <w:spacing w:val="14"/>
                <w:sz w:val="32"/>
                <w:szCs w:val="32"/>
                <w:highlight w:val="none"/>
              </w:rPr>
            </w:pPr>
            <w:r>
              <w:rPr>
                <w:rFonts w:hint="eastAsia" w:ascii="楷体" w:hAnsi="楷体" w:eastAsia="楷体"/>
                <w:b/>
                <w:bCs/>
                <w:spacing w:val="20"/>
                <w:kern w:val="0"/>
                <w:sz w:val="32"/>
                <w:szCs w:val="32"/>
                <w:highlight w:val="none"/>
                <w:fitText w:val="3200" w:id="1022711215"/>
              </w:rPr>
              <w:t>提交估价报告日期</w:t>
            </w:r>
            <w:r>
              <w:rPr>
                <w:rFonts w:hint="eastAsia" w:ascii="楷体" w:hAnsi="楷体" w:eastAsia="楷体"/>
                <w:b/>
                <w:bCs/>
                <w:spacing w:val="0"/>
                <w:kern w:val="0"/>
                <w:sz w:val="32"/>
                <w:szCs w:val="32"/>
                <w:highlight w:val="none"/>
                <w:fitText w:val="3200" w:id="1022711215"/>
              </w:rPr>
              <w:t>：</w:t>
            </w:r>
          </w:p>
        </w:tc>
        <w:tc>
          <w:tcPr>
            <w:tcW w:w="6377" w:type="dxa"/>
            <w:vAlign w:val="center"/>
          </w:tcPr>
          <w:p w14:paraId="3534AD05">
            <w:pPr>
              <w:pStyle w:val="8"/>
              <w:keepNext w:val="0"/>
              <w:keepLines w:val="0"/>
              <w:pageBreakBefore w:val="0"/>
              <w:widowControl w:val="0"/>
              <w:suppressLineNumbers w:val="0"/>
              <w:tabs>
                <w:tab w:val="left" w:pos="0"/>
                <w:tab w:val="left" w:pos="2340"/>
                <w:tab w:val="left" w:pos="2745"/>
                <w:tab w:val="left" w:pos="3030"/>
                <w:tab w:val="left" w:pos="3180"/>
              </w:tabs>
              <w:kinsoku/>
              <w:wordWrap/>
              <w:overflowPunct/>
              <w:topLinePunct w:val="0"/>
              <w:autoSpaceDE/>
              <w:autoSpaceDN/>
              <w:bidi w:val="0"/>
              <w:adjustRightInd w:val="0"/>
              <w:snapToGrid w:val="0"/>
              <w:spacing w:before="0" w:beforeAutospacing="0" w:after="0" w:afterAutospacing="0" w:line="480" w:lineRule="exact"/>
              <w:ind w:left="0" w:leftChars="0" w:right="0" w:rightChars="0"/>
              <w:jc w:val="both"/>
              <w:textAlignment w:val="auto"/>
              <w:rPr>
                <w:rFonts w:hint="eastAsia" w:ascii="楷体" w:hAnsi="楷体" w:eastAsia="楷体" w:cs="楷体"/>
                <w:spacing w:val="-20"/>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61B3D96C">
      <w:pPr>
        <w:rPr>
          <w:highlight w:val="none"/>
        </w:rPr>
      </w:pPr>
      <w:r>
        <w:rPr>
          <w:highlight w:val="none"/>
        </w:rPr>
        <w:br w:type="page"/>
      </w:r>
    </w:p>
    <w:p w14:paraId="7745CF90">
      <w:pPr>
        <w:pStyle w:val="16"/>
        <w:spacing w:line="360" w:lineRule="auto"/>
        <w:outlineLvl w:val="0"/>
        <w:rPr>
          <w:rFonts w:hint="eastAsia" w:asciiTheme="majorEastAsia" w:hAnsiTheme="majorEastAsia" w:eastAsiaTheme="majorEastAsia" w:cstheme="majorEastAsia"/>
          <w:color w:val="auto"/>
          <w:sz w:val="32"/>
          <w:szCs w:val="32"/>
          <w:highlight w:val="none"/>
        </w:rPr>
      </w:pPr>
      <w:r>
        <w:rPr>
          <w:rFonts w:hint="eastAsia" w:asciiTheme="majorEastAsia" w:hAnsiTheme="majorEastAsia" w:eastAsiaTheme="majorEastAsia" w:cstheme="majorEastAsia"/>
          <w:b/>
          <w:bCs/>
          <w:color w:val="auto"/>
          <w:sz w:val="32"/>
          <w:szCs w:val="32"/>
          <w:highlight w:val="none"/>
        </w:rPr>
        <w:t>土 地 估 价 报 告</w:t>
      </w:r>
    </w:p>
    <w:p w14:paraId="332B4298">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摘要</w:t>
      </w:r>
    </w:p>
    <w:p w14:paraId="7520881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0E56D6DF">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 w:val="0"/>
          <w:bCs/>
          <w:color w:val="auto"/>
          <w:kern w:val="2"/>
          <w:sz w:val="28"/>
          <w:szCs w:val="28"/>
          <w:highlight w:val="none"/>
          <w:lang w:val="en-GB" w:eastAsia="zh-CN" w:bidi="ar-SA"/>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p>
    <w:p w14:paraId="6CB2082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委托估价方</w:t>
      </w:r>
    </w:p>
    <w:p w14:paraId="0E53D9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道县自然资源局</w:t>
      </w:r>
    </w:p>
    <w:p w14:paraId="14029CA1">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估价目的</w:t>
      </w:r>
    </w:p>
    <w:p w14:paraId="1E81270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highlight w:val="none"/>
          <w:lang w:val="en-GB" w:eastAsia="zh-CN"/>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5B9409D7">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7043E5A">
      <w:pPr>
        <w:keepNext w:val="0"/>
        <w:keepLines w:val="0"/>
        <w:pageBreakBefore w:val="0"/>
        <w:widowControl w:val="0"/>
        <w:numPr>
          <w:ilvl w:val="0"/>
          <w:numId w:val="1"/>
        </w:numPr>
        <w:kinsoku/>
        <w:wordWrap/>
        <w:overflowPunct/>
        <w:topLinePunct w:val="0"/>
        <w:autoSpaceDE/>
        <w:autoSpaceDN/>
        <w:bidi w:val="0"/>
        <w:adjustRightInd w:val="0"/>
        <w:snapToGrid w:val="0"/>
        <w:spacing w:line="48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18</w:t>
      </w:r>
      <w:r>
        <w:rPr>
          <w:rFonts w:hint="eastAsia" w:ascii="仿宋_GB2312" w:eastAsia="仿宋_GB2312"/>
          <w:color w:val="000000" w:themeColor="text1"/>
          <w:sz w:val="28"/>
          <w:szCs w:val="28"/>
          <w:highlight w:val="none"/>
          <w:lang w:eastAsia="zh-CN"/>
          <w14:textFill>
            <w14:solidFill>
              <w14:schemeClr w14:val="tx1"/>
            </w14:solidFill>
          </w14:textFill>
        </w:rPr>
        <w:t>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CE0776C">
      <w:pPr>
        <w:keepNext w:val="0"/>
        <w:keepLines w:val="0"/>
        <w:pageBreakBefore w:val="0"/>
        <w:widowControl w:val="0"/>
        <w:numPr>
          <w:ilvl w:val="0"/>
          <w:numId w:val="1"/>
        </w:numPr>
        <w:kinsoku/>
        <w:wordWrap/>
        <w:overflowPunct/>
        <w:topLinePunct w:val="0"/>
        <w:autoSpaceDE/>
        <w:autoSpaceDN/>
        <w:bidi w:val="0"/>
        <w:adjustRightInd w:val="0"/>
        <w:snapToGrid w:val="0"/>
        <w:spacing w:line="460" w:lineRule="exact"/>
        <w:ind w:left="0" w:leftChars="0"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地价定义</w:t>
      </w:r>
    </w:p>
    <w:p w14:paraId="73AEC22F">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3F4604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0348CE3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804656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33E3160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7829BA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A331A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9E136C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0949C9E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4AD950F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1A4664D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7EED22E6">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14F791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45A06A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495CD9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356927C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3AE09B90">
      <w:pPr>
        <w:keepNext w:val="0"/>
        <w:keepLines w:val="0"/>
        <w:pageBreakBefore w:val="0"/>
        <w:widowControl/>
        <w:kinsoku/>
        <w:wordWrap/>
        <w:overflowPunct/>
        <w:topLinePunct w:val="0"/>
        <w:autoSpaceDE/>
        <w:autoSpaceDN/>
        <w:bidi w:val="0"/>
        <w:adjustRightInd/>
        <w:snapToGrid/>
        <w:spacing w:line="240" w:lineRule="auto"/>
        <w:ind w:firstLine="0" w:firstLineChars="0"/>
        <w:textAlignment w:val="auto"/>
        <w:outlineLvl w:val="9"/>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5EF160B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14:paraId="1E764E5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35F9A0E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7958C84D">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34045D9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E4E6D2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659ED78B">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4C32D361">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474F6A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5E5DA2E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比”，道县未公布协议出让最低价标准，</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道县城镇基准地价估价期日为2019年5月1日，本次估价期日为2026年5月18日，距估价期日超过六年，其基准地价已不具有现势性。</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55F52877">
      <w:pPr>
        <w:keepNext w:val="0"/>
        <w:keepLines w:val="0"/>
        <w:pageBreakBefore w:val="0"/>
        <w:widowControl w:val="0"/>
        <w:kinsoku/>
        <w:wordWrap/>
        <w:overflowPunct/>
        <w:topLinePunct w:val="0"/>
        <w:autoSpaceDE w:val="0"/>
        <w:autoSpaceDN w:val="0"/>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0E9A691">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38E2EB94">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5B77391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23FD04FA">
      <w:pPr>
        <w:keepNext w:val="0"/>
        <w:keepLines w:val="0"/>
        <w:pageBreakBefore w:val="0"/>
        <w:widowControl w:val="0"/>
        <w:kinsoku/>
        <w:wordWrap/>
        <w:overflowPunct/>
        <w:topLinePunct w:val="0"/>
        <w:autoSpaceDE/>
        <w:autoSpaceDN/>
        <w:bidi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55467371">
      <w:pPr>
        <w:rPr>
          <w:rFonts w:hint="eastAsia" w:cs="仿宋_GB2312"/>
          <w:b/>
          <w:bCs w:val="0"/>
          <w:color w:val="auto"/>
          <w:kern w:val="2"/>
          <w:sz w:val="28"/>
          <w:szCs w:val="28"/>
          <w:highlight w:val="none"/>
          <w:lang w:val="en-US" w:eastAsia="zh-CN" w:bidi="ar-SA"/>
        </w:rPr>
      </w:pPr>
      <w:r>
        <w:rPr>
          <w:rFonts w:hint="eastAsia" w:cs="仿宋_GB2312"/>
          <w:b/>
          <w:bCs w:val="0"/>
          <w:color w:val="auto"/>
          <w:kern w:val="2"/>
          <w:sz w:val="28"/>
          <w:szCs w:val="28"/>
          <w:highlight w:val="none"/>
          <w:lang w:val="en-US" w:eastAsia="zh-CN" w:bidi="ar-SA"/>
        </w:rPr>
        <w:br w:type="page"/>
      </w:r>
    </w:p>
    <w:p w14:paraId="51D26560">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cs="仿宋_GB2312"/>
          <w:b/>
          <w:bCs w:val="0"/>
          <w:color w:val="auto"/>
          <w:kern w:val="2"/>
          <w:sz w:val="28"/>
          <w:szCs w:val="28"/>
          <w:highlight w:val="none"/>
          <w:lang w:val="en-US" w:eastAsia="zh-CN" w:bidi="ar-SA"/>
        </w:rPr>
        <w:t>八</w:t>
      </w:r>
      <w:r>
        <w:rPr>
          <w:rFonts w:hint="default" w:ascii="仿宋_GB2312" w:hAnsi="仿宋_GB2312" w:eastAsia="仿宋_GB2312" w:cs="仿宋_GB2312"/>
          <w:b/>
          <w:bCs w:val="0"/>
          <w:color w:val="auto"/>
          <w:kern w:val="2"/>
          <w:sz w:val="28"/>
          <w:szCs w:val="28"/>
          <w:highlight w:val="none"/>
          <w:lang w:val="en-GB" w:eastAsia="zh-CN" w:bidi="ar-SA"/>
        </w:rPr>
        <w:t>、土地估价师签字</w:t>
      </w:r>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671F22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29BA3D6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0053050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5BDF0C0">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5A10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0D7C2204">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57976F1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0C186C9">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BF1B4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24DAFAA8">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5EEEC8D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48B969D1">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10B609FD">
      <w:pPr>
        <w:keepLines w:val="0"/>
        <w:pageBreakBefore w:val="0"/>
        <w:widowControl w:val="0"/>
        <w:kinsoku/>
        <w:wordWrap/>
        <w:overflowPunct/>
        <w:topLinePunct w:val="0"/>
        <w:autoSpaceDE/>
        <w:autoSpaceDN/>
        <w:bidi w:val="0"/>
        <w:spacing w:line="480" w:lineRule="exact"/>
        <w:ind w:right="0"/>
        <w:textAlignment w:val="auto"/>
        <w:rPr>
          <w:rFonts w:hint="eastAsia" w:ascii="仿宋_GB2312" w:hAnsi="仿宋_GB2312" w:eastAsia="仿宋_GB2312" w:cs="仿宋_GB2312"/>
          <w:b/>
          <w:bCs w:val="0"/>
          <w:color w:val="auto"/>
          <w:kern w:val="2"/>
          <w:sz w:val="28"/>
          <w:szCs w:val="28"/>
          <w:highlight w:val="none"/>
          <w:lang w:val="en-US" w:eastAsia="zh-CN" w:bidi="ar-SA"/>
        </w:rPr>
      </w:pPr>
    </w:p>
    <w:p w14:paraId="71CD56EB">
      <w:pPr>
        <w:keepLines w:val="0"/>
        <w:pageBreakBefore w:val="0"/>
        <w:widowControl w:val="0"/>
        <w:numPr>
          <w:ilvl w:val="0"/>
          <w:numId w:val="0"/>
        </w:numPr>
        <w:kinsoku/>
        <w:wordWrap/>
        <w:overflowPunct/>
        <w:topLinePunct w:val="0"/>
        <w:autoSpaceDE/>
        <w:autoSpaceDN/>
        <w:bidi w:val="0"/>
        <w:spacing w:line="480" w:lineRule="exact"/>
        <w:ind w:left="420" w:leftChars="0" w:right="0" w:rightChars="0" w:firstLine="0" w:firstLineChars="0"/>
        <w:textAlignment w:val="auto"/>
        <w:outlineLvl w:val="1"/>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
          <w:bCs w:val="0"/>
          <w:color w:val="auto"/>
          <w:kern w:val="2"/>
          <w:sz w:val="28"/>
          <w:szCs w:val="28"/>
          <w:highlight w:val="none"/>
          <w:lang w:val="en-GB" w:eastAsia="zh-CN" w:bidi="ar-SA"/>
        </w:rPr>
        <w:t>九、</w:t>
      </w:r>
      <w:r>
        <w:rPr>
          <w:rFonts w:hint="default" w:ascii="仿宋_GB2312" w:hAnsi="仿宋_GB2312" w:eastAsia="仿宋_GB2312" w:cs="仿宋_GB2312"/>
          <w:b/>
          <w:bCs w:val="0"/>
          <w:color w:val="auto"/>
          <w:kern w:val="2"/>
          <w:sz w:val="28"/>
          <w:szCs w:val="28"/>
          <w:highlight w:val="none"/>
          <w:lang w:val="en-GB" w:eastAsia="zh-CN" w:bidi="ar-SA"/>
        </w:rPr>
        <w:t xml:space="preserve">土地估价机构 </w:t>
      </w:r>
      <w:r>
        <w:rPr>
          <w:rFonts w:hint="default" w:ascii="仿宋_GB2312" w:hAnsi="仿宋_GB2312" w:eastAsia="仿宋_GB2312" w:cs="仿宋_GB2312"/>
          <w:bCs/>
          <w:color w:val="auto"/>
          <w:kern w:val="2"/>
          <w:sz w:val="28"/>
          <w:szCs w:val="28"/>
          <w:highlight w:val="none"/>
          <w:lang w:val="en-GB" w:eastAsia="zh-CN" w:bidi="ar-SA"/>
        </w:rPr>
        <w:t xml:space="preserve">               </w:t>
      </w:r>
    </w:p>
    <w:p w14:paraId="6A92D85F">
      <w:pPr>
        <w:keepLines w:val="0"/>
        <w:pageBreakBefore w:val="0"/>
        <w:widowControl w:val="0"/>
        <w:numPr>
          <w:ilvl w:val="0"/>
          <w:numId w:val="0"/>
        </w:numPr>
        <w:kinsoku/>
        <w:wordWrap/>
        <w:overflowPunct/>
        <w:topLinePunct w:val="0"/>
        <w:autoSpaceDE/>
        <w:autoSpaceDN/>
        <w:bidi w:val="0"/>
        <w:spacing w:line="480" w:lineRule="exact"/>
        <w:ind w:right="0" w:rightChars="0"/>
        <w:textAlignment w:val="auto"/>
        <w:rPr>
          <w:rFonts w:ascii="仿宋_GB2312" w:eastAsia="仿宋_GB2312"/>
          <w:sz w:val="28"/>
          <w:highlight w:val="none"/>
        </w:rPr>
      </w:pPr>
      <w:r>
        <w:rPr>
          <w:rFonts w:hint="eastAsia" w:ascii="仿宋_GB2312" w:eastAsia="仿宋_GB2312"/>
          <w:sz w:val="28"/>
          <w:highlight w:val="none"/>
        </w:rPr>
        <w:t>估价机构法定代表人签字：</w:t>
      </w:r>
    </w:p>
    <w:p w14:paraId="7FFF3DE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250D1A78">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4C2F53E9">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rPr>
          <w:rFonts w:ascii="仿宋_GB2312" w:eastAsia="仿宋_GB2312"/>
          <w:sz w:val="28"/>
          <w:highlight w:val="none"/>
        </w:rPr>
      </w:pPr>
    </w:p>
    <w:p w14:paraId="1AB0E3CD">
      <w:pPr>
        <w:keepNext w:val="0"/>
        <w:keepLines w:val="0"/>
        <w:pageBreakBefore w:val="0"/>
        <w:widowControl w:val="0"/>
        <w:kinsoku/>
        <w:wordWrap/>
        <w:overflowPunct/>
        <w:topLinePunct w:val="0"/>
        <w:autoSpaceDE/>
        <w:autoSpaceDN/>
        <w:bidi w:val="0"/>
        <w:adjustRightInd/>
        <w:snapToGrid/>
        <w:spacing w:line="480" w:lineRule="exact"/>
        <w:ind w:right="140"/>
        <w:jc w:val="right"/>
        <w:textAlignment w:val="auto"/>
        <w:outlineLvl w:val="9"/>
        <w:rPr>
          <w:rFonts w:hint="eastAsia" w:ascii="仿宋_GB2312" w:eastAsia="仿宋_GB2312"/>
          <w:sz w:val="28"/>
          <w:highlight w:val="none"/>
          <w:lang w:eastAsia="zh-CN"/>
        </w:rPr>
      </w:pPr>
      <w:r>
        <w:rPr>
          <w:rFonts w:hint="eastAsia" w:ascii="仿宋_GB2312" w:eastAsia="仿宋_GB2312"/>
          <w:sz w:val="28"/>
          <w:highlight w:val="none"/>
          <w:lang w:eastAsia="zh-CN"/>
        </w:rPr>
        <w:t>湖南兆财不动产规划评估有限公司</w:t>
      </w:r>
    </w:p>
    <w:p w14:paraId="1415DA4E">
      <w:pPr>
        <w:pStyle w:val="11"/>
        <w:jc w:val="right"/>
        <w:rPr>
          <w:highlight w:val="none"/>
        </w:rPr>
      </w:pPr>
      <w:r>
        <w:rPr>
          <w:rFonts w:hint="eastAsia"/>
          <w:highlight w:val="none"/>
        </w:rPr>
        <w:t xml:space="preserve">                              </w:t>
      </w:r>
      <w:r>
        <w:rPr>
          <w:rFonts w:hint="eastAsia"/>
          <w:highlight w:val="none"/>
          <w:lang w:val="en-US" w:eastAsia="zh-CN"/>
        </w:rPr>
        <w:t xml:space="preserve"> </w:t>
      </w:r>
      <w:r>
        <w:rPr>
          <w:rFonts w:hint="eastAsia" w:ascii="仿宋_GB2312" w:hAnsi="仿宋_GB2312" w:eastAsia="仿宋_GB2312" w:cs="仿宋_GB2312"/>
          <w:bCs/>
          <w:color w:val="auto"/>
          <w:kern w:val="2"/>
          <w:sz w:val="28"/>
          <w:szCs w:val="28"/>
          <w:highlight w:val="none"/>
          <w:lang w:val="en-US" w:eastAsia="zh-CN" w:bidi="ar-SA"/>
        </w:rPr>
        <w:t>二〇二</w:t>
      </w:r>
      <w:r>
        <w:rPr>
          <w:rFonts w:hint="eastAsia" w:ascii="仿宋_GB2312" w:hAnsi="仿宋_GB2312" w:cs="仿宋_GB2312"/>
          <w:bCs/>
          <w:color w:val="auto"/>
          <w:kern w:val="2"/>
          <w:sz w:val="28"/>
          <w:szCs w:val="28"/>
          <w:highlight w:val="none"/>
          <w:lang w:val="en-US" w:eastAsia="zh-CN" w:bidi="ar-SA"/>
        </w:rPr>
        <w:t>六</w:t>
      </w:r>
      <w:r>
        <w:rPr>
          <w:rFonts w:hint="eastAsia" w:ascii="仿宋_GB2312" w:hAnsi="仿宋_GB2312" w:eastAsia="仿宋_GB2312" w:cs="仿宋_GB2312"/>
          <w:bCs/>
          <w:color w:val="auto"/>
          <w:kern w:val="2"/>
          <w:sz w:val="28"/>
          <w:szCs w:val="28"/>
          <w:highlight w:val="none"/>
          <w:lang w:val="en-US" w:eastAsia="zh-CN" w:bidi="ar-SA"/>
        </w:rPr>
        <w:t>年</w:t>
      </w:r>
      <w:r>
        <w:rPr>
          <w:rFonts w:hint="eastAsia" w:ascii="仿宋_GB2312" w:hAnsi="仿宋_GB2312" w:cs="仿宋_GB2312"/>
          <w:bCs/>
          <w:color w:val="auto"/>
          <w:kern w:val="2"/>
          <w:sz w:val="28"/>
          <w:szCs w:val="28"/>
          <w:highlight w:val="none"/>
          <w:lang w:val="en-US" w:eastAsia="zh-CN" w:bidi="ar-SA"/>
        </w:rPr>
        <w:t>五</w:t>
      </w:r>
      <w:r>
        <w:rPr>
          <w:rFonts w:hint="eastAsia" w:ascii="仿宋_GB2312" w:hAnsi="仿宋_GB2312" w:eastAsia="仿宋_GB2312" w:cs="仿宋_GB2312"/>
          <w:bCs/>
          <w:color w:val="auto"/>
          <w:kern w:val="2"/>
          <w:sz w:val="28"/>
          <w:szCs w:val="28"/>
          <w:highlight w:val="none"/>
          <w:lang w:val="en-US" w:eastAsia="zh-CN" w:bidi="ar-SA"/>
        </w:rPr>
        <w:t>月</w:t>
      </w:r>
      <w:r>
        <w:rPr>
          <w:rFonts w:hint="eastAsia" w:ascii="仿宋_GB2312" w:hAnsi="仿宋_GB2312" w:cs="仿宋_GB2312"/>
          <w:bCs/>
          <w:color w:val="auto"/>
          <w:kern w:val="2"/>
          <w:sz w:val="28"/>
          <w:szCs w:val="28"/>
          <w:highlight w:val="none"/>
          <w:lang w:val="en-US" w:eastAsia="zh-CN" w:bidi="ar-SA"/>
        </w:rPr>
        <w:t>二十</w:t>
      </w:r>
      <w:r>
        <w:rPr>
          <w:rFonts w:hint="eastAsia" w:ascii="仿宋_GB2312" w:hAnsi="仿宋_GB2312" w:eastAsia="仿宋_GB2312" w:cs="仿宋_GB2312"/>
          <w:bCs/>
          <w:color w:val="auto"/>
          <w:kern w:val="2"/>
          <w:sz w:val="28"/>
          <w:szCs w:val="28"/>
          <w:highlight w:val="none"/>
          <w:lang w:val="en-US" w:eastAsia="zh-CN" w:bidi="ar-SA"/>
        </w:rPr>
        <w:t>日</w:t>
      </w:r>
    </w:p>
    <w:p w14:paraId="1C5C89C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仿宋_GB2312" w:eastAsia="仿宋_GB2312" w:cs="仿宋_GB2312"/>
          <w:b/>
          <w:bCs w:val="0"/>
          <w:color w:val="auto"/>
          <w:sz w:val="28"/>
          <w:szCs w:val="28"/>
          <w:highlight w:val="none"/>
          <w:lang w:val="en-GB" w:eastAsia="zh-CN"/>
        </w:rPr>
      </w:pPr>
    </w:p>
    <w:p w14:paraId="50F0D111">
      <w:pPr>
        <w:pStyle w:val="18"/>
        <w:rPr>
          <w:rFonts w:hint="eastAsia" w:ascii="仿宋_GB2312" w:hAnsi="仿宋_GB2312" w:eastAsia="仿宋_GB2312" w:cs="仿宋_GB2312"/>
          <w:b/>
          <w:bCs w:val="0"/>
          <w:color w:val="auto"/>
          <w:sz w:val="28"/>
          <w:szCs w:val="28"/>
          <w:highlight w:val="none"/>
          <w:lang w:val="en-GB" w:eastAsia="zh-CN"/>
        </w:rPr>
      </w:pPr>
    </w:p>
    <w:p w14:paraId="20B646EF">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1A1A35EF">
      <w:pPr>
        <w:rPr>
          <w:rFonts w:hint="eastAsia" w:ascii="仿宋_GB2312" w:hAnsi="仿宋_GB2312" w:eastAsia="仿宋_GB2312" w:cs="仿宋_GB2312"/>
          <w:bCs/>
          <w:color w:val="auto"/>
          <w:sz w:val="21"/>
          <w:szCs w:val="21"/>
          <w:highlight w:val="none"/>
          <w:lang w:val="en-US" w:eastAsia="zh-CN"/>
        </w:rPr>
        <w:sectPr>
          <w:headerReference r:id="rId4" w:type="first"/>
          <w:footerReference r:id="rId6" w:type="first"/>
          <w:headerReference r:id="rId3" w:type="default"/>
          <w:footerReference r:id="rId5" w:type="default"/>
          <w:pgSz w:w="11906" w:h="16838"/>
          <w:pgMar w:top="1440" w:right="1800" w:bottom="1440" w:left="1800" w:header="851" w:footer="992" w:gutter="0"/>
          <w:pgNumType w:fmt="decimal"/>
          <w:cols w:space="0" w:num="1"/>
          <w:titlePg/>
          <w:rtlGutter w:val="0"/>
          <w:docGrid w:type="lines" w:linePitch="312" w:charSpace="0"/>
        </w:sectPr>
      </w:pPr>
    </w:p>
    <w:p w14:paraId="0CF0DCC1">
      <w:pPr>
        <w:keepNext w:val="0"/>
        <w:keepLines w:val="0"/>
        <w:pageBreakBefore w:val="0"/>
        <w:widowControl w:val="0"/>
        <w:kinsoku/>
        <w:wordWrap/>
        <w:overflowPunct/>
        <w:topLinePunct w:val="0"/>
        <w:autoSpaceDE/>
        <w:autoSpaceDN/>
        <w:bidi w:val="0"/>
        <w:adjustRightInd w:val="0"/>
        <w:snapToGrid w:val="0"/>
        <w:spacing w:line="360" w:lineRule="auto"/>
        <w:ind w:left="0" w:hanging="537" w:hangingChars="192"/>
        <w:jc w:val="center"/>
        <w:textAlignment w:val="auto"/>
        <w:outlineLvl w:val="2"/>
        <w:rPr>
          <w:rFonts w:hint="default" w:ascii="仿宋_GB2312" w:eastAsia="仿宋_GB2312"/>
          <w:b/>
          <w:bCs/>
          <w:sz w:val="28"/>
          <w:highlight w:val="none"/>
          <w:lang w:val="en-US" w:eastAsia="zh-CN"/>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r>
        <w:rPr>
          <w:rFonts w:hint="eastAsia" w:ascii="仿宋_GB2312" w:eastAsia="仿宋_GB2312"/>
          <w:b/>
          <w:bCs/>
          <w:sz w:val="28"/>
          <w:highlight w:val="none"/>
          <w:lang w:val="en-US" w:eastAsia="zh-CN"/>
        </w:rPr>
        <w:t xml:space="preserve">  </w:t>
      </w:r>
    </w:p>
    <w:p w14:paraId="170F58C6">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44C42AC6">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估</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6E40A4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0B3E8E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0A0EBD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7891DF7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7785B2A9">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7B088AA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0B559232">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107270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7E44F5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18088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1F929E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2BD05FC0">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w:t>
      </w:r>
      <w:bookmarkStart w:id="0" w:name="_Hlk53237488"/>
      <w:r>
        <w:rPr>
          <w:rFonts w:hint="eastAsia" w:ascii="仿宋_GB2312" w:hAnsi="仿宋_GB2312" w:eastAsia="仿宋_GB2312" w:cs="仿宋_GB2312"/>
          <w:bCs/>
          <w:color w:val="auto"/>
          <w:kern w:val="2"/>
          <w:sz w:val="21"/>
          <w:szCs w:val="21"/>
          <w:highlight w:val="none"/>
          <w:lang w:val="en-GB" w:eastAsia="zh-CN" w:bidi="ar-SA"/>
        </w:rPr>
        <w:t>评估价格</w:t>
      </w:r>
      <w:bookmarkStart w:id="1" w:name="_Hlk53238728"/>
      <w:r>
        <w:rPr>
          <w:rFonts w:hint="eastAsia" w:ascii="仿宋_GB2312" w:hAnsi="仿宋_GB2312" w:eastAsia="仿宋_GB2312" w:cs="仿宋_GB2312"/>
          <w:bCs/>
          <w:color w:val="auto"/>
          <w:kern w:val="2"/>
          <w:sz w:val="21"/>
          <w:szCs w:val="21"/>
          <w:highlight w:val="none"/>
          <w:lang w:val="en-GB" w:eastAsia="zh-CN" w:bidi="ar-SA"/>
        </w:rPr>
        <w:t>仅为委托方了解土地使用权价值提供客观、公正、合理的价格参考依据</w:t>
      </w:r>
      <w:bookmarkEnd w:id="1"/>
      <w:r>
        <w:rPr>
          <w:rFonts w:hint="eastAsia" w:ascii="仿宋_GB2312" w:hAnsi="仿宋_GB2312" w:eastAsia="仿宋_GB2312" w:cs="仿宋_GB2312"/>
          <w:bCs/>
          <w:color w:val="auto"/>
          <w:kern w:val="2"/>
          <w:sz w:val="21"/>
          <w:szCs w:val="21"/>
          <w:highlight w:val="none"/>
          <w:lang w:val="en-GB" w:eastAsia="zh-CN" w:bidi="ar-SA"/>
        </w:rPr>
        <w:t>。</w:t>
      </w:r>
      <w:bookmarkEnd w:id="0"/>
    </w:p>
    <w:p w14:paraId="1E8FF51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3F5DBB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6D192CD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三</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lang w:eastAsia="zh-CN"/>
        </w:r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1890A5BA">
      <w:pPr>
        <w:pStyle w:val="18"/>
        <w:keepNext w:val="0"/>
        <w:keepLines w:val="0"/>
        <w:pageBreakBefore w:val="0"/>
        <w:widowControl w:val="0"/>
        <w:kinsoku/>
        <w:wordWrap/>
        <w:overflowPunct/>
        <w:topLinePunct w:val="0"/>
        <w:autoSpaceDE/>
        <w:autoSpaceDN/>
        <w:bidi w:val="0"/>
        <w:adjustRightInd/>
        <w:snapToGrid/>
        <w:spacing w:line="220" w:lineRule="exact"/>
        <w:textAlignment w:val="auto"/>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p>
    <w:p w14:paraId="097071E2">
      <w:pPr>
        <w:jc w:val="center"/>
        <w:outlineLvl w:val="0"/>
        <w:rPr>
          <w:rFonts w:hint="eastAsia" w:ascii="宋体" w:hAnsi="宋体" w:eastAsia="宋体" w:cs="宋体"/>
          <w:b/>
          <w:color w:val="auto"/>
          <w:sz w:val="32"/>
          <w:szCs w:val="32"/>
          <w:highlight w:val="none"/>
          <w:lang w:eastAsia="zh-CN"/>
        </w:rPr>
      </w:pPr>
      <w:bookmarkStart w:id="2" w:name="_Toc27954"/>
      <w:bookmarkStart w:id="3" w:name="_Toc717"/>
      <w:r>
        <w:rPr>
          <w:rFonts w:hint="eastAsia" w:ascii="宋体" w:hAnsi="宋体" w:eastAsia="宋体" w:cs="宋体"/>
          <w:b/>
          <w:color w:val="auto"/>
          <w:sz w:val="32"/>
          <w:szCs w:val="32"/>
          <w:highlight w:val="none"/>
        </w:rPr>
        <w:t>第二部分</w:t>
      </w:r>
      <w:r>
        <w:rPr>
          <w:rFonts w:hint="eastAsia" w:ascii="宋体" w:hAnsi="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估价对象</w:t>
      </w:r>
      <w:bookmarkEnd w:id="2"/>
      <w:bookmarkEnd w:id="3"/>
      <w:r>
        <w:rPr>
          <w:rFonts w:hint="eastAsia" w:ascii="宋体" w:hAnsi="宋体" w:eastAsia="宋体" w:cs="宋体"/>
          <w:b/>
          <w:color w:val="auto"/>
          <w:sz w:val="32"/>
          <w:szCs w:val="32"/>
          <w:highlight w:val="none"/>
          <w:lang w:val="en-US" w:eastAsia="zh-CN"/>
        </w:rPr>
        <w:t>界定</w:t>
      </w:r>
    </w:p>
    <w:p w14:paraId="4A6078FA">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bookmarkStart w:id="4" w:name="_Toc18157"/>
      <w:bookmarkStart w:id="5" w:name="_Toc7689"/>
      <w:r>
        <w:rPr>
          <w:rFonts w:hint="eastAsia" w:ascii="仿宋_GB2312" w:hAnsi="仿宋_GB2312" w:eastAsia="仿宋_GB2312" w:cs="仿宋_GB2312"/>
          <w:b/>
          <w:bCs w:val="0"/>
          <w:color w:val="auto"/>
          <w:kern w:val="2"/>
          <w:sz w:val="28"/>
          <w:szCs w:val="28"/>
          <w:highlight w:val="none"/>
          <w:lang w:val="en-US" w:eastAsia="zh-CN" w:bidi="ar-SA"/>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637DEC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6A91FAE1">
      <w:pPr>
        <w:pStyle w:val="3"/>
        <w:keepLines w:val="0"/>
        <w:pageBreakBefore w:val="0"/>
        <w:widowControl w:val="0"/>
        <w:numPr>
          <w:ilvl w:val="0"/>
          <w:numId w:val="2"/>
        </w:numPr>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位于道县月岩西路的一宗住宅用地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国有建设用地使用权，根据《评估委托书》、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w:t>
      </w:r>
      <w:r>
        <w:rPr>
          <w:rFonts w:hint="eastAsia" w:ascii="仿宋_GB2312" w:hAnsi="仿宋_GB2312" w:eastAsia="仿宋_GB2312" w:cs="仿宋_GB2312"/>
          <w:bCs/>
          <w:color w:val="auto"/>
          <w:sz w:val="28"/>
          <w:szCs w:val="28"/>
          <w:highlight w:val="none"/>
          <w:lang w:val="en-GB" w:eastAsia="zh-CN"/>
        </w:rPr>
        <w:t>《土地分摊表》</w:t>
      </w:r>
      <w:r>
        <w:rPr>
          <w:rFonts w:hint="eastAsia" w:ascii="仿宋_GB2312" w:hAnsi="仿宋_GB2312" w:eastAsia="仿宋_GB2312" w:cs="仿宋_GB2312"/>
          <w:bCs/>
          <w:color w:val="auto"/>
          <w:sz w:val="28"/>
          <w:szCs w:val="28"/>
          <w:highlight w:val="none"/>
          <w:lang w:val="en-US" w:eastAsia="zh-CN"/>
        </w:rPr>
        <w:t>等资料</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土地面积为15.2平方米，设定容积率为4.83，土地用途为住宅用地</w:t>
      </w:r>
      <w:r>
        <w:rPr>
          <w:rFonts w:hint="eastAsia" w:ascii="仿宋_GB2312" w:hAnsi="仿宋_GB2312" w:eastAsia="仿宋_GB2312" w:cs="仿宋_GB2312"/>
          <w:bCs/>
          <w:sz w:val="28"/>
          <w:szCs w:val="28"/>
          <w:highlight w:val="none"/>
          <w:lang w:val="en-US" w:eastAsia="zh-CN"/>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土地开发程度为宗地红线外“五通”（即通路、通电、供水、排水、通讯），宗地红线内场地平整。</w:t>
      </w:r>
    </w:p>
    <w:p w14:paraId="5D8EE0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505F3B7F">
      <w:pPr>
        <w:pStyle w:val="3"/>
        <w:keepLines w:val="0"/>
        <w:pageBreakBefore w:val="0"/>
        <w:widowControl w:val="0"/>
        <w:kinsoku/>
        <w:wordWrap/>
        <w:overflowPunct/>
        <w:topLinePunct w:val="0"/>
        <w:autoSpaceDE/>
        <w:autoSpaceDN/>
        <w:bidi w:val="0"/>
        <w:spacing w:line="480" w:lineRule="exact"/>
        <w:ind w:left="0" w:firstLine="562" w:firstLineChars="200"/>
        <w:jc w:val="left"/>
        <w:textAlignment w:val="auto"/>
        <w:rPr>
          <w:rFonts w:hint="eastAsia" w:ascii="仿宋_GB2312" w:hAnsi="仿宋_GB2312" w:eastAsia="仿宋_GB2312" w:cs="仿宋_GB2312"/>
          <w:b/>
          <w:bCs w:val="0"/>
          <w:color w:val="auto"/>
          <w:kern w:val="2"/>
          <w:sz w:val="28"/>
          <w:szCs w:val="28"/>
          <w:highlight w:val="none"/>
          <w:lang w:val="en-US" w:eastAsia="zh-CN" w:bidi="ar-SA"/>
        </w:rPr>
      </w:pPr>
      <w:r>
        <w:rPr>
          <w:rFonts w:hint="eastAsia" w:ascii="仿宋_GB2312" w:hAnsi="仿宋_GB2312" w:eastAsia="仿宋_GB2312" w:cs="仿宋_GB2312"/>
          <w:b/>
          <w:bCs w:val="0"/>
          <w:color w:val="auto"/>
          <w:kern w:val="2"/>
          <w:sz w:val="28"/>
          <w:szCs w:val="28"/>
          <w:highlight w:val="none"/>
          <w:lang w:val="en-US" w:eastAsia="zh-CN" w:bidi="ar-SA"/>
        </w:rPr>
        <w:t>三、估价对象</w:t>
      </w:r>
      <w:bookmarkEnd w:id="4"/>
      <w:bookmarkEnd w:id="5"/>
      <w:r>
        <w:rPr>
          <w:rFonts w:hint="eastAsia" w:ascii="仿宋_GB2312" w:hAnsi="仿宋_GB2312" w:eastAsia="仿宋_GB2312" w:cs="仿宋_GB2312"/>
          <w:b/>
          <w:bCs w:val="0"/>
          <w:color w:val="auto"/>
          <w:kern w:val="2"/>
          <w:sz w:val="28"/>
          <w:szCs w:val="28"/>
          <w:highlight w:val="none"/>
          <w:lang w:val="en-US" w:eastAsia="zh-CN" w:bidi="ar-SA"/>
        </w:rPr>
        <w:t>概况</w:t>
      </w:r>
    </w:p>
    <w:p w14:paraId="73B5A2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47AEBE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06219E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7A129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2A64C0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706A07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4DC6A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076EF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887CF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6F0B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EFFC03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AA02B8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CB339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A21A9E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2D361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22FFB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67DC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C5AF2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3402D5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9EE6A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700B3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A3B8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371303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11D6D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59097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2FD9B4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0BF6BA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5AB0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C20735F">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7" name="图片 7"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15693E7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8" name="图片 8"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3559D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B6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26AD1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0380685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B328CC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123EFE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309536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77C83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3604DB1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bookmarkStart w:id="6" w:name="_Toc7099"/>
      <w:bookmarkStart w:id="7" w:name="_Toc3816"/>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bookmarkEnd w:id="6"/>
      <w:bookmarkEnd w:id="7"/>
    </w:p>
    <w:p w14:paraId="2DB139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bookmarkStart w:id="8" w:name="_Toc25578"/>
      <w:bookmarkStart w:id="9" w:name="_Toc102987873"/>
      <w:r>
        <w:rPr>
          <w:rFonts w:hint="default" w:ascii="仿宋_GB2312" w:hAnsi="仿宋_GB2312" w:eastAsia="仿宋_GB2312" w:cs="仿宋_GB2312"/>
          <w:bCs/>
          <w:color w:val="auto"/>
          <w:sz w:val="28"/>
          <w:szCs w:val="28"/>
          <w:highlight w:val="none"/>
          <w:lang w:val="en-US" w:eastAsia="zh-CN"/>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30A78C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B10098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bookmarkEnd w:id="8"/>
    <w:bookmarkEnd w:id="9"/>
    <w:p w14:paraId="42C8EF4F">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15AE9EE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47B358D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4BAA926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3B7D81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55EC9A3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rPr>
          <w:rFonts w:hint="eastAsia" w:ascii="仿宋_GB2312" w:hAnsi="Times New Roman" w:eastAsia="仿宋_GB2312" w:cs="Times New Roman"/>
          <w:sz w:val="28"/>
          <w:szCs w:val="30"/>
          <w:highlight w:val="none"/>
          <w:lang w:val="en-US" w:eastAsia="zh-CN"/>
        </w:rPr>
        <w:t>②土地级别：</w:t>
      </w:r>
      <w:r>
        <w:rPr>
          <w:rFonts w:hint="eastAsia" w:ascii="仿宋_GB2312" w:eastAsia="仿宋_GB2312"/>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sz w:val="28"/>
          <w:highlight w:val="none"/>
          <w:lang w:eastAsia="zh-CN"/>
        </w:rPr>
        <w:t>，</w:t>
      </w:r>
      <w:r>
        <w:rPr>
          <w:rFonts w:hint="eastAsia" w:ascii="仿宋_GB2312" w:eastAsia="仿宋_GB2312"/>
          <w:color w:val="000000"/>
          <w:sz w:val="28"/>
          <w:highlight w:val="none"/>
          <w:lang w:val="en-US" w:eastAsia="zh-CN"/>
        </w:rPr>
        <w:t>故暂无土地级别信息</w:t>
      </w:r>
      <w:r>
        <w:rPr>
          <w:rFonts w:hint="eastAsia" w:ascii="仿宋_GB2312" w:hAnsi="Times New Roman" w:eastAsia="仿宋_GB2312" w:cs="Times New Roman"/>
          <w:sz w:val="28"/>
          <w:szCs w:val="30"/>
          <w:highlight w:val="none"/>
          <w:lang w:val="en-US" w:eastAsia="zh-CN"/>
        </w:rPr>
        <w:t>。</w:t>
      </w:r>
    </w:p>
    <w:p w14:paraId="5E9567F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0D2AC43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659010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C429E4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4A85BD6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60A264">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523D1C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0D88CD5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456AF74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680F118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45CC7E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19D8FB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18B9EC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A3D1B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21E2D5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5BAFA0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6D8ED74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263300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60103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37572D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58862B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3B8D5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34C4DD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0CB44E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AE928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091037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171602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607E51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52FD33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55D59C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364019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5C1304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BF01DA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7D8C53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23EACAC">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0FCC2F77">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4934F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37A38D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76410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34E9B7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08CE6E3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9" name="图片 9"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03D2CFA">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0" name="图片 10"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7BCC4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7959C3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27E917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755537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3730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022E1B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0EE625A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EBA7B6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A7E29F">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05C96FA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16EFC0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D7AC5F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8010F06">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9EF1C13">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7" w:type="first"/>
          <w:footerReference r:id="rId8"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53E53173">
      <w:pPr>
        <w:pStyle w:val="17"/>
        <w:spacing w:before="120" w:beforeLines="50" w:after="240" w:afterLines="100" w:line="440" w:lineRule="exact"/>
        <w:ind w:firstLine="0" w:firstLineChars="0"/>
        <w:jc w:val="center"/>
        <w:outlineLvl w:val="0"/>
        <w:rPr>
          <w:rFonts w:hint="default" w:ascii="宋体" w:hAnsi="宋体" w:eastAsia="宋体" w:cs="宋体"/>
          <w:b/>
          <w:color w:val="auto"/>
          <w:sz w:val="32"/>
          <w:szCs w:val="32"/>
          <w:highlight w:val="none"/>
        </w:rPr>
      </w:pPr>
      <w:bookmarkStart w:id="10" w:name="_Toc30245"/>
      <w:bookmarkStart w:id="11" w:name="_Toc8419"/>
      <w:r>
        <w:rPr>
          <w:rFonts w:hint="eastAsia" w:ascii="宋体" w:hAnsi="宋体" w:eastAsia="宋体" w:cs="宋体"/>
          <w:b/>
          <w:color w:val="auto"/>
          <w:sz w:val="32"/>
          <w:szCs w:val="32"/>
          <w:highlight w:val="none"/>
        </w:rPr>
        <w:t>第三部分</w:t>
      </w:r>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土地估价</w:t>
      </w:r>
      <w:bookmarkEnd w:id="10"/>
      <w:bookmarkEnd w:id="11"/>
    </w:p>
    <w:p w14:paraId="792465F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eastAsia="仿宋_GB2312"/>
          <w:b/>
          <w:sz w:val="28"/>
          <w:szCs w:val="28"/>
          <w:highlight w:val="none"/>
          <w:lang w:val="en-US" w:eastAsia="zh-CN"/>
        </w:rPr>
      </w:pPr>
      <w:bookmarkStart w:id="12" w:name="_Toc12507"/>
      <w:bookmarkStart w:id="13" w:name="_Toc26449"/>
      <w:r>
        <w:rPr>
          <w:rFonts w:hint="eastAsia" w:ascii="仿宋_GB2312" w:eastAsia="仿宋_GB2312"/>
          <w:b/>
          <w:sz w:val="28"/>
          <w:szCs w:val="28"/>
          <w:highlight w:val="none"/>
          <w:lang w:val="en-US" w:eastAsia="zh-CN"/>
        </w:rPr>
        <w:t>一、估价依据</w:t>
      </w:r>
    </w:p>
    <w:p w14:paraId="084A7B1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bookmarkStart w:id="14" w:name="_Hlk513795172"/>
    </w:p>
    <w:bookmarkEnd w:id="14"/>
    <w:p w14:paraId="3FBCFFD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7F99CC06">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2F38C0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C9C15D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147DF7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2039CE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7A56265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04CB905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5591F500">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D8DB3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6CA6F72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39590D6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3E0A192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7897EA8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0C0237E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589803F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52EAA4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5F10D7D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20A643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CC1C6F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396BD14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1C35C94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63EB606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6BCB3046">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4C0E30F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7CFC40B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3F63091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26137091">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520E73AB">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1D00B222">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02FB96B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73B7ABA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4F698E1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4FADCE8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6A93E74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34B3580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96B35D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458E9CC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236289F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1B549E9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1894EAD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61DCB76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36C92DB2">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4FB6E02A">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3B33B5B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07A6A5C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4F26DAC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09350EF7">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2A4EE5BE">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7B6E6885">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7122073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734FA8D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550E1A3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619EBD0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DC6CA6D">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bookmarkStart w:id="15" w:name="_Hlk513795195"/>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4405DAF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47FB412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32C2EF4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bookmarkEnd w:id="15"/>
      <w:r>
        <w:rPr>
          <w:rFonts w:hint="eastAsia" w:ascii="仿宋_GB2312" w:hAnsi="仿宋_GB2312" w:eastAsia="仿宋_GB2312" w:cs="仿宋_GB2312"/>
          <w:bCs/>
          <w:iCs/>
          <w:sz w:val="28"/>
          <w:szCs w:val="28"/>
          <w:highlight w:val="none"/>
        </w:rPr>
        <w:t>；</w:t>
      </w:r>
    </w:p>
    <w:p w14:paraId="2C85FBE1">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36ED5E0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7D97CF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4EF972D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1ADBC63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7F0D9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A1D48C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3F32CC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55F1782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2879F08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614632D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二、</w:t>
      </w:r>
      <w:bookmarkEnd w:id="12"/>
      <w:bookmarkEnd w:id="13"/>
      <w:r>
        <w:rPr>
          <w:rFonts w:hint="eastAsia" w:ascii="仿宋_GB2312" w:hAnsi="仿宋_GB2312" w:eastAsia="仿宋_GB2312" w:cs="仿宋_GB2312"/>
          <w:b/>
          <w:bCs w:val="0"/>
          <w:color w:val="auto"/>
          <w:sz w:val="28"/>
          <w:szCs w:val="28"/>
          <w:highlight w:val="none"/>
          <w:lang w:val="en-US" w:eastAsia="zh-CN"/>
        </w:rPr>
        <w:t>土地估价</w:t>
      </w:r>
    </w:p>
    <w:p w14:paraId="45A149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一</w:t>
      </w:r>
      <w:r>
        <w:rPr>
          <w:rFonts w:hint="eastAsia" w:ascii="仿宋_GB2312" w:hAnsi="仿宋_GB2312" w:eastAsia="仿宋_GB2312" w:cs="仿宋_GB2312"/>
          <w:b w:val="0"/>
          <w:bCs/>
          <w:color w:val="auto"/>
          <w:sz w:val="28"/>
          <w:szCs w:val="28"/>
          <w:highlight w:val="none"/>
          <w:lang w:val="en-GB" w:eastAsia="zh-CN"/>
        </w:rPr>
        <w:t>）</w:t>
      </w:r>
      <w:r>
        <w:rPr>
          <w:rFonts w:hint="eastAsia" w:ascii="仿宋_GB2312" w:hAnsi="仿宋_GB2312" w:eastAsia="仿宋_GB2312" w:cs="仿宋_GB2312"/>
          <w:b w:val="0"/>
          <w:bCs/>
          <w:color w:val="auto"/>
          <w:sz w:val="28"/>
          <w:szCs w:val="28"/>
          <w:highlight w:val="none"/>
          <w:lang w:val="en-US" w:eastAsia="zh-CN"/>
        </w:rPr>
        <w:t>估价原则</w:t>
      </w:r>
    </w:p>
    <w:p w14:paraId="0F53C49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794A478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08F1906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57947CF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4FA9B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06FFA6A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GB" w:eastAsia="zh-CN"/>
        </w:rPr>
        <w:t>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3E8B3B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04DFCE6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B040A7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73A103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4B2947A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3B1A13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2AA3FC6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68A106E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7A9074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2947EAA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197C447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DF155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86ADC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6DC61B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sz w:val="28"/>
          <w:szCs w:val="28"/>
        </w:rPr>
        <w:t>本次在采用收益还原法时，通过扣除相关成本及其他税费来测算土地价格，体现了贡献原则</w:t>
      </w:r>
      <w:r>
        <w:rPr>
          <w:rFonts w:hint="default" w:ascii="仿宋_GB2312" w:hAnsi="仿宋_GB2312" w:eastAsia="仿宋_GB2312" w:cs="仿宋_GB2312"/>
          <w:b w:val="0"/>
          <w:bCs/>
          <w:color w:val="auto"/>
          <w:sz w:val="28"/>
          <w:szCs w:val="28"/>
          <w:highlight w:val="none"/>
          <w:lang w:val="en-US" w:eastAsia="zh-CN"/>
        </w:rPr>
        <w:t>。</w:t>
      </w:r>
    </w:p>
    <w:p w14:paraId="3A46149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5FF52E4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5BE2B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56AEA6C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57314AD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（二）估价方法</w:t>
      </w:r>
    </w:p>
    <w:p w14:paraId="337B312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根据《城镇土地估价规程》</w:t>
      </w:r>
      <w:r>
        <w:rPr>
          <w:rFonts w:hint="eastAsia" w:ascii="仿宋_GB2312" w:hAnsi="仿宋_GB2312" w:eastAsia="仿宋_GB2312" w:cs="仿宋_GB2312"/>
          <w:snapToGrid w:val="0"/>
          <w:kern w:val="0"/>
          <w:sz w:val="28"/>
          <w:szCs w:val="28"/>
          <w:highlight w:val="none"/>
        </w:rPr>
        <w:t>（GB/T18508-2014,2014年12月01日实施）</w:t>
      </w:r>
      <w:r>
        <w:rPr>
          <w:rFonts w:hint="default" w:ascii="仿宋_GB2312" w:hAnsi="仿宋_GB2312" w:eastAsia="仿宋_GB2312" w:cs="仿宋_GB2312"/>
          <w:b w:val="0"/>
          <w:bCs/>
          <w:color w:val="auto"/>
          <w:sz w:val="28"/>
          <w:szCs w:val="28"/>
          <w:highlight w:val="none"/>
          <w:lang w:val="en-US" w:eastAsia="zh-CN"/>
        </w:rPr>
        <w:t>，通常的估价方法有市场比较法、收益还原法、剩余法、成本逼近法、基准地价系数修正法等。估价方法的选择应按照地价评估的技术《规程》，根据当地地产市场发育情况并结合估价对象的具体特点及估价目的等，选择适当的估价方法。估价人员根据现场勘查情况，按照《城镇土地估价规程》及国土资源部办公厅关于发布《国有建设用地使用权出让地价评估技术规范》的通知（国土资厅发〔2018〕4号）的要求，结合估价对象的区位、用地性质、利用条件及当地土地市场状况，确定本次评估采用的方法。</w:t>
      </w:r>
    </w:p>
    <w:p w14:paraId="110432F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1.估价方法介绍</w:t>
      </w:r>
    </w:p>
    <w:p w14:paraId="06CFA6C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6AD99EED">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626F06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5CD2EA0">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168E2655">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12C450E7">
      <w:pPr>
        <w:pStyle w:val="11"/>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default"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7968F48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0E20028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68E5293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4315F3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06CF791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333CAA3A">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6DAE6A49">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3915AF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3218B887">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41403C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2E484F6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788FF7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94DEE3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2481422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7C5472C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（三）估价结果</w:t>
      </w:r>
    </w:p>
    <w:p w14:paraId="7271514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2B4367C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445BACF0">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723DCF6A">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15A41E6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7AC5E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56AD628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7872B72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69AF7F2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44B2366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FA3377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4FDC2ED6">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0A91523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5E38AF59">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723A31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58190F7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66E8A9E9">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BB827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6C02EF7F">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32FB638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48AD815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345A393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1954F53A">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7699B3A6">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6917E6E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32BE3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58D423A9">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5AB46496">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1376C030">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0B4B548A">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19056331">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3A730D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1ADA8A0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5A58FA6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6BD070FD">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697D7D4A">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29C26C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141E17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702A4D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2B0697A">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AA1C562">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350894D6">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018344D0">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3179C43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2D010CE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9"/>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FA63216">
      <w:pPr>
        <w:keepNext w:val="0"/>
        <w:keepLines w:val="0"/>
        <w:pageBreakBefore w:val="0"/>
        <w:widowControl w:val="0"/>
        <w:kinsoku/>
        <w:wordWrap/>
        <w:overflowPunct/>
        <w:topLinePunct w:val="0"/>
        <w:autoSpaceDE/>
        <w:autoSpaceDN/>
        <w:bidi w:val="0"/>
        <w:adjustRightInd/>
        <w:spacing w:line="480" w:lineRule="exact"/>
        <w:ind w:firstLine="562" w:firstLineChars="200"/>
        <w:textAlignment w:val="auto"/>
        <w:outlineLvl w:val="1"/>
        <w:rPr>
          <w:rFonts w:hint="eastAsia" w:ascii="仿宋_GB2312" w:eastAsia="仿宋_GB2312"/>
          <w:sz w:val="28"/>
          <w:szCs w:val="30"/>
          <w:highlight w:val="none"/>
        </w:rPr>
      </w:pPr>
      <w:r>
        <w:rPr>
          <w:rFonts w:hint="eastAsia" w:ascii="仿宋_GB2312" w:eastAsia="仿宋_GB2312"/>
          <w:b/>
          <w:bCs/>
          <w:sz w:val="28"/>
          <w:szCs w:val="30"/>
          <w:highlight w:val="none"/>
        </w:rPr>
        <w:t>三、估价结果和估价报告的使用</w:t>
      </w:r>
    </w:p>
    <w:p w14:paraId="61549B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32CCD99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0E8AE9E0">
      <w:pPr>
        <w:pStyle w:val="11"/>
        <w:keepNext w:val="0"/>
        <w:keepLines w:val="0"/>
        <w:pageBreakBefore w:val="0"/>
        <w:widowControl w:val="0"/>
        <w:kinsoku/>
        <w:wordWrap/>
        <w:overflowPunct/>
        <w:topLinePunct w:val="0"/>
        <w:autoSpaceDE/>
        <w:autoSpaceDN/>
        <w:bidi w:val="0"/>
        <w:spacing w:line="460" w:lineRule="exact"/>
        <w:ind w:firstLine="56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24AB252B">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14EB4F35">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368DA22F">
      <w:pPr>
        <w:keepNext w:val="0"/>
        <w:keepLines w:val="0"/>
        <w:pageBreakBefore w:val="0"/>
        <w:widowControl w:val="0"/>
        <w:kinsoku/>
        <w:wordWrap/>
        <w:overflowPunct/>
        <w:topLinePunct w:val="0"/>
        <w:autoSpaceDE/>
        <w:autoSpaceDN/>
        <w:bidi w:val="0"/>
        <w:adjustRightInd w:val="0"/>
        <w:snapToGrid w:val="0"/>
        <w:spacing w:line="46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0CDF8A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1DB98B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68BBEA5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1E118B2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4A72CBE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485BAAD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77055B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5A39D72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1B95E42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630C3A6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61AC8A9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5E7C633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4F99C90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48F2FEA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7FB330A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144EA23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3150A5F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3ADA6A9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661F4DEA">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0371CEF6">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5EE01F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2745A893">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4135028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67C52D1">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8BDD101">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5E9D92B1">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7D74323">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5B91946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08C940F3">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262BACE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772EA8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5130D203">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59D102A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669E35E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3278D46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77AB9F89">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614B7BD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7B87C86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22445A5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1E0B3F6B">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22FAE36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7F9FEB7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3405DEF1">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1A38D819">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7E0AB6B0">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08E3F12">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7F92499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p>
    <w:p w14:paraId="1D52D1EE">
      <w:pPr>
        <w:keepNext w:val="0"/>
        <w:keepLines w:val="0"/>
        <w:pageBreakBefore w:val="0"/>
        <w:widowControl w:val="0"/>
        <w:kinsoku/>
        <w:wordWrap/>
        <w:overflowPunct/>
        <w:topLinePunct w:val="0"/>
        <w:bidi w:val="0"/>
        <w:adjustRightInd w:val="0"/>
        <w:snapToGrid w:val="0"/>
        <w:spacing w:line="480" w:lineRule="exact"/>
        <w:ind w:firstLine="562" w:firstLineChars="200"/>
        <w:rPr>
          <w:rFonts w:hint="eastAsia" w:ascii="仿宋" w:hAnsi="仿宋" w:eastAsia="仿宋" w:cs="仿宋"/>
          <w:sz w:val="28"/>
          <w:szCs w:val="28"/>
          <w:highlight w:val="none"/>
        </w:rPr>
      </w:pPr>
      <w:r>
        <w:rPr>
          <w:rFonts w:hint="eastAsia" w:ascii="仿宋_GB2312" w:hAnsi="仿宋_GB2312" w:eastAsia="仿宋_GB2312" w:cs="仿宋_GB2312"/>
          <w:b/>
          <w:bCs/>
          <w:color w:val="000000"/>
          <w:kern w:val="2"/>
          <w:sz w:val="28"/>
          <w:szCs w:val="28"/>
          <w:highlight w:val="none"/>
          <w:lang w:val="en-US" w:eastAsia="zh-CN" w:bidi="ar-SA"/>
        </w:rPr>
        <w:br w:type="page"/>
      </w:r>
    </w:p>
    <w:p w14:paraId="102BAB6C">
      <w:pPr>
        <w:pStyle w:val="17"/>
        <w:keepNext w:val="0"/>
        <w:keepLines w:val="0"/>
        <w:pageBreakBefore w:val="0"/>
        <w:widowControl w:val="0"/>
        <w:kinsoku/>
        <w:wordWrap/>
        <w:overflowPunct/>
        <w:topLinePunct w:val="0"/>
        <w:autoSpaceDE/>
        <w:autoSpaceDN/>
        <w:bidi w:val="0"/>
        <w:spacing w:before="120" w:beforeLines="50" w:after="240" w:afterLines="100" w:line="360" w:lineRule="auto"/>
        <w:ind w:firstLine="0" w:firstLineChars="0"/>
        <w:jc w:val="center"/>
        <w:textAlignment w:val="auto"/>
        <w:outlineLvl w:val="0"/>
        <w:rPr>
          <w:rFonts w:hint="eastAsia" w:ascii="宋体" w:hAnsi="宋体" w:eastAsia="宋体" w:cs="宋体"/>
          <w:b/>
          <w:color w:val="auto"/>
          <w:sz w:val="32"/>
          <w:szCs w:val="32"/>
          <w:highlight w:val="none"/>
        </w:rPr>
      </w:pPr>
      <w:bookmarkStart w:id="16" w:name="_Toc32260"/>
      <w:r>
        <w:rPr>
          <w:rFonts w:hint="eastAsia" w:ascii="宋体" w:hAnsi="宋体" w:eastAsia="宋体" w:cs="宋体"/>
          <w:b/>
          <w:color w:val="auto"/>
          <w:sz w:val="32"/>
          <w:szCs w:val="32"/>
          <w:highlight w:val="none"/>
          <w:lang w:val="en-US" w:eastAsia="zh-CN"/>
        </w:rPr>
        <w:t>第四部分</w:t>
      </w:r>
      <w:bookmarkStart w:id="17" w:name="_Toc7871"/>
      <w:r>
        <w:rPr>
          <w:rFonts w:hint="eastAsia" w:ascii="宋体" w:hAnsi="宋体" w:eastAsia="宋体" w:cs="宋体"/>
          <w:b/>
          <w:color w:val="auto"/>
          <w:sz w:val="32"/>
          <w:szCs w:val="32"/>
          <w:highlight w:val="none"/>
          <w:lang w:val="en-US" w:eastAsia="zh-CN"/>
        </w:rPr>
        <w:t xml:space="preserve">  </w:t>
      </w:r>
      <w:r>
        <w:rPr>
          <w:rFonts w:hint="eastAsia" w:ascii="宋体" w:hAnsi="宋体" w:eastAsia="宋体" w:cs="宋体"/>
          <w:b/>
          <w:color w:val="auto"/>
          <w:sz w:val="32"/>
          <w:szCs w:val="32"/>
          <w:highlight w:val="none"/>
        </w:rPr>
        <w:t>附件</w:t>
      </w:r>
      <w:bookmarkEnd w:id="16"/>
      <w:bookmarkEnd w:id="17"/>
    </w:p>
    <w:p w14:paraId="053AAEAE">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51392C75">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62CCAD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263914A7">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3A919E8">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38B0590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0EF3FC20">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0AFEE751">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529FDBD9">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2136C5E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792C92FD">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4BB9C2F4">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280D2782">
      <w:pPr>
        <w:keepNext w:val="0"/>
        <w:keepLines w:val="0"/>
        <w:pageBreakBefore w:val="0"/>
        <w:widowControl w:val="0"/>
        <w:kinsoku/>
        <w:wordWrap/>
        <w:overflowPunct/>
        <w:topLinePunct w:val="0"/>
        <w:autoSpaceDE/>
        <w:autoSpaceDN/>
        <w:bidi w:val="0"/>
        <w:spacing w:line="360" w:lineRule="auto"/>
        <w:jc w:val="right"/>
        <w:textAlignment w:val="auto"/>
        <w:rPr>
          <w:rFonts w:hint="eastAsia" w:ascii="仿宋_GB2312" w:eastAsia="仿宋_GB2312"/>
          <w:sz w:val="28"/>
          <w:szCs w:val="28"/>
          <w:highlight w:val="none"/>
        </w:rPr>
      </w:pPr>
    </w:p>
    <w:p w14:paraId="55FF512F">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45B5610D">
      <w:pPr>
        <w:spacing w:line="520" w:lineRule="exact"/>
        <w:jc w:val="center"/>
        <w:rPr>
          <w:rFonts w:hint="eastAsia" w:asciiTheme="majorEastAsia" w:hAnsiTheme="majorEastAsia" w:eastAsiaTheme="majorEastAsia" w:cstheme="majorEastAsia"/>
          <w:b/>
          <w:bCs/>
          <w:sz w:val="44"/>
          <w:szCs w:val="44"/>
          <w:highlight w:val="none"/>
        </w:rPr>
        <w:sectPr>
          <w:headerReference r:id="rId9" w:type="first"/>
          <w:footerReference r:id="rId11" w:type="first"/>
          <w:footerReference r:id="rId10" w:type="default"/>
          <w:pgSz w:w="11906" w:h="16838"/>
          <w:pgMar w:top="1440" w:right="1800" w:bottom="1440" w:left="1800" w:header="851" w:footer="992" w:gutter="0"/>
          <w:pgNumType w:fmt="decimal"/>
          <w:cols w:space="0" w:num="1"/>
          <w:rtlGutter w:val="0"/>
          <w:docGrid w:type="lines" w:linePitch="312" w:charSpace="0"/>
        </w:sectPr>
      </w:pPr>
    </w:p>
    <w:p w14:paraId="35CD6E50">
      <w:pPr>
        <w:spacing w:line="520" w:lineRule="exact"/>
        <w:jc w:val="center"/>
        <w:rPr>
          <w:rFonts w:hint="eastAsia" w:asciiTheme="majorEastAsia" w:hAnsiTheme="majorEastAsia" w:eastAsiaTheme="majorEastAsia" w:cstheme="majorEastAsia"/>
          <w:b/>
          <w:bCs/>
          <w:sz w:val="44"/>
          <w:szCs w:val="44"/>
          <w:highlight w:val="none"/>
        </w:rPr>
      </w:pPr>
      <w:r>
        <w:rPr>
          <w:rFonts w:hint="eastAsia" w:asciiTheme="majorEastAsia" w:hAnsiTheme="majorEastAsia" w:eastAsiaTheme="majorEastAsia" w:cstheme="majorEastAsia"/>
          <w:b/>
          <w:bCs/>
          <w:sz w:val="44"/>
          <w:szCs w:val="44"/>
          <w:highlight w:val="none"/>
        </w:rPr>
        <w:t xml:space="preserve">土 地 估 价 </w:t>
      </w:r>
      <w:r>
        <w:rPr>
          <w:rFonts w:hint="eastAsia" w:asciiTheme="majorEastAsia" w:hAnsiTheme="majorEastAsia" w:eastAsiaTheme="majorEastAsia" w:cstheme="majorEastAsia"/>
          <w:b/>
          <w:bCs/>
          <w:sz w:val="44"/>
          <w:szCs w:val="44"/>
          <w:highlight w:val="none"/>
          <w:lang w:val="en-US" w:eastAsia="zh-CN"/>
        </w:rPr>
        <w:t xml:space="preserve">技 术 </w:t>
      </w:r>
      <w:r>
        <w:rPr>
          <w:rFonts w:hint="eastAsia" w:asciiTheme="majorEastAsia" w:hAnsiTheme="majorEastAsia" w:eastAsiaTheme="majorEastAsia" w:cstheme="majorEastAsia"/>
          <w:b/>
          <w:bCs/>
          <w:sz w:val="44"/>
          <w:szCs w:val="44"/>
          <w:highlight w:val="none"/>
        </w:rPr>
        <w:t>报 告</w:t>
      </w:r>
    </w:p>
    <w:p w14:paraId="5684C264">
      <w:pPr>
        <w:pStyle w:val="11"/>
        <w:ind w:left="0" w:leftChars="0" w:firstLine="0" w:firstLineChars="0"/>
        <w:jc w:val="center"/>
        <w:rPr>
          <w:rFonts w:hint="eastAsia" w:asciiTheme="majorEastAsia" w:hAnsiTheme="majorEastAsia" w:eastAsiaTheme="majorEastAsia" w:cstheme="majorEastAsia"/>
          <w:b/>
          <w:bCs/>
          <w:sz w:val="44"/>
          <w:szCs w:val="44"/>
          <w:highlight w:val="none"/>
          <w:lang w:eastAsia="zh-CN"/>
        </w:rPr>
      </w:pPr>
      <w:r>
        <w:rPr>
          <w:rFonts w:hint="eastAsia" w:asciiTheme="majorEastAsia" w:hAnsiTheme="majorEastAsia" w:eastAsiaTheme="majorEastAsia" w:cstheme="majorEastAsia"/>
          <w:b/>
          <w:bCs/>
          <w:sz w:val="44"/>
          <w:szCs w:val="44"/>
          <w:highlight w:val="none"/>
          <w:lang w:eastAsia="zh-CN"/>
        </w:rPr>
        <w:t>（</w:t>
      </w:r>
      <w:r>
        <w:rPr>
          <w:rFonts w:hint="eastAsia" w:asciiTheme="majorEastAsia" w:hAnsiTheme="majorEastAsia" w:eastAsiaTheme="majorEastAsia" w:cstheme="majorEastAsia"/>
          <w:b/>
          <w:bCs/>
          <w:sz w:val="44"/>
          <w:szCs w:val="44"/>
          <w:highlight w:val="none"/>
          <w:lang w:val="en-US" w:eastAsia="zh-CN"/>
        </w:rPr>
        <w:t>评估工作底稿</w:t>
      </w:r>
      <w:r>
        <w:rPr>
          <w:rFonts w:hint="eastAsia" w:asciiTheme="majorEastAsia" w:hAnsiTheme="majorEastAsia" w:eastAsiaTheme="majorEastAsia" w:cstheme="majorEastAsia"/>
          <w:b/>
          <w:bCs/>
          <w:sz w:val="44"/>
          <w:szCs w:val="44"/>
          <w:highlight w:val="none"/>
          <w:lang w:eastAsia="zh-CN"/>
        </w:rPr>
        <w:t>）</w:t>
      </w:r>
    </w:p>
    <w:p w14:paraId="343A8AA2">
      <w:pPr>
        <w:spacing w:line="520" w:lineRule="exact"/>
        <w:jc w:val="center"/>
        <w:rPr>
          <w:rFonts w:hint="eastAsia" w:asciiTheme="majorEastAsia" w:hAnsiTheme="majorEastAsia" w:eastAsiaTheme="majorEastAsia" w:cstheme="majorEastAsia"/>
          <w:sz w:val="44"/>
          <w:szCs w:val="44"/>
          <w:highlight w:val="none"/>
        </w:rPr>
      </w:pPr>
    </w:p>
    <w:tbl>
      <w:tblPr>
        <w:tblStyle w:val="12"/>
        <w:tblW w:w="0" w:type="auto"/>
        <w:jc w:val="center"/>
        <w:tblLayout w:type="fixed"/>
        <w:tblCellMar>
          <w:top w:w="0" w:type="dxa"/>
          <w:left w:w="108" w:type="dxa"/>
          <w:bottom w:w="0" w:type="dxa"/>
          <w:right w:w="108" w:type="dxa"/>
        </w:tblCellMar>
      </w:tblPr>
      <w:tblGrid>
        <w:gridCol w:w="3686"/>
        <w:gridCol w:w="5729"/>
      </w:tblGrid>
      <w:tr w14:paraId="6BCEE533">
        <w:tblPrEx>
          <w:tblCellMar>
            <w:top w:w="0" w:type="dxa"/>
            <w:left w:w="108" w:type="dxa"/>
            <w:bottom w:w="0" w:type="dxa"/>
            <w:right w:w="108" w:type="dxa"/>
          </w:tblCellMar>
        </w:tblPrEx>
        <w:trPr>
          <w:trHeight w:val="1134" w:hRule="atLeast"/>
          <w:jc w:val="center"/>
        </w:trPr>
        <w:tc>
          <w:tcPr>
            <w:tcW w:w="3686" w:type="dxa"/>
            <w:vAlign w:val="center"/>
          </w:tcPr>
          <w:p w14:paraId="15D6F224">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项</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目</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名</w:t>
            </w:r>
            <w:r>
              <w:rPr>
                <w:rFonts w:hint="eastAsia" w:ascii="楷体" w:hAnsi="楷体" w:eastAsia="楷体"/>
                <w:b/>
                <w:bCs/>
                <w:spacing w:val="14"/>
                <w:sz w:val="32"/>
                <w:szCs w:val="32"/>
                <w:highlight w:val="none"/>
              </w:rPr>
              <w:t xml:space="preserve">   </w:t>
            </w:r>
            <w:r>
              <w:rPr>
                <w:rFonts w:ascii="楷体" w:hAnsi="楷体" w:eastAsia="楷体"/>
                <w:b/>
                <w:bCs/>
                <w:spacing w:val="14"/>
                <w:sz w:val="32"/>
                <w:szCs w:val="32"/>
                <w:highlight w:val="none"/>
              </w:rPr>
              <w:t>称：</w:t>
            </w:r>
          </w:p>
        </w:tc>
        <w:tc>
          <w:tcPr>
            <w:tcW w:w="5729" w:type="dxa"/>
            <w:vAlign w:val="center"/>
          </w:tcPr>
          <w:p w14:paraId="48020A46">
            <w:pPr>
              <w:pStyle w:val="8"/>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spacing w:val="14"/>
                <w:sz w:val="32"/>
                <w:szCs w:val="32"/>
                <w:highlight w:val="none"/>
              </w:rPr>
            </w:pPr>
            <w:r>
              <w:rPr>
                <w:rFonts w:hint="default" w:ascii="楷体" w:hAnsi="楷体" w:eastAsia="楷体"/>
                <w:spacing w:val="14"/>
                <w:sz w:val="32"/>
                <w:szCs w:val="32"/>
                <w:highlight w:val="none"/>
                <w:lang w:val="en-US" w:eastAsia="zh-CN"/>
              </w:rPr>
              <w:t>道县自然资源局办理土地使用权出让手续涉及的位于道县月岩西路的一宗住宅用途国有建设用地使用权市场价格评估</w:t>
            </w:r>
            <w:r>
              <w:rPr>
                <w:rFonts w:hint="eastAsia" w:ascii="楷体" w:hAnsi="楷体" w:eastAsia="楷体"/>
                <w:spacing w:val="14"/>
                <w:sz w:val="32"/>
                <w:szCs w:val="32"/>
                <w:highlight w:val="none"/>
                <w:lang w:val="en-US" w:eastAsia="zh-CN"/>
              </w:rPr>
              <w:t>（永州市道县）</w:t>
            </w:r>
          </w:p>
        </w:tc>
      </w:tr>
      <w:tr w14:paraId="7BF9FEFB">
        <w:tblPrEx>
          <w:tblCellMar>
            <w:top w:w="0" w:type="dxa"/>
            <w:left w:w="108" w:type="dxa"/>
            <w:bottom w:w="0" w:type="dxa"/>
            <w:right w:w="108" w:type="dxa"/>
          </w:tblCellMar>
        </w:tblPrEx>
        <w:trPr>
          <w:trHeight w:val="1134" w:hRule="atLeast"/>
          <w:jc w:val="center"/>
        </w:trPr>
        <w:tc>
          <w:tcPr>
            <w:tcW w:w="3686" w:type="dxa"/>
            <w:vAlign w:val="center"/>
          </w:tcPr>
          <w:p w14:paraId="12A7F1CE">
            <w:pPr>
              <w:pStyle w:val="8"/>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受托估价单位：</w:t>
            </w:r>
          </w:p>
        </w:tc>
        <w:tc>
          <w:tcPr>
            <w:tcW w:w="5729" w:type="dxa"/>
            <w:vAlign w:val="center"/>
          </w:tcPr>
          <w:p w14:paraId="08CFF2D6">
            <w:pPr>
              <w:pStyle w:val="8"/>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0AE192C1">
        <w:tblPrEx>
          <w:tblCellMar>
            <w:top w:w="0" w:type="dxa"/>
            <w:left w:w="108" w:type="dxa"/>
            <w:bottom w:w="0" w:type="dxa"/>
            <w:right w:w="108" w:type="dxa"/>
          </w:tblCellMar>
        </w:tblPrEx>
        <w:trPr>
          <w:trHeight w:val="1134" w:hRule="atLeast"/>
          <w:jc w:val="center"/>
        </w:trPr>
        <w:tc>
          <w:tcPr>
            <w:tcW w:w="3686" w:type="dxa"/>
            <w:vAlign w:val="center"/>
          </w:tcPr>
          <w:p w14:paraId="48ACFB3B">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auto"/>
                <w:spacing w:val="14"/>
                <w:sz w:val="32"/>
                <w:szCs w:val="32"/>
                <w:highlight w:val="none"/>
              </w:rPr>
            </w:pPr>
            <w:r>
              <w:rPr>
                <w:rFonts w:ascii="楷体" w:hAnsi="楷体" w:eastAsia="楷体"/>
                <w:b/>
                <w:bCs/>
                <w:color w:val="auto"/>
                <w:spacing w:val="14"/>
                <w:sz w:val="32"/>
                <w:szCs w:val="32"/>
                <w:highlight w:val="none"/>
              </w:rPr>
              <w:t>土地估价报告编号：</w:t>
            </w:r>
          </w:p>
        </w:tc>
        <w:tc>
          <w:tcPr>
            <w:tcW w:w="5729" w:type="dxa"/>
            <w:vAlign w:val="center"/>
          </w:tcPr>
          <w:p w14:paraId="08B7AF49">
            <w:pPr>
              <w:pStyle w:val="8"/>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]（估）字第ZC0007号</w:t>
            </w:r>
          </w:p>
        </w:tc>
      </w:tr>
      <w:tr w14:paraId="4D6FBB91">
        <w:tblPrEx>
          <w:tblCellMar>
            <w:top w:w="0" w:type="dxa"/>
            <w:left w:w="108" w:type="dxa"/>
            <w:bottom w:w="0" w:type="dxa"/>
            <w:right w:w="108" w:type="dxa"/>
          </w:tblCellMar>
        </w:tblPrEx>
        <w:trPr>
          <w:trHeight w:val="1303" w:hRule="atLeast"/>
          <w:jc w:val="center"/>
        </w:trPr>
        <w:tc>
          <w:tcPr>
            <w:tcW w:w="3686" w:type="dxa"/>
            <w:vAlign w:val="center"/>
          </w:tcPr>
          <w:p w14:paraId="5CD1E8BA">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土地</w:t>
            </w:r>
            <w:r>
              <w:rPr>
                <w:rFonts w:ascii="楷体" w:hAnsi="楷体" w:eastAsia="楷体"/>
                <w:b/>
                <w:bCs/>
                <w:color w:val="auto"/>
                <w:spacing w:val="14"/>
                <w:sz w:val="32"/>
                <w:szCs w:val="32"/>
                <w:highlight w:val="none"/>
              </w:rPr>
              <w:t>估价技术报告</w:t>
            </w:r>
          </w:p>
          <w:p w14:paraId="55F1E317">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auto"/>
                <w:spacing w:val="14"/>
                <w:sz w:val="32"/>
                <w:szCs w:val="32"/>
                <w:highlight w:val="none"/>
              </w:rPr>
            </w:pPr>
            <w:r>
              <w:rPr>
                <w:rFonts w:hint="eastAsia" w:ascii="楷体" w:hAnsi="楷体" w:eastAsia="楷体"/>
                <w:b/>
                <w:bCs/>
                <w:color w:val="auto"/>
                <w:spacing w:val="14"/>
                <w:sz w:val="32"/>
                <w:szCs w:val="32"/>
                <w:highlight w:val="none"/>
              </w:rPr>
              <w:t>（评估工作</w:t>
            </w:r>
            <w:r>
              <w:rPr>
                <w:rFonts w:ascii="楷体" w:hAnsi="楷体" w:eastAsia="楷体"/>
                <w:b/>
                <w:bCs/>
                <w:color w:val="auto"/>
                <w:spacing w:val="14"/>
                <w:sz w:val="32"/>
                <w:szCs w:val="32"/>
                <w:highlight w:val="none"/>
              </w:rPr>
              <w:t>底稿）编号：</w:t>
            </w:r>
          </w:p>
        </w:tc>
        <w:tc>
          <w:tcPr>
            <w:tcW w:w="5729" w:type="dxa"/>
            <w:vAlign w:val="center"/>
          </w:tcPr>
          <w:p w14:paraId="35607A56">
            <w:pPr>
              <w:pStyle w:val="8"/>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auto"/>
                <w:spacing w:val="14"/>
                <w:sz w:val="32"/>
                <w:szCs w:val="32"/>
                <w:highlight w:val="none"/>
                <w:lang w:eastAsia="zh-CN"/>
              </w:rPr>
            </w:pPr>
            <w:r>
              <w:rPr>
                <w:rFonts w:hint="eastAsia" w:ascii="楷体" w:hAnsi="楷体" w:eastAsia="楷体"/>
                <w:spacing w:val="14"/>
                <w:sz w:val="32"/>
                <w:szCs w:val="32"/>
                <w:highlight w:val="none"/>
                <w:lang w:eastAsia="zh-CN"/>
              </w:rPr>
              <w:t>（湖南）湘兆财土地[202</w:t>
            </w:r>
            <w:r>
              <w:rPr>
                <w:rFonts w:hint="eastAsia" w:ascii="楷体" w:hAnsi="楷体" w:eastAsia="楷体"/>
                <w:spacing w:val="14"/>
                <w:sz w:val="32"/>
                <w:szCs w:val="32"/>
                <w:highlight w:val="none"/>
                <w:lang w:val="en-US" w:eastAsia="zh-CN"/>
              </w:rPr>
              <w:t>6</w:t>
            </w:r>
            <w:r>
              <w:rPr>
                <w:rFonts w:hint="eastAsia" w:ascii="楷体" w:hAnsi="楷体" w:eastAsia="楷体"/>
                <w:spacing w:val="14"/>
                <w:sz w:val="32"/>
                <w:szCs w:val="32"/>
                <w:highlight w:val="none"/>
                <w:lang w:eastAsia="zh-CN"/>
              </w:rPr>
              <w:t>]（</w:t>
            </w:r>
            <w:r>
              <w:rPr>
                <w:rFonts w:hint="eastAsia" w:ascii="楷体" w:hAnsi="楷体" w:eastAsia="楷体"/>
                <w:spacing w:val="14"/>
                <w:sz w:val="32"/>
                <w:szCs w:val="32"/>
                <w:highlight w:val="none"/>
                <w:lang w:val="en-US" w:eastAsia="zh-CN"/>
              </w:rPr>
              <w:t>技</w:t>
            </w:r>
            <w:r>
              <w:rPr>
                <w:rFonts w:hint="eastAsia" w:ascii="楷体" w:hAnsi="楷体" w:eastAsia="楷体"/>
                <w:spacing w:val="14"/>
                <w:sz w:val="32"/>
                <w:szCs w:val="32"/>
                <w:highlight w:val="none"/>
                <w:lang w:eastAsia="zh-CN"/>
              </w:rPr>
              <w:t>）字第ZC0007号</w:t>
            </w:r>
          </w:p>
        </w:tc>
      </w:tr>
      <w:tr w14:paraId="7DF7201A">
        <w:tblPrEx>
          <w:tblCellMar>
            <w:top w:w="0" w:type="dxa"/>
            <w:left w:w="108" w:type="dxa"/>
            <w:bottom w:w="0" w:type="dxa"/>
            <w:right w:w="108" w:type="dxa"/>
          </w:tblCellMar>
        </w:tblPrEx>
        <w:trPr>
          <w:trHeight w:val="1303" w:hRule="atLeast"/>
          <w:jc w:val="center"/>
        </w:trPr>
        <w:tc>
          <w:tcPr>
            <w:tcW w:w="3686" w:type="dxa"/>
            <w:vAlign w:val="center"/>
          </w:tcPr>
          <w:p w14:paraId="1A2AB01B">
            <w:pPr>
              <w:pStyle w:val="8"/>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FF"/>
                <w:spacing w:val="14"/>
                <w:sz w:val="32"/>
                <w:szCs w:val="32"/>
                <w:highlight w:val="none"/>
              </w:rPr>
            </w:pPr>
            <w:r>
              <w:rPr>
                <w:rFonts w:hint="eastAsia" w:ascii="楷体" w:hAnsi="楷体" w:eastAsia="楷体"/>
                <w:b/>
                <w:bCs/>
                <w:color w:val="auto"/>
                <w:spacing w:val="14"/>
                <w:sz w:val="32"/>
                <w:szCs w:val="32"/>
                <w:highlight w:val="none"/>
              </w:rPr>
              <w:t>电 子 备 案 编 号：</w:t>
            </w:r>
          </w:p>
        </w:tc>
        <w:tc>
          <w:tcPr>
            <w:tcW w:w="5729" w:type="dxa"/>
            <w:vAlign w:val="center"/>
          </w:tcPr>
          <w:p w14:paraId="670E1AE0">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FF"/>
                <w:spacing w:val="-11"/>
                <w:sz w:val="32"/>
                <w:szCs w:val="32"/>
                <w:highlight w:val="none"/>
              </w:rPr>
            </w:pPr>
            <w:r>
              <w:rPr>
                <w:rFonts w:hint="eastAsia" w:ascii="楷体" w:hAnsi="楷体" w:eastAsia="楷体" w:cs="Times New Roman"/>
                <w:color w:val="auto"/>
                <w:spacing w:val="-11"/>
                <w:sz w:val="32"/>
                <w:szCs w:val="32"/>
                <w:highlight w:val="none"/>
                <w:lang w:eastAsia="zh-CN"/>
              </w:rPr>
              <w:t>详见备案页</w:t>
            </w:r>
          </w:p>
        </w:tc>
      </w:tr>
      <w:tr w14:paraId="65E1A38F">
        <w:tblPrEx>
          <w:tblCellMar>
            <w:top w:w="0" w:type="dxa"/>
            <w:left w:w="108" w:type="dxa"/>
            <w:bottom w:w="0" w:type="dxa"/>
            <w:right w:w="108" w:type="dxa"/>
          </w:tblCellMar>
        </w:tblPrEx>
        <w:trPr>
          <w:trHeight w:val="1134" w:hRule="atLeast"/>
          <w:jc w:val="center"/>
        </w:trPr>
        <w:tc>
          <w:tcPr>
            <w:tcW w:w="3686" w:type="dxa"/>
            <w:vAlign w:val="center"/>
          </w:tcPr>
          <w:p w14:paraId="6AF41026">
            <w:pPr>
              <w:pStyle w:val="8"/>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spacing w:val="14"/>
                <w:sz w:val="32"/>
                <w:szCs w:val="32"/>
                <w:highlight w:val="none"/>
              </w:rPr>
            </w:pPr>
            <w:r>
              <w:rPr>
                <w:rFonts w:ascii="楷体" w:hAnsi="楷体" w:eastAsia="楷体"/>
                <w:b/>
                <w:bCs/>
                <w:spacing w:val="14"/>
                <w:sz w:val="32"/>
                <w:szCs w:val="32"/>
                <w:highlight w:val="none"/>
              </w:rPr>
              <w:t>提交估价报告日期：</w:t>
            </w:r>
          </w:p>
        </w:tc>
        <w:tc>
          <w:tcPr>
            <w:tcW w:w="5729" w:type="dxa"/>
            <w:vAlign w:val="center"/>
          </w:tcPr>
          <w:p w14:paraId="0B8323D2">
            <w:pPr>
              <w:pStyle w:val="8"/>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r>
              <w:rPr>
                <w:rFonts w:hint="eastAsia" w:ascii="楷体" w:hAnsi="楷体" w:eastAsia="楷体" w:cs="楷体"/>
                <w:spacing w:val="-20"/>
                <w:sz w:val="32"/>
                <w:szCs w:val="32"/>
                <w:highlight w:val="none"/>
                <w:lang w:val="en-US" w:eastAsia="zh-CN"/>
              </w:rPr>
              <w:t>五</w:t>
            </w:r>
            <w:r>
              <w:rPr>
                <w:rFonts w:hint="eastAsia" w:ascii="楷体" w:hAnsi="楷体" w:eastAsia="楷体" w:cs="楷体"/>
                <w:spacing w:val="-20"/>
                <w:sz w:val="32"/>
                <w:szCs w:val="32"/>
                <w:highlight w:val="none"/>
                <w:lang w:eastAsia="zh-CN"/>
              </w:rPr>
              <w:t>月</w:t>
            </w:r>
            <w:r>
              <w:rPr>
                <w:rFonts w:hint="eastAsia" w:ascii="楷体" w:hAnsi="楷体" w:eastAsia="楷体" w:cs="楷体"/>
                <w:spacing w:val="-20"/>
                <w:sz w:val="32"/>
                <w:szCs w:val="32"/>
                <w:highlight w:val="none"/>
                <w:lang w:val="en-US" w:eastAsia="zh-CN"/>
              </w:rPr>
              <w:t>二十</w:t>
            </w:r>
            <w:r>
              <w:rPr>
                <w:rFonts w:hint="eastAsia" w:ascii="楷体" w:hAnsi="楷体" w:eastAsia="楷体" w:cs="楷体"/>
                <w:spacing w:val="-20"/>
                <w:sz w:val="32"/>
                <w:szCs w:val="32"/>
                <w:highlight w:val="none"/>
                <w:lang w:eastAsia="zh-CN"/>
              </w:rPr>
              <w:t>日</w:t>
            </w:r>
          </w:p>
        </w:tc>
      </w:tr>
    </w:tbl>
    <w:p w14:paraId="4C5E4F37">
      <w:pPr>
        <w:spacing w:line="520" w:lineRule="exact"/>
        <w:rPr>
          <w:sz w:val="32"/>
          <w:highlight w:val="none"/>
        </w:rPr>
      </w:pPr>
    </w:p>
    <w:tbl>
      <w:tblPr>
        <w:tblStyle w:val="13"/>
        <w:tblpPr w:leftFromText="180" w:rightFromText="180" w:vertAnchor="text" w:horzAnchor="page" w:tblpX="1312" w:tblpY="729"/>
        <w:tblOverlap w:val="never"/>
        <w:tblW w:w="976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97"/>
        <w:gridCol w:w="8063"/>
      </w:tblGrid>
      <w:tr w14:paraId="21E8B1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4F1B2582">
            <w:pPr>
              <w:keepNext w:val="0"/>
              <w:keepLines w:val="0"/>
              <w:suppressLineNumbers w:val="0"/>
              <w:spacing w:before="0" w:beforeAutospacing="0" w:after="0" w:afterAutospacing="0" w:line="360" w:lineRule="auto"/>
              <w:ind w:left="0" w:right="0"/>
              <w:jc w:val="distribute"/>
              <w:rPr>
                <w:rFonts w:ascii="楷体" w:hAnsi="楷体" w:eastAsia="楷体"/>
                <w:b/>
                <w:spacing w:val="14"/>
                <w:sz w:val="32"/>
                <w:szCs w:val="32"/>
                <w:highlight w:val="none"/>
              </w:rPr>
            </w:pPr>
            <w:r>
              <w:rPr>
                <w:rFonts w:hint="eastAsia" w:ascii="楷体" w:hAnsi="楷体" w:eastAsia="楷体"/>
                <w:spacing w:val="14"/>
                <w:sz w:val="32"/>
                <w:szCs w:val="32"/>
                <w:highlight w:val="none"/>
              </w:rPr>
              <w:t>关键词：</w:t>
            </w:r>
          </w:p>
        </w:tc>
        <w:tc>
          <w:tcPr>
            <w:tcW w:w="8063" w:type="dxa"/>
            <w:vAlign w:val="center"/>
          </w:tcPr>
          <w:p w14:paraId="18D7704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spacing w:val="14"/>
                <w:sz w:val="32"/>
                <w:szCs w:val="32"/>
                <w:highlight w:val="none"/>
                <w:lang w:val="en-US" w:eastAsia="zh-CN"/>
              </w:rPr>
              <w:t>永州市道县</w:t>
            </w:r>
          </w:p>
        </w:tc>
      </w:tr>
      <w:tr w14:paraId="3EB928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697" w:type="dxa"/>
            <w:vAlign w:val="center"/>
          </w:tcPr>
          <w:p w14:paraId="5C448620">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4D1A4099">
            <w:pPr>
              <w:keepNext w:val="0"/>
              <w:keepLines w:val="0"/>
              <w:suppressLineNumbers w:val="0"/>
              <w:spacing w:before="0" w:beforeAutospacing="0" w:after="0" w:afterAutospacing="0" w:line="360" w:lineRule="auto"/>
              <w:ind w:left="0" w:right="0"/>
              <w:rPr>
                <w:rFonts w:hint="default" w:ascii="楷体" w:hAnsi="楷体" w:eastAsia="楷体"/>
                <w:b/>
                <w:spacing w:val="14"/>
                <w:sz w:val="32"/>
                <w:szCs w:val="32"/>
                <w:highlight w:val="none"/>
                <w:lang w:val="en-US" w:eastAsia="zh-CN"/>
              </w:rPr>
            </w:pPr>
            <w:r>
              <w:rPr>
                <w:rFonts w:hint="eastAsia" w:ascii="楷体" w:hAnsi="楷体" w:eastAsia="楷体"/>
                <w:b w:val="0"/>
                <w:bCs/>
                <w:spacing w:val="14"/>
                <w:sz w:val="32"/>
                <w:szCs w:val="32"/>
                <w:highlight w:val="none"/>
                <w:lang w:val="en-US" w:eastAsia="zh-CN"/>
              </w:rPr>
              <w:t>出让</w:t>
            </w:r>
          </w:p>
        </w:tc>
      </w:tr>
      <w:tr w14:paraId="3CE44B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4" w:hRule="atLeast"/>
        </w:trPr>
        <w:tc>
          <w:tcPr>
            <w:tcW w:w="1697" w:type="dxa"/>
            <w:vAlign w:val="center"/>
          </w:tcPr>
          <w:p w14:paraId="20F0D39E">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2A0AE912">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spacing w:val="14"/>
                <w:sz w:val="32"/>
                <w:szCs w:val="32"/>
                <w:highlight w:val="none"/>
                <w:lang w:eastAsia="zh-CN"/>
              </w:rPr>
              <w:t>湖南兆财不动产规划评估有限公司</w:t>
            </w:r>
          </w:p>
        </w:tc>
      </w:tr>
      <w:tr w14:paraId="70487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1" w:hRule="atLeast"/>
        </w:trPr>
        <w:tc>
          <w:tcPr>
            <w:tcW w:w="1697" w:type="dxa"/>
            <w:vAlign w:val="center"/>
          </w:tcPr>
          <w:p w14:paraId="6407B171">
            <w:pPr>
              <w:keepNext w:val="0"/>
              <w:keepLines w:val="0"/>
              <w:suppressLineNumbers w:val="0"/>
              <w:spacing w:before="0" w:beforeAutospacing="0" w:after="0" w:afterAutospacing="0" w:line="360" w:lineRule="auto"/>
              <w:ind w:left="0" w:right="0"/>
              <w:rPr>
                <w:rFonts w:ascii="楷体" w:hAnsi="楷体" w:eastAsia="楷体"/>
                <w:b/>
                <w:spacing w:val="14"/>
                <w:sz w:val="32"/>
                <w:szCs w:val="32"/>
                <w:highlight w:val="none"/>
              </w:rPr>
            </w:pPr>
          </w:p>
        </w:tc>
        <w:tc>
          <w:tcPr>
            <w:tcW w:w="8063" w:type="dxa"/>
            <w:vAlign w:val="center"/>
          </w:tcPr>
          <w:p w14:paraId="35060695">
            <w:pPr>
              <w:keepNext w:val="0"/>
              <w:keepLines w:val="0"/>
              <w:suppressLineNumbers w:val="0"/>
              <w:spacing w:before="0" w:beforeAutospacing="0" w:after="0" w:afterAutospacing="0" w:line="360" w:lineRule="auto"/>
              <w:ind w:left="0" w:right="0"/>
              <w:rPr>
                <w:rFonts w:hint="eastAsia" w:ascii="楷体" w:hAnsi="楷体" w:eastAsia="楷体"/>
                <w:b/>
                <w:spacing w:val="14"/>
                <w:sz w:val="32"/>
                <w:szCs w:val="32"/>
                <w:highlight w:val="none"/>
                <w:lang w:eastAsia="zh-CN"/>
              </w:rPr>
            </w:pPr>
            <w:r>
              <w:rPr>
                <w:rFonts w:hint="eastAsia" w:ascii="楷体" w:hAnsi="楷体" w:eastAsia="楷体" w:cs="楷体"/>
                <w:spacing w:val="-20"/>
                <w:sz w:val="32"/>
                <w:szCs w:val="32"/>
                <w:highlight w:val="none"/>
                <w:lang w:eastAsia="zh-CN"/>
              </w:rPr>
              <w:t>二〇二</w:t>
            </w:r>
            <w:r>
              <w:rPr>
                <w:rFonts w:hint="eastAsia" w:ascii="楷体" w:hAnsi="楷体" w:eastAsia="楷体" w:cs="楷体"/>
                <w:spacing w:val="-20"/>
                <w:sz w:val="32"/>
                <w:szCs w:val="32"/>
                <w:highlight w:val="none"/>
                <w:lang w:val="en-US" w:eastAsia="zh-CN"/>
              </w:rPr>
              <w:t>六</w:t>
            </w:r>
            <w:r>
              <w:rPr>
                <w:rFonts w:hint="eastAsia" w:ascii="楷体" w:hAnsi="楷体" w:eastAsia="楷体" w:cs="楷体"/>
                <w:spacing w:val="-20"/>
                <w:sz w:val="32"/>
                <w:szCs w:val="32"/>
                <w:highlight w:val="none"/>
                <w:lang w:eastAsia="zh-CN"/>
              </w:rPr>
              <w:t>年</w:t>
            </w:r>
          </w:p>
        </w:tc>
      </w:tr>
    </w:tbl>
    <w:p w14:paraId="2AEC821A">
      <w:pPr>
        <w:pStyle w:val="17"/>
        <w:spacing w:before="120" w:beforeLines="50" w:after="240" w:afterLines="100" w:line="440" w:lineRule="exact"/>
        <w:ind w:firstLine="643"/>
        <w:jc w:val="center"/>
        <w:outlineLvl w:val="0"/>
        <w:rPr>
          <w:rFonts w:hint="eastAsia" w:ascii="宋体" w:hAnsi="宋体" w:eastAsia="宋体" w:cs="仿宋_GB2312"/>
          <w:b/>
          <w:sz w:val="32"/>
          <w:szCs w:val="32"/>
          <w:highlight w:val="none"/>
        </w:rPr>
        <w:sectPr>
          <w:headerReference r:id="rId12" w:type="default"/>
          <w:footerReference r:id="rId13" w:type="default"/>
          <w:pgSz w:w="11906" w:h="16838"/>
          <w:pgMar w:top="1440" w:right="1800" w:bottom="1440" w:left="1800" w:header="851" w:footer="992" w:gutter="0"/>
          <w:pgNumType w:fmt="decimal"/>
          <w:cols w:space="0" w:num="1"/>
          <w:rtlGutter w:val="0"/>
          <w:docGrid w:type="lines" w:linePitch="312" w:charSpace="0"/>
        </w:sectPr>
      </w:pPr>
    </w:p>
    <w:p w14:paraId="6DD7AAB7">
      <w:pPr>
        <w:pStyle w:val="17"/>
        <w:spacing w:before="120" w:beforeLines="50" w:after="240" w:afterLines="100" w:line="440" w:lineRule="exact"/>
        <w:ind w:firstLine="643"/>
        <w:jc w:val="center"/>
        <w:outlineLvl w:val="0"/>
        <w:rPr>
          <w:rFonts w:ascii="宋体" w:hAnsi="宋体" w:eastAsia="宋体" w:cs="仿宋_GB2312"/>
          <w:b/>
          <w:sz w:val="32"/>
          <w:szCs w:val="32"/>
          <w:highlight w:val="none"/>
        </w:rPr>
      </w:pPr>
      <w:r>
        <w:rPr>
          <w:rFonts w:hint="eastAsia" w:ascii="宋体" w:hAnsi="宋体" w:eastAsia="宋体" w:cs="仿宋_GB2312"/>
          <w:b/>
          <w:sz w:val="32"/>
          <w:szCs w:val="32"/>
          <w:highlight w:val="none"/>
        </w:rPr>
        <w:t>土地估价技术报告（评估工作底稿）</w:t>
      </w:r>
    </w:p>
    <w:p w14:paraId="73CF586B">
      <w:pPr>
        <w:pStyle w:val="17"/>
        <w:spacing w:before="120" w:beforeLines="50" w:after="240" w:afterLines="100" w:line="440" w:lineRule="exact"/>
        <w:ind w:firstLine="0" w:firstLineChars="0"/>
        <w:jc w:val="center"/>
        <w:outlineLvl w:val="0"/>
        <w:rPr>
          <w:rFonts w:ascii="宋体" w:hAnsi="宋体" w:eastAsia="宋体" w:cs="宋体"/>
          <w:b/>
          <w:color w:val="auto"/>
          <w:sz w:val="32"/>
          <w:szCs w:val="32"/>
          <w:highlight w:val="none"/>
        </w:rPr>
      </w:pPr>
      <w:r>
        <w:rPr>
          <w:rFonts w:hint="eastAsia" w:ascii="宋体" w:hAnsi="宋体" w:eastAsia="宋体" w:cs="宋体"/>
          <w:b/>
          <w:color w:val="auto"/>
          <w:sz w:val="32"/>
          <w:szCs w:val="32"/>
          <w:highlight w:val="none"/>
        </w:rPr>
        <w:t>第一部分  摘要</w:t>
      </w:r>
    </w:p>
    <w:p w14:paraId="36FB867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GB" w:eastAsia="zh-CN"/>
        </w:rPr>
        <w:t>一、估价项目名称</w:t>
      </w:r>
    </w:p>
    <w:p w14:paraId="2B955637">
      <w:pPr>
        <w:pStyle w:val="11"/>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 w:val="0"/>
          <w:bCs/>
          <w:color w:val="auto"/>
          <w:kern w:val="2"/>
          <w:sz w:val="28"/>
          <w:szCs w:val="28"/>
          <w:highlight w:val="none"/>
          <w:lang w:val="en-US" w:eastAsia="zh-CN" w:bidi="ar-SA"/>
        </w:rPr>
        <w:t>道县自然资源局办理土地使用权出让手续涉及的位于道县月岩西路的一宗住宅用途国有建设用地使用权市场价格评估</w:t>
      </w:r>
      <w:r>
        <w:rPr>
          <w:rFonts w:hint="eastAsia" w:ascii="仿宋_GB2312" w:hAnsi="仿宋_GB2312" w:cs="仿宋_GB2312"/>
          <w:b w:val="0"/>
          <w:bCs/>
          <w:color w:val="auto"/>
          <w:kern w:val="2"/>
          <w:sz w:val="28"/>
          <w:szCs w:val="28"/>
          <w:highlight w:val="none"/>
          <w:lang w:val="en-US" w:eastAsia="zh-CN" w:bidi="ar-SA"/>
        </w:rPr>
        <w:t>（永州市道县）</w:t>
      </w:r>
    </w:p>
    <w:p w14:paraId="03D5CD03">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二、</w:t>
      </w:r>
      <w:r>
        <w:rPr>
          <w:rFonts w:hint="eastAsia" w:ascii="仿宋_GB2312" w:hAnsi="仿宋_GB2312" w:eastAsia="仿宋_GB2312" w:cs="仿宋_GB2312"/>
          <w:b/>
          <w:bCs w:val="0"/>
          <w:color w:val="auto"/>
          <w:sz w:val="28"/>
          <w:szCs w:val="28"/>
          <w:highlight w:val="none"/>
          <w:lang w:val="en-GB" w:eastAsia="zh-CN"/>
        </w:rPr>
        <w:t>委托估价方</w:t>
      </w:r>
    </w:p>
    <w:p w14:paraId="669BFFA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：道县自然资源局 </w:t>
      </w:r>
    </w:p>
    <w:p w14:paraId="1301D9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社会统一信用代码：11431124006598189Q</w:t>
      </w:r>
    </w:p>
    <w:p w14:paraId="6D22E1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负责人：杨安良</w:t>
      </w:r>
    </w:p>
    <w:p w14:paraId="68EF76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机构性质：机关</w:t>
      </w:r>
    </w:p>
    <w:p w14:paraId="3E1B05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机构地址：道县道州北路153号</w:t>
      </w:r>
    </w:p>
    <w:p w14:paraId="67777A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w:t>
      </w:r>
      <w:r>
        <w:rPr>
          <w:rFonts w:hint="eastAsia" w:ascii="仿宋_GB2312" w:eastAsia="仿宋_GB2312"/>
          <w:color w:val="000000" w:themeColor="text1"/>
          <w:sz w:val="28"/>
          <w:szCs w:val="30"/>
          <w:highlight w:val="none"/>
          <w:lang w:val="en-US" w:eastAsia="zh-CN"/>
          <w14:textFill>
            <w14:solidFill>
              <w14:schemeClr w14:val="tx1"/>
            </w14:solidFill>
          </w14:textFill>
        </w:rPr>
        <w:t>周</w:t>
      </w:r>
      <w:r>
        <w:rPr>
          <w:rFonts w:hint="eastAsia" w:ascii="仿宋_GB2312" w:eastAsia="仿宋_GB2312"/>
          <w:color w:val="000000" w:themeColor="text1"/>
          <w:sz w:val="28"/>
          <w:szCs w:val="30"/>
          <w:highlight w:val="none"/>
          <w14:textFill>
            <w14:solidFill>
              <w14:schemeClr w14:val="tx1"/>
            </w14:solidFill>
          </w14:textFill>
        </w:rPr>
        <w:t>先生</w:t>
      </w:r>
    </w:p>
    <w:p w14:paraId="1411AF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联系电话：13874668219</w:t>
      </w:r>
    </w:p>
    <w:p w14:paraId="22B0146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编：425300</w:t>
      </w:r>
    </w:p>
    <w:p w14:paraId="14F7699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委托方为道县自然资源局，土地使用者为王汝冲</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8B898B9">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三、受委托估价方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名    称：湖南兆财不动产规划评估有限公司</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法定代表人：</w:t>
      </w:r>
      <w:r>
        <w:rPr>
          <w:rFonts w:hint="eastAsia" w:ascii="仿宋_GB2312" w:hAnsi="仿宋_GB2312" w:eastAsia="仿宋_GB2312" w:cs="仿宋_GB2312"/>
          <w:bCs/>
          <w:color w:val="auto"/>
          <w:sz w:val="28"/>
          <w:szCs w:val="28"/>
          <w:highlight w:val="none"/>
          <w:lang w:val="en-US" w:eastAsia="zh-CN"/>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成立日期：20</w:t>
      </w:r>
      <w:r>
        <w:rPr>
          <w:rFonts w:hint="eastAsia" w:ascii="仿宋_GB2312" w:hAnsi="仿宋_GB2312" w:eastAsia="仿宋_GB2312" w:cs="仿宋_GB2312"/>
          <w:bCs/>
          <w:color w:val="auto"/>
          <w:sz w:val="28"/>
          <w:szCs w:val="28"/>
          <w:highlight w:val="none"/>
          <w:lang w:val="en-US" w:eastAsia="zh-CN"/>
        </w:rPr>
        <w:t>21</w:t>
      </w:r>
      <w:r>
        <w:rPr>
          <w:rFonts w:hint="eastAsia" w:ascii="仿宋_GB2312" w:hAnsi="仿宋_GB2312" w:eastAsia="仿宋_GB2312" w:cs="仿宋_GB2312"/>
          <w:bCs/>
          <w:color w:val="auto"/>
          <w:sz w:val="28"/>
          <w:szCs w:val="28"/>
          <w:highlight w:val="none"/>
          <w:lang w:val="en-GB" w:eastAsia="zh-CN"/>
        </w:rPr>
        <w:t>年</w:t>
      </w:r>
      <w:r>
        <w:rPr>
          <w:rFonts w:hint="eastAsia" w:ascii="仿宋_GB2312" w:hAnsi="仿宋_GB2312" w:eastAsia="仿宋_GB2312" w:cs="仿宋_GB2312"/>
          <w:bCs/>
          <w:color w:val="auto"/>
          <w:sz w:val="28"/>
          <w:szCs w:val="28"/>
          <w:highlight w:val="none"/>
          <w:lang w:val="en-US" w:eastAsia="zh-CN"/>
        </w:rPr>
        <w:t>11</w:t>
      </w:r>
      <w:r>
        <w:rPr>
          <w:rFonts w:hint="eastAsia" w:ascii="仿宋_GB2312" w:hAnsi="仿宋_GB2312" w:eastAsia="仿宋_GB2312" w:cs="仿宋_GB2312"/>
          <w:bCs/>
          <w:color w:val="auto"/>
          <w:sz w:val="28"/>
          <w:szCs w:val="28"/>
          <w:highlight w:val="none"/>
          <w:lang w:val="en-GB" w:eastAsia="zh-CN"/>
        </w:rPr>
        <w:t>月</w:t>
      </w:r>
      <w:r>
        <w:rPr>
          <w:rFonts w:hint="eastAsia" w:ascii="仿宋_GB2312" w:hAnsi="仿宋_GB2312" w:eastAsia="仿宋_GB2312" w:cs="仿宋_GB2312"/>
          <w:bCs/>
          <w:color w:val="auto"/>
          <w:sz w:val="28"/>
          <w:szCs w:val="28"/>
          <w:highlight w:val="none"/>
          <w:lang w:val="en-US" w:eastAsia="zh-CN"/>
        </w:rPr>
        <w:t>22</w:t>
      </w:r>
      <w:r>
        <w:rPr>
          <w:rFonts w:hint="eastAsia" w:ascii="仿宋_GB2312" w:hAnsi="仿宋_GB2312" w:eastAsia="仿宋_GB2312" w:cs="仿宋_GB2312"/>
          <w:bCs/>
          <w:color w:val="auto"/>
          <w:sz w:val="28"/>
          <w:szCs w:val="28"/>
          <w:highlight w:val="none"/>
          <w:lang w:val="en-GB" w:eastAsia="zh-CN"/>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机构</w:t>
      </w:r>
      <w:r>
        <w:rPr>
          <w:rFonts w:hint="eastAsia" w:ascii="仿宋_GB2312" w:hAnsi="仿宋_GB2312" w:eastAsia="仿宋_GB2312" w:cs="仿宋_GB2312"/>
          <w:bCs/>
          <w:color w:val="auto"/>
          <w:sz w:val="28"/>
          <w:szCs w:val="28"/>
          <w:highlight w:val="none"/>
          <w:lang w:val="en-US" w:eastAsia="zh-CN"/>
        </w:rPr>
        <w:t>备案编号</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联 系 人：</w:t>
      </w:r>
      <w:r>
        <w:rPr>
          <w:rFonts w:hint="eastAsia" w:ascii="仿宋_GB2312" w:hAnsi="仿宋_GB2312" w:eastAsia="仿宋_GB2312" w:cs="仿宋_GB2312"/>
          <w:bCs/>
          <w:color w:val="auto"/>
          <w:sz w:val="28"/>
          <w:szCs w:val="28"/>
          <w:highlight w:val="none"/>
          <w:lang w:val="en-US" w:eastAsia="zh-CN"/>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sz w:val="28"/>
          <w:szCs w:val="28"/>
          <w:highlight w:val="none"/>
          <w:lang w:val="en-GB" w:eastAsia="zh-CN"/>
        </w:rPr>
        <w:t>联系电话：</w:t>
      </w:r>
      <w:r>
        <w:rPr>
          <w:rFonts w:hint="eastAsia" w:ascii="仿宋_GB2312" w:hAnsi="仿宋_GB2312" w:eastAsia="仿宋_GB2312" w:cs="仿宋_GB2312"/>
          <w:bCs/>
          <w:color w:val="auto"/>
          <w:sz w:val="28"/>
          <w:szCs w:val="28"/>
          <w:highlight w:val="none"/>
          <w:lang w:val="en-US" w:eastAsia="zh-CN"/>
        </w:rPr>
        <w:t>15388005188</w:t>
      </w:r>
    </w:p>
    <w:p w14:paraId="3980F95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auto"/>
          <w:sz w:val="28"/>
          <w:szCs w:val="28"/>
          <w:highlight w:val="none"/>
          <w:lang w:val="en-GB" w:eastAsia="zh-CN"/>
        </w:rPr>
      </w:pPr>
      <w:r>
        <w:rPr>
          <w:rFonts w:hint="eastAsia" w:ascii="仿宋_GB2312" w:hAnsi="仿宋_GB2312" w:eastAsia="仿宋_GB2312" w:cs="仿宋_GB2312"/>
          <w:bCs/>
          <w:color w:val="auto"/>
          <w:sz w:val="28"/>
          <w:szCs w:val="28"/>
          <w:highlight w:val="none"/>
          <w:lang w:val="en-GB" w:eastAsia="zh-CN"/>
        </w:rPr>
        <w:t>邮    编：4100</w:t>
      </w:r>
      <w:r>
        <w:rPr>
          <w:rFonts w:hint="eastAsia" w:ascii="仿宋_GB2312" w:hAnsi="仿宋_GB2312" w:eastAsia="仿宋_GB2312" w:cs="仿宋_GB2312"/>
          <w:bCs/>
          <w:color w:val="auto"/>
          <w:sz w:val="28"/>
          <w:szCs w:val="28"/>
          <w:highlight w:val="none"/>
          <w:lang w:val="en-US" w:eastAsia="zh-CN"/>
        </w:rPr>
        <w:t>00</w:t>
      </w:r>
    </w:p>
    <w:p w14:paraId="5C7F693B">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red"/>
          <w:lang w:val="en-GB" w:eastAsia="zh-CN"/>
        </w:rPr>
      </w:pPr>
      <w:r>
        <w:rPr>
          <w:rFonts w:hint="eastAsia" w:ascii="仿宋_GB2312" w:hAnsi="仿宋_GB2312" w:eastAsia="仿宋_GB2312" w:cs="仿宋_GB2312"/>
          <w:b/>
          <w:bCs w:val="0"/>
          <w:color w:val="auto"/>
          <w:sz w:val="28"/>
          <w:szCs w:val="28"/>
          <w:highlight w:val="none"/>
          <w:lang w:val="en-US" w:eastAsia="zh-CN"/>
        </w:rPr>
        <w:t>四、</w:t>
      </w:r>
      <w:r>
        <w:rPr>
          <w:rFonts w:hint="eastAsia" w:ascii="仿宋_GB2312" w:hAnsi="仿宋_GB2312" w:eastAsia="仿宋_GB2312" w:cs="仿宋_GB2312"/>
          <w:b/>
          <w:bCs w:val="0"/>
          <w:color w:val="auto"/>
          <w:sz w:val="28"/>
          <w:szCs w:val="28"/>
          <w:highlight w:val="none"/>
          <w:lang w:val="en-GB" w:eastAsia="zh-CN"/>
        </w:rPr>
        <w:t>估价目的</w:t>
      </w:r>
    </w:p>
    <w:p w14:paraId="7F51D7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w:t>
      </w:r>
      <w:r>
        <w:rPr>
          <w:rFonts w:hint="default" w:ascii="仿宋_GB2312" w:hAnsi="仿宋_GB2312" w:eastAsia="仿宋_GB2312" w:cs="仿宋_GB2312"/>
          <w:bCs/>
          <w:color w:val="auto"/>
          <w:sz w:val="28"/>
          <w:szCs w:val="28"/>
          <w:highlight w:val="none"/>
          <w:lang w:val="en-GB" w:eastAsia="zh-CN"/>
        </w:rPr>
        <w:t>《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w:t>
      </w:r>
      <w:r>
        <w:rPr>
          <w:rFonts w:hint="default" w:ascii="仿宋_GB2312" w:hAnsi="仿宋_GB2312" w:eastAsia="仿宋_GB2312" w:cs="仿宋_GB2312"/>
          <w:bCs/>
          <w:color w:val="auto"/>
          <w:sz w:val="28"/>
          <w:szCs w:val="28"/>
          <w:highlight w:val="none"/>
          <w:lang w:val="en-US" w:eastAsia="zh-CN"/>
        </w:rPr>
        <w:t>委托方提供的《评估委托书》，</w:t>
      </w:r>
      <w:r>
        <w:rPr>
          <w:rFonts w:hint="eastAsia" w:ascii="仿宋_GB2312" w:hAnsi="仿宋_GB2312" w:eastAsia="仿宋_GB2312" w:cs="仿宋_GB2312"/>
          <w:bCs/>
          <w:color w:val="auto"/>
          <w:sz w:val="28"/>
          <w:szCs w:val="28"/>
          <w:highlight w:val="none"/>
          <w:lang w:val="en-US" w:eastAsia="zh-CN"/>
        </w:rPr>
        <w:t>道县自然资源局</w:t>
      </w:r>
      <w:r>
        <w:rPr>
          <w:rFonts w:hint="default" w:ascii="仿宋_GB2312" w:hAnsi="仿宋_GB2312" w:eastAsia="仿宋_GB2312" w:cs="仿宋_GB2312"/>
          <w:bCs/>
          <w:color w:val="auto"/>
          <w:sz w:val="28"/>
          <w:szCs w:val="28"/>
          <w:highlight w:val="none"/>
          <w:lang w:val="en-GB" w:eastAsia="zh-CN"/>
        </w:rPr>
        <w:t>拟了解一宗位于</w:t>
      </w:r>
      <w:r>
        <w:rPr>
          <w:rFonts w:hint="default" w:ascii="仿宋_GB2312" w:hAnsi="仿宋_GB2312" w:eastAsia="仿宋_GB2312" w:cs="仿宋_GB2312"/>
          <w:b w:val="0"/>
          <w:bCs/>
          <w:color w:val="auto"/>
          <w:kern w:val="2"/>
          <w:sz w:val="28"/>
          <w:szCs w:val="28"/>
          <w:highlight w:val="none"/>
          <w:lang w:val="en-US" w:eastAsia="zh-CN" w:bidi="ar-SA"/>
        </w:rPr>
        <w:t>道县月岩西路</w:t>
      </w:r>
      <w:r>
        <w:rPr>
          <w:rFonts w:hint="default" w:ascii="仿宋_GB2312" w:hAnsi="仿宋_GB2312" w:eastAsia="仿宋_GB2312" w:cs="仿宋_GB2312"/>
          <w:bCs/>
          <w:color w:val="auto"/>
          <w:sz w:val="28"/>
          <w:szCs w:val="28"/>
          <w:highlight w:val="none"/>
          <w:lang w:val="en-GB" w:eastAsia="zh-CN"/>
        </w:rPr>
        <w:t>的国有土地使用权价值，特委托</w:t>
      </w:r>
      <w:r>
        <w:rPr>
          <w:rFonts w:hint="eastAsia" w:ascii="仿宋_GB2312" w:hAnsi="仿宋_GB2312" w:eastAsia="仿宋_GB2312" w:cs="仿宋_GB2312"/>
          <w:bCs/>
          <w:color w:val="auto"/>
          <w:sz w:val="28"/>
          <w:szCs w:val="28"/>
          <w:highlight w:val="none"/>
          <w:lang w:val="en-GB" w:eastAsia="zh-CN"/>
        </w:rPr>
        <w:t>湖南兆财不动产规划评估有限公司</w:t>
      </w:r>
      <w:r>
        <w:rPr>
          <w:rFonts w:hint="default" w:ascii="仿宋_GB2312" w:hAnsi="仿宋_GB2312" w:eastAsia="仿宋_GB2312" w:cs="仿宋_GB2312"/>
          <w:bCs/>
          <w:color w:val="auto"/>
          <w:sz w:val="28"/>
          <w:szCs w:val="28"/>
          <w:highlight w:val="none"/>
          <w:lang w:val="en-GB" w:eastAsia="zh-CN"/>
        </w:rPr>
        <w:t>对</w:t>
      </w:r>
      <w:r>
        <w:rPr>
          <w:rFonts w:hint="eastAsia" w:ascii="仿宋_GB2312" w:hAnsi="仿宋_GB2312" w:eastAsia="仿宋_GB2312" w:cs="仿宋_GB2312"/>
          <w:bCs/>
          <w:color w:val="auto"/>
          <w:sz w:val="28"/>
          <w:szCs w:val="28"/>
          <w:highlight w:val="none"/>
          <w:lang w:val="en-US" w:eastAsia="zh-CN"/>
        </w:rPr>
        <w:t>估价对象</w:t>
      </w:r>
      <w:r>
        <w:rPr>
          <w:rFonts w:hint="default" w:ascii="仿宋_GB2312" w:hAnsi="仿宋_GB2312" w:eastAsia="仿宋_GB2312" w:cs="仿宋_GB2312"/>
          <w:bCs/>
          <w:color w:val="auto"/>
          <w:sz w:val="28"/>
          <w:szCs w:val="28"/>
          <w:highlight w:val="none"/>
          <w:lang w:val="en-GB" w:eastAsia="zh-CN"/>
        </w:rPr>
        <w:t>在现状利用条件下的</w:t>
      </w:r>
      <w:r>
        <w:rPr>
          <w:rFonts w:hint="eastAsia" w:ascii="仿宋_GB2312" w:hAnsi="仿宋_GB2312" w:eastAsia="仿宋_GB2312" w:cs="仿宋_GB2312"/>
          <w:bCs/>
          <w:color w:val="auto"/>
          <w:sz w:val="28"/>
          <w:szCs w:val="28"/>
          <w:highlight w:val="none"/>
          <w:lang w:val="en-US" w:eastAsia="zh-CN"/>
        </w:rPr>
        <w:t>国有土地使用权出让</w:t>
      </w:r>
      <w:r>
        <w:rPr>
          <w:rFonts w:hint="default" w:ascii="仿宋_GB2312" w:hAnsi="仿宋_GB2312" w:eastAsia="仿宋_GB2312" w:cs="仿宋_GB2312"/>
          <w:bCs/>
          <w:color w:val="auto"/>
          <w:sz w:val="28"/>
          <w:szCs w:val="28"/>
          <w:highlight w:val="none"/>
          <w:lang w:val="en-GB" w:eastAsia="zh-CN"/>
        </w:rPr>
        <w:t>土地使用权价格进行评估，为其办理土地使用权出让手续提供</w:t>
      </w:r>
      <w:r>
        <w:rPr>
          <w:rFonts w:hint="eastAsia" w:ascii="仿宋_GB2312" w:hAnsi="仿宋_GB2312" w:eastAsia="仿宋_GB2312" w:cs="仿宋_GB2312"/>
          <w:bCs/>
          <w:color w:val="auto"/>
          <w:sz w:val="28"/>
          <w:szCs w:val="28"/>
          <w:highlight w:val="none"/>
          <w:lang w:val="en-US" w:eastAsia="zh-CN"/>
        </w:rPr>
        <w:t>客观、公正、合理的</w:t>
      </w:r>
      <w:r>
        <w:rPr>
          <w:rFonts w:hint="default" w:ascii="仿宋_GB2312" w:hAnsi="仿宋_GB2312" w:eastAsia="仿宋_GB2312" w:cs="仿宋_GB2312"/>
          <w:bCs/>
          <w:color w:val="auto"/>
          <w:sz w:val="28"/>
          <w:szCs w:val="28"/>
          <w:highlight w:val="none"/>
          <w:lang w:val="en-GB" w:eastAsia="zh-CN"/>
        </w:rPr>
        <w:t>价格参考</w:t>
      </w:r>
      <w:r>
        <w:rPr>
          <w:rFonts w:hint="eastAsia" w:ascii="仿宋_GB2312" w:hAnsi="仿宋_GB2312" w:eastAsia="仿宋_GB2312" w:cs="仿宋_GB2312"/>
          <w:bCs/>
          <w:color w:val="auto"/>
          <w:sz w:val="28"/>
          <w:szCs w:val="28"/>
          <w:highlight w:val="none"/>
          <w:lang w:val="en-US" w:eastAsia="zh-CN"/>
        </w:rPr>
        <w:t>依据</w:t>
      </w:r>
      <w:r>
        <w:rPr>
          <w:rFonts w:hint="eastAsia" w:ascii="仿宋_GB2312" w:eastAsia="仿宋_GB2312"/>
          <w:color w:val="000000" w:themeColor="text1"/>
          <w:sz w:val="28"/>
          <w:szCs w:val="30"/>
          <w:highlight w:val="none"/>
          <w:lang w:eastAsia="zh-CN"/>
          <w14:textFill>
            <w14:solidFill>
              <w14:schemeClr w14:val="tx1"/>
            </w14:solidFill>
          </w14:textFill>
        </w:rPr>
        <w:t>。</w:t>
      </w:r>
    </w:p>
    <w:p w14:paraId="46B01681">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五、估价依据</w:t>
      </w:r>
    </w:p>
    <w:p w14:paraId="1BD9E5B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（一）国家有关部门颁布的法律法规及相关文件</w:t>
      </w:r>
    </w:p>
    <w:p w14:paraId="6040110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1、《中华人民共和国民法典》（2020年5月28日第十三届全国人民代表大会第三次会议通过，2020年5月28日中华人民共和国主席令第四十五号公布，自2021年1月1日起施行）；</w:t>
      </w:r>
    </w:p>
    <w:p w14:paraId="16E3D26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2、《中华人民共和国资产评估法》（2016年7月2日第十二届全国人民代表大会常务委员会第二十一次会议通过，2016年7月2日中华人民共和国主席令第四十六号公布，自2016年12月1日起施行）；</w:t>
      </w:r>
    </w:p>
    <w:p w14:paraId="74B16D8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3、《中华人民共和国土地管理法》（1986年6月25日第六届全国人民代表大会常务委员会第十六次会议通过，中华人民共和国主席令第四十一号公布；根据2019年8月26日《全国人民代表大会常务委员会关于修改&lt;中华人民共和国土地管理法&gt;、&lt;中华人民共和国城市房地产管理法&gt;的决定》第三次修正，2019年8月26日中华人民共和国主席令第三十二号公布，自2020年1月1日起施行）；</w:t>
      </w:r>
    </w:p>
    <w:p w14:paraId="60FB3CA8">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4、《中华人民共和国城市房地产管理法》（1994年7月5日第八届全国人民代表大会常务委员会第八次会议通过，中华人民共和国主席令第二十九号公布；根据2019年8月26日第十三届全国人民代表大会常务委员会第十二次会议《关于修改〈中华人民共和国土地管理法〉、〈中华人民共和国城市房地产管理法〉的决定》第三次修正，2019年8月26日中华人民共和国主席令第三十二号公布，自2020年1月1日起施行）；</w:t>
      </w:r>
    </w:p>
    <w:p w14:paraId="174F2B79">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5、《中华人民共和国城乡规划法》（2007年10月28日第十届全国人民代表大会常务委员会第三十次会通过，中华人民共和国主席令第二十九号公布；根据2019年4月23日第十三届全国人民代表大会常务委员会第十次会议《关于修改&lt;中华人民共和国建筑法&gt;等八部法律的决定》第二次修正，2019年4月23日中华人民共和国主席令第二十九号公布，自本决定公布之日起施行）；</w:t>
      </w:r>
    </w:p>
    <w:p w14:paraId="4D958F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6</w:t>
      </w:r>
      <w:r>
        <w:rPr>
          <w:rFonts w:hint="eastAsia" w:ascii="仿宋_GB2312" w:hAnsi="仿宋_GB2312" w:eastAsia="仿宋_GB2312" w:cs="仿宋_GB2312"/>
          <w:sz w:val="28"/>
          <w:szCs w:val="28"/>
          <w:highlight w:val="none"/>
        </w:rPr>
        <w:t>、《中华人民共和国契税法》（2020年8月11日第十三届全国人民代表大会常务委员会第二十一次会议通过，中华人民共和国主席令第52号公布，自2021年9月1日起施行）；</w:t>
      </w:r>
    </w:p>
    <w:p w14:paraId="6552E3B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7</w:t>
      </w:r>
      <w:r>
        <w:rPr>
          <w:rFonts w:hint="eastAsia" w:ascii="仿宋_GB2312" w:hAnsi="仿宋_GB2312" w:eastAsia="仿宋_GB2312" w:cs="仿宋_GB2312"/>
          <w:sz w:val="28"/>
          <w:szCs w:val="28"/>
          <w:highlight w:val="none"/>
        </w:rPr>
        <w:t>、《中华人民共和国城市维护建设税法》（2020年8月11日第十三届全国人民代表大会常务委员会第二十一次会议通过，中华人民共和国主席令第51号公布，自2021年9月1日起施行）；</w:t>
      </w:r>
    </w:p>
    <w:p w14:paraId="2EA3AAA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8</w:t>
      </w:r>
      <w:r>
        <w:rPr>
          <w:rFonts w:hint="eastAsia" w:ascii="仿宋_GB2312" w:hAnsi="仿宋_GB2312" w:eastAsia="仿宋_GB2312" w:cs="仿宋_GB2312"/>
          <w:sz w:val="28"/>
          <w:szCs w:val="28"/>
          <w:highlight w:val="none"/>
        </w:rPr>
        <w:t>、《中华人民共和国印花税法》（2021年6月10日第十三届全国人民代表大会常务委员会第二十九次会议通过，自2022年7月1日起施行）</w:t>
      </w:r>
      <w:r>
        <w:rPr>
          <w:rFonts w:hint="eastAsia" w:ascii="仿宋_GB2312" w:hAnsi="仿宋_GB2312" w:eastAsia="仿宋_GB2312" w:cs="仿宋_GB2312"/>
          <w:sz w:val="28"/>
          <w:szCs w:val="28"/>
          <w:highlight w:val="none"/>
          <w:lang w:eastAsia="zh-CN"/>
        </w:rPr>
        <w:t>；</w:t>
      </w:r>
    </w:p>
    <w:p w14:paraId="734C622D">
      <w:pPr>
        <w:keepNext w:val="0"/>
        <w:keepLines w:val="0"/>
        <w:pageBreakBefore w:val="0"/>
        <w:widowControl/>
        <w:kinsoku/>
        <w:wordWrap/>
        <w:overflowPunct/>
        <w:topLinePunct w:val="0"/>
        <w:autoSpaceDE/>
        <w:autoSpaceDN/>
        <w:bidi w:val="0"/>
        <w:spacing w:line="480" w:lineRule="exact"/>
        <w:ind w:right="0" w:firstLine="560" w:firstLineChars="200"/>
        <w:jc w:val="left"/>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、《城市房地产开发经营管理条例》（1998年7月20日中华人民共和国国务院令第248号发布</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根据2020年11月29日《国务院关于修改和废止部分行政法规的决定》第五次修订）；</w:t>
      </w:r>
    </w:p>
    <w:p w14:paraId="26004C9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、《中华人民共和国城镇国有土地使用权出让和转让暂行条例》（1990年5月19日中华人民共和国国务院令第55号发布，自发布之日起施行；根据2020年11月29日中华人民共和国国务院令第732号修订）；</w:t>
      </w:r>
    </w:p>
    <w:p w14:paraId="096E2DC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11</w:t>
      </w:r>
      <w:r>
        <w:rPr>
          <w:rFonts w:hint="eastAsia" w:ascii="仿宋_GB2312" w:hAnsi="仿宋_GB2312" w:eastAsia="仿宋_GB2312" w:cs="仿宋_GB2312"/>
          <w:sz w:val="28"/>
          <w:szCs w:val="28"/>
          <w:highlight w:val="none"/>
        </w:rPr>
        <w:t>、《中华人民共和国土地管理法实施条例》（中华人民共和国国务院令第256号，2021年7月2日中华人民共和国国务院令第743号第三次修订）；</w:t>
      </w:r>
    </w:p>
    <w:p w14:paraId="0B13030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、《不动产登记暂行条例》（2014年11月24日中华人民共和国国务院令第656号公布，自2015年3月1日起施行；根据20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年3月</w:t>
      </w: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日中华人民共和国国务院令第7</w:t>
      </w:r>
      <w:r>
        <w:rPr>
          <w:rFonts w:hint="eastAsia" w:ascii="仿宋_GB2312" w:hAnsi="仿宋_GB2312" w:eastAsia="仿宋_GB2312" w:cs="仿宋_GB2312"/>
          <w:sz w:val="28"/>
          <w:szCs w:val="28"/>
          <w:highlight w:val="none"/>
          <w:lang w:val="en-US" w:eastAsia="zh-CN"/>
        </w:rPr>
        <w:t>77</w:t>
      </w:r>
      <w:r>
        <w:rPr>
          <w:rFonts w:hint="eastAsia" w:ascii="仿宋_GB2312" w:hAnsi="仿宋_GB2312" w:eastAsia="仿宋_GB2312" w:cs="仿宋_GB2312"/>
          <w:sz w:val="28"/>
          <w:szCs w:val="28"/>
          <w:highlight w:val="none"/>
        </w:rPr>
        <w:t>号《国务院关于修改和废止部分行政法规的决定》第</w:t>
      </w:r>
      <w:r>
        <w:rPr>
          <w:rFonts w:hint="eastAsia" w:ascii="仿宋_GB2312" w:hAnsi="仿宋_GB2312" w:eastAsia="仿宋_GB2312" w:cs="仿宋_GB2312"/>
          <w:sz w:val="28"/>
          <w:szCs w:val="28"/>
          <w:highlight w:val="none"/>
          <w:lang w:val="en-US" w:eastAsia="zh-CN"/>
        </w:rPr>
        <w:t>二</w:t>
      </w:r>
      <w:r>
        <w:rPr>
          <w:rFonts w:hint="eastAsia" w:ascii="仿宋_GB2312" w:hAnsi="仿宋_GB2312" w:eastAsia="仿宋_GB2312" w:cs="仿宋_GB2312"/>
          <w:sz w:val="28"/>
          <w:szCs w:val="28"/>
          <w:highlight w:val="none"/>
        </w:rPr>
        <w:t>次修订）；</w:t>
      </w:r>
    </w:p>
    <w:p w14:paraId="7AD1767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、《国务院关于深化改革严格土地管理的决定》（国发〔2004〕28号，2004年10月21日）；</w:t>
      </w:r>
    </w:p>
    <w:p w14:paraId="243BBBF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、《国务院关于加强土地调控有关问题的通知》（国发〔2006〕31号，2006年8月31日）；</w:t>
      </w:r>
    </w:p>
    <w:p w14:paraId="6C53E6AB">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15</w:t>
      </w:r>
      <w:r>
        <w:rPr>
          <w:rFonts w:hint="eastAsia" w:ascii="仿宋_GB2312" w:hAnsi="仿宋_GB2312" w:eastAsia="仿宋_GB2312" w:cs="仿宋_GB2312"/>
          <w:sz w:val="28"/>
          <w:szCs w:val="28"/>
          <w:highlight w:val="none"/>
        </w:rPr>
        <w:t>、《国务院办公厅关于完善建设用地使用权转让、出租、抵押二级市场的指导意见》（国办发〔2019〕34号，2019年07月19日）；</w:t>
      </w:r>
    </w:p>
    <w:p w14:paraId="2D5112F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16</w:t>
      </w:r>
      <w:r>
        <w:rPr>
          <w:rFonts w:hint="eastAsia" w:ascii="仿宋_GB2312" w:hAnsi="仿宋_GB2312" w:eastAsia="仿宋_GB2312" w:cs="仿宋_GB2312"/>
          <w:sz w:val="28"/>
          <w:szCs w:val="28"/>
          <w:highlight w:val="none"/>
        </w:rPr>
        <w:t>、《协议出让国有土地使用权规定》（国土资源部令第21号，2003年8月1号）；</w:t>
      </w:r>
    </w:p>
    <w:p w14:paraId="4FD08B19">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17</w:t>
      </w:r>
      <w:r>
        <w:rPr>
          <w:rFonts w:hint="eastAsia" w:ascii="仿宋_GB2312" w:hAnsi="仿宋_GB2312" w:eastAsia="仿宋_GB2312" w:cs="仿宋_GB2312"/>
          <w:sz w:val="28"/>
          <w:szCs w:val="28"/>
          <w:highlight w:val="none"/>
        </w:rPr>
        <w:t>、《协议出让国有土地使用权规范》（试行）（国土资发〔2006〕114号，2006年5月31号）；</w:t>
      </w:r>
    </w:p>
    <w:p w14:paraId="0C0B13C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18</w:t>
      </w:r>
      <w:r>
        <w:rPr>
          <w:rFonts w:hint="eastAsia" w:ascii="仿宋_GB2312" w:hAnsi="仿宋_GB2312" w:eastAsia="仿宋_GB2312" w:cs="仿宋_GB2312"/>
          <w:sz w:val="28"/>
          <w:szCs w:val="28"/>
          <w:highlight w:val="none"/>
        </w:rPr>
        <w:t>、《国土资源部关于进一步加强城市地价动态监测工作的通知》（国土资发[2008]51号，2008年3月11日）；</w:t>
      </w:r>
    </w:p>
    <w:p w14:paraId="0C4F6057">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19</w:t>
      </w:r>
      <w:r>
        <w:rPr>
          <w:rFonts w:hint="eastAsia" w:ascii="仿宋_GB2312" w:hAnsi="仿宋_GB2312" w:eastAsia="仿宋_GB2312" w:cs="仿宋_GB2312"/>
          <w:sz w:val="28"/>
          <w:szCs w:val="28"/>
          <w:highlight w:val="none"/>
        </w:rPr>
        <w:t>、《国土资源部关于坚持和完善土地招标拍卖挂牌出让制度的意见》（国土资发〔2011〕63号，2011年5月13日）；</w:t>
      </w:r>
    </w:p>
    <w:p w14:paraId="7D6BD82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20</w:t>
      </w:r>
      <w:r>
        <w:rPr>
          <w:rFonts w:hint="eastAsia" w:ascii="仿宋_GB2312" w:hAnsi="仿宋_GB2312" w:eastAsia="仿宋_GB2312" w:cs="仿宋_GB2312"/>
          <w:sz w:val="28"/>
          <w:szCs w:val="28"/>
          <w:highlight w:val="none"/>
        </w:rPr>
        <w:t>、《国土资源部办公厅关于实施电子化备案完善土地估价报告备案制度的通知》（国土资厅发[2012]35号，2012年6月14日）；</w:t>
      </w:r>
    </w:p>
    <w:p w14:paraId="06E5657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21</w:t>
      </w:r>
      <w:r>
        <w:rPr>
          <w:rFonts w:hint="eastAsia" w:ascii="仿宋_GB2312" w:hAnsi="仿宋_GB2312" w:eastAsia="仿宋_GB2312" w:cs="仿宋_GB2312"/>
          <w:sz w:val="28"/>
          <w:szCs w:val="28"/>
          <w:highlight w:val="none"/>
        </w:rPr>
        <w:t>、《节约集约利用土地规定》（2014年5月22日国土资源部第61号令公布，根据2019年7月16日自然资源部第2次部务会议《自然资源部第一批废止和修改的部门规章的决定》修正）；</w:t>
      </w:r>
    </w:p>
    <w:p w14:paraId="5ADD7D13">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22</w:t>
      </w:r>
      <w:r>
        <w:rPr>
          <w:rFonts w:hint="eastAsia" w:ascii="仿宋_GB2312" w:hAnsi="仿宋_GB2312" w:eastAsia="仿宋_GB2312" w:cs="仿宋_GB2312"/>
          <w:sz w:val="28"/>
          <w:szCs w:val="28"/>
          <w:highlight w:val="none"/>
        </w:rPr>
        <w:t>、《不动产登记暂行条例实施细则》（2016年1月1日国土资源部令第63号公布，根据20</w:t>
      </w:r>
      <w:r>
        <w:rPr>
          <w:rFonts w:hint="eastAsia" w:ascii="仿宋_GB2312" w:hAnsi="仿宋_GB2312" w:eastAsia="仿宋_GB2312" w:cs="仿宋_GB2312"/>
          <w:sz w:val="28"/>
          <w:szCs w:val="28"/>
          <w:highlight w:val="none"/>
          <w:lang w:val="en-US" w:eastAsia="zh-CN"/>
        </w:rPr>
        <w:t>24</w:t>
      </w:r>
      <w:r>
        <w:rPr>
          <w:rFonts w:hint="eastAsia" w:ascii="仿宋_GB2312" w:hAnsi="仿宋_GB2312" w:eastAsia="仿宋_GB2312" w:cs="仿宋_GB2312"/>
          <w:sz w:val="28"/>
          <w:szCs w:val="28"/>
          <w:highlight w:val="none"/>
        </w:rPr>
        <w:t>年</w:t>
      </w:r>
      <w:r>
        <w:rPr>
          <w:rFonts w:hint="eastAsia" w:ascii="仿宋_GB2312" w:hAnsi="仿宋_GB2312" w:eastAsia="仿宋_GB2312" w:cs="仿宋_GB2312"/>
          <w:sz w:val="28"/>
          <w:szCs w:val="28"/>
          <w:highlight w:val="none"/>
          <w:lang w:val="en-US" w:eastAsia="zh-CN"/>
        </w:rPr>
        <w:t>5</w:t>
      </w:r>
      <w:r>
        <w:rPr>
          <w:rFonts w:hint="eastAsia" w:ascii="仿宋_GB2312" w:hAnsi="仿宋_GB2312" w:eastAsia="仿宋_GB2312" w:cs="仿宋_GB2312"/>
          <w:sz w:val="28"/>
          <w:szCs w:val="28"/>
          <w:highlight w:val="none"/>
        </w:rPr>
        <w:t>月</w:t>
      </w: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日自然资源部第2次部务会议《自然资源部关于第六批修改的部门规章的决定》修正）；</w:t>
      </w:r>
    </w:p>
    <w:p w14:paraId="1D36572C">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kern w:val="0"/>
          <w:sz w:val="28"/>
          <w:szCs w:val="28"/>
          <w:highlight w:val="none"/>
        </w:rPr>
      </w:pPr>
      <w:r>
        <w:rPr>
          <w:rFonts w:hint="eastAsia" w:ascii="仿宋_GB2312" w:hAnsi="仿宋_GB2312" w:eastAsia="仿宋_GB2312" w:cs="仿宋_GB2312"/>
          <w:sz w:val="28"/>
          <w:szCs w:val="28"/>
          <w:highlight w:val="none"/>
          <w:lang w:val="en-US" w:eastAsia="zh-CN"/>
        </w:rPr>
        <w:t>23</w:t>
      </w:r>
      <w:r>
        <w:rPr>
          <w:rFonts w:hint="eastAsia" w:ascii="仿宋_GB2312" w:hAnsi="仿宋_GB2312" w:eastAsia="仿宋_GB2312" w:cs="仿宋_GB2312"/>
          <w:sz w:val="28"/>
          <w:szCs w:val="28"/>
          <w:highlight w:val="none"/>
        </w:rPr>
        <w:t>、《国土资源部关于贯彻实施&lt;中华人民共和国资产评估法&gt;的通知》（国土资发[2016]181号，2016年11月25日）；</w:t>
      </w:r>
    </w:p>
    <w:p w14:paraId="4CA9424F">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24</w:t>
      </w:r>
      <w:r>
        <w:rPr>
          <w:rFonts w:hint="eastAsia" w:ascii="仿宋_GB2312" w:hAnsi="仿宋_GB2312" w:eastAsia="仿宋_GB2312" w:cs="仿宋_GB2312"/>
          <w:color w:val="000000"/>
          <w:sz w:val="28"/>
          <w:szCs w:val="28"/>
          <w:highlight w:val="none"/>
        </w:rPr>
        <w:t>、《国土资源部 国家发展和改革委员会 财政部 住房和城乡建设部 农业部 中国人民银行 国家林业局 中国银行业监督管理委员会关于扩大国有土地有偿使用范围的意见》（国土资规[2016]20号，2016年12月31日）；</w:t>
      </w:r>
    </w:p>
    <w:p w14:paraId="399A6095">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25</w:t>
      </w:r>
      <w:r>
        <w:rPr>
          <w:rFonts w:hint="eastAsia" w:ascii="仿宋_GB2312" w:hAnsi="仿宋_GB2312" w:eastAsia="仿宋_GB2312" w:cs="仿宋_GB2312"/>
          <w:color w:val="000000"/>
          <w:sz w:val="28"/>
          <w:szCs w:val="28"/>
          <w:highlight w:val="none"/>
        </w:rPr>
        <w:t>、《国土资源部办公厅关于发布&lt;国有建设用地使用权出让地价评估技术规范&gt;的通知》（国土资厅发[2018]4号，2018年4月9日）；</w:t>
      </w:r>
    </w:p>
    <w:p w14:paraId="58EC570A">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26</w:t>
      </w:r>
      <w:r>
        <w:rPr>
          <w:rFonts w:hint="eastAsia" w:ascii="仿宋_GB2312" w:hAnsi="仿宋_GB2312" w:eastAsia="仿宋_GB2312" w:cs="仿宋_GB2312"/>
          <w:color w:val="000000"/>
          <w:sz w:val="28"/>
          <w:szCs w:val="28"/>
          <w:highlight w:val="none"/>
        </w:rPr>
        <w:t>、《自然资源部办公厅关于印发&lt;产业用地政策实施工作指引（2019年版）&gt;的通知》（自然资办发[2019]31号，2019年4月24日）；</w:t>
      </w:r>
    </w:p>
    <w:p w14:paraId="1EE0D8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27、</w:t>
      </w:r>
      <w:r>
        <w:rPr>
          <w:rFonts w:hint="eastAsia" w:ascii="仿宋_GB2312" w:hAnsi="仿宋_GB2312" w:eastAsia="仿宋_GB2312" w:cs="仿宋_GB2312"/>
          <w:color w:val="000000"/>
          <w:sz w:val="28"/>
          <w:szCs w:val="28"/>
          <w:highlight w:val="none"/>
        </w:rPr>
        <w:t>《自然资源部办公厅关于做好2021年度自然资源评价评估有关工作的通知》（自然资办发〔2021〕39号，2021年5月12日）；</w:t>
      </w:r>
    </w:p>
    <w:p w14:paraId="6E6EB96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28</w:t>
      </w:r>
      <w:r>
        <w:rPr>
          <w:rFonts w:hint="eastAsia" w:ascii="仿宋_GB2312" w:hAnsi="仿宋_GB2312" w:eastAsia="仿宋_GB2312" w:cs="仿宋_GB2312"/>
          <w:color w:val="000000"/>
          <w:sz w:val="28"/>
          <w:szCs w:val="28"/>
          <w:highlight w:val="none"/>
        </w:rPr>
        <w:t>、《自然资源部办公厅关于做好2022年度自然资源评价评估有工作的通知》（自然资办发〔2022〕13号，2022年4月13日）；</w:t>
      </w:r>
    </w:p>
    <w:p w14:paraId="2A191043">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29</w:t>
      </w:r>
      <w:r>
        <w:rPr>
          <w:rFonts w:hint="eastAsia" w:ascii="仿宋_GB2312" w:hAnsi="仿宋_GB2312" w:eastAsia="仿宋_GB2312" w:cs="仿宋_GB2312"/>
          <w:color w:val="000000"/>
          <w:sz w:val="28"/>
          <w:szCs w:val="28"/>
          <w:highlight w:val="none"/>
        </w:rPr>
        <w:t xml:space="preserve">、《自然资源部办公厅关于土地估价机构备案工作的通知》（自然资办发〔2022〕42号，2022年9月27日）； </w:t>
      </w:r>
    </w:p>
    <w:p w14:paraId="0D5540BE">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color w:val="000000"/>
          <w:sz w:val="28"/>
          <w:szCs w:val="28"/>
          <w:highlight w:val="none"/>
          <w:lang w:val="en-US" w:eastAsia="zh-CN"/>
        </w:rPr>
      </w:pPr>
      <w:r>
        <w:rPr>
          <w:rFonts w:hint="eastAsia" w:ascii="仿宋_GB2312" w:hAnsi="仿宋_GB2312" w:eastAsia="仿宋_GB2312" w:cs="仿宋_GB2312"/>
          <w:color w:val="000000"/>
          <w:sz w:val="28"/>
          <w:szCs w:val="28"/>
          <w:highlight w:val="none"/>
          <w:lang w:val="en-US" w:eastAsia="zh-CN"/>
        </w:rPr>
        <w:t>30、《自然资源部办公厅关于做好2024年住宅用地供应有关工作的通知》（自然资办函〔2024〕918号，2024年4月29日）；</w:t>
      </w:r>
    </w:p>
    <w:p w14:paraId="7BC0063C">
      <w:pPr>
        <w:keepNext w:val="0"/>
        <w:keepLines w:val="0"/>
        <w:pageBreakBefore w:val="0"/>
        <w:kinsoku/>
        <w:wordWrap/>
        <w:overflowPunct/>
        <w:topLinePunct w:val="0"/>
        <w:autoSpaceDE/>
        <w:autoSpaceDN/>
        <w:bidi w:val="0"/>
        <w:spacing w:line="480" w:lineRule="exact"/>
        <w:ind w:right="0" w:firstLine="546" w:firstLineChars="195"/>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31</w:t>
      </w:r>
      <w:r>
        <w:rPr>
          <w:rFonts w:hint="eastAsia" w:ascii="仿宋_GB2312" w:hAnsi="仿宋_GB2312" w:eastAsia="仿宋_GB2312" w:cs="仿宋_GB2312"/>
          <w:bCs/>
          <w:iCs/>
          <w:sz w:val="28"/>
          <w:szCs w:val="28"/>
          <w:highlight w:val="none"/>
        </w:rPr>
        <w:t>、《关于全面推开营业税改征增值税试点的通知》（财税〔2016〕36号，2016年3月23日）；</w:t>
      </w:r>
    </w:p>
    <w:p w14:paraId="238222E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32</w:t>
      </w:r>
      <w:r>
        <w:rPr>
          <w:rFonts w:hint="eastAsia" w:ascii="仿宋_GB2312" w:hAnsi="仿宋_GB2312" w:eastAsia="仿宋_GB2312" w:cs="仿宋_GB2312"/>
          <w:bCs/>
          <w:iCs/>
          <w:sz w:val="28"/>
          <w:szCs w:val="28"/>
          <w:highlight w:val="none"/>
        </w:rPr>
        <w:t>、《关于全面推开营业税改征增值税试点有关税收征收管理事项的公告》（国家税务总局公告2016年第23号，2016年4月19日）；</w:t>
      </w:r>
    </w:p>
    <w:p w14:paraId="2A93F6C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33</w:t>
      </w:r>
      <w:r>
        <w:rPr>
          <w:rFonts w:hint="eastAsia" w:ascii="仿宋_GB2312" w:hAnsi="仿宋_GB2312" w:eastAsia="仿宋_GB2312" w:cs="仿宋_GB2312"/>
          <w:bCs/>
          <w:iCs/>
          <w:sz w:val="28"/>
          <w:szCs w:val="28"/>
          <w:highlight w:val="none"/>
        </w:rPr>
        <w:t>、《关于营改增后契税、房产税、土地增值税、个人所得税计税依据问题的通知》（财税[2016]43号，2016年4月25日）；</w:t>
      </w:r>
    </w:p>
    <w:p w14:paraId="651B6E1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lang w:val="en-US" w:eastAsia="zh-CN"/>
        </w:rPr>
        <w:t>34</w:t>
      </w:r>
      <w:r>
        <w:rPr>
          <w:rFonts w:hint="eastAsia" w:ascii="仿宋_GB2312" w:hAnsi="仿宋_GB2312" w:eastAsia="仿宋_GB2312" w:cs="仿宋_GB2312"/>
          <w:bCs/>
          <w:iCs/>
          <w:sz w:val="28"/>
          <w:szCs w:val="28"/>
          <w:highlight w:val="none"/>
        </w:rPr>
        <w:t>、《财政部税务总局关于调整增值税税率的通知》[财税（2018）32号，2018年5月1日]；</w:t>
      </w:r>
    </w:p>
    <w:p w14:paraId="0D120F35">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35</w:t>
      </w:r>
      <w:r>
        <w:rPr>
          <w:rFonts w:hint="eastAsia" w:ascii="仿宋_GB2312" w:hAnsi="仿宋_GB2312" w:eastAsia="仿宋_GB2312" w:cs="仿宋_GB2312"/>
          <w:bCs/>
          <w:iCs/>
          <w:sz w:val="28"/>
          <w:szCs w:val="28"/>
          <w:highlight w:val="none"/>
        </w:rPr>
        <w:t>、《财政部税务总局 海关总署关于深化增值税改革有关政策的公告》（财政部 税务总局 海关总署公告2019年第39号，2019年3月20日）</w:t>
      </w:r>
      <w:r>
        <w:rPr>
          <w:rFonts w:hint="eastAsia" w:ascii="仿宋_GB2312" w:hAnsi="仿宋_GB2312" w:eastAsia="仿宋_GB2312" w:cs="仿宋_GB2312"/>
          <w:bCs/>
          <w:iCs/>
          <w:sz w:val="28"/>
          <w:szCs w:val="28"/>
          <w:highlight w:val="none"/>
          <w:lang w:eastAsia="zh-CN"/>
        </w:rPr>
        <w:t>。</w:t>
      </w:r>
    </w:p>
    <w:p w14:paraId="22209DF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36、</w:t>
      </w:r>
      <w:r>
        <w:rPr>
          <w:rFonts w:hint="eastAsia" w:ascii="仿宋_GB2312" w:hAnsi="仿宋_GB2312" w:eastAsia="仿宋_GB2312" w:cs="仿宋_GB2312"/>
          <w:bCs/>
          <w:iCs/>
          <w:sz w:val="28"/>
          <w:szCs w:val="28"/>
          <w:highlight w:val="none"/>
          <w:lang w:eastAsia="zh-CN"/>
        </w:rPr>
        <w:t>《</w:t>
      </w:r>
      <w:r>
        <w:rPr>
          <w:rFonts w:hint="eastAsia" w:ascii="仿宋_GB2312" w:hAnsi="仿宋_GB2312" w:eastAsia="仿宋_GB2312" w:cs="仿宋_GB2312"/>
          <w:bCs/>
          <w:iCs/>
          <w:sz w:val="28"/>
          <w:szCs w:val="28"/>
          <w:highlight w:val="none"/>
        </w:rPr>
        <w:t>财政部税务总局关于进一步支持小微企业和个体工商户发展有关税费政策的公告</w:t>
      </w:r>
      <w:r>
        <w:rPr>
          <w:rFonts w:hint="eastAsia" w:ascii="仿宋_GB2312" w:hAnsi="仿宋_GB2312" w:eastAsia="仿宋_GB2312" w:cs="仿宋_GB2312"/>
          <w:bCs/>
          <w:iCs/>
          <w:sz w:val="28"/>
          <w:szCs w:val="28"/>
          <w:highlight w:val="none"/>
          <w:lang w:eastAsia="zh-CN"/>
        </w:rPr>
        <w:t>》（财政部 税务总局公告2023年第12号，</w:t>
      </w:r>
      <w:r>
        <w:rPr>
          <w:rFonts w:hint="eastAsia" w:ascii="仿宋_GB2312" w:hAnsi="仿宋_GB2312" w:eastAsia="仿宋_GB2312" w:cs="仿宋_GB2312"/>
          <w:bCs/>
          <w:iCs/>
          <w:sz w:val="28"/>
          <w:szCs w:val="28"/>
          <w:highlight w:val="none"/>
          <w:lang w:val="en-US" w:eastAsia="zh-CN"/>
        </w:rPr>
        <w:t>2023年8月2日</w:t>
      </w:r>
      <w:r>
        <w:rPr>
          <w:rFonts w:hint="eastAsia" w:ascii="仿宋_GB2312" w:hAnsi="仿宋_GB2312" w:eastAsia="仿宋_GB2312" w:cs="仿宋_GB2312"/>
          <w:bCs/>
          <w:iCs/>
          <w:sz w:val="28"/>
          <w:szCs w:val="28"/>
          <w:highlight w:val="none"/>
          <w:lang w:eastAsia="zh-CN"/>
        </w:rPr>
        <w:t>）；</w:t>
      </w:r>
    </w:p>
    <w:p w14:paraId="72C842C4">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37、</w:t>
      </w:r>
      <w:r>
        <w:rPr>
          <w:rFonts w:hint="eastAsia" w:ascii="仿宋_GB2312" w:hAnsi="仿宋_GB2312" w:eastAsia="仿宋_GB2312" w:cs="仿宋_GB2312"/>
          <w:bCs/>
          <w:iCs/>
          <w:sz w:val="28"/>
          <w:szCs w:val="28"/>
          <w:highlight w:val="none"/>
          <w:lang w:eastAsia="zh-CN"/>
        </w:rPr>
        <w:t>《中华人民共和国增值税法》（2024年12月25日第十四届全国人民代表大会常务委员会第十三次会议通过，</w:t>
      </w:r>
      <w:r>
        <w:rPr>
          <w:rFonts w:hint="eastAsia" w:ascii="仿宋_GB2312" w:hAnsi="仿宋_GB2312" w:eastAsia="仿宋_GB2312" w:cs="仿宋_GB2312"/>
          <w:bCs/>
          <w:iCs/>
          <w:sz w:val="28"/>
          <w:szCs w:val="28"/>
          <w:highlight w:val="none"/>
        </w:rPr>
        <w:t>2024年12月25日</w:t>
      </w:r>
      <w:r>
        <w:rPr>
          <w:rFonts w:hint="eastAsia" w:ascii="仿宋_GB2312" w:hAnsi="仿宋_GB2312" w:eastAsia="仿宋_GB2312" w:cs="仿宋_GB2312"/>
          <w:bCs/>
          <w:iCs/>
          <w:sz w:val="28"/>
          <w:szCs w:val="28"/>
          <w:highlight w:val="none"/>
          <w:lang w:eastAsia="zh-CN"/>
        </w:rPr>
        <w:t>）；</w:t>
      </w:r>
    </w:p>
    <w:p w14:paraId="1CF12CA2">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38、</w:t>
      </w:r>
      <w:r>
        <w:rPr>
          <w:rFonts w:hint="eastAsia" w:ascii="仿宋_GB2312" w:hAnsi="仿宋_GB2312" w:eastAsia="仿宋_GB2312" w:cs="仿宋_GB2312"/>
          <w:bCs/>
          <w:iCs/>
          <w:sz w:val="28"/>
          <w:szCs w:val="28"/>
          <w:highlight w:val="none"/>
          <w:lang w:eastAsia="zh-CN"/>
        </w:rPr>
        <w:t>《财政部税务总局关于增值税法施行后增值税优惠政策衔接事项的公告》（财政部 税务总局公告2026年第10号，</w:t>
      </w:r>
      <w:r>
        <w:rPr>
          <w:rFonts w:hint="eastAsia" w:ascii="仿宋_GB2312" w:hAnsi="仿宋_GB2312" w:eastAsia="仿宋_GB2312" w:cs="仿宋_GB2312"/>
          <w:bCs/>
          <w:iCs/>
          <w:sz w:val="28"/>
          <w:szCs w:val="28"/>
          <w:highlight w:val="none"/>
          <w:lang w:val="en-US" w:eastAsia="zh-CN"/>
        </w:rPr>
        <w:t>2026年1月30日</w:t>
      </w:r>
      <w:r>
        <w:rPr>
          <w:rFonts w:hint="eastAsia" w:ascii="仿宋_GB2312" w:hAnsi="仿宋_GB2312" w:eastAsia="仿宋_GB2312" w:cs="仿宋_GB2312"/>
          <w:bCs/>
          <w:iCs/>
          <w:sz w:val="28"/>
          <w:szCs w:val="28"/>
          <w:highlight w:val="none"/>
          <w:lang w:eastAsia="zh-CN"/>
        </w:rPr>
        <w:t>）；</w:t>
      </w:r>
    </w:p>
    <w:p w14:paraId="5DCDA4A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（二）地方有关部门颁布的法规及相关文件</w:t>
      </w:r>
    </w:p>
    <w:p w14:paraId="4BAF9E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1、《湖南省实施&lt;中华人民共和国土地管理法&gt;办法》（2022年1月19日湖南省第十三届人民代表大会第五次会议通过）；</w:t>
      </w:r>
    </w:p>
    <w:p w14:paraId="2042D56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2、《湖南省实施&lt;中华人民共和国城乡规划法&gt;办法》（2015年12月4日湖南省第十二届人民代表大会常务委员会第十九次会议通过，自2016年5月1日起施行）；</w:t>
      </w:r>
    </w:p>
    <w:p w14:paraId="7D8326B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rPr>
        <w:t>3、《湖南省城镇划拨土地使用权管理条例》（1997年1月24日湖南省第八届人民代表大会常务委员会第二十六次会议通过  根据2002年6月3日湖南省第九届人民代表大会常务委员会第二十九次会议《关于修改&lt;湖南省城镇划拨土地使用权管理条例&gt;的决定》第一次修正  根据2020年7月30日湖南省第十三届人民代表大会常务委员会第十九次会议《关于修改&lt;湖南省燃气管理条例&gt;等十件地方性法规的决定》第二次修正）；</w:t>
      </w:r>
    </w:p>
    <w:p w14:paraId="024DABF7">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4</w:t>
      </w:r>
      <w:r>
        <w:rPr>
          <w:rFonts w:hint="eastAsia" w:ascii="仿宋_GB2312" w:hAnsi="仿宋_GB2312" w:eastAsia="仿宋_GB2312" w:cs="仿宋_GB2312"/>
          <w:sz w:val="28"/>
          <w:highlight w:val="none"/>
        </w:rPr>
        <w:t xml:space="preserve">、《湖南省人民代表大会常务委员会关于契税具体适用税率等事项的决定》（2021年5月27日湖南省第十三届人民代表大会常务委员会第二十四次会议通过）； </w:t>
      </w:r>
    </w:p>
    <w:p w14:paraId="0DB81A44">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5</w:t>
      </w:r>
      <w:r>
        <w:rPr>
          <w:rFonts w:hint="eastAsia" w:ascii="仿宋_GB2312" w:hAnsi="仿宋_GB2312" w:eastAsia="仿宋_GB2312" w:cs="仿宋_GB2312"/>
          <w:sz w:val="28"/>
          <w:szCs w:val="24"/>
          <w:highlight w:val="none"/>
        </w:rPr>
        <w:t>、《湖南省城镇国有土地使用权出让和转让实施办法》（1994年11月19日湖南省人民政府发布；根据1997年12月30日《湖南省人民政府关于修改〈湖南省城镇国有土地使用权出让和转让实施办法〉的决定》修正；根据2002年3月7日《湖南省人民政府关于修改2001年底以前发布的部分规章的决定》第二次修正）；</w:t>
      </w:r>
    </w:p>
    <w:p w14:paraId="1DCF73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6</w:t>
      </w:r>
      <w:r>
        <w:rPr>
          <w:rFonts w:hint="eastAsia" w:ascii="仿宋_GB2312" w:hAnsi="仿宋_GB2312" w:eastAsia="仿宋_GB2312" w:cs="仿宋_GB2312"/>
          <w:sz w:val="28"/>
          <w:szCs w:val="24"/>
          <w:highlight w:val="none"/>
        </w:rPr>
        <w:t>、《湖南省土地市场管理办法》（2004年12月31日湖南省人民政府第48次常务会议审议通过，2005年1月20日湖南省人民政府令第195号公布，自2005年3月1日起施行；根据2011年1月30日《湖南省人民政府关于废止和修改部分省政府规章的决定》修正）；</w:t>
      </w:r>
    </w:p>
    <w:p w14:paraId="25A3A31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7</w:t>
      </w:r>
      <w:r>
        <w:rPr>
          <w:rFonts w:hint="eastAsia" w:ascii="仿宋_GB2312" w:hAnsi="仿宋_GB2312" w:eastAsia="仿宋_GB2312" w:cs="仿宋_GB2312"/>
          <w:sz w:val="28"/>
          <w:szCs w:val="24"/>
          <w:highlight w:val="none"/>
        </w:rPr>
        <w:t>、《湖南省人民政府关于深化改革严格土地管理的意见》（湘政发[2005]4号，2005年2月19日）；</w:t>
      </w:r>
    </w:p>
    <w:p w14:paraId="3D2E3E6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4"/>
          <w:highlight w:val="none"/>
        </w:rPr>
      </w:pPr>
      <w:r>
        <w:rPr>
          <w:rFonts w:hint="eastAsia" w:ascii="仿宋_GB2312" w:hAnsi="仿宋_GB2312" w:eastAsia="仿宋_GB2312" w:cs="仿宋_GB2312"/>
          <w:sz w:val="28"/>
          <w:szCs w:val="24"/>
          <w:highlight w:val="none"/>
          <w:lang w:val="en-US" w:eastAsia="zh-CN"/>
        </w:rPr>
        <w:t>8</w:t>
      </w:r>
      <w:r>
        <w:rPr>
          <w:rFonts w:hint="eastAsia" w:ascii="仿宋_GB2312" w:hAnsi="仿宋_GB2312" w:eastAsia="仿宋_GB2312" w:cs="仿宋_GB2312"/>
          <w:sz w:val="28"/>
          <w:szCs w:val="24"/>
          <w:highlight w:val="none"/>
        </w:rPr>
        <w:t>、《湖南省教育费附加和地方教育附加征收管理办法》（湖南省人民政府令第218号，2007年12月31日）；</w:t>
      </w:r>
    </w:p>
    <w:p w14:paraId="3F2D111F">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9</w:t>
      </w:r>
      <w:r>
        <w:rPr>
          <w:rFonts w:hint="eastAsia" w:ascii="仿宋_GB2312" w:hAnsi="仿宋_GB2312" w:eastAsia="仿宋_GB2312" w:cs="仿宋_GB2312"/>
          <w:sz w:val="28"/>
          <w:szCs w:val="28"/>
          <w:highlight w:val="none"/>
        </w:rPr>
        <w:t>、《湖南省人民政府办公厅关于印发&lt;湖南省国有土地使用权出让收支管理办法&gt;的通知》（湘政办发[2015]1号，2015年3月12日）；</w:t>
      </w:r>
    </w:p>
    <w:p w14:paraId="14E4F623">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10</w:t>
      </w:r>
      <w:r>
        <w:rPr>
          <w:rFonts w:hint="eastAsia" w:ascii="仿宋_GB2312" w:hAnsi="仿宋_GB2312" w:eastAsia="仿宋_GB2312" w:cs="仿宋_GB2312"/>
          <w:sz w:val="28"/>
          <w:szCs w:val="28"/>
          <w:highlight w:val="none"/>
        </w:rPr>
        <w:t xml:space="preserve">、《关于转发&lt;国土资源部 国家发展和改革委员会 财政部 住房和城乡建设部 农业部 中国人民银行 国家林业局 中国银行业监督管理委员会关于扩大国有土地有偿使用范围的意见&gt;的通知》（湘国土资发[2018]2号，2018年1月15日）； </w:t>
      </w:r>
    </w:p>
    <w:p w14:paraId="10A034CB">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lang w:val="en-US" w:eastAsia="zh-CN"/>
        </w:rPr>
        <w:t>11</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szCs w:val="28"/>
          <w:highlight w:val="none"/>
        </w:rPr>
        <w:t>《湖南省财政厅 国家税务总局湖南省税务局关于明确地方教育附加征收标准的通知》（湘财综〔2018〕35号，2018年11月5日）</w:t>
      </w:r>
      <w:r>
        <w:rPr>
          <w:rFonts w:hint="eastAsia" w:ascii="仿宋_GB2312" w:hAnsi="仿宋_GB2312" w:eastAsia="仿宋_GB2312" w:cs="仿宋_GB2312"/>
          <w:sz w:val="28"/>
          <w:highlight w:val="none"/>
        </w:rPr>
        <w:t>；</w:t>
      </w:r>
    </w:p>
    <w:p w14:paraId="30BF33D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12</w:t>
      </w:r>
      <w:r>
        <w:rPr>
          <w:rFonts w:hint="eastAsia" w:ascii="仿宋_GB2312" w:hAnsi="仿宋_GB2312" w:eastAsia="仿宋_GB2312" w:cs="仿宋_GB2312"/>
          <w:sz w:val="28"/>
          <w:szCs w:val="28"/>
          <w:highlight w:val="none"/>
        </w:rPr>
        <w:t xml:space="preserve">、《湖南省自然资源厅关于进一步规范土地出让管理工作的通知》（湘自然资发〔2019〕33号，2019年11月28日）； </w:t>
      </w:r>
    </w:p>
    <w:p w14:paraId="3C3F4FCD">
      <w:pPr>
        <w:keepNext w:val="0"/>
        <w:keepLines w:val="0"/>
        <w:pageBreakBefore w:val="0"/>
        <w:widowControl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lang w:val="en-US" w:eastAsia="zh-CN"/>
        </w:rPr>
        <w:t>13</w:t>
      </w:r>
      <w:r>
        <w:rPr>
          <w:rFonts w:hint="eastAsia" w:ascii="仿宋_GB2312" w:hAnsi="仿宋_GB2312" w:eastAsia="仿宋_GB2312" w:cs="仿宋_GB2312"/>
          <w:sz w:val="28"/>
          <w:szCs w:val="28"/>
          <w:highlight w:val="none"/>
        </w:rPr>
        <w:t>、《湖南省自然资源厅办公室关于转发&lt;自然资源部办公厅关于做好2022年度自然资源评价评估有工作的通知&gt;的通知》（湘自资办发[2022]40号，2022年5月15日）；</w:t>
      </w:r>
    </w:p>
    <w:p w14:paraId="633A417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sz w:val="28"/>
          <w:szCs w:val="28"/>
          <w:highlight w:val="none"/>
          <w:lang w:eastAsia="zh-CN"/>
        </w:rPr>
      </w:pPr>
      <w:r>
        <w:rPr>
          <w:rFonts w:hint="eastAsia" w:ascii="仿宋_GB2312" w:hAnsi="仿宋_GB2312" w:eastAsia="仿宋_GB2312" w:cs="仿宋_GB2312"/>
          <w:sz w:val="28"/>
          <w:szCs w:val="28"/>
          <w:highlight w:val="none"/>
          <w:lang w:val="en-US" w:eastAsia="zh-CN"/>
        </w:rPr>
        <w:t>14</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eastAsia="zh-CN"/>
        </w:rPr>
        <w:t>《湖南省发展和改革委员会关于我省公共资源交易服务收费的通知》（湘发改价费规〔2024〕292号，</w:t>
      </w:r>
      <w:r>
        <w:rPr>
          <w:rFonts w:hint="eastAsia" w:ascii="仿宋_GB2312" w:hAnsi="仿宋_GB2312" w:eastAsia="仿宋_GB2312" w:cs="仿宋_GB2312"/>
          <w:sz w:val="28"/>
          <w:szCs w:val="28"/>
          <w:highlight w:val="none"/>
          <w:lang w:val="en-US" w:eastAsia="zh-CN"/>
        </w:rPr>
        <w:t>2024年5月11日</w:t>
      </w:r>
      <w:r>
        <w:rPr>
          <w:rFonts w:hint="eastAsia" w:ascii="仿宋_GB2312" w:hAnsi="仿宋_GB2312" w:eastAsia="仿宋_GB2312" w:cs="仿宋_GB2312"/>
          <w:sz w:val="28"/>
          <w:szCs w:val="28"/>
          <w:highlight w:val="none"/>
          <w:lang w:eastAsia="zh-CN"/>
        </w:rPr>
        <w:t>）；</w:t>
      </w:r>
    </w:p>
    <w:p w14:paraId="18C3F5FA">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（三）有关技术标准</w:t>
      </w:r>
    </w:p>
    <w:p w14:paraId="076D15AA">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1、中华人民共和国国家标准《城镇土地估价规程》（GB/T 18508-2014，2014年7月24日）</w:t>
      </w:r>
      <w:r>
        <w:rPr>
          <w:rFonts w:hint="eastAsia" w:ascii="仿宋_GB2312" w:hAnsi="仿宋_GB2312" w:eastAsia="仿宋_GB2312" w:cs="仿宋_GB2312"/>
          <w:bCs/>
          <w:iCs/>
          <w:sz w:val="28"/>
          <w:szCs w:val="28"/>
          <w:highlight w:val="none"/>
          <w:lang w:eastAsia="zh-CN"/>
        </w:rPr>
        <w:t>；</w:t>
      </w:r>
    </w:p>
    <w:p w14:paraId="34CDBE04">
      <w:pPr>
        <w:keepNext w:val="0"/>
        <w:keepLines w:val="0"/>
        <w:pageBreakBefore w:val="0"/>
        <w:kinsoku/>
        <w:wordWrap/>
        <w:overflowPunct/>
        <w:topLinePunct w:val="0"/>
        <w:autoSpaceDE/>
        <w:autoSpaceDN/>
        <w:bidi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2、中华人民共和国国家标准《城镇土地分等定级规程》（GB/T 18507-2014，2014年7月24日）</w:t>
      </w:r>
      <w:r>
        <w:rPr>
          <w:rFonts w:hint="eastAsia" w:ascii="仿宋_GB2312" w:hAnsi="仿宋_GB2312" w:eastAsia="仿宋_GB2312" w:cs="仿宋_GB2312"/>
          <w:bCs/>
          <w:iCs/>
          <w:sz w:val="28"/>
          <w:szCs w:val="28"/>
          <w:highlight w:val="none"/>
          <w:lang w:eastAsia="zh-CN"/>
        </w:rPr>
        <w:t>；</w:t>
      </w:r>
    </w:p>
    <w:p w14:paraId="19299E3D">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3、中华人民共和国国家标准《土地利用现状分类》（GB/T 21010-2017，2017年11月1日）；</w:t>
      </w:r>
    </w:p>
    <w:p w14:paraId="400156BF">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4、中华人民共和国国家标准《城市用地分类与规划建设用地标准》（GB50137-2011，2011年1月1日）；</w:t>
      </w:r>
    </w:p>
    <w:p w14:paraId="411F2EA0">
      <w:pPr>
        <w:keepNext w:val="0"/>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5、《自然资源部关于印发&lt;国土空间调查、规划、用途管制用地用海分类指南&gt;的通知》（自然资发〔2023〕234号）；</w:t>
      </w:r>
    </w:p>
    <w:p w14:paraId="627FB31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rPr>
      </w:pPr>
      <w:r>
        <w:rPr>
          <w:rFonts w:hint="eastAsia" w:ascii="仿宋_GB2312" w:hAnsi="仿宋_GB2312" w:eastAsia="仿宋_GB2312" w:cs="仿宋_GB2312"/>
          <w:bCs/>
          <w:iCs/>
          <w:sz w:val="28"/>
          <w:szCs w:val="28"/>
          <w:highlight w:val="none"/>
        </w:rPr>
        <w:t>6、《自然资源分等定级通则》（TD/T1060-2021）；</w:t>
      </w:r>
    </w:p>
    <w:p w14:paraId="11AD924F">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rPr>
        <w:t>7、《自然资源价格评估通则》（TD/T1061-2021）</w:t>
      </w:r>
      <w:r>
        <w:rPr>
          <w:rFonts w:hint="eastAsia" w:ascii="仿宋_GB2312" w:hAnsi="仿宋_GB2312" w:eastAsia="仿宋_GB2312" w:cs="仿宋_GB2312"/>
          <w:bCs/>
          <w:iCs/>
          <w:sz w:val="28"/>
          <w:szCs w:val="28"/>
          <w:highlight w:val="none"/>
          <w:lang w:eastAsia="zh-CN"/>
        </w:rPr>
        <w:t>；</w:t>
      </w:r>
    </w:p>
    <w:p w14:paraId="3504D8E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val="en-US" w:eastAsia="zh-CN"/>
        </w:rPr>
      </w:pPr>
      <w:r>
        <w:rPr>
          <w:rFonts w:hint="eastAsia" w:ascii="仿宋_GB2312" w:hAnsi="仿宋_GB2312" w:eastAsia="仿宋_GB2312" w:cs="仿宋_GB2312"/>
          <w:bCs/>
          <w:iCs/>
          <w:sz w:val="28"/>
          <w:szCs w:val="28"/>
          <w:highlight w:val="none"/>
          <w:lang w:val="en-US" w:eastAsia="zh-CN"/>
        </w:rPr>
        <w:t>8、《土地估价参数调查测算指引》（T/CREVA 1101-2023）；</w:t>
      </w:r>
    </w:p>
    <w:p w14:paraId="7506EE62">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iCs/>
          <w:sz w:val="28"/>
          <w:szCs w:val="28"/>
          <w:highlight w:val="none"/>
          <w:lang w:eastAsia="zh-CN"/>
        </w:rPr>
      </w:pPr>
      <w:r>
        <w:rPr>
          <w:rFonts w:hint="eastAsia" w:ascii="仿宋_GB2312" w:hAnsi="仿宋_GB2312" w:eastAsia="仿宋_GB2312" w:cs="仿宋_GB2312"/>
          <w:bCs/>
          <w:iCs/>
          <w:sz w:val="28"/>
          <w:szCs w:val="28"/>
          <w:highlight w:val="none"/>
          <w:lang w:val="en-US" w:eastAsia="zh-CN"/>
        </w:rPr>
        <w:t>9</w:t>
      </w:r>
      <w:r>
        <w:rPr>
          <w:rFonts w:hint="eastAsia" w:ascii="仿宋_GB2312" w:hAnsi="仿宋_GB2312" w:eastAsia="仿宋_GB2312" w:cs="仿宋_GB2312"/>
          <w:bCs/>
          <w:iCs/>
          <w:sz w:val="28"/>
          <w:szCs w:val="28"/>
          <w:highlight w:val="none"/>
        </w:rPr>
        <w:t>、《土地估价报告审查技术规范》（DB43T 1693-2019）</w:t>
      </w:r>
      <w:r>
        <w:rPr>
          <w:rFonts w:hint="eastAsia" w:ascii="仿宋_GB2312" w:hAnsi="仿宋_GB2312" w:eastAsia="仿宋_GB2312" w:cs="仿宋_GB2312"/>
          <w:bCs/>
          <w:iCs/>
          <w:sz w:val="28"/>
          <w:szCs w:val="28"/>
          <w:highlight w:val="none"/>
          <w:lang w:eastAsia="zh-CN"/>
        </w:rPr>
        <w:t>；</w:t>
      </w:r>
    </w:p>
    <w:p w14:paraId="789FB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05DDD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332DB63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0C16A4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79C1497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1CCCD6F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0035DE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5BE5EE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621F9A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223550D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9.委托估价方提供的其它与土地估价相关的资料。</w:t>
      </w:r>
    </w:p>
    <w:p w14:paraId="771C4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091CF90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78493F3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5A3720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E967F6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4.收益还原法比较实例所处位置、照片等资料；</w:t>
      </w:r>
    </w:p>
    <w:p w14:paraId="6F4AF7F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67ED714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30534C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ECEF3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eastAsia="仿宋_GB2312"/>
          <w:b/>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4432A836">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GB" w:eastAsia="zh-CN"/>
        </w:rPr>
      </w:pPr>
      <w:r>
        <w:rPr>
          <w:rFonts w:hint="eastAsia" w:ascii="仿宋_GB2312" w:hAnsi="仿宋_GB2312" w:eastAsia="仿宋_GB2312" w:cs="仿宋_GB2312"/>
          <w:b/>
          <w:bCs w:val="0"/>
          <w:color w:val="auto"/>
          <w:sz w:val="28"/>
          <w:szCs w:val="28"/>
          <w:highlight w:val="none"/>
          <w:lang w:val="en-US" w:eastAsia="zh-CN"/>
        </w:rPr>
        <w:t>六、估价期日</w:t>
      </w:r>
    </w:p>
    <w:p w14:paraId="572DE5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本次土地估价师现场勘查日期为2026年5月18日，结合本次估价目的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委托估价方提供的《评估委托书》，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本次估价设定</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估价期日为2026年5月18日。</w:t>
      </w:r>
    </w:p>
    <w:p w14:paraId="5592EB0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七、估价日期</w:t>
      </w:r>
    </w:p>
    <w:p w14:paraId="7D3424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hint="eastAsia" w:ascii="仿宋_GB2312" w:eastAsia="仿宋_GB2312"/>
          <w:color w:val="000000" w:themeColor="text1"/>
          <w:sz w:val="28"/>
          <w:szCs w:val="28"/>
          <w:highlight w:val="none"/>
          <w:lang w:eastAsia="zh-CN"/>
          <w14:textFill>
            <w14:solidFill>
              <w14:schemeClr w14:val="tx1"/>
            </w14:solidFill>
          </w14:textFill>
        </w:rPr>
        <w:t>2026年5月18日至202</w:t>
      </w:r>
      <w:r>
        <w:rPr>
          <w:rFonts w:hint="eastAsia" w:ascii="仿宋_GB2312" w:eastAsia="仿宋_GB2312"/>
          <w:color w:val="000000" w:themeColor="text1"/>
          <w:sz w:val="28"/>
          <w:szCs w:val="28"/>
          <w:highlight w:val="none"/>
          <w:lang w:val="en-US" w:eastAsia="zh-CN"/>
          <w14:textFill>
            <w14:solidFill>
              <w14:schemeClr w14:val="tx1"/>
            </w14:solidFill>
          </w14:textFill>
        </w:rPr>
        <w:t>6</w:t>
      </w:r>
      <w:r>
        <w:rPr>
          <w:rFonts w:hint="eastAsia" w:ascii="仿宋_GB2312" w:eastAsia="仿宋_GB2312"/>
          <w:color w:val="000000" w:themeColor="text1"/>
          <w:sz w:val="28"/>
          <w:szCs w:val="28"/>
          <w:highlight w:val="none"/>
          <w:lang w:eastAsia="zh-CN"/>
          <w14:textFill>
            <w14:solidFill>
              <w14:schemeClr w14:val="tx1"/>
            </w14:solidFill>
          </w14:textFill>
        </w:rPr>
        <w:t>年</w:t>
      </w:r>
      <w:r>
        <w:rPr>
          <w:rFonts w:hint="eastAsia" w:ascii="仿宋_GB2312" w:eastAsia="仿宋_GB2312"/>
          <w:color w:val="000000" w:themeColor="text1"/>
          <w:sz w:val="28"/>
          <w:szCs w:val="28"/>
          <w:highlight w:val="none"/>
          <w:lang w:val="en-US" w:eastAsia="zh-CN"/>
          <w14:textFill>
            <w14:solidFill>
              <w14:schemeClr w14:val="tx1"/>
            </w14:solidFill>
          </w14:textFill>
        </w:rPr>
        <w:t>5</w:t>
      </w:r>
      <w:r>
        <w:rPr>
          <w:rFonts w:hint="eastAsia" w:ascii="仿宋_GB2312" w:eastAsia="仿宋_GB2312"/>
          <w:color w:val="000000" w:themeColor="text1"/>
          <w:sz w:val="28"/>
          <w:szCs w:val="28"/>
          <w:highlight w:val="none"/>
          <w:lang w:eastAsia="zh-CN"/>
          <w14:textFill>
            <w14:solidFill>
              <w14:schemeClr w14:val="tx1"/>
            </w14:solidFill>
          </w14:textFill>
        </w:rPr>
        <w:t>月</w:t>
      </w:r>
      <w:r>
        <w:rPr>
          <w:rFonts w:hint="eastAsia" w:ascii="仿宋_GB2312" w:eastAsia="仿宋_GB2312"/>
          <w:color w:val="000000" w:themeColor="text1"/>
          <w:sz w:val="28"/>
          <w:szCs w:val="28"/>
          <w:highlight w:val="none"/>
          <w:lang w:val="en-US" w:eastAsia="zh-CN"/>
          <w14:textFill>
            <w14:solidFill>
              <w14:schemeClr w14:val="tx1"/>
            </w14:solidFill>
          </w14:textFill>
        </w:rPr>
        <w:t>20</w:t>
      </w:r>
      <w:r>
        <w:rPr>
          <w:rFonts w:hint="eastAsia" w:ascii="仿宋_GB2312" w:eastAsia="仿宋_GB2312"/>
          <w:color w:val="000000" w:themeColor="text1"/>
          <w:sz w:val="28"/>
          <w:szCs w:val="28"/>
          <w:highlight w:val="none"/>
          <w:lang w:eastAsia="zh-CN"/>
          <w14:textFill>
            <w14:solidFill>
              <w14:schemeClr w14:val="tx1"/>
            </w14:solidFill>
          </w14:textFill>
        </w:rPr>
        <w:t>日</w:t>
      </w:r>
    </w:p>
    <w:p w14:paraId="0BD2BBE1">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八、地价定义</w:t>
      </w:r>
    </w:p>
    <w:p w14:paraId="3779BB29">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sz w:val="28"/>
          <w:highlight w:val="none"/>
          <w:lang w:val="en-US" w:eastAsia="zh-CN"/>
        </w:rPr>
      </w:pPr>
      <w:r>
        <w:rPr>
          <w:rFonts w:hint="eastAsia" w:ascii="仿宋_GB2312" w:hAnsi="仿宋_GB2312" w:eastAsia="仿宋_GB2312" w:cs="仿宋_GB2312"/>
          <w:bCs/>
          <w:sz w:val="28"/>
          <w:szCs w:val="28"/>
          <w:highlight w:val="none"/>
          <w:lang w:eastAsia="zh-CN"/>
        </w:rPr>
        <w:t>根据</w:t>
      </w:r>
      <w:r>
        <w:rPr>
          <w:rFonts w:hint="eastAsia" w:ascii="仿宋_GB2312" w:hAnsi="仿宋_GB2312" w:eastAsia="仿宋_GB2312" w:cs="仿宋_GB2312"/>
          <w:bCs/>
          <w:sz w:val="28"/>
          <w:szCs w:val="28"/>
          <w:highlight w:val="none"/>
          <w:lang w:val="en-US" w:eastAsia="zh-CN"/>
        </w:rPr>
        <w:t>委托方</w:t>
      </w:r>
      <w:r>
        <w:rPr>
          <w:rFonts w:hint="eastAsia" w:ascii="仿宋_GB2312" w:hAnsi="仿宋_GB2312" w:eastAsia="仿宋_GB2312" w:cs="仿宋_GB2312"/>
          <w:bCs/>
          <w:sz w:val="28"/>
          <w:szCs w:val="28"/>
          <w:highlight w:val="none"/>
          <w:lang w:eastAsia="zh-CN"/>
        </w:rPr>
        <w:t>出具的</w:t>
      </w:r>
      <w:r>
        <w:rPr>
          <w:rFonts w:hint="eastAsia" w:ascii="仿宋_GB2312" w:hAnsi="仿宋_GB2312" w:eastAsia="仿宋_GB2312" w:cs="仿宋_GB2312"/>
          <w:bCs/>
          <w:sz w:val="28"/>
          <w:szCs w:val="28"/>
          <w:highlight w:val="none"/>
          <w:lang w:val="en-US" w:eastAsia="zh-CN"/>
        </w:rPr>
        <w:t>《评估委托书》</w:t>
      </w:r>
      <w:r>
        <w:rPr>
          <w:rFonts w:hint="eastAsia" w:ascii="仿宋_GB2312" w:hAnsi="仿宋_GB2312" w:eastAsia="仿宋_GB2312" w:cs="仿宋_GB2312"/>
          <w:bCs/>
          <w:sz w:val="28"/>
          <w:szCs w:val="28"/>
          <w:highlight w:val="none"/>
          <w:lang w:eastAsia="zh-CN"/>
        </w:rPr>
        <w:t>及现场勘查状况，估价对象</w:t>
      </w:r>
      <w:r>
        <w:rPr>
          <w:rFonts w:hint="eastAsia" w:ascii="仿宋_GB2312" w:hAnsi="仿宋_GB2312" w:eastAsia="仿宋_GB2312" w:cs="仿宋_GB2312"/>
          <w:bCs/>
          <w:sz w:val="28"/>
          <w:szCs w:val="28"/>
          <w:highlight w:val="none"/>
          <w:lang w:val="en-US" w:eastAsia="zh-CN"/>
        </w:rPr>
        <w:t>总土地面积为15.2平方米，</w:t>
      </w:r>
      <w:r>
        <w:rPr>
          <w:rFonts w:hint="eastAsia" w:ascii="仿宋_GB2312" w:hAnsi="仿宋_GB2312" w:eastAsia="仿宋_GB2312" w:cs="仿宋_GB2312"/>
          <w:bCs/>
          <w:sz w:val="28"/>
          <w:szCs w:val="28"/>
          <w:highlight w:val="none"/>
          <w:lang w:eastAsia="zh-CN"/>
        </w:rPr>
        <w:t>估价对象</w:t>
      </w:r>
      <w:r>
        <w:rPr>
          <w:rFonts w:hint="eastAsia" w:ascii="仿宋_GB2312" w:hAnsi="仿宋_GB2312" w:eastAsia="仿宋_GB2312" w:cs="仿宋_GB2312"/>
          <w:bCs/>
          <w:sz w:val="28"/>
          <w:szCs w:val="28"/>
          <w:highlight w:val="none"/>
          <w:lang w:val="en-US" w:eastAsia="zh-CN"/>
        </w:rPr>
        <w:t>设定</w:t>
      </w:r>
      <w:r>
        <w:rPr>
          <w:rFonts w:hint="eastAsia" w:ascii="仿宋_GB2312" w:hAnsi="仿宋_GB2312" w:eastAsia="仿宋_GB2312" w:cs="仿宋_GB2312"/>
          <w:bCs/>
          <w:sz w:val="28"/>
          <w:szCs w:val="28"/>
          <w:highlight w:val="none"/>
          <w:lang w:eastAsia="zh-CN"/>
        </w:rPr>
        <w:t>用途为</w:t>
      </w:r>
      <w:r>
        <w:rPr>
          <w:rFonts w:hint="eastAsia" w:ascii="仿宋_GB2312" w:hAnsi="仿宋_GB2312" w:eastAsia="仿宋_GB2312" w:cs="仿宋_GB2312"/>
          <w:bCs/>
          <w:sz w:val="28"/>
          <w:szCs w:val="28"/>
          <w:highlight w:val="none"/>
          <w:lang w:val="en-US" w:eastAsia="zh-CN"/>
        </w:rPr>
        <w:t>住宅用地</w:t>
      </w:r>
      <w:r>
        <w:rPr>
          <w:rFonts w:hint="eastAsia" w:ascii="仿宋_GB2312" w:hAnsi="仿宋_GB2312" w:eastAsia="仿宋_GB2312" w:cs="仿宋_GB2312"/>
          <w:bCs/>
          <w:sz w:val="28"/>
          <w:szCs w:val="28"/>
          <w:highlight w:val="none"/>
          <w:lang w:eastAsia="zh-CN"/>
        </w:rPr>
        <w:t>，至估价期日，估价对象现状为</w:t>
      </w:r>
      <w:r>
        <w:rPr>
          <w:rFonts w:hint="eastAsia" w:ascii="仿宋_GB2312" w:hAnsi="仿宋_GB2312" w:eastAsia="仿宋_GB2312" w:cs="仿宋_GB2312"/>
          <w:bCs/>
          <w:sz w:val="28"/>
          <w:szCs w:val="28"/>
          <w:highlight w:val="none"/>
          <w:lang w:val="en-US" w:eastAsia="zh-CN"/>
        </w:rPr>
        <w:t>已开发</w:t>
      </w:r>
      <w:r>
        <w:rPr>
          <w:rFonts w:hint="eastAsia" w:ascii="仿宋_GB2312" w:hAnsi="仿宋_GB2312" w:eastAsia="仿宋_GB2312" w:cs="仿宋_GB2312"/>
          <w:bCs/>
          <w:sz w:val="28"/>
          <w:szCs w:val="28"/>
          <w:highlight w:val="none"/>
          <w:lang w:eastAsia="zh-CN"/>
        </w:rPr>
        <w:t>建设用地，土地开发程度为宗地红线外“五通”（即通路、通电、供水、排水、通讯），宗地红线内场地平整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411E76F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1.估价期日的设定</w:t>
      </w:r>
    </w:p>
    <w:p w14:paraId="65DB88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本次土地估价师现场勘查日期为2026年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w:t>
      </w:r>
      <w:r>
        <w:rPr>
          <w:rFonts w:hint="eastAsia" w:ascii="仿宋_GB2312" w:hAnsi="仿宋_GB2312" w:eastAsia="仿宋_GB2312" w:cs="仿宋_GB2312"/>
          <w:bCs/>
          <w:sz w:val="28"/>
          <w:szCs w:val="28"/>
          <w:highlight w:val="none"/>
          <w:lang w:val="en-US" w:eastAsia="zh-CN"/>
        </w:rPr>
        <w:t>18</w:t>
      </w:r>
      <w:r>
        <w:rPr>
          <w:rFonts w:hint="eastAsia" w:ascii="仿宋_GB2312" w:hAnsi="仿宋_GB2312" w:eastAsia="仿宋_GB2312" w:cs="仿宋_GB2312"/>
          <w:bCs/>
          <w:sz w:val="28"/>
          <w:szCs w:val="28"/>
          <w:highlight w:val="none"/>
          <w:lang w:eastAsia="zh-CN"/>
        </w:rPr>
        <w:t>日，</w:t>
      </w:r>
      <w:r>
        <w:rPr>
          <w:rFonts w:hint="eastAsia" w:ascii="仿宋_GB2312" w:hAnsi="仿宋_GB2312" w:eastAsia="仿宋_GB2312" w:cs="仿宋_GB2312"/>
          <w:bCs/>
          <w:sz w:val="28"/>
          <w:szCs w:val="28"/>
          <w:highlight w:val="none"/>
          <w:lang w:val="en-US" w:eastAsia="zh-CN"/>
        </w:rPr>
        <w:t>根据《评估委托书》本次估价设定</w:t>
      </w:r>
      <w:r>
        <w:rPr>
          <w:rFonts w:hint="eastAsia" w:ascii="仿宋_GB2312" w:hAnsi="仿宋_GB2312" w:eastAsia="仿宋_GB2312" w:cs="仿宋_GB2312"/>
          <w:bCs/>
          <w:sz w:val="28"/>
          <w:szCs w:val="28"/>
          <w:highlight w:val="none"/>
          <w:lang w:eastAsia="zh-CN"/>
        </w:rPr>
        <w:t>估价期日为2026年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w:t>
      </w:r>
    </w:p>
    <w:p w14:paraId="5320AF2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2.土地用途的设定</w:t>
      </w:r>
    </w:p>
    <w:p w14:paraId="7EB82A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土地用途的设定：</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，估价对象</w:t>
      </w:r>
      <w:r>
        <w:rPr>
          <w:rFonts w:hint="eastAsia" w:ascii="仿宋_GB2312" w:hAnsi="仿宋_GB2312" w:eastAsia="仿宋_GB2312" w:cs="仿宋_GB2312"/>
          <w:bCs/>
          <w:color w:val="auto"/>
          <w:sz w:val="28"/>
          <w:szCs w:val="28"/>
          <w:highlight w:val="none"/>
          <w:lang w:val="en-GB" w:eastAsia="zh-CN"/>
        </w:rPr>
        <w:t>土地用途为</w:t>
      </w:r>
      <w:r>
        <w:rPr>
          <w:rFonts w:hint="eastAsia" w:ascii="仿宋_GB2312" w:hAnsi="仿宋_GB2312" w:eastAsia="仿宋_GB2312" w:cs="仿宋_GB2312"/>
          <w:bCs/>
          <w:color w:val="auto"/>
          <w:sz w:val="28"/>
          <w:szCs w:val="28"/>
          <w:highlight w:val="none"/>
          <w:lang w:val="en-US" w:eastAsia="zh-CN"/>
        </w:rPr>
        <w:t>住宅用地</w:t>
      </w:r>
      <w:r>
        <w:rPr>
          <w:rFonts w:hint="default" w:ascii="仿宋_GB2312" w:hAnsi="仿宋_GB2312" w:eastAsia="仿宋_GB2312" w:cs="仿宋_GB2312"/>
          <w:bCs/>
          <w:color w:val="auto"/>
          <w:sz w:val="28"/>
          <w:szCs w:val="28"/>
          <w:highlight w:val="none"/>
          <w:lang w:val="en-GB" w:eastAsia="zh-CN"/>
        </w:rPr>
        <w:t>。估价对象现状用途为住宅</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所处宗地有一栋混合结构住宅，</w:t>
      </w:r>
      <w:r>
        <w:rPr>
          <w:rFonts w:hint="eastAsia" w:ascii="仿宋_GB2312" w:hAnsi="仿宋_GB2312" w:eastAsia="仿宋_GB2312" w:cs="仿宋_GB2312"/>
          <w:bCs/>
          <w:color w:val="auto"/>
          <w:sz w:val="28"/>
          <w:szCs w:val="28"/>
          <w:highlight w:val="none"/>
          <w:lang w:val="en-GB" w:eastAsia="zh-CN"/>
        </w:rPr>
        <w:t>对照《城市用地分类与规划建设用地标准》（GB50137-2011），结合《土地利用现状分类》（GB/T 21010-2017），此次评估设定估价对象土地用途为住宅用地</w:t>
      </w:r>
      <w:r>
        <w:rPr>
          <w:rFonts w:hint="eastAsia" w:ascii="仿宋_GB2312" w:hAnsi="仿宋_GB2312" w:eastAsia="仿宋_GB2312" w:cs="仿宋_GB2312"/>
          <w:bCs/>
          <w:sz w:val="28"/>
          <w:szCs w:val="28"/>
          <w:highlight w:val="none"/>
          <w:lang w:eastAsia="zh-CN"/>
        </w:rPr>
        <w:t>。</w:t>
      </w:r>
    </w:p>
    <w:p w14:paraId="0124C0F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3.土地使用权类型</w:t>
      </w:r>
      <w:r>
        <w:rPr>
          <w:rFonts w:hint="eastAsia" w:ascii="仿宋_GB2312" w:hAnsi="仿宋_GB2312" w:eastAsia="仿宋_GB2312" w:cs="仿宋_GB2312"/>
          <w:bCs/>
          <w:sz w:val="28"/>
          <w:szCs w:val="28"/>
          <w:highlight w:val="none"/>
          <w:lang w:val="en-US" w:eastAsia="zh-CN"/>
        </w:rPr>
        <w:t>的</w:t>
      </w:r>
      <w:r>
        <w:rPr>
          <w:rFonts w:hint="eastAsia" w:ascii="仿宋_GB2312" w:hAnsi="仿宋_GB2312" w:eastAsia="仿宋_GB2312" w:cs="仿宋_GB2312"/>
          <w:bCs/>
          <w:sz w:val="28"/>
          <w:szCs w:val="28"/>
          <w:highlight w:val="none"/>
          <w:lang w:eastAsia="zh-CN"/>
        </w:rPr>
        <w:t>设定</w:t>
      </w:r>
    </w:p>
    <w:p w14:paraId="1343CDE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default" w:ascii="仿宋_GB2312" w:hAnsi="仿宋_GB2312" w:eastAsia="仿宋_GB2312" w:cs="仿宋_GB2312"/>
          <w:bCs/>
          <w:color w:val="auto"/>
          <w:sz w:val="28"/>
          <w:szCs w:val="28"/>
          <w:highlight w:val="none"/>
          <w:lang w:val="en-US"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和道县集中化解房地产办证信访突出问题工作领导小组办公室出具的《土地权属及性质证明》（2026年5月19日）</w:t>
      </w:r>
      <w:r>
        <w:rPr>
          <w:rFonts w:hint="default" w:ascii="仿宋_GB2312" w:hAnsi="仿宋_GB2312" w:eastAsia="仿宋_GB2312" w:cs="仿宋_GB2312"/>
          <w:bCs/>
          <w:color w:val="auto"/>
          <w:sz w:val="28"/>
          <w:szCs w:val="28"/>
          <w:highlight w:val="none"/>
          <w:lang w:val="en-US" w:eastAsia="zh-CN"/>
        </w:rPr>
        <w:t>，估价对象土地使用权类型为</w:t>
      </w:r>
      <w:r>
        <w:rPr>
          <w:rFonts w:hint="eastAsia" w:ascii="仿宋_GB2312" w:hAnsi="仿宋_GB2312" w:eastAsia="仿宋_GB2312" w:cs="仿宋_GB2312"/>
          <w:bCs/>
          <w:color w:val="auto"/>
          <w:sz w:val="28"/>
          <w:szCs w:val="28"/>
          <w:highlight w:val="none"/>
          <w:lang w:val="en-US" w:eastAsia="zh-CN"/>
        </w:rPr>
        <w:t>国有划拨</w:t>
      </w:r>
      <w:r>
        <w:rPr>
          <w:rFonts w:hint="default" w:ascii="仿宋_GB2312" w:hAnsi="仿宋_GB2312" w:eastAsia="仿宋_GB2312" w:cs="仿宋_GB2312"/>
          <w:bCs/>
          <w:color w:val="auto"/>
          <w:sz w:val="28"/>
          <w:szCs w:val="28"/>
          <w:highlight w:val="none"/>
          <w:lang w:val="en-US" w:eastAsia="zh-CN"/>
        </w:rPr>
        <w:t>，委托方拟按现状利用条件为其办理土地使用权出让手续，根据此次评估目的，设定估价对象土地使用权类型为出让</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10D25B6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4.土地使用年期的设定</w:t>
      </w:r>
    </w:p>
    <w:p w14:paraId="4BB5623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本次评估根据《评估委托书》约定和估价目的，设定土地使用权年限为住宅用地70年。</w:t>
      </w:r>
    </w:p>
    <w:p w14:paraId="575C54D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5.土地开发程度的设定</w:t>
      </w:r>
    </w:p>
    <w:p w14:paraId="483E531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根据土地估价师实地勘查，估价对象于估价期日2026年</w:t>
      </w:r>
      <w:r>
        <w:rPr>
          <w:rFonts w:hint="eastAsia" w:ascii="仿宋_GB2312" w:hAnsi="仿宋_GB2312" w:eastAsia="仿宋_GB2312" w:cs="仿宋_GB2312"/>
          <w:bCs/>
          <w:sz w:val="28"/>
          <w:szCs w:val="28"/>
          <w:highlight w:val="none"/>
          <w:lang w:val="en-US" w:eastAsia="zh-CN"/>
        </w:rPr>
        <w:t>5</w:t>
      </w:r>
      <w:r>
        <w:rPr>
          <w:rFonts w:hint="eastAsia" w:ascii="仿宋_GB2312" w:hAnsi="仿宋_GB2312" w:eastAsia="仿宋_GB2312" w:cs="仿宋_GB2312"/>
          <w:bCs/>
          <w:sz w:val="28"/>
          <w:szCs w:val="28"/>
          <w:highlight w:val="none"/>
          <w:lang w:eastAsia="zh-CN"/>
        </w:rPr>
        <w:t>月1</w:t>
      </w:r>
      <w:r>
        <w:rPr>
          <w:rFonts w:hint="eastAsia" w:ascii="仿宋_GB2312" w:hAnsi="仿宋_GB2312" w:eastAsia="仿宋_GB2312" w:cs="仿宋_GB2312"/>
          <w:bCs/>
          <w:sz w:val="28"/>
          <w:szCs w:val="28"/>
          <w:highlight w:val="none"/>
          <w:lang w:val="en-US" w:eastAsia="zh-CN"/>
        </w:rPr>
        <w:t>8</w:t>
      </w:r>
      <w:r>
        <w:rPr>
          <w:rFonts w:hint="eastAsia" w:ascii="仿宋_GB2312" w:hAnsi="仿宋_GB2312" w:eastAsia="仿宋_GB2312" w:cs="仿宋_GB2312"/>
          <w:bCs/>
          <w:sz w:val="28"/>
          <w:szCs w:val="28"/>
          <w:highlight w:val="none"/>
          <w:lang w:eastAsia="zh-CN"/>
        </w:rPr>
        <w:t>日实际开发程度为宗地红线外“五通”（即通路、通电、供水、排水、通讯），宗地红线内场地平整。结合估价目的及实际情况，本次评估设定土地开发程度为宗地红线外“五通”（即通路、通电、供水、排水、通讯），宗地红线内场地平整。</w:t>
      </w:r>
    </w:p>
    <w:p w14:paraId="1083300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val="en-US" w:eastAsia="zh-CN"/>
        </w:rPr>
        <w:t>6.土地</w:t>
      </w:r>
      <w:r>
        <w:rPr>
          <w:rFonts w:hint="eastAsia" w:ascii="仿宋_GB2312" w:hAnsi="仿宋_GB2312" w:eastAsia="仿宋_GB2312" w:cs="仿宋_GB2312"/>
          <w:bCs/>
          <w:sz w:val="28"/>
          <w:szCs w:val="28"/>
          <w:highlight w:val="none"/>
          <w:lang w:eastAsia="zh-CN"/>
        </w:rPr>
        <w:t>利用条件的设定</w:t>
      </w:r>
    </w:p>
    <w:p w14:paraId="580649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highlight w:val="none"/>
          <w:lang w:eastAsia="zh-CN"/>
        </w:rPr>
      </w:pPr>
      <w:r>
        <w:rPr>
          <w:rFonts w:hint="eastAsia" w:ascii="仿宋_GB2312" w:hAnsi="仿宋_GB2312" w:eastAsia="仿宋_GB2312" w:cs="仿宋_GB2312"/>
          <w:bCs/>
          <w:color w:val="auto"/>
          <w:sz w:val="28"/>
          <w:szCs w:val="28"/>
          <w:highlight w:val="none"/>
          <w:lang w:val="en-GB" w:eastAsia="zh-CN"/>
        </w:rPr>
        <w:t>经估价人员现场查勘，估价对象为已建成用地，地上有一栋</w:t>
      </w:r>
      <w:r>
        <w:rPr>
          <w:rFonts w:hint="eastAsia" w:ascii="仿宋_GB2312" w:hAnsi="仿宋_GB2312" w:eastAsia="仿宋_GB2312" w:cs="仿宋_GB2312"/>
          <w:bCs/>
          <w:color w:val="auto"/>
          <w:sz w:val="28"/>
          <w:szCs w:val="28"/>
          <w:highlight w:val="none"/>
          <w:lang w:val="en-US" w:eastAsia="zh-CN"/>
        </w:rPr>
        <w:t>5层</w:t>
      </w:r>
      <w:r>
        <w:rPr>
          <w:rFonts w:hint="eastAsia" w:ascii="仿宋_GB2312" w:hAnsi="仿宋_GB2312" w:eastAsia="仿宋_GB2312" w:cs="仿宋_GB2312"/>
          <w:bCs/>
          <w:color w:val="auto"/>
          <w:sz w:val="28"/>
          <w:szCs w:val="28"/>
          <w:highlight w:val="none"/>
          <w:lang w:val="en-GB" w:eastAsia="zh-CN"/>
        </w:rPr>
        <w:t>住宅楼。</w:t>
      </w:r>
      <w:r>
        <w:rPr>
          <w:rFonts w:hint="default" w:ascii="仿宋_GB2312" w:hAnsi="仿宋_GB2312" w:eastAsia="仿宋_GB2312" w:cs="仿宋_GB2312"/>
          <w:bCs/>
          <w:color w:val="auto"/>
          <w:sz w:val="28"/>
          <w:szCs w:val="28"/>
          <w:highlight w:val="none"/>
          <w:lang w:val="en-GB" w:eastAsia="zh-CN"/>
        </w:rPr>
        <w:t>根据</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评估委托书</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，委托方拟按估价对象现状使用条件进行出让</w:t>
      </w:r>
      <w:r>
        <w:rPr>
          <w:rFonts w:hint="eastAsia" w:ascii="仿宋_GB2312" w:hAnsi="仿宋_GB2312" w:eastAsia="仿宋_GB2312" w:cs="仿宋_GB2312"/>
          <w:bCs/>
          <w:color w:val="auto"/>
          <w:sz w:val="28"/>
          <w:szCs w:val="28"/>
          <w:highlight w:val="none"/>
          <w:lang w:val="en-GB" w:eastAsia="zh-CN"/>
        </w:rPr>
        <w:t>。</w:t>
      </w:r>
      <w:r>
        <w:rPr>
          <w:rFonts w:hint="default" w:ascii="仿宋_GB2312" w:hAnsi="仿宋_GB2312" w:eastAsia="仿宋_GB2312" w:cs="仿宋_GB2312"/>
          <w:bCs/>
          <w:color w:val="auto"/>
          <w:sz w:val="28"/>
          <w:szCs w:val="28"/>
          <w:highlight w:val="none"/>
          <w:lang w:val="en-GB" w:eastAsia="zh-CN"/>
        </w:rPr>
        <w:t>根据委托方提供的估价对象</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户室面积对照表</w:t>
      </w:r>
      <w:r>
        <w:rPr>
          <w:rFonts w:hint="eastAsia" w:ascii="仿宋_GB2312" w:hAnsi="仿宋_GB2312" w:eastAsia="仿宋_GB2312" w:cs="仿宋_GB2312"/>
          <w:bCs/>
          <w:color w:val="auto"/>
          <w:sz w:val="28"/>
          <w:szCs w:val="28"/>
          <w:highlight w:val="none"/>
          <w:lang w:val="en-GB" w:eastAsia="zh-CN"/>
        </w:rPr>
        <w:t>》</w:t>
      </w:r>
      <w:r>
        <w:rPr>
          <w:rFonts w:hint="eastAsia" w:ascii="仿宋_GB2312" w:hAnsi="仿宋_GB2312" w:eastAsia="仿宋_GB2312" w:cs="仿宋_GB2312"/>
          <w:bCs/>
          <w:color w:val="auto"/>
          <w:sz w:val="28"/>
          <w:szCs w:val="28"/>
          <w:highlight w:val="none"/>
          <w:lang w:val="en-US" w:eastAsia="zh-CN"/>
        </w:rPr>
        <w:t>和</w:t>
      </w:r>
      <w:r>
        <w:rPr>
          <w:rFonts w:hint="eastAsia" w:ascii="仿宋_GB2312" w:hAnsi="仿宋_GB2312" w:eastAsia="仿宋_GB2312" w:cs="仿宋_GB2312"/>
          <w:bCs/>
          <w:color w:val="auto"/>
          <w:sz w:val="28"/>
          <w:szCs w:val="28"/>
          <w:highlight w:val="none"/>
          <w:lang w:val="en-GB" w:eastAsia="zh-CN"/>
        </w:rPr>
        <w:t>《土地分摊表》，</w:t>
      </w:r>
      <w:r>
        <w:rPr>
          <w:rFonts w:hint="default" w:ascii="仿宋_GB2312" w:hAnsi="仿宋_GB2312" w:eastAsia="仿宋_GB2312" w:cs="仿宋_GB2312"/>
          <w:bCs/>
          <w:color w:val="auto"/>
          <w:sz w:val="28"/>
          <w:szCs w:val="28"/>
          <w:highlight w:val="none"/>
          <w:lang w:val="en-GB" w:eastAsia="zh-CN"/>
        </w:rPr>
        <w:t>估价对象建筑</w:t>
      </w:r>
      <w:r>
        <w:rPr>
          <w:rFonts w:hint="eastAsia" w:ascii="仿宋_GB2312" w:hAnsi="仿宋_GB2312" w:eastAsia="仿宋_GB2312" w:cs="仿宋_GB2312"/>
          <w:bCs/>
          <w:color w:val="auto"/>
          <w:sz w:val="28"/>
          <w:szCs w:val="28"/>
          <w:highlight w:val="none"/>
          <w:lang w:val="en-US" w:eastAsia="zh-CN"/>
        </w:rPr>
        <w:t>总</w:t>
      </w:r>
      <w:r>
        <w:rPr>
          <w:rFonts w:hint="default" w:ascii="仿宋_GB2312" w:hAnsi="仿宋_GB2312" w:eastAsia="仿宋_GB2312" w:cs="仿宋_GB2312"/>
          <w:bCs/>
          <w:color w:val="auto"/>
          <w:sz w:val="28"/>
          <w:szCs w:val="28"/>
          <w:highlight w:val="none"/>
          <w:lang w:val="en-GB" w:eastAsia="zh-CN"/>
        </w:rPr>
        <w:t>面积为</w:t>
      </w:r>
      <w:r>
        <w:rPr>
          <w:rFonts w:hint="eastAsia" w:ascii="仿宋_GB2312" w:hAnsi="仿宋_GB2312" w:eastAsia="仿宋_GB2312" w:cs="仿宋_GB2312"/>
          <w:bCs/>
          <w:color w:val="auto"/>
          <w:sz w:val="28"/>
          <w:szCs w:val="28"/>
          <w:highlight w:val="none"/>
          <w:lang w:val="en-US" w:eastAsia="zh-CN"/>
        </w:rPr>
        <w:t>73.415平方米</w:t>
      </w:r>
      <w:r>
        <w:rPr>
          <w:rFonts w:hint="default" w:ascii="仿宋_GB2312" w:hAnsi="仿宋_GB2312" w:eastAsia="仿宋_GB2312" w:cs="仿宋_GB2312"/>
          <w:bCs/>
          <w:color w:val="auto"/>
          <w:sz w:val="28"/>
          <w:szCs w:val="28"/>
          <w:highlight w:val="none"/>
          <w:lang w:val="en-GB" w:eastAsia="zh-CN"/>
        </w:rPr>
        <w:t>，估价对象分摊土地面积为</w:t>
      </w:r>
      <w:r>
        <w:rPr>
          <w:rFonts w:hint="eastAsia" w:ascii="仿宋_GB2312" w:hAnsi="仿宋_GB2312" w:eastAsia="仿宋_GB2312" w:cs="仿宋_GB2312"/>
          <w:bCs/>
          <w:color w:val="auto"/>
          <w:sz w:val="28"/>
          <w:szCs w:val="28"/>
          <w:highlight w:val="none"/>
          <w:lang w:val="en-US" w:eastAsia="zh-CN"/>
        </w:rPr>
        <w:t>15.2平方米</w:t>
      </w:r>
      <w:r>
        <w:rPr>
          <w:rFonts w:hint="default" w:ascii="仿宋_GB2312" w:hAnsi="仿宋_GB2312" w:eastAsia="仿宋_GB2312" w:cs="仿宋_GB2312"/>
          <w:bCs/>
          <w:color w:val="auto"/>
          <w:sz w:val="28"/>
          <w:szCs w:val="28"/>
          <w:highlight w:val="none"/>
          <w:lang w:val="en-GB" w:eastAsia="zh-CN"/>
        </w:rPr>
        <w:t>，则估价对象现状容积率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default" w:ascii="仿宋_GB2312" w:hAnsi="仿宋_GB2312" w:eastAsia="仿宋_GB2312" w:cs="仿宋_GB2312"/>
          <w:bCs/>
          <w:color w:val="auto"/>
          <w:sz w:val="28"/>
          <w:szCs w:val="28"/>
          <w:highlight w:val="none"/>
          <w:lang w:val="en-GB" w:eastAsia="zh-CN"/>
        </w:rPr>
        <w:t>。本次评估设定土地容积率</w:t>
      </w:r>
      <w:r>
        <w:rPr>
          <w:rFonts w:hint="eastAsia" w:ascii="仿宋_GB2312" w:hAnsi="仿宋_GB2312" w:eastAsia="仿宋_GB2312" w:cs="仿宋_GB2312"/>
          <w:bCs/>
          <w:color w:val="auto"/>
          <w:sz w:val="28"/>
          <w:szCs w:val="28"/>
          <w:highlight w:val="none"/>
          <w:lang w:val="en-GB" w:eastAsia="zh-CN"/>
        </w:rPr>
        <w:t>为</w:t>
      </w:r>
      <w:r>
        <w:rPr>
          <w:rFonts w:hint="eastAsia" w:ascii="仿宋_GB2312" w:hAnsi="仿宋_GB2312" w:eastAsia="仿宋_GB2312" w:cs="仿宋_GB2312"/>
          <w:bCs/>
          <w:color w:val="auto"/>
          <w:sz w:val="28"/>
          <w:szCs w:val="28"/>
          <w:highlight w:val="none"/>
          <w:lang w:val="en-US" w:eastAsia="zh-CN"/>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77E6397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7.价格类型的设定</w:t>
      </w:r>
    </w:p>
    <w:p w14:paraId="5212CA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eastAsia="zh-CN"/>
        </w:rPr>
      </w:pPr>
      <w:r>
        <w:rPr>
          <w:rFonts w:hint="eastAsia" w:ascii="仿宋_GB2312" w:hAnsi="仿宋_GB2312" w:eastAsia="仿宋_GB2312" w:cs="仿宋_GB2312"/>
          <w:bCs/>
          <w:sz w:val="28"/>
          <w:szCs w:val="28"/>
          <w:highlight w:val="none"/>
          <w:lang w:eastAsia="zh-CN"/>
        </w:rPr>
        <w:t>根据委托方提供的资料及估价人员调查所获取的资料，估价对象为国有出让建设用地使用权，未设立抵押权、租赁权、地役权、地上权等附加权利。本次评估设定估价对象为未设立抵押权、租赁权、地役权、地上权等附加权利下的国有建设用地使用权。</w:t>
      </w:r>
    </w:p>
    <w:p w14:paraId="4E1466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 w:val="28"/>
          <w:highlight w:val="none"/>
          <w:lang w:val="en-US" w:eastAsia="zh-CN"/>
        </w:rPr>
      </w:pPr>
      <w:r>
        <w:rPr>
          <w:rFonts w:hint="eastAsia" w:ascii="仿宋_GB2312" w:hAnsi="仿宋_GB2312" w:eastAsia="仿宋_GB2312" w:cs="仿宋_GB2312"/>
          <w:bCs/>
          <w:sz w:val="28"/>
          <w:szCs w:val="28"/>
          <w:highlight w:val="none"/>
          <w:lang w:eastAsia="zh-CN"/>
        </w:rPr>
        <w:t>综上所述，</w:t>
      </w:r>
      <w:r>
        <w:rPr>
          <w:rFonts w:hint="eastAsia" w:ascii="仿宋_GB2312" w:hAnsi="仿宋_GB2312" w:eastAsia="仿宋_GB2312" w:cs="仿宋_GB2312"/>
          <w:color w:val="auto"/>
          <w:sz w:val="28"/>
          <w:highlight w:val="none"/>
          <w:lang w:val="en-US" w:eastAsia="zh-CN"/>
        </w:rPr>
        <w:t>本次估价的地价内涵是指：估价对象在公开市场条件下，于估价期日2026年5月18日，土地面积</w:t>
      </w:r>
      <w:r>
        <w:rPr>
          <w:rFonts w:hint="eastAsia" w:ascii="仿宋_GB2312" w:hAnsi="仿宋_GB2312" w:eastAsia="仿宋_GB2312" w:cs="仿宋_GB2312"/>
          <w:bCs/>
          <w:sz w:val="28"/>
          <w:szCs w:val="28"/>
          <w:highlight w:val="none"/>
          <w:lang w:val="en-US" w:eastAsia="zh-CN"/>
        </w:rPr>
        <w:t>15.2平方米，</w:t>
      </w:r>
      <w:r>
        <w:rPr>
          <w:rFonts w:hint="eastAsia" w:ascii="仿宋_GB2312" w:hAnsi="仿宋_GB2312" w:eastAsia="仿宋_GB2312" w:cs="仿宋_GB2312"/>
          <w:color w:val="auto"/>
          <w:sz w:val="28"/>
          <w:highlight w:val="none"/>
          <w:lang w:val="en-US" w:eastAsia="zh-CN"/>
        </w:rPr>
        <w:t>土地用途设定为住宅用地，出让使用年期为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color w:val="auto"/>
          <w:sz w:val="28"/>
          <w:highlight w:val="none"/>
          <w:lang w:val="en-US" w:eastAsia="zh-CN"/>
        </w:rPr>
        <w:t>，容积率为4.83，土地开发程度设定为</w:t>
      </w:r>
      <w:r>
        <w:rPr>
          <w:rFonts w:hint="eastAsia" w:ascii="仿宋_GB2312" w:hAnsi="仿宋_GB2312" w:eastAsia="仿宋_GB2312" w:cs="仿宋_GB2312"/>
          <w:bCs/>
          <w:sz w:val="28"/>
          <w:szCs w:val="28"/>
          <w:highlight w:val="none"/>
          <w:lang w:eastAsia="zh-CN"/>
        </w:rPr>
        <w:t>宗地红线外“五通”（即通路、通电、供水、排水、通讯），宗地红线内场地平整</w:t>
      </w:r>
      <w:r>
        <w:rPr>
          <w:rFonts w:hint="eastAsia" w:ascii="仿宋_GB2312" w:hAnsi="仿宋_GB2312" w:eastAsia="仿宋_GB2312" w:cs="仿宋_GB2312"/>
          <w:color w:val="auto"/>
          <w:sz w:val="28"/>
          <w:highlight w:val="none"/>
          <w:lang w:val="en-US" w:eastAsia="zh-CN"/>
        </w:rPr>
        <w:t>下的土地使用权市场价格</w:t>
      </w:r>
    </w:p>
    <w:p w14:paraId="46A5A624">
      <w:pPr>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br w:type="page"/>
      </w:r>
    </w:p>
    <w:p w14:paraId="638B382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eastAsia"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九、估价结果</w:t>
      </w:r>
    </w:p>
    <w:p w14:paraId="137417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（一）估价结论</w:t>
      </w:r>
    </w:p>
    <w:p w14:paraId="65B2B82C">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1ADE2AC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4051F0FF">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2FCBAF2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7DA2BF7D">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11561689">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71D97317">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35FF023C">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0CC7C2E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6A9AB6F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auto"/>
          <w:sz w:val="28"/>
          <w:szCs w:val="28"/>
          <w:highlight w:val="none"/>
          <w:lang w:val="en-US" w:eastAsia="zh-CN"/>
        </w:rPr>
        <w:t>根据《国土资源部办公厅关于印发&lt;国有建设用地使用权出让地价评估技术规范&gt;的通知》（国土资厅发[2018]4号），“协议出让评估需在土地估价报告中测算并对比说明该建议出让底价是否符合当地的协议出让最低价标准。当地未公布协议出让最低价标准的，按拟出让土地所在级别基准地价的70％测算对</w:t>
      </w:r>
      <w:bookmarkStart w:id="28" w:name="_GoBack"/>
      <w:bookmarkEnd w:id="28"/>
      <w:r>
        <w:rPr>
          <w:rFonts w:hint="eastAsia" w:ascii="仿宋_GB2312" w:hAnsi="仿宋_GB2312" w:eastAsia="仿宋_GB2312" w:cs="仿宋_GB2312"/>
          <w:bCs/>
          <w:color w:val="auto"/>
          <w:sz w:val="28"/>
          <w:szCs w:val="28"/>
          <w:highlight w:val="none"/>
          <w:lang w:val="en-US" w:eastAsia="zh-CN"/>
        </w:rPr>
        <w:t>比”，道县未公布协议出让最低价标准，</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道县城镇基准地价估价期日为2019年5月1日，本次估价期日为2026年5月18日，距估价期日超过六年，其基准地价已不具有现势性。</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p>
    <w:p w14:paraId="49AA72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w:t>
      </w:r>
    </w:p>
    <w:p w14:paraId="65046853">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 w:val="28"/>
          <w:szCs w:val="30"/>
          <w:highlight w:val="none"/>
          <w:lang w:eastAsia="zh-CN"/>
        </w:rPr>
      </w:pPr>
      <w:r>
        <w:rPr>
          <w:rFonts w:hint="eastAsia" w:ascii="仿宋_GB2312" w:hAnsi="仿宋_GB2312" w:eastAsia="仿宋_GB2312" w:cs="仿宋_GB2312"/>
          <w:color w:val="auto"/>
          <w:sz w:val="28"/>
          <w:szCs w:val="30"/>
          <w:highlight w:val="none"/>
          <w:lang w:val="en-US" w:eastAsia="zh-CN"/>
        </w:rPr>
        <w:t>1.</w:t>
      </w:r>
      <w:r>
        <w:rPr>
          <w:rFonts w:hint="eastAsia" w:ascii="仿宋_GB2312" w:hAnsi="仿宋_GB2312" w:eastAsia="仿宋_GB2312" w:cs="仿宋_GB2312"/>
          <w:color w:val="auto"/>
          <w:sz w:val="28"/>
          <w:szCs w:val="30"/>
          <w:highlight w:val="none"/>
          <w:lang w:eastAsia="zh-CN"/>
        </w:rPr>
        <w:t>评估操作过程技术合理，本次评估技术操作方面严格参照《城镇土地估价规程》(GB／T18508-2014)及《关于印发&lt;国有建设用地使用权出让地价评估技术规范&gt;的通知》（国土资厅发〔2018〕4号，2018年3月9日）要求，本次评估采用</w:t>
      </w:r>
      <w:r>
        <w:rPr>
          <w:rFonts w:hint="eastAsia" w:ascii="仿宋_GB2312" w:hAnsi="仿宋_GB2312" w:eastAsia="仿宋_GB2312" w:cs="仿宋_GB2312"/>
          <w:color w:val="auto"/>
          <w:sz w:val="28"/>
          <w:szCs w:val="30"/>
          <w:highlight w:val="none"/>
          <w:lang w:val="en-US" w:eastAsia="zh-CN"/>
        </w:rPr>
        <w:t>成本逼近法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分别进行测算，综合考虑评估宗地所在区域的地价水平，</w:t>
      </w:r>
      <w:r>
        <w:rPr>
          <w:rFonts w:hint="default" w:ascii="仿宋_GB2312" w:hAnsi="仿宋_GB2312" w:eastAsia="仿宋_GB2312" w:cs="仿宋_GB2312"/>
          <w:color w:val="auto"/>
          <w:sz w:val="28"/>
          <w:szCs w:val="30"/>
          <w:highlight w:val="none"/>
          <w:lang w:eastAsia="zh-CN"/>
        </w:rPr>
        <w:t>成本逼近法是以土地开发所耗费的成本构成来推算土地价格的方法</w:t>
      </w:r>
      <w:r>
        <w:rPr>
          <w:rFonts w:hint="eastAsia" w:ascii="仿宋_GB2312" w:hAnsi="仿宋_GB2312" w:eastAsia="仿宋_GB2312" w:cs="仿宋_GB2312"/>
          <w:color w:val="auto"/>
          <w:sz w:val="28"/>
          <w:szCs w:val="30"/>
          <w:highlight w:val="none"/>
          <w:lang w:eastAsia="zh-CN"/>
        </w:rPr>
        <w:t>;</w:t>
      </w:r>
      <w:r>
        <w:rPr>
          <w:rFonts w:hint="eastAsia" w:ascii="仿宋_GB2312" w:hAnsi="仿宋_GB2312" w:eastAsia="仿宋_GB2312" w:cs="仿宋_GB2312"/>
          <w:color w:val="auto"/>
          <w:sz w:val="28"/>
          <w:szCs w:val="30"/>
          <w:highlight w:val="none"/>
          <w:lang w:val="en-US" w:eastAsia="zh-CN"/>
        </w:rPr>
        <w:t>收益还原法是在估算估价对象在未来每年预期纯收益（正常年纯收益）的基础上，以一定的土地还原率，将评估对象在未来每年的纯收益折算为估价期日收益总和的一种方法</w:t>
      </w:r>
      <w:r>
        <w:rPr>
          <w:rFonts w:hint="eastAsia" w:ascii="仿宋_GB2312" w:hAnsi="仿宋_GB2312" w:eastAsia="仿宋_GB2312" w:cs="仿宋_GB2312"/>
          <w:color w:val="auto"/>
          <w:sz w:val="28"/>
          <w:szCs w:val="30"/>
          <w:highlight w:val="none"/>
          <w:lang w:eastAsia="zh-CN"/>
        </w:rPr>
        <w:t>，能够比较真实的反映估价对象的客观合理的市场价格；</w:t>
      </w:r>
      <w:r>
        <w:rPr>
          <w:rFonts w:hint="eastAsia" w:ascii="仿宋_GB2312" w:hAnsi="仿宋_GB2312" w:eastAsia="仿宋_GB2312" w:cs="仿宋_GB2312"/>
          <w:color w:val="auto"/>
          <w:sz w:val="28"/>
          <w:szCs w:val="30"/>
          <w:highlight w:val="none"/>
          <w:lang w:val="en-US" w:eastAsia="zh-CN"/>
        </w:rPr>
        <w:t>收益还原法</w:t>
      </w:r>
      <w:r>
        <w:rPr>
          <w:rFonts w:hint="eastAsia" w:ascii="仿宋_GB2312" w:hAnsi="仿宋_GB2312" w:eastAsia="仿宋_GB2312" w:cs="仿宋_GB2312"/>
          <w:color w:val="auto"/>
          <w:sz w:val="28"/>
          <w:szCs w:val="30"/>
          <w:highlight w:val="none"/>
          <w:lang w:eastAsia="zh-CN"/>
        </w:rPr>
        <w:t>可信度高，因此</w:t>
      </w:r>
      <w:r>
        <w:rPr>
          <w:rFonts w:hint="eastAsia" w:ascii="仿宋_GB2312" w:hAnsi="仿宋_GB2312" w:eastAsia="仿宋_GB2312" w:cs="仿宋_GB2312"/>
          <w:color w:val="auto"/>
          <w:sz w:val="28"/>
          <w:szCs w:val="30"/>
          <w:highlight w:val="none"/>
          <w:lang w:val="en-US" w:eastAsia="zh-CN"/>
        </w:rPr>
        <w:t>取收益还原法</w:t>
      </w:r>
      <w:r>
        <w:rPr>
          <w:rFonts w:hint="eastAsia" w:ascii="仿宋_GB2312" w:hAnsi="仿宋_GB2312" w:eastAsia="仿宋_GB2312" w:cs="仿宋_GB2312"/>
          <w:color w:val="auto"/>
          <w:sz w:val="28"/>
          <w:szCs w:val="30"/>
          <w:highlight w:val="none"/>
          <w:lang w:eastAsia="zh-CN"/>
        </w:rPr>
        <w:t>估价结果为最终结果。</w:t>
      </w:r>
    </w:p>
    <w:p w14:paraId="198A791D">
      <w:pPr>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.通过湖南省国土资源网上交易系统、中国土地交易市场网查询，</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近期通过“招拍挂”途径出让的估价对象周边土地单位面积地价与估价结果较为接近，估价结果符合该区域规划发展的趋势。</w:t>
      </w:r>
    </w:p>
    <w:p w14:paraId="46CCDD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w:t>
      </w:r>
    </w:p>
    <w:p w14:paraId="599F8CCD">
      <w:pPr>
        <w:pStyle w:val="18"/>
        <w:rPr>
          <w:rFonts w:hint="eastAsia" w:ascii="仿宋_GB2312" w:hAnsi="仿宋_GB2312" w:eastAsia="仿宋_GB2312" w:cs="仿宋_GB2312"/>
          <w:b/>
          <w:bCs w:val="0"/>
          <w:color w:val="auto"/>
          <w:sz w:val="28"/>
          <w:szCs w:val="28"/>
          <w:highlight w:val="none"/>
          <w:lang w:val="en-GB" w:eastAsia="zh-CN"/>
        </w:rPr>
      </w:pPr>
    </w:p>
    <w:p w14:paraId="479C495C">
      <w:pPr>
        <w:keepNext w:val="0"/>
        <w:keepLines w:val="0"/>
        <w:pageBreakBefore w:val="0"/>
        <w:widowControl w:val="0"/>
        <w:kinsoku/>
        <w:wordWrap/>
        <w:overflowPunct/>
        <w:topLinePunct w:val="0"/>
        <w:autoSpaceDE/>
        <w:autoSpaceDN/>
        <w:bidi w:val="0"/>
        <w:adjustRightInd w:val="0"/>
        <w:snapToGrid w:val="0"/>
        <w:spacing w:line="480" w:lineRule="exact"/>
        <w:jc w:val="both"/>
        <w:textAlignment w:val="auto"/>
        <w:rPr>
          <w:rFonts w:hint="eastAsia" w:ascii="仿宋_GB2312" w:hAnsi="仿宋_GB2312" w:eastAsia="仿宋_GB2312" w:cs="仿宋_GB2312"/>
          <w:bCs/>
          <w:color w:val="auto"/>
          <w:sz w:val="21"/>
          <w:szCs w:val="21"/>
          <w:highlight w:val="none"/>
          <w:lang w:val="en-US" w:eastAsia="zh-CN"/>
        </w:rPr>
      </w:pPr>
    </w:p>
    <w:p w14:paraId="44C4A2EF">
      <w:pPr>
        <w:rPr>
          <w:rFonts w:hint="eastAsia" w:ascii="仿宋_GB2312" w:hAnsi="仿宋_GB2312" w:eastAsia="仿宋_GB2312" w:cs="仿宋_GB2312"/>
          <w:bCs/>
          <w:color w:val="auto"/>
          <w:sz w:val="21"/>
          <w:szCs w:val="21"/>
          <w:highlight w:val="none"/>
          <w:lang w:val="en-US" w:eastAsia="zh-CN"/>
        </w:rPr>
        <w:sectPr>
          <w:headerReference r:id="rId14" w:type="default"/>
          <w:footerReference r:id="rId15" w:type="default"/>
          <w:pgSz w:w="11906" w:h="16838"/>
          <w:pgMar w:top="1440" w:right="1800" w:bottom="1440" w:left="1800" w:header="851" w:footer="992" w:gutter="0"/>
          <w:pgNumType w:fmt="decimal"/>
          <w:cols w:space="0" w:num="1"/>
          <w:rtlGutter w:val="0"/>
          <w:docGrid w:type="lines" w:linePitch="312" w:charSpace="0"/>
        </w:sectPr>
      </w:pPr>
    </w:p>
    <w:p w14:paraId="48347854">
      <w:pPr>
        <w:keepNext w:val="0"/>
        <w:keepLines w:val="0"/>
        <w:pageBreakBefore w:val="0"/>
        <w:widowControl w:val="0"/>
        <w:kinsoku/>
        <w:wordWrap/>
        <w:overflowPunct/>
        <w:topLinePunct w:val="0"/>
        <w:autoSpaceDE w:val="0"/>
        <w:autoSpaceDN w:val="0"/>
        <w:bidi w:val="0"/>
        <w:adjustRightInd w:val="0"/>
        <w:snapToGrid w:val="0"/>
        <w:spacing w:line="360" w:lineRule="auto"/>
        <w:ind w:left="0" w:hanging="537" w:hangingChars="192"/>
        <w:jc w:val="center"/>
        <w:textAlignment w:val="auto"/>
        <w:outlineLvl w:val="2"/>
        <w:rPr>
          <w:rFonts w:ascii="仿宋_GB2312" w:eastAsia="仿宋_GB2312"/>
          <w:b/>
          <w:bCs/>
          <w:sz w:val="28"/>
          <w:highlight w:val="none"/>
        </w:rPr>
      </w:pPr>
      <w:r>
        <w:rPr>
          <w:rFonts w:hint="eastAsia" w:ascii="仿宋_GB2312" w:eastAsia="仿宋_GB2312"/>
          <w:sz w:val="28"/>
          <w:highlight w:val="none"/>
        </w:rPr>
        <w:t xml:space="preserve"> </w:t>
      </w:r>
      <w:r>
        <w:rPr>
          <w:rFonts w:hint="eastAsia" w:ascii="仿宋_GB2312" w:eastAsia="仿宋_GB2312"/>
          <w:b/>
          <w:bCs/>
          <w:sz w:val="28"/>
          <w:highlight w:val="none"/>
        </w:rPr>
        <w:t xml:space="preserve">  土地估价结果一览表</w:t>
      </w:r>
    </w:p>
    <w:p w14:paraId="65A6565D">
      <w:pPr>
        <w:spacing w:line="240" w:lineRule="exact"/>
        <w:ind w:left="-2478" w:leftChars="-1180" w:right="-227" w:firstLine="2625" w:firstLineChars="1250"/>
        <w:rPr>
          <w:rFonts w:hint="eastAsia" w:ascii="仿宋_GB2312" w:hAnsi="仿宋_GB2312" w:eastAsia="仿宋_GB2312" w:cs="仿宋_GB2312"/>
          <w:szCs w:val="21"/>
          <w:highlight w:val="none"/>
          <w:lang w:eastAsia="zh-CN"/>
        </w:rPr>
      </w:pPr>
      <w:r>
        <w:rPr>
          <w:rFonts w:hint="eastAsia" w:ascii="仿宋_GB2312" w:hAnsi="仿宋_GB2312" w:eastAsia="仿宋_GB2312" w:cs="仿宋_GB2312"/>
          <w:szCs w:val="21"/>
          <w:highlight w:val="none"/>
        </w:rPr>
        <w:t>估价机构：湖南兆财不动产规划评估有限公司                                                          估价期日：</w:t>
      </w:r>
      <w:r>
        <w:rPr>
          <w:rFonts w:hint="eastAsia" w:ascii="仿宋_GB2312" w:hAnsi="仿宋_GB2312" w:eastAsia="仿宋_GB2312" w:cs="仿宋_GB2312"/>
          <w:szCs w:val="21"/>
          <w:highlight w:val="none"/>
          <w:lang w:eastAsia="zh-CN"/>
        </w:rPr>
        <w:t>2026年5月18日</w:t>
      </w:r>
    </w:p>
    <w:p w14:paraId="678175D9">
      <w:pPr>
        <w:spacing w:line="240" w:lineRule="exact"/>
        <w:ind w:right="-227" w:firstLine="105" w:firstLineChars="50"/>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估价报告编号：</w:t>
      </w:r>
      <w:r>
        <w:rPr>
          <w:rFonts w:hint="eastAsia" w:ascii="仿宋_GB2312" w:eastAsia="仿宋_GB2312"/>
          <w:spacing w:val="-6"/>
          <w:highlight w:val="none"/>
          <w:lang w:eastAsia="zh-CN"/>
        </w:rPr>
        <w:t>（湖南）湘兆财土地[202</w:t>
      </w:r>
      <w:r>
        <w:rPr>
          <w:rFonts w:hint="eastAsia" w:ascii="仿宋_GB2312" w:eastAsia="仿宋_GB2312"/>
          <w:spacing w:val="-6"/>
          <w:highlight w:val="none"/>
          <w:lang w:val="en-US" w:eastAsia="zh-CN"/>
        </w:rPr>
        <w:t>6</w:t>
      </w:r>
      <w:r>
        <w:rPr>
          <w:rFonts w:hint="eastAsia" w:ascii="仿宋_GB2312" w:eastAsia="仿宋_GB2312"/>
          <w:spacing w:val="-6"/>
          <w:highlight w:val="none"/>
          <w:lang w:eastAsia="zh-CN"/>
        </w:rPr>
        <w:t>]（</w:t>
      </w:r>
      <w:r>
        <w:rPr>
          <w:rFonts w:hint="eastAsia" w:ascii="仿宋_GB2312" w:eastAsia="仿宋_GB2312"/>
          <w:spacing w:val="-6"/>
          <w:highlight w:val="none"/>
          <w:lang w:val="en-US" w:eastAsia="zh-CN"/>
        </w:rPr>
        <w:t>技</w:t>
      </w:r>
      <w:r>
        <w:rPr>
          <w:rFonts w:hint="eastAsia" w:ascii="仿宋_GB2312" w:eastAsia="仿宋_GB2312"/>
          <w:spacing w:val="-6"/>
          <w:highlight w:val="none"/>
          <w:lang w:eastAsia="zh-CN"/>
        </w:rPr>
        <w:t>）字第ZC0007号</w:t>
      </w:r>
      <w:r>
        <w:rPr>
          <w:rFonts w:hint="eastAsia" w:ascii="仿宋_GB2312" w:eastAsia="仿宋_GB2312"/>
          <w:szCs w:val="21"/>
          <w:highlight w:val="none"/>
        </w:rPr>
        <w:t xml:space="preserve"> </w:t>
      </w:r>
      <w:r>
        <w:rPr>
          <w:rFonts w:hint="eastAsia" w:ascii="仿宋_GB2312" w:hAnsi="仿宋_GB2312" w:eastAsia="仿宋_GB2312" w:cs="仿宋_GB2312"/>
          <w:szCs w:val="21"/>
          <w:highlight w:val="none"/>
        </w:rPr>
        <w:t xml:space="preserve">          估价目的：</w:t>
      </w:r>
      <w:r>
        <w:rPr>
          <w:rFonts w:hint="eastAsia" w:ascii="仿宋_GB2312" w:hAnsi="仿宋_GB2312" w:eastAsia="仿宋_GB2312" w:cs="仿宋_GB2312"/>
          <w:szCs w:val="21"/>
          <w:highlight w:val="none"/>
          <w:lang w:val="en-US" w:eastAsia="zh-CN"/>
        </w:rPr>
        <w:t>出让</w:t>
      </w:r>
      <w:r>
        <w:rPr>
          <w:rFonts w:hint="eastAsia" w:ascii="仿宋_GB2312" w:hAnsi="仿宋_GB2312" w:eastAsia="仿宋_GB2312" w:cs="仿宋_GB2312"/>
          <w:szCs w:val="21"/>
          <w:highlight w:val="none"/>
        </w:rPr>
        <w:t xml:space="preserve">                  估价期日的土地使用权性质：</w:t>
      </w:r>
      <w:r>
        <w:rPr>
          <w:rFonts w:hint="eastAsia" w:ascii="仿宋_GB2312" w:hAnsi="仿宋_GB2312" w:eastAsia="仿宋_GB2312" w:cs="仿宋_GB2312"/>
          <w:szCs w:val="21"/>
          <w:highlight w:val="none"/>
          <w:lang w:val="en-US" w:eastAsia="zh-CN"/>
        </w:rPr>
        <w:t>划拨</w:t>
      </w:r>
    </w:p>
    <w:tbl>
      <w:tblPr>
        <w:tblStyle w:val="12"/>
        <w:tblW w:w="5093"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4"/>
        <w:gridCol w:w="642"/>
        <w:gridCol w:w="868"/>
        <w:gridCol w:w="676"/>
        <w:gridCol w:w="794"/>
        <w:gridCol w:w="648"/>
        <w:gridCol w:w="588"/>
        <w:gridCol w:w="426"/>
        <w:gridCol w:w="559"/>
        <w:gridCol w:w="574"/>
        <w:gridCol w:w="1250"/>
        <w:gridCol w:w="1264"/>
        <w:gridCol w:w="899"/>
        <w:gridCol w:w="838"/>
        <w:gridCol w:w="946"/>
        <w:gridCol w:w="892"/>
        <w:gridCol w:w="811"/>
        <w:gridCol w:w="1120"/>
      </w:tblGrid>
      <w:tr w14:paraId="317A8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23" w:type="pct"/>
            <w:vMerge w:val="restart"/>
            <w:vAlign w:val="center"/>
          </w:tcPr>
          <w:p w14:paraId="2A4D74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估价期日土地使用者</w:t>
            </w:r>
          </w:p>
        </w:tc>
        <w:tc>
          <w:tcPr>
            <w:tcW w:w="222" w:type="pct"/>
            <w:vMerge w:val="restart"/>
            <w:vAlign w:val="center"/>
          </w:tcPr>
          <w:p w14:paraId="2A6BDFE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0AB2C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编号</w:t>
            </w:r>
          </w:p>
        </w:tc>
        <w:tc>
          <w:tcPr>
            <w:tcW w:w="300" w:type="pct"/>
            <w:vMerge w:val="restart"/>
            <w:vAlign w:val="center"/>
          </w:tcPr>
          <w:p w14:paraId="7C1B88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宗地</w:t>
            </w:r>
          </w:p>
          <w:p w14:paraId="55435D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名称</w:t>
            </w:r>
          </w:p>
        </w:tc>
        <w:tc>
          <w:tcPr>
            <w:tcW w:w="234" w:type="pct"/>
            <w:vMerge w:val="restart"/>
            <w:vAlign w:val="center"/>
          </w:tcPr>
          <w:p w14:paraId="619B29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土地使用证编号</w:t>
            </w:r>
          </w:p>
        </w:tc>
        <w:tc>
          <w:tcPr>
            <w:tcW w:w="702" w:type="pct"/>
            <w:gridSpan w:val="3"/>
            <w:vAlign w:val="center"/>
          </w:tcPr>
          <w:p w14:paraId="75C504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估价期日的用途</w:t>
            </w:r>
          </w:p>
        </w:tc>
        <w:tc>
          <w:tcPr>
            <w:tcW w:w="539" w:type="pct"/>
            <w:gridSpan w:val="3"/>
            <w:vAlign w:val="center"/>
          </w:tcPr>
          <w:p w14:paraId="42768A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容积率</w:t>
            </w:r>
          </w:p>
        </w:tc>
        <w:tc>
          <w:tcPr>
            <w:tcW w:w="432" w:type="pct"/>
            <w:vMerge w:val="restart"/>
            <w:vAlign w:val="center"/>
          </w:tcPr>
          <w:p w14:paraId="0F048C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估价期日实际土地开发程度</w:t>
            </w:r>
          </w:p>
        </w:tc>
        <w:tc>
          <w:tcPr>
            <w:tcW w:w="437" w:type="pct"/>
            <w:vMerge w:val="restart"/>
            <w:vAlign w:val="center"/>
          </w:tcPr>
          <w:p w14:paraId="66A0B6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估价设定土地开发程度</w:t>
            </w:r>
          </w:p>
        </w:tc>
        <w:tc>
          <w:tcPr>
            <w:tcW w:w="311" w:type="pct"/>
            <w:vMerge w:val="restart"/>
            <w:vAlign w:val="center"/>
          </w:tcPr>
          <w:p w14:paraId="4472F4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剩余土地使用权年期（年）</w:t>
            </w:r>
          </w:p>
        </w:tc>
        <w:tc>
          <w:tcPr>
            <w:tcW w:w="290" w:type="pct"/>
            <w:vMerge w:val="restart"/>
            <w:vAlign w:val="center"/>
          </w:tcPr>
          <w:p w14:paraId="64773D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面积(㎡)</w:t>
            </w:r>
          </w:p>
        </w:tc>
        <w:tc>
          <w:tcPr>
            <w:tcW w:w="327" w:type="pct"/>
            <w:vMerge w:val="restart"/>
            <w:vAlign w:val="center"/>
          </w:tcPr>
          <w:p w14:paraId="28AA18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地面地价(元/㎡)</w:t>
            </w:r>
          </w:p>
        </w:tc>
        <w:tc>
          <w:tcPr>
            <w:tcW w:w="308" w:type="pct"/>
            <w:vMerge w:val="restart"/>
            <w:vAlign w:val="center"/>
          </w:tcPr>
          <w:p w14:paraId="6292B8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楼面地价(元/㎡)</w:t>
            </w:r>
          </w:p>
        </w:tc>
        <w:tc>
          <w:tcPr>
            <w:tcW w:w="280" w:type="pct"/>
            <w:vMerge w:val="restart"/>
            <w:vAlign w:val="center"/>
          </w:tcPr>
          <w:p w14:paraId="26D503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总价</w:t>
            </w:r>
          </w:p>
          <w:p w14:paraId="41147F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(万元)</w:t>
            </w:r>
          </w:p>
        </w:tc>
        <w:tc>
          <w:tcPr>
            <w:tcW w:w="387" w:type="pct"/>
            <w:vMerge w:val="restart"/>
            <w:vAlign w:val="center"/>
          </w:tcPr>
          <w:p w14:paraId="75406F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备注</w:t>
            </w:r>
          </w:p>
        </w:tc>
      </w:tr>
      <w:tr w14:paraId="63391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23" w:type="pct"/>
            <w:vMerge w:val="continue"/>
            <w:vAlign w:val="center"/>
          </w:tcPr>
          <w:p w14:paraId="4CEE40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22" w:type="pct"/>
            <w:vMerge w:val="continue"/>
            <w:vAlign w:val="center"/>
          </w:tcPr>
          <w:p w14:paraId="5195F4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0" w:type="pct"/>
            <w:vMerge w:val="continue"/>
            <w:vAlign w:val="center"/>
          </w:tcPr>
          <w:p w14:paraId="6CA4CA4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34" w:type="pct"/>
            <w:vMerge w:val="continue"/>
            <w:vAlign w:val="center"/>
          </w:tcPr>
          <w:p w14:paraId="14F0DA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74" w:type="pct"/>
            <w:vAlign w:val="center"/>
          </w:tcPr>
          <w:p w14:paraId="31FACF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证载（或批准）</w:t>
            </w:r>
          </w:p>
        </w:tc>
        <w:tc>
          <w:tcPr>
            <w:tcW w:w="224" w:type="pct"/>
            <w:vAlign w:val="center"/>
          </w:tcPr>
          <w:p w14:paraId="0EAEED5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203" w:type="pct"/>
            <w:vAlign w:val="center"/>
          </w:tcPr>
          <w:p w14:paraId="137368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147" w:type="pct"/>
            <w:vAlign w:val="center"/>
          </w:tcPr>
          <w:p w14:paraId="34FE518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规划</w:t>
            </w:r>
          </w:p>
        </w:tc>
        <w:tc>
          <w:tcPr>
            <w:tcW w:w="193" w:type="pct"/>
            <w:vAlign w:val="center"/>
          </w:tcPr>
          <w:p w14:paraId="6956E3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实际</w:t>
            </w:r>
          </w:p>
        </w:tc>
        <w:tc>
          <w:tcPr>
            <w:tcW w:w="198" w:type="pct"/>
            <w:vAlign w:val="center"/>
          </w:tcPr>
          <w:p w14:paraId="67218D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b/>
                <w:bCs/>
                <w:spacing w:val="-10"/>
                <w:szCs w:val="21"/>
                <w:highlight w:val="none"/>
              </w:rPr>
            </w:pPr>
            <w:r>
              <w:rPr>
                <w:rFonts w:hint="eastAsia" w:ascii="仿宋_GB2312" w:hAnsi="仿宋_GB2312" w:eastAsia="仿宋_GB2312" w:cs="仿宋_GB2312"/>
                <w:b/>
                <w:bCs/>
                <w:spacing w:val="-10"/>
                <w:szCs w:val="21"/>
                <w:highlight w:val="none"/>
              </w:rPr>
              <w:t>设定</w:t>
            </w:r>
          </w:p>
        </w:tc>
        <w:tc>
          <w:tcPr>
            <w:tcW w:w="432" w:type="pct"/>
            <w:vMerge w:val="continue"/>
            <w:vAlign w:val="center"/>
          </w:tcPr>
          <w:p w14:paraId="03FB57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437" w:type="pct"/>
            <w:vMerge w:val="continue"/>
            <w:vAlign w:val="center"/>
          </w:tcPr>
          <w:p w14:paraId="20B4E87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11" w:type="pct"/>
            <w:vMerge w:val="continue"/>
            <w:vAlign w:val="center"/>
          </w:tcPr>
          <w:p w14:paraId="3A359E7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90" w:type="pct"/>
            <w:vMerge w:val="continue"/>
            <w:vAlign w:val="center"/>
          </w:tcPr>
          <w:p w14:paraId="6C224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27" w:type="pct"/>
            <w:vMerge w:val="continue"/>
            <w:vAlign w:val="center"/>
          </w:tcPr>
          <w:p w14:paraId="3BA19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08" w:type="pct"/>
            <w:vMerge w:val="continue"/>
            <w:vAlign w:val="center"/>
          </w:tcPr>
          <w:p w14:paraId="25C6E68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280" w:type="pct"/>
            <w:vMerge w:val="continue"/>
            <w:vAlign w:val="center"/>
          </w:tcPr>
          <w:p w14:paraId="4D5D53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c>
          <w:tcPr>
            <w:tcW w:w="387" w:type="pct"/>
            <w:vMerge w:val="continue"/>
            <w:vAlign w:val="center"/>
          </w:tcPr>
          <w:p w14:paraId="2680EDB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spacing w:val="-10"/>
                <w:szCs w:val="21"/>
                <w:highlight w:val="none"/>
              </w:rPr>
            </w:pPr>
          </w:p>
        </w:tc>
      </w:tr>
      <w:tr w14:paraId="0C907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79" w:hRule="atLeast"/>
          <w:jc w:val="center"/>
        </w:trPr>
        <w:tc>
          <w:tcPr>
            <w:tcW w:w="223" w:type="pct"/>
            <w:vAlign w:val="center"/>
          </w:tcPr>
          <w:p w14:paraId="00C83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王汝冲</w:t>
            </w:r>
          </w:p>
        </w:tc>
        <w:tc>
          <w:tcPr>
            <w:tcW w:w="222" w:type="pct"/>
            <w:vAlign w:val="center"/>
          </w:tcPr>
          <w:p w14:paraId="3A09ED6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300" w:type="pct"/>
            <w:vAlign w:val="center"/>
          </w:tcPr>
          <w:p w14:paraId="4B3F548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w:t>
            </w:r>
          </w:p>
        </w:tc>
        <w:tc>
          <w:tcPr>
            <w:tcW w:w="234" w:type="pct"/>
            <w:vAlign w:val="center"/>
          </w:tcPr>
          <w:p w14:paraId="53A081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74" w:type="pct"/>
            <w:vAlign w:val="center"/>
          </w:tcPr>
          <w:p w14:paraId="1D91D8A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224" w:type="pct"/>
            <w:vAlign w:val="center"/>
          </w:tcPr>
          <w:p w14:paraId="245276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203" w:type="pct"/>
            <w:vAlign w:val="center"/>
          </w:tcPr>
          <w:p w14:paraId="4B71C2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住宅用地</w:t>
            </w:r>
          </w:p>
        </w:tc>
        <w:tc>
          <w:tcPr>
            <w:tcW w:w="147" w:type="pct"/>
            <w:vAlign w:val="center"/>
          </w:tcPr>
          <w:p w14:paraId="23FB44B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w:t>
            </w:r>
          </w:p>
        </w:tc>
        <w:tc>
          <w:tcPr>
            <w:tcW w:w="193" w:type="pct"/>
            <w:vAlign w:val="center"/>
          </w:tcPr>
          <w:p w14:paraId="58A660C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198" w:type="pct"/>
            <w:vAlign w:val="center"/>
          </w:tcPr>
          <w:p w14:paraId="2B1B38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4.83</w:t>
            </w:r>
          </w:p>
        </w:tc>
        <w:tc>
          <w:tcPr>
            <w:tcW w:w="432" w:type="pct"/>
            <w:vAlign w:val="center"/>
          </w:tcPr>
          <w:p w14:paraId="104885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437" w:type="pct"/>
            <w:vAlign w:val="center"/>
          </w:tcPr>
          <w:p w14:paraId="3AE3C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宗地红线外“五通”，红线内场地平整</w:t>
            </w:r>
          </w:p>
        </w:tc>
        <w:tc>
          <w:tcPr>
            <w:tcW w:w="311" w:type="pct"/>
            <w:vAlign w:val="center"/>
          </w:tcPr>
          <w:p w14:paraId="6DB88E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70</w:t>
            </w:r>
          </w:p>
        </w:tc>
        <w:tc>
          <w:tcPr>
            <w:tcW w:w="290" w:type="pct"/>
            <w:vAlign w:val="center"/>
          </w:tcPr>
          <w:p w14:paraId="745602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15.2</w:t>
            </w:r>
          </w:p>
        </w:tc>
        <w:tc>
          <w:tcPr>
            <w:tcW w:w="327" w:type="pct"/>
            <w:vAlign w:val="center"/>
          </w:tcPr>
          <w:p w14:paraId="28D4FC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2511</w:t>
            </w:r>
          </w:p>
        </w:tc>
        <w:tc>
          <w:tcPr>
            <w:tcW w:w="308" w:type="pct"/>
            <w:vAlign w:val="center"/>
          </w:tcPr>
          <w:p w14:paraId="248731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519.88</w:t>
            </w:r>
          </w:p>
        </w:tc>
        <w:tc>
          <w:tcPr>
            <w:tcW w:w="280" w:type="pct"/>
            <w:shd w:val="clear" w:color="auto" w:fill="auto"/>
            <w:vAlign w:val="center"/>
          </w:tcPr>
          <w:p w14:paraId="1A8D4CF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3.82</w:t>
            </w:r>
          </w:p>
        </w:tc>
        <w:tc>
          <w:tcPr>
            <w:tcW w:w="387" w:type="pct"/>
            <w:vAlign w:val="center"/>
          </w:tcPr>
          <w:p w14:paraId="6B3DCD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default" w:ascii="仿宋_GB2312" w:hAnsi="仿宋_GB2312" w:eastAsia="仿宋_GB2312" w:cs="仿宋_GB2312"/>
                <w:spacing w:val="-20"/>
                <w:szCs w:val="21"/>
                <w:highlight w:val="none"/>
                <w:lang w:val="en-US" w:eastAsia="zh-CN"/>
              </w:rPr>
              <w:t>折合</w:t>
            </w:r>
            <w:r>
              <w:rPr>
                <w:rFonts w:hint="eastAsia" w:ascii="仿宋_GB2312" w:hAnsi="仿宋_GB2312" w:eastAsia="仿宋_GB2312" w:cs="仿宋_GB2312"/>
                <w:spacing w:val="-20"/>
                <w:szCs w:val="21"/>
                <w:highlight w:val="none"/>
                <w:lang w:val="en-US" w:eastAsia="zh-CN"/>
              </w:rPr>
              <w:t>167.4</w:t>
            </w:r>
            <w:r>
              <w:rPr>
                <w:rFonts w:hint="default" w:ascii="仿宋_GB2312" w:hAnsi="仿宋_GB2312" w:eastAsia="仿宋_GB2312" w:cs="仿宋_GB2312"/>
                <w:spacing w:val="-20"/>
                <w:szCs w:val="21"/>
                <w:highlight w:val="none"/>
                <w:lang w:val="en-US" w:eastAsia="zh-CN"/>
              </w:rPr>
              <w:t>万元/亩</w:t>
            </w:r>
          </w:p>
        </w:tc>
      </w:tr>
    </w:tbl>
    <w:p w14:paraId="4181B9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default"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rPr>
        <w:t>注：上表中“</w:t>
      </w:r>
      <w:r>
        <w:rPr>
          <w:rFonts w:hint="eastAsia" w:ascii="仿宋_GB2312" w:hAnsi="仿宋_GB2312" w:eastAsia="仿宋_GB2312" w:cs="仿宋_GB2312"/>
          <w:szCs w:val="21"/>
          <w:highlight w:val="none"/>
          <w:lang w:val="en-US" w:eastAsia="zh-CN"/>
        </w:rPr>
        <w:t>五</w:t>
      </w:r>
      <w:r>
        <w:rPr>
          <w:rFonts w:hint="eastAsia" w:ascii="仿宋_GB2312" w:hAnsi="仿宋_GB2312" w:eastAsia="仿宋_GB2312" w:cs="仿宋_GB2312"/>
          <w:szCs w:val="21"/>
          <w:highlight w:val="none"/>
        </w:rPr>
        <w:t>通”指宗地红外围通路、通电</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通讯、供水、排水。</w:t>
      </w:r>
    </w:p>
    <w:p w14:paraId="18C268C4">
      <w:pPr>
        <w:keepNext w:val="0"/>
        <w:keepLines w:val="0"/>
        <w:pageBreakBefore w:val="0"/>
        <w:widowControl w:val="0"/>
        <w:tabs>
          <w:tab w:val="left" w:pos="560"/>
        </w:tabs>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一、上述土地估价结果的限定条</w:t>
      </w:r>
      <w:r>
        <w:rPr>
          <w:rFonts w:hint="eastAsia" w:ascii="仿宋_GB2312" w:hAnsi="仿宋_GB2312" w:eastAsia="仿宋_GB2312" w:cs="仿宋_GB2312"/>
          <w:color w:val="auto"/>
          <w:szCs w:val="21"/>
          <w:highlight w:val="none"/>
        </w:rPr>
        <w:t>件</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1.根据《</w:t>
      </w:r>
      <w:r>
        <w:rPr>
          <w:rFonts w:hint="eastAsia" w:ascii="仿宋_GB2312" w:hAnsi="仿宋_GB2312" w:eastAsia="仿宋_GB2312" w:cs="仿宋_GB2312"/>
          <w:color w:val="auto"/>
          <w:szCs w:val="21"/>
          <w:highlight w:val="none"/>
          <w:lang w:val="en-US" w:eastAsia="zh-CN"/>
        </w:rPr>
        <w:t>评估委托书</w:t>
      </w:r>
      <w:r>
        <w:rPr>
          <w:rFonts w:hint="eastAsia" w:ascii="仿宋_GB2312" w:hAnsi="仿宋_GB2312" w:eastAsia="仿宋_GB2312" w:cs="仿宋_GB2312"/>
          <w:color w:val="auto"/>
          <w:szCs w:val="21"/>
          <w:highlight w:val="none"/>
        </w:rPr>
        <w:t>》</w:t>
      </w:r>
      <w:r>
        <w:rPr>
          <w:rFonts w:hint="eastAsia" w:ascii="仿宋_GB2312" w:hAnsi="仿宋_GB2312" w:eastAsia="仿宋_GB2312" w:cs="仿宋_GB2312"/>
          <w:color w:val="auto"/>
          <w:szCs w:val="21"/>
          <w:highlight w:val="none"/>
          <w:lang w:val="en-US" w:eastAsia="zh-CN"/>
        </w:rPr>
        <w:t>和</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道县集中化解房地产办证信访突出问题工作领导小组办公室出具的《土地权属及性质证明》（2026年5月19日），估价对象位于</w:t>
      </w:r>
      <w:r>
        <w:rPr>
          <w:rFonts w:hint="default"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道县月岩西路</w:t>
      </w:r>
      <w:r>
        <w:rPr>
          <w:rFonts w:hint="eastAsia" w:ascii="仿宋_GB2312" w:hAnsi="仿宋_GB2312" w:eastAsia="仿宋_GB2312" w:cs="仿宋_GB2312"/>
          <w:color w:val="auto"/>
          <w:szCs w:val="21"/>
          <w:highlight w:val="none"/>
          <w:lang w:eastAsia="zh-CN"/>
        </w:rPr>
        <w:t>，</w:t>
      </w:r>
      <w:r>
        <w:rPr>
          <w:rFonts w:hint="eastAsia" w:ascii="仿宋_GB2312" w:hAnsi="仿宋_GB2312" w:eastAsia="仿宋_GB2312" w:cs="仿宋_GB2312"/>
          <w:color w:val="auto"/>
          <w:szCs w:val="21"/>
          <w:highlight w:val="none"/>
        </w:rPr>
        <w:t>估价对象土地所有权为国有，土地使用权性质为</w:t>
      </w:r>
      <w:r>
        <w:rPr>
          <w:rFonts w:hint="eastAsia" w:ascii="仿宋_GB2312" w:hAnsi="仿宋_GB2312" w:eastAsia="仿宋_GB2312" w:cs="仿宋_GB2312"/>
          <w:color w:val="auto"/>
          <w:szCs w:val="21"/>
          <w:highlight w:val="none"/>
          <w:lang w:val="en-US" w:eastAsia="zh-CN"/>
        </w:rPr>
        <w:t>划拨</w:t>
      </w:r>
      <w:r>
        <w:rPr>
          <w:rFonts w:hint="eastAsia" w:ascii="仿宋_GB2312" w:hAnsi="仿宋_GB2312" w:eastAsia="仿宋_GB2312" w:cs="仿宋_GB2312"/>
          <w:color w:val="auto"/>
          <w:szCs w:val="21"/>
          <w:highlight w:val="none"/>
        </w:rPr>
        <w:t>，土地使用者</w:t>
      </w:r>
      <w:r>
        <w:rPr>
          <w:rFonts w:hint="eastAsia" w:ascii="仿宋_GB2312" w:hAnsi="仿宋_GB2312" w:eastAsia="仿宋_GB2312" w:cs="仿宋_GB2312"/>
          <w:color w:val="auto"/>
          <w:szCs w:val="21"/>
          <w:highlight w:val="none"/>
          <w:lang w:val="en-US" w:eastAsia="zh-CN"/>
        </w:rPr>
        <w:t>为王汝冲</w:t>
      </w:r>
      <w:r>
        <w:rPr>
          <w:rFonts w:hint="eastAsia" w:ascii="仿宋_GB2312" w:hAnsi="仿宋_GB2312" w:eastAsia="仿宋_GB2312" w:cs="仿宋_GB2312"/>
          <w:color w:val="auto"/>
          <w:szCs w:val="21"/>
          <w:highlight w:val="none"/>
        </w:rPr>
        <w:t>。根据委托方提供相关资料和估价人员调查结果</w:t>
      </w:r>
      <w:r>
        <w:rPr>
          <w:rFonts w:hint="eastAsia" w:ascii="仿宋_GB2312" w:hAnsi="仿宋_GB2312" w:eastAsia="仿宋_GB2312" w:cs="仿宋_GB2312"/>
          <w:szCs w:val="21"/>
          <w:highlight w:val="none"/>
        </w:rPr>
        <w:t>，截至估价期日估价对象未有抵押权、地役权、租赁权等他项权利登记，本次评估设定估价对象地上无抵押权、地役权、租赁权等他项权利登记；2.基础设施条件：估价对象土地实际开发程度为宗地红线外“</w:t>
      </w:r>
      <w:r>
        <w:rPr>
          <w:rFonts w:hint="eastAsia" w:ascii="仿宋_GB2312" w:hAnsi="仿宋_GB2312" w:eastAsia="仿宋_GB2312" w:cs="仿宋_GB2312"/>
          <w:szCs w:val="21"/>
          <w:highlight w:val="none"/>
          <w:lang w:val="en-US" w:eastAsia="zh-CN"/>
        </w:rPr>
        <w:t>五通</w:t>
      </w:r>
      <w:r>
        <w:rPr>
          <w:rFonts w:hint="eastAsia" w:ascii="仿宋_GB2312" w:hAnsi="仿宋_GB2312" w:eastAsia="仿宋_GB2312" w:cs="仿宋_GB2312"/>
          <w:szCs w:val="21"/>
          <w:highlight w:val="none"/>
        </w:rPr>
        <w:t>”（即通路、通讯</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供水、排水</w:t>
      </w:r>
      <w:r>
        <w:rPr>
          <w:rFonts w:hint="eastAsia" w:ascii="仿宋_GB2312" w:hAnsi="仿宋_GB2312" w:eastAsia="仿宋_GB2312" w:cs="仿宋_GB2312"/>
          <w:szCs w:val="21"/>
          <w:highlight w:val="none"/>
        </w:rPr>
        <w:t>、通讯），</w:t>
      </w:r>
      <w:r>
        <w:rPr>
          <w:rFonts w:hint="eastAsia" w:ascii="仿宋_GB2312" w:hAnsi="仿宋_GB2312" w:eastAsia="仿宋_GB2312" w:cs="仿宋_GB2312"/>
          <w:szCs w:val="21"/>
          <w:highlight w:val="none"/>
          <w:lang w:eastAsia="zh-CN"/>
        </w:rPr>
        <w:t>红线内场地平整</w:t>
      </w:r>
      <w:r>
        <w:rPr>
          <w:rFonts w:hint="eastAsia" w:ascii="仿宋_GB2312" w:hAnsi="仿宋_GB2312" w:eastAsia="仿宋_GB2312" w:cs="仿宋_GB2312"/>
          <w:szCs w:val="21"/>
          <w:highlight w:val="none"/>
          <w:lang w:val="en-US" w:eastAsia="zh-CN"/>
        </w:rPr>
        <w:t>无</w:t>
      </w:r>
      <w:r>
        <w:rPr>
          <w:rFonts w:hint="eastAsia" w:ascii="仿宋_GB2312" w:hAnsi="仿宋_GB2312" w:eastAsia="仿宋_GB2312" w:cs="仿宋_GB2312"/>
          <w:szCs w:val="21"/>
          <w:highlight w:val="none"/>
          <w:lang w:eastAsia="zh-CN"/>
        </w:rPr>
        <w:t>建筑物</w:t>
      </w:r>
      <w:r>
        <w:rPr>
          <w:rFonts w:hint="eastAsia" w:ascii="仿宋_GB2312" w:hAnsi="仿宋_GB2312" w:eastAsia="仿宋_GB2312" w:cs="仿宋_GB2312"/>
          <w:szCs w:val="21"/>
          <w:highlight w:val="none"/>
        </w:rPr>
        <w:t>，详见下表。</w:t>
      </w:r>
    </w:p>
    <w:tbl>
      <w:tblPr>
        <w:tblStyle w:val="12"/>
        <w:tblW w:w="4996"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6"/>
        <w:gridCol w:w="2129"/>
        <w:gridCol w:w="2429"/>
        <w:gridCol w:w="1652"/>
        <w:gridCol w:w="2191"/>
        <w:gridCol w:w="3906"/>
      </w:tblGrid>
      <w:tr w14:paraId="6DEB0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655" w:type="pct"/>
            <w:noWrap w:val="0"/>
            <w:vAlign w:val="center"/>
          </w:tcPr>
          <w:p w14:paraId="5FCDCD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51" w:type="pct"/>
            <w:noWrap w:val="0"/>
            <w:vAlign w:val="center"/>
          </w:tcPr>
          <w:p w14:paraId="1433140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857" w:type="pct"/>
            <w:noWrap w:val="0"/>
            <w:vAlign w:val="center"/>
          </w:tcPr>
          <w:p w14:paraId="2D81424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583" w:type="pct"/>
            <w:noWrap w:val="0"/>
            <w:vAlign w:val="center"/>
          </w:tcPr>
          <w:p w14:paraId="775D1B2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3" w:type="pct"/>
            <w:noWrap w:val="0"/>
            <w:vAlign w:val="center"/>
          </w:tcPr>
          <w:p w14:paraId="313096D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78" w:type="pct"/>
            <w:noWrap w:val="0"/>
            <w:vAlign w:val="center"/>
          </w:tcPr>
          <w:p w14:paraId="4C48ADD1">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5603A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jc w:val="center"/>
        </w:trPr>
        <w:tc>
          <w:tcPr>
            <w:tcW w:w="655" w:type="pct"/>
            <w:noWrap w:val="0"/>
            <w:vAlign w:val="center"/>
          </w:tcPr>
          <w:p w14:paraId="2D7B06D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51" w:type="pct"/>
            <w:noWrap w:val="0"/>
            <w:vAlign w:val="center"/>
          </w:tcPr>
          <w:p w14:paraId="46628B51">
            <w:pPr>
              <w:keepNext w:val="0"/>
              <w:keepLines w:val="0"/>
              <w:pageBreakBefore w:val="0"/>
              <w:widowControl w:val="0"/>
              <w:kinsoku/>
              <w:wordWrap/>
              <w:overflowPunct/>
              <w:topLinePunct w:val="0"/>
              <w:autoSpaceDE/>
              <w:autoSpaceDN/>
              <w:bidi w:val="0"/>
              <w:adjustRightInd/>
              <w:snapToGrid/>
              <w:spacing w:line="240" w:lineRule="exact"/>
              <w:jc w:val="center"/>
              <w:textAlignment w:val="auto"/>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t>临文化西路、鹭鸶塘路，沥青路面，通行较顺畅</w:t>
            </w:r>
          </w:p>
        </w:tc>
        <w:tc>
          <w:tcPr>
            <w:tcW w:w="857" w:type="pct"/>
            <w:noWrap w:val="0"/>
            <w:vAlign w:val="center"/>
          </w:tcPr>
          <w:p w14:paraId="6AD27A9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区域内接市政双回路110KV供电管网，供电保证率高</w:t>
            </w:r>
          </w:p>
        </w:tc>
        <w:tc>
          <w:tcPr>
            <w:tcW w:w="583" w:type="pct"/>
            <w:noWrap w:val="0"/>
            <w:vAlign w:val="center"/>
          </w:tcPr>
          <w:p w14:paraId="420A55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3" w:type="pct"/>
            <w:noWrap w:val="0"/>
            <w:vAlign w:val="center"/>
          </w:tcPr>
          <w:p w14:paraId="1D6115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78" w:type="pct"/>
            <w:noWrap w:val="0"/>
            <w:vAlign w:val="center"/>
          </w:tcPr>
          <w:p w14:paraId="603FB5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3AE5E28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3.规划限制条件：根据</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lang w:val="en-US" w:eastAsia="zh-CN"/>
        </w:rPr>
        <w:t>评估委托书</w:t>
      </w:r>
      <w:r>
        <w:rPr>
          <w:rFonts w:hint="eastAsia" w:ascii="仿宋_GB2312" w:hAnsi="仿宋_GB2312" w:eastAsia="仿宋_GB2312" w:cs="仿宋_GB2312"/>
          <w:szCs w:val="21"/>
          <w:highlight w:val="none"/>
          <w:lang w:eastAsia="zh-CN"/>
        </w:rPr>
        <w:t>》</w:t>
      </w:r>
      <w:r>
        <w:rPr>
          <w:rFonts w:hint="eastAsia" w:ascii="仿宋_GB2312" w:hAnsi="仿宋_GB2312" w:eastAsia="仿宋_GB2312" w:cs="仿宋_GB2312"/>
          <w:szCs w:val="21"/>
          <w:highlight w:val="none"/>
        </w:rPr>
        <w:t>，估价对象位于</w:t>
      </w:r>
      <w:r>
        <w:rPr>
          <w:rFonts w:hint="eastAsia" w:ascii="仿宋_GB2312" w:hAnsi="仿宋_GB2312" w:eastAsia="仿宋_GB2312" w:cs="仿宋_GB2312"/>
          <w:szCs w:val="21"/>
          <w:highlight w:val="none"/>
          <w:lang w:val="en-US" w:eastAsia="zh-CN"/>
        </w:rPr>
        <w:t>道县月岩西路</w:t>
      </w:r>
      <w:r>
        <w:rPr>
          <w:rFonts w:hint="eastAsia" w:ascii="仿宋_GB2312" w:hAnsi="仿宋_GB2312" w:eastAsia="仿宋_GB2312" w:cs="仿宋_GB2312"/>
          <w:szCs w:val="21"/>
          <w:highlight w:val="none"/>
        </w:rPr>
        <w:t>，用地面积</w:t>
      </w:r>
      <w:r>
        <w:rPr>
          <w:rFonts w:hint="eastAsia" w:ascii="仿宋_GB2312" w:hAnsi="仿宋_GB2312" w:eastAsia="仿宋_GB2312" w:cs="仿宋_GB2312"/>
          <w:szCs w:val="21"/>
          <w:highlight w:val="none"/>
          <w:lang w:val="en-US" w:eastAsia="zh-CN"/>
        </w:rPr>
        <w:t>15.2平方米</w:t>
      </w:r>
      <w:r>
        <w:rPr>
          <w:rFonts w:hint="eastAsia" w:ascii="仿宋_GB2312" w:hAnsi="仿宋_GB2312" w:eastAsia="仿宋_GB2312" w:cs="仿宋_GB2312"/>
          <w:szCs w:val="21"/>
          <w:highlight w:val="none"/>
        </w:rPr>
        <w:t>。4.影响土地价值的其他限定条件：无。</w:t>
      </w:r>
    </w:p>
    <w:p w14:paraId="34AE824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szCs w:val="21"/>
          <w:highlight w:val="none"/>
        </w:rPr>
        <w:t xml:space="preserve">二、其他需要说明的事项 </w:t>
      </w:r>
    </w:p>
    <w:p w14:paraId="358E896A">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1、评估价格仅为委托方了解土地使用权价值提供客观、公正、合理的价格参考依据。</w:t>
      </w:r>
    </w:p>
    <w:p w14:paraId="328A1E1E">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2、评估结果自报告提交之日起壹年内有效。</w:t>
      </w:r>
    </w:p>
    <w:p w14:paraId="2537357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仿宋_GB2312" w:hAnsi="仿宋_GB2312" w:eastAsia="仿宋_GB2312" w:cs="仿宋_GB2312"/>
          <w:bCs/>
          <w:color w:val="auto"/>
          <w:kern w:val="2"/>
          <w:sz w:val="21"/>
          <w:szCs w:val="21"/>
          <w:highlight w:val="none"/>
          <w:lang w:val="en-GB" w:eastAsia="zh-CN" w:bidi="ar-SA"/>
        </w:rPr>
      </w:pPr>
      <w:r>
        <w:rPr>
          <w:rFonts w:hint="eastAsia" w:ascii="仿宋_GB2312" w:hAnsi="仿宋_GB2312" w:eastAsia="仿宋_GB2312" w:cs="仿宋_GB2312"/>
          <w:bCs/>
          <w:color w:val="auto"/>
          <w:kern w:val="2"/>
          <w:sz w:val="21"/>
          <w:szCs w:val="21"/>
          <w:highlight w:val="none"/>
          <w:lang w:val="en-GB" w:eastAsia="zh-CN" w:bidi="ar-SA"/>
        </w:rPr>
        <w:t>3、此次评估结果是估价对象于估价期日在设定土地用途、设定使用年期、设定容积率、现状利用条件下的土地使用权价格。</w:t>
      </w:r>
    </w:p>
    <w:p w14:paraId="5A0A419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default" w:ascii="仿宋_GB2312" w:hAnsi="仿宋_GB2312" w:eastAsia="仿宋_GB2312" w:cs="仿宋_GB2312"/>
          <w:bCs/>
          <w:color w:val="auto"/>
          <w:kern w:val="2"/>
          <w:sz w:val="21"/>
          <w:szCs w:val="21"/>
          <w:highlight w:val="none"/>
          <w:lang w:val="en-US" w:eastAsia="zh-CN" w:bidi="ar-SA"/>
        </w:rPr>
      </w:pPr>
      <w:r>
        <w:rPr>
          <w:rFonts w:hint="eastAsia" w:ascii="仿宋_GB2312" w:hAnsi="仿宋_GB2312" w:eastAsia="仿宋_GB2312" w:cs="仿宋_GB2312"/>
          <w:bCs/>
          <w:color w:val="auto"/>
          <w:kern w:val="2"/>
          <w:sz w:val="21"/>
          <w:szCs w:val="21"/>
          <w:highlight w:val="none"/>
          <w:lang w:val="en-GB" w:eastAsia="zh-CN" w:bidi="ar-SA"/>
        </w:rPr>
        <w:t>4、估价对象土地权属以</w:t>
      </w:r>
      <w:r>
        <w:rPr>
          <w:rFonts w:hint="eastAsia" w:ascii="仿宋_GB2312" w:hAnsi="仿宋_GB2312" w:eastAsia="仿宋_GB2312" w:cs="仿宋_GB2312"/>
          <w:color w:val="auto"/>
          <w:szCs w:val="21"/>
          <w:highlight w:val="none"/>
        </w:rPr>
        <w:t>道县集中化解房地产办证信访突出问题工作领导小组办公室出具的《土地权属及性质证明》（2026年5月19日）</w:t>
      </w:r>
      <w:r>
        <w:rPr>
          <w:rFonts w:hint="eastAsia" w:ascii="仿宋_GB2312" w:hAnsi="仿宋_GB2312" w:eastAsia="仿宋_GB2312" w:cs="仿宋_GB2312"/>
          <w:bCs/>
          <w:color w:val="auto"/>
          <w:kern w:val="2"/>
          <w:sz w:val="21"/>
          <w:szCs w:val="21"/>
          <w:highlight w:val="none"/>
          <w:lang w:val="en-GB" w:eastAsia="zh-CN" w:bidi="ar-SA"/>
        </w:rPr>
        <w:t>为依据，建筑面积</w:t>
      </w:r>
      <w:r>
        <w:rPr>
          <w:rFonts w:hint="eastAsia" w:ascii="仿宋_GB2312" w:hAnsi="仿宋_GB2312" w:eastAsia="仿宋_GB2312" w:cs="仿宋_GB2312"/>
          <w:bCs/>
          <w:color w:val="auto"/>
          <w:kern w:val="2"/>
          <w:sz w:val="21"/>
          <w:szCs w:val="21"/>
          <w:highlight w:val="none"/>
          <w:lang w:val="en-US" w:eastAsia="zh-CN" w:bidi="ar-SA"/>
        </w:rPr>
        <w:t>以</w:t>
      </w:r>
      <w:r>
        <w:rPr>
          <w:rFonts w:hint="eastAsia" w:ascii="仿宋_GB2312" w:hAnsi="仿宋_GB2312" w:eastAsia="仿宋_GB2312" w:cs="仿宋_GB2312"/>
          <w:sz w:val="21"/>
          <w:szCs w:val="21"/>
          <w:highlight w:val="none"/>
          <w:lang w:val="en-US" w:eastAsia="zh-CN"/>
        </w:rPr>
        <w:t>《户室面积对照表》为依据，</w:t>
      </w:r>
      <w:r>
        <w:rPr>
          <w:rFonts w:hint="eastAsia" w:ascii="仿宋_GB2312" w:hAnsi="仿宋_GB2312" w:eastAsia="仿宋_GB2312" w:cs="仿宋_GB2312"/>
          <w:bCs/>
          <w:color w:val="auto"/>
          <w:kern w:val="2"/>
          <w:sz w:val="21"/>
          <w:szCs w:val="21"/>
          <w:highlight w:val="none"/>
          <w:lang w:val="en-US" w:eastAsia="zh-CN" w:bidi="ar-SA"/>
        </w:rPr>
        <w:t>土地使用权面积以</w:t>
      </w:r>
      <w:r>
        <w:rPr>
          <w:rFonts w:hint="eastAsia" w:ascii="仿宋_GB2312" w:hAnsi="仿宋_GB2312" w:eastAsia="仿宋_GB2312" w:cs="仿宋_GB2312"/>
          <w:sz w:val="21"/>
          <w:szCs w:val="21"/>
          <w:highlight w:val="none"/>
          <w:lang w:val="en-US" w:eastAsia="zh-CN"/>
        </w:rPr>
        <w:t>《土地分摊表》和《评估委托书》</w:t>
      </w:r>
      <w:r>
        <w:rPr>
          <w:rFonts w:hint="eastAsia" w:ascii="仿宋_GB2312" w:hAnsi="仿宋_GB2312" w:eastAsia="仿宋_GB2312" w:cs="仿宋_GB2312"/>
          <w:bCs/>
          <w:color w:val="auto"/>
          <w:kern w:val="2"/>
          <w:sz w:val="21"/>
          <w:szCs w:val="21"/>
          <w:highlight w:val="none"/>
          <w:lang w:val="en-GB" w:eastAsia="zh-CN" w:bidi="ar-SA"/>
        </w:rPr>
        <w:t>为依据，确定本次评估面积为</w:t>
      </w:r>
      <w:r>
        <w:rPr>
          <w:rFonts w:hint="eastAsia" w:ascii="仿宋_GB2312" w:hAnsi="仿宋_GB2312" w:eastAsia="仿宋_GB2312" w:cs="仿宋_GB2312"/>
          <w:bCs/>
          <w:color w:val="auto"/>
          <w:kern w:val="2"/>
          <w:sz w:val="21"/>
          <w:szCs w:val="21"/>
          <w:highlight w:val="none"/>
          <w:lang w:val="en-US" w:eastAsia="zh-CN" w:bidi="ar-SA"/>
        </w:rPr>
        <w:t>15.2平方米</w:t>
      </w:r>
      <w:r>
        <w:rPr>
          <w:rFonts w:hint="eastAsia" w:ascii="仿宋_GB2312" w:hAnsi="仿宋_GB2312" w:eastAsia="仿宋_GB2312" w:cs="仿宋_GB2312"/>
          <w:bCs/>
          <w:color w:val="auto"/>
          <w:kern w:val="2"/>
          <w:sz w:val="21"/>
          <w:szCs w:val="21"/>
          <w:highlight w:val="none"/>
          <w:lang w:val="en-GB" w:eastAsia="zh-CN" w:bidi="ar-SA"/>
        </w:rPr>
        <w:t>，最终土地面积以当地自然资源局核定面积为准，若土地面积发生变化，评估结果应做相应调整。</w:t>
      </w:r>
      <w:r>
        <w:rPr>
          <w:rFonts w:hint="eastAsia" w:ascii="仿宋_GB2312" w:hAnsi="仿宋_GB2312" w:eastAsia="仿宋_GB2312" w:cs="仿宋_GB2312"/>
          <w:bCs/>
          <w:color w:val="auto"/>
          <w:kern w:val="2"/>
          <w:sz w:val="21"/>
          <w:szCs w:val="21"/>
          <w:highlight w:val="none"/>
          <w:lang w:val="en-US" w:eastAsia="zh-CN" w:bidi="ar-SA"/>
        </w:rPr>
        <w:t xml:space="preserve">  </w:t>
      </w:r>
    </w:p>
    <w:p w14:paraId="24A972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szCs w:val="21"/>
          <w:highlight w:val="none"/>
        </w:rPr>
      </w:pPr>
      <w:r>
        <w:rPr>
          <w:rFonts w:hint="eastAsia" w:ascii="仿宋_GB2312" w:hAnsi="仿宋_GB2312" w:eastAsia="仿宋_GB2312" w:cs="仿宋_GB2312"/>
          <w:bCs/>
          <w:color w:val="auto"/>
          <w:kern w:val="2"/>
          <w:sz w:val="21"/>
          <w:szCs w:val="21"/>
          <w:highlight w:val="none"/>
          <w:lang w:val="en-GB" w:eastAsia="zh-CN" w:bidi="ar-SA"/>
        </w:rPr>
        <w:t>5、其他特殊说明事项详见本报告第</w:t>
      </w:r>
      <w:r>
        <w:rPr>
          <w:rFonts w:hint="eastAsia" w:ascii="仿宋_GB2312" w:hAnsi="仿宋_GB2312" w:eastAsia="仿宋_GB2312" w:cs="仿宋_GB2312"/>
          <w:bCs/>
          <w:color w:val="auto"/>
          <w:kern w:val="2"/>
          <w:sz w:val="21"/>
          <w:szCs w:val="21"/>
          <w:highlight w:val="none"/>
          <w:lang w:val="en-US" w:eastAsia="zh-CN" w:bidi="ar-SA"/>
        </w:rPr>
        <w:t>一</w:t>
      </w:r>
      <w:r>
        <w:rPr>
          <w:rFonts w:hint="eastAsia" w:ascii="仿宋_GB2312" w:hAnsi="仿宋_GB2312" w:eastAsia="仿宋_GB2312" w:cs="仿宋_GB2312"/>
          <w:bCs/>
          <w:color w:val="auto"/>
          <w:kern w:val="2"/>
          <w:sz w:val="21"/>
          <w:szCs w:val="21"/>
          <w:highlight w:val="none"/>
          <w:lang w:val="en-GB" w:eastAsia="zh-CN" w:bidi="ar-SA"/>
        </w:rPr>
        <w:t>部分第</w:t>
      </w:r>
      <w:r>
        <w:rPr>
          <w:rFonts w:hint="eastAsia" w:ascii="仿宋_GB2312" w:hAnsi="仿宋_GB2312" w:eastAsia="仿宋_GB2312" w:cs="仿宋_GB2312"/>
          <w:bCs/>
          <w:color w:val="auto"/>
          <w:kern w:val="2"/>
          <w:sz w:val="21"/>
          <w:szCs w:val="21"/>
          <w:highlight w:val="none"/>
          <w:lang w:val="en-US" w:eastAsia="zh-CN" w:bidi="ar-SA"/>
        </w:rPr>
        <w:t>十</w:t>
      </w:r>
      <w:r>
        <w:rPr>
          <w:rFonts w:hint="eastAsia" w:ascii="仿宋_GB2312" w:hAnsi="仿宋_GB2312" w:eastAsia="仿宋_GB2312" w:cs="仿宋_GB2312"/>
          <w:bCs/>
          <w:color w:val="auto"/>
          <w:kern w:val="2"/>
          <w:sz w:val="21"/>
          <w:szCs w:val="21"/>
          <w:highlight w:val="none"/>
          <w:lang w:val="en-GB" w:eastAsia="zh-CN" w:bidi="ar-SA"/>
        </w:rPr>
        <w:t>项</w:t>
      </w:r>
      <w:r>
        <w:rPr>
          <w:rFonts w:hint="eastAsia" w:ascii="仿宋_GB2312" w:eastAsia="仿宋_GB2312"/>
          <w:szCs w:val="21"/>
          <w:highlight w:val="none"/>
        </w:rPr>
        <w:t>。</w:t>
      </w:r>
      <w:r>
        <w:rPr>
          <w:rFonts w:hint="eastAsia" w:ascii="仿宋_GB2312" w:hAnsi="仿宋_GB2312" w:eastAsia="仿宋_GB2312" w:cs="仿宋_GB2312"/>
          <w:szCs w:val="21"/>
          <w:highlight w:val="none"/>
        </w:rPr>
        <w:t xml:space="preserve"> </w:t>
      </w:r>
    </w:p>
    <w:p w14:paraId="3BC2BE87">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szCs w:val="21"/>
          <w:highlight w:val="none"/>
          <w:lang w:val="en-US" w:eastAsia="zh-CN"/>
        </w:rPr>
      </w:pPr>
      <w:r>
        <w:rPr>
          <w:rFonts w:hint="eastAsia" w:ascii="仿宋_GB2312" w:hAnsi="仿宋_GB2312" w:eastAsia="仿宋_GB2312" w:cs="仿宋_GB2312"/>
          <w:szCs w:val="21"/>
          <w:highlight w:val="none"/>
          <w:lang w:eastAsia="zh-CN"/>
        </w:rPr>
        <w:t>湖南兆财不动产规划评估有限公司</w:t>
      </w:r>
      <w:r>
        <w:rPr>
          <w:rFonts w:hint="eastAsia" w:ascii="仿宋_GB2312" w:hAnsi="仿宋_GB2312" w:eastAsia="仿宋_GB2312" w:cs="仿宋_GB2312"/>
          <w:szCs w:val="21"/>
          <w:highlight w:val="none"/>
          <w:lang w:val="en-US" w:eastAsia="zh-CN"/>
        </w:rPr>
        <w:t xml:space="preserve">                                                                                                                                                                                                                    </w:t>
      </w:r>
    </w:p>
    <w:p w14:paraId="0A221A1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highlight w:val="none"/>
        </w:rPr>
        <w:sectPr>
          <w:endnotePr>
            <w:numFmt w:val="decimal"/>
          </w:endnotePr>
          <w:pgSz w:w="16838" w:h="11906" w:orient="landscape"/>
          <w:pgMar w:top="1191" w:right="1440" w:bottom="1191" w:left="1440" w:header="624" w:footer="624" w:gutter="0"/>
          <w:pgNumType w:fmt="decimal"/>
          <w:cols w:space="720" w:num="1"/>
          <w:docGrid w:linePitch="312" w:charSpace="0"/>
        </w:sectPr>
      </w:pPr>
      <w:r>
        <w:rPr>
          <w:rFonts w:hint="eastAsia" w:ascii="仿宋_GB2312" w:hAnsi="仿宋_GB2312" w:eastAsia="仿宋_GB2312" w:cs="仿宋_GB2312"/>
          <w:szCs w:val="21"/>
          <w:highlight w:val="none"/>
          <w:lang w:val="en-US" w:eastAsia="zh-CN"/>
        </w:rPr>
        <w:t xml:space="preserve">                                                                                                                  </w:t>
      </w:r>
      <w:r>
        <w:rPr>
          <w:rFonts w:hint="eastAsia" w:ascii="仿宋_GB2312" w:hAnsi="仿宋_GB2312" w:eastAsia="仿宋_GB2312" w:cs="仿宋_GB2312"/>
          <w:szCs w:val="21"/>
          <w:highlight w:val="none"/>
          <w:lang w:eastAsia="zh-CN"/>
        </w:rPr>
        <w:t>202</w:t>
      </w:r>
      <w:r>
        <w:rPr>
          <w:rFonts w:hint="eastAsia" w:ascii="仿宋_GB2312" w:hAnsi="仿宋_GB2312" w:eastAsia="仿宋_GB2312" w:cs="仿宋_GB2312"/>
          <w:szCs w:val="21"/>
          <w:highlight w:val="none"/>
          <w:lang w:val="en-US" w:eastAsia="zh-CN"/>
        </w:rPr>
        <w:t>6</w:t>
      </w:r>
      <w:r>
        <w:rPr>
          <w:rFonts w:hint="eastAsia" w:ascii="仿宋_GB2312" w:hAnsi="仿宋_GB2312" w:eastAsia="仿宋_GB2312" w:cs="仿宋_GB2312"/>
          <w:szCs w:val="21"/>
          <w:highlight w:val="none"/>
          <w:lang w:eastAsia="zh-CN"/>
        </w:rPr>
        <w:t>年</w:t>
      </w:r>
      <w:r>
        <w:rPr>
          <w:rFonts w:hint="eastAsia" w:ascii="仿宋_GB2312" w:hAnsi="仿宋_GB2312" w:eastAsia="仿宋_GB2312" w:cs="仿宋_GB2312"/>
          <w:szCs w:val="21"/>
          <w:highlight w:val="none"/>
          <w:lang w:val="en-US" w:eastAsia="zh-CN"/>
        </w:rPr>
        <w:t>5</w:t>
      </w:r>
      <w:r>
        <w:rPr>
          <w:rFonts w:hint="eastAsia" w:ascii="仿宋_GB2312" w:hAnsi="仿宋_GB2312" w:eastAsia="仿宋_GB2312" w:cs="仿宋_GB2312"/>
          <w:szCs w:val="21"/>
          <w:highlight w:val="none"/>
          <w:lang w:eastAsia="zh-CN"/>
        </w:rPr>
        <w:t>月</w:t>
      </w:r>
      <w:r>
        <w:rPr>
          <w:rFonts w:hint="eastAsia" w:ascii="仿宋_GB2312" w:hAnsi="仿宋_GB2312" w:eastAsia="仿宋_GB2312" w:cs="仿宋_GB2312"/>
          <w:szCs w:val="21"/>
          <w:highlight w:val="none"/>
          <w:lang w:val="en-US" w:eastAsia="zh-CN"/>
        </w:rPr>
        <w:t>20</w:t>
      </w:r>
      <w:r>
        <w:rPr>
          <w:rFonts w:hint="eastAsia" w:ascii="仿宋_GB2312" w:hAnsi="仿宋_GB2312" w:eastAsia="仿宋_GB2312" w:cs="仿宋_GB2312"/>
          <w:szCs w:val="21"/>
          <w:highlight w:val="none"/>
          <w:lang w:eastAsia="zh-CN"/>
        </w:rPr>
        <w:t>日</w:t>
      </w:r>
    </w:p>
    <w:p w14:paraId="0B024E4F">
      <w:pPr>
        <w:pStyle w:val="3"/>
        <w:keepLines w:val="0"/>
        <w:pageBreakBefore w:val="0"/>
        <w:widowControl w:val="0"/>
        <w:kinsoku/>
        <w:wordWrap/>
        <w:overflowPunct/>
        <w:topLinePunct w:val="0"/>
        <w:autoSpaceDE/>
        <w:autoSpaceDN/>
        <w:bidi w:val="0"/>
        <w:spacing w:line="480" w:lineRule="exact"/>
        <w:ind w:left="0" w:right="0" w:firstLine="562" w:firstLineChars="200"/>
        <w:jc w:val="left"/>
        <w:textAlignment w:val="auto"/>
        <w:rPr>
          <w:rFonts w:hint="default" w:ascii="仿宋_GB2312" w:hAnsi="仿宋_GB2312" w:eastAsia="仿宋_GB2312" w:cs="仿宋_GB2312"/>
          <w:b/>
          <w:bCs w:val="0"/>
          <w:color w:val="auto"/>
          <w:kern w:val="2"/>
          <w:sz w:val="28"/>
          <w:szCs w:val="28"/>
          <w:highlight w:val="none"/>
          <w:lang w:val="en-GB" w:eastAsia="zh-CN" w:bidi="ar-SA"/>
        </w:rPr>
      </w:pPr>
      <w:bookmarkStart w:id="18" w:name="_Toc4839"/>
      <w:bookmarkStart w:id="19" w:name="_Toc20425"/>
      <w:r>
        <w:rPr>
          <w:rFonts w:hint="eastAsia" w:ascii="仿宋_GB2312" w:hAnsi="仿宋_GB2312" w:eastAsia="仿宋_GB2312" w:cs="仿宋_GB2312"/>
          <w:b/>
          <w:bCs w:val="0"/>
          <w:color w:val="auto"/>
          <w:kern w:val="2"/>
          <w:sz w:val="28"/>
          <w:szCs w:val="28"/>
          <w:highlight w:val="none"/>
          <w:lang w:val="en-US" w:eastAsia="zh-CN" w:bidi="ar-SA"/>
        </w:rPr>
        <w:t>十</w:t>
      </w:r>
      <w:r>
        <w:rPr>
          <w:rFonts w:hint="default" w:ascii="仿宋_GB2312" w:hAnsi="仿宋_GB2312" w:eastAsia="仿宋_GB2312" w:cs="仿宋_GB2312"/>
          <w:b/>
          <w:bCs w:val="0"/>
          <w:color w:val="auto"/>
          <w:kern w:val="2"/>
          <w:sz w:val="28"/>
          <w:szCs w:val="28"/>
          <w:highlight w:val="none"/>
          <w:lang w:val="en-GB" w:eastAsia="zh-CN" w:bidi="ar-SA"/>
        </w:rPr>
        <w:t>、需要特殊说明的事项</w:t>
      </w:r>
      <w:bookmarkEnd w:id="18"/>
      <w:bookmarkEnd w:id="19"/>
    </w:p>
    <w:p w14:paraId="724E20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bookmarkStart w:id="20" w:name="_Toc23550"/>
      <w:bookmarkStart w:id="21" w:name="_Toc19403"/>
      <w:r>
        <w:rPr>
          <w:rFonts w:hint="default" w:ascii="仿宋_GB2312" w:hAnsi="仿宋_GB2312" w:eastAsia="仿宋_GB2312" w:cs="仿宋_GB2312"/>
          <w:bCs/>
          <w:color w:val="auto"/>
          <w:kern w:val="2"/>
          <w:sz w:val="28"/>
          <w:szCs w:val="28"/>
          <w:highlight w:val="none"/>
          <w:lang w:val="en-GB" w:eastAsia="zh-CN" w:bidi="ar-SA"/>
        </w:rPr>
        <w:t>（一）估价的前提条件和假设条件</w:t>
      </w:r>
    </w:p>
    <w:p w14:paraId="7B46813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1、前提条件：</w:t>
      </w:r>
    </w:p>
    <w:p w14:paraId="320A57AD">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（1）本次估价以委托方提供的有关资料为重要依据，包括了</w:t>
      </w:r>
      <w:r>
        <w:rPr>
          <w:rFonts w:hint="eastAsia" w:ascii="仿宋_GB2312" w:hAnsi="仿宋_GB2312" w:cs="仿宋_GB2312"/>
          <w:bCs/>
          <w:color w:val="auto"/>
          <w:kern w:val="2"/>
          <w:sz w:val="28"/>
          <w:szCs w:val="28"/>
          <w:highlight w:val="none"/>
          <w:lang w:val="en-GB" w:eastAsia="zh-CN" w:bidi="ar-SA"/>
        </w:rPr>
        <w:t>估价对象《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等，并以这些资料的合法性为前提。</w:t>
      </w:r>
    </w:p>
    <w:p w14:paraId="1DB4A633">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（2）估价对象与其它生产要素相结合，能满足设定土地使用年限内经营管理的正常进行，保证持续发展。</w:t>
      </w:r>
    </w:p>
    <w:p w14:paraId="0E7EF10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（3）估价期日地产市场为公正、公开、公平的均衡市场。</w:t>
      </w:r>
    </w:p>
    <w:p w14:paraId="17EB4D8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（4）任何有关估价对象的运作方式、程序符合国家、地方的有关法律、法规。</w:t>
      </w:r>
    </w:p>
    <w:p w14:paraId="5A7A674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（5）估价对象按照设定用途，得到有效合理地利用，并会产生相应的土地收益。</w:t>
      </w:r>
    </w:p>
    <w:p w14:paraId="24826776">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2、假设条件</w:t>
      </w:r>
    </w:p>
    <w:p w14:paraId="418F2F91">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（1）估价期日设定为</w:t>
      </w:r>
      <w:r>
        <w:rPr>
          <w:rFonts w:hint="eastAsia" w:ascii="仿宋_GB2312" w:hAnsi="仿宋_GB2312" w:eastAsia="仿宋_GB2312" w:cs="仿宋_GB2312"/>
          <w:bCs/>
          <w:color w:val="auto"/>
          <w:kern w:val="2"/>
          <w:sz w:val="28"/>
          <w:szCs w:val="28"/>
          <w:highlight w:val="none"/>
          <w:lang w:val="en-GB" w:eastAsia="zh-CN" w:bidi="ar-SA"/>
        </w:rPr>
        <w:t>2026年</w:t>
      </w:r>
      <w:r>
        <w:rPr>
          <w:rFonts w:hint="eastAsia" w:ascii="仿宋_GB2312" w:hAnsi="仿宋_GB2312" w:eastAsia="仿宋_GB2312" w:cs="仿宋_GB2312"/>
          <w:bCs/>
          <w:color w:val="auto"/>
          <w:kern w:val="2"/>
          <w:sz w:val="28"/>
          <w:szCs w:val="28"/>
          <w:highlight w:val="none"/>
          <w:lang w:val="en-US" w:eastAsia="zh-CN" w:bidi="ar-SA"/>
        </w:rPr>
        <w:t>5</w:t>
      </w:r>
      <w:r>
        <w:rPr>
          <w:rFonts w:hint="eastAsia" w:ascii="仿宋_GB2312" w:hAnsi="仿宋_GB2312" w:eastAsia="仿宋_GB2312" w:cs="仿宋_GB2312"/>
          <w:bCs/>
          <w:color w:val="auto"/>
          <w:kern w:val="2"/>
          <w:sz w:val="28"/>
          <w:szCs w:val="28"/>
          <w:highlight w:val="none"/>
          <w:lang w:val="en-GB" w:eastAsia="zh-CN" w:bidi="ar-SA"/>
        </w:rPr>
        <w:t>月</w:t>
      </w:r>
      <w:r>
        <w:rPr>
          <w:rFonts w:hint="eastAsia" w:ascii="仿宋_GB2312" w:hAnsi="仿宋_GB2312" w:eastAsia="仿宋_GB2312" w:cs="仿宋_GB2312"/>
          <w:bCs/>
          <w:color w:val="auto"/>
          <w:kern w:val="2"/>
          <w:sz w:val="28"/>
          <w:szCs w:val="28"/>
          <w:highlight w:val="none"/>
          <w:lang w:val="en-US" w:eastAsia="zh-CN" w:bidi="ar-SA"/>
        </w:rPr>
        <w:t>18</w:t>
      </w:r>
      <w:r>
        <w:rPr>
          <w:rFonts w:hint="eastAsia" w:ascii="仿宋_GB2312" w:hAnsi="仿宋_GB2312" w:eastAsia="仿宋_GB2312" w:cs="仿宋_GB2312"/>
          <w:bCs/>
          <w:color w:val="auto"/>
          <w:kern w:val="2"/>
          <w:sz w:val="28"/>
          <w:szCs w:val="28"/>
          <w:highlight w:val="none"/>
          <w:lang w:val="en-GB" w:eastAsia="zh-CN" w:bidi="ar-SA"/>
        </w:rPr>
        <w:t>日</w:t>
      </w:r>
      <w:r>
        <w:rPr>
          <w:rFonts w:hint="default" w:ascii="仿宋_GB2312" w:hAnsi="仿宋_GB2312" w:eastAsia="仿宋_GB2312" w:cs="仿宋_GB2312"/>
          <w:bCs/>
          <w:color w:val="auto"/>
          <w:kern w:val="2"/>
          <w:sz w:val="28"/>
          <w:szCs w:val="28"/>
          <w:highlight w:val="none"/>
          <w:lang w:val="en-GB" w:eastAsia="zh-CN" w:bidi="ar-SA"/>
        </w:rPr>
        <w:t>。</w:t>
      </w:r>
    </w:p>
    <w:p w14:paraId="31B6369C">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（2）现状利用条件下的出让土地使用权价格的土地用途设定为</w:t>
      </w:r>
      <w:r>
        <w:rPr>
          <w:rFonts w:hint="eastAsia" w:ascii="仿宋_GB2312" w:hAnsi="仿宋_GB2312" w:eastAsia="仿宋_GB2312" w:cs="仿宋_GB2312"/>
          <w:bCs/>
          <w:color w:val="auto"/>
          <w:kern w:val="2"/>
          <w:sz w:val="28"/>
          <w:szCs w:val="28"/>
          <w:highlight w:val="none"/>
          <w:lang w:val="en-GB" w:eastAsia="zh-CN" w:bidi="ar-SA"/>
        </w:rPr>
        <w:t>住宅</w:t>
      </w:r>
      <w:r>
        <w:rPr>
          <w:rFonts w:hint="default" w:ascii="仿宋_GB2312" w:hAnsi="仿宋_GB2312" w:eastAsia="仿宋_GB2312" w:cs="仿宋_GB2312"/>
          <w:bCs/>
          <w:color w:val="auto"/>
          <w:kern w:val="2"/>
          <w:sz w:val="28"/>
          <w:szCs w:val="28"/>
          <w:highlight w:val="none"/>
          <w:lang w:val="en-GB" w:eastAsia="zh-CN" w:bidi="ar-SA"/>
        </w:rPr>
        <w:t>用地。</w:t>
      </w:r>
    </w:p>
    <w:p w14:paraId="567B05F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（3）现状利用条件下的出让土地使用权价格的容积率设定为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w:t>
      </w:r>
    </w:p>
    <w:p w14:paraId="09505F69">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（4）估价对象基础设施条件设定为宗地红线外“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7FBC6CC7">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（5）土地使用权类型：</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土地使用权类型为出让。</w:t>
      </w:r>
    </w:p>
    <w:p w14:paraId="7AFFAB3D">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（6）土地使用权年限</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设定</w:t>
      </w:r>
      <w:r>
        <w:rPr>
          <w:rFonts w:hint="default" w:ascii="仿宋_GB2312" w:hAnsi="仿宋_GB2312" w:eastAsia="仿宋_GB2312" w:cs="仿宋_GB2312"/>
          <w:bCs/>
          <w:color w:val="auto"/>
          <w:kern w:val="2"/>
          <w:sz w:val="28"/>
          <w:szCs w:val="28"/>
          <w:highlight w:val="none"/>
          <w:lang w:val="en-GB" w:eastAsia="zh-CN" w:bidi="ar-SA"/>
        </w:rPr>
        <w:t>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default" w:ascii="仿宋_GB2312" w:hAnsi="仿宋_GB2312" w:eastAsia="仿宋_GB2312" w:cs="仿宋_GB2312"/>
          <w:bCs/>
          <w:color w:val="auto"/>
          <w:kern w:val="2"/>
          <w:sz w:val="28"/>
          <w:szCs w:val="28"/>
          <w:highlight w:val="none"/>
          <w:lang w:val="en-GB" w:eastAsia="zh-CN" w:bidi="ar-SA"/>
        </w:rPr>
        <w:t>。</w:t>
      </w:r>
    </w:p>
    <w:p w14:paraId="4BC5342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（二）估价结果和估价报告的使用</w:t>
      </w:r>
    </w:p>
    <w:p w14:paraId="0E738688">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1、估价报告和估价结果发生效力的法律依据</w:t>
      </w:r>
    </w:p>
    <w:p w14:paraId="73D9F955">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（1）本次估价依据《中华人民共和国资产评估法》及中华人民共和国国家标准《城镇土地估价规程》（GB/T18508-2014）、《国土资源部办公厅关于发布&lt;国有建设用地使用权出让地价评估技术规范</w:t>
      </w:r>
      <w:r>
        <w:rPr>
          <w:rFonts w:hint="default" w:ascii="仿宋_GB2312" w:hAnsi="仿宋_GB2312" w:eastAsia="仿宋_GB2312" w:cs="仿宋_GB2312"/>
          <w:bCs/>
          <w:color w:val="auto"/>
          <w:kern w:val="2"/>
          <w:sz w:val="28"/>
          <w:szCs w:val="28"/>
          <w:highlight w:val="none"/>
          <w:lang w:val="en-US" w:eastAsia="zh-CN" w:bidi="ar-SA"/>
        </w:rPr>
        <w:t>&gt;</w:t>
      </w:r>
      <w:r>
        <w:rPr>
          <w:rFonts w:hint="default" w:ascii="仿宋_GB2312" w:hAnsi="仿宋_GB2312" w:eastAsia="仿宋_GB2312" w:cs="仿宋_GB2312"/>
          <w:bCs/>
          <w:color w:val="auto"/>
          <w:kern w:val="2"/>
          <w:sz w:val="28"/>
          <w:szCs w:val="28"/>
          <w:highlight w:val="none"/>
          <w:lang w:val="en-GB" w:eastAsia="zh-CN" w:bidi="ar-SA"/>
        </w:rPr>
        <w:t>的通知》（国土资厅发[2018]4号）等展开评估工作、撰写本估价报告、形成意见和结论。</w:t>
      </w:r>
    </w:p>
    <w:p w14:paraId="64ADAFB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（2）估价报告和估价结果的作用依照《中华人民共和国资产评估法》、《中华人民共和国土地管理法》等所列明法律、法规的有关规定发生法律效力。</w:t>
      </w:r>
    </w:p>
    <w:p w14:paraId="5011B67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（3）本报告需在取得电子备案号后，由土地估价师、土地机构法定代表人签名及土地估价机构盖章后方能生效。</w:t>
      </w:r>
    </w:p>
    <w:p w14:paraId="553D95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2、估价报告和估价结果使用的方向及限制条件</w:t>
      </w:r>
    </w:p>
    <w:p w14:paraId="2E08D61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（1）本报告仅为委托方办理土地使用权出让手续提供价格参考，本次评估结果仅用于本次评估目的时才有效，报告使用人或其他第三方因不当引用本评估结果造成的损失，与本评估机构无关。</w:t>
      </w:r>
    </w:p>
    <w:p w14:paraId="43E4915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（2）《土地估价报告》和《土地估价技术报告（评估工作底稿）》均提供给委托方使用和土地上级行政主管部门备案审查。</w:t>
      </w:r>
    </w:p>
    <w:p w14:paraId="25F40DC6">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（3）本报告必须完整使用，对仅使用报告中的部分内容所导致的有关损失，估价机构不承担责任。任何单位和个人未经估价机构书面同意，不得以任何形式发表、肢解本报告。</w:t>
      </w:r>
    </w:p>
    <w:p w14:paraId="57DD314B">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3、土地估价结果的有效期</w:t>
      </w:r>
    </w:p>
    <w:p w14:paraId="13C056E5">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本估价报告和估价结果自报告提交之日起壹年内有效。</w:t>
      </w:r>
    </w:p>
    <w:p w14:paraId="5B7BC4F4">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4、估价报告的使用权和解释权</w:t>
      </w:r>
    </w:p>
    <w:p w14:paraId="7CF11032">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本估价报告和估价结果的使用权归委托方所有，湖南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公司对估价结果有解释权。</w:t>
      </w:r>
    </w:p>
    <w:p w14:paraId="164A7E69">
      <w:pPr>
        <w:pStyle w:val="25"/>
        <w:keepLines w:val="0"/>
        <w:pageBreakBefore w:val="0"/>
        <w:widowControl w:val="0"/>
        <w:kinsoku/>
        <w:wordWrap/>
        <w:overflowPunct/>
        <w:topLinePunct w:val="0"/>
        <w:autoSpaceDE/>
        <w:autoSpaceDN/>
        <w:bidi w:val="0"/>
        <w:adjustRightInd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5、违规使用土地估价报告和估价结果的法律责任</w:t>
      </w:r>
    </w:p>
    <w:p w14:paraId="3350846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违背规定或超越本报告特定目的及限制条件使用本土地估价报告和土地估价结果，土地估价机构不承担任何法律责任。</w:t>
      </w:r>
    </w:p>
    <w:p w14:paraId="20D5E80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outlineLvl w:val="2"/>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（三）需要特殊说明的事项</w:t>
      </w:r>
    </w:p>
    <w:p w14:paraId="043FB7B8">
      <w:pPr>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1、有关资料来源</w:t>
      </w:r>
      <w:r>
        <w:rPr>
          <w:rFonts w:hint="eastAsia" w:ascii="仿宋_GB2312" w:hAnsi="仿宋_GB2312" w:eastAsia="仿宋_GB2312" w:cs="仿宋_GB2312"/>
          <w:bCs/>
          <w:color w:val="auto"/>
          <w:kern w:val="2"/>
          <w:sz w:val="28"/>
          <w:szCs w:val="28"/>
          <w:highlight w:val="none"/>
          <w:lang w:val="en-US" w:eastAsia="zh-CN" w:bidi="ar-SA"/>
        </w:rPr>
        <w:t>说明</w:t>
      </w:r>
    </w:p>
    <w:p w14:paraId="3D99DE54">
      <w:pPr>
        <w:keepNext w:val="0"/>
        <w:keepLines w:val="0"/>
        <w:pageBreakBefore w:val="0"/>
        <w:widowControl w:val="0"/>
        <w:kinsoku/>
        <w:wordWrap/>
        <w:overflowPunct/>
        <w:topLinePunct w:val="0"/>
        <w:autoSpaceDE/>
        <w:autoSpaceDN/>
        <w:bidi w:val="0"/>
        <w:adjustRightIn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（1）资料来源</w:t>
      </w:r>
    </w:p>
    <w:p w14:paraId="41C51814">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ja-JP" w:bidi="ar-SA"/>
        </w:rPr>
        <w:t>①</w:t>
      </w:r>
      <w:r>
        <w:rPr>
          <w:rFonts w:hint="default" w:ascii="仿宋_GB2312" w:hAnsi="仿宋_GB2312" w:eastAsia="仿宋_GB2312" w:cs="仿宋_GB2312"/>
          <w:bCs/>
          <w:color w:val="auto"/>
          <w:kern w:val="2"/>
          <w:sz w:val="28"/>
          <w:szCs w:val="28"/>
          <w:highlight w:val="none"/>
          <w:lang w:val="en-GB" w:eastAsia="zh-CN" w:bidi="ar-SA"/>
        </w:rPr>
        <w:t>估价对象的</w:t>
      </w:r>
      <w:r>
        <w:rPr>
          <w:rFonts w:hint="eastAsia" w:ascii="仿宋_GB2312" w:hAnsi="仿宋_GB2312" w:cs="仿宋_GB2312"/>
          <w:bCs/>
          <w:color w:val="auto"/>
          <w:kern w:val="2"/>
          <w:sz w:val="28"/>
          <w:szCs w:val="28"/>
          <w:highlight w:val="none"/>
          <w:lang w:val="en-GB" w:eastAsia="zh-CN" w:bidi="ar-SA"/>
        </w:rPr>
        <w:t>《房屋所有权证》（道房权证字第713000590号）、《户室面积对照表》、《土地分摊表》、《土地权属及性质证明》（2026年5月19日）、《关于县科工局及所属破产企业单位房改房集资房办理不动产登记有关事项的会议纪要》（道科工字〔2020〕114号）、《关于原县皮革厂属县二轻集体企业的说明》（2025年5月6日）</w:t>
      </w:r>
      <w:r>
        <w:rPr>
          <w:rFonts w:hint="default" w:ascii="仿宋_GB2312" w:hAnsi="仿宋_GB2312" w:eastAsia="仿宋_GB2312" w:cs="仿宋_GB2312"/>
          <w:bCs/>
          <w:color w:val="auto"/>
          <w:kern w:val="2"/>
          <w:sz w:val="28"/>
          <w:szCs w:val="28"/>
          <w:highlight w:val="none"/>
          <w:lang w:val="en-GB" w:eastAsia="zh-CN" w:bidi="ar-SA"/>
        </w:rPr>
        <w:t>等资料由委托方提供，现场估价人员已进行核对确认，为保证本报告所使用评估数据的准确性、有效性，委托方需要对所提供资料的真实性负责；估价机构对所收集资料的真实性、准确性负责。</w:t>
      </w:r>
    </w:p>
    <w:p w14:paraId="4A1A3CD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②估价对象的区位条件、土地利用现状照片及交易案例的现状条件等估价相关资料由估价人员实地调查取得。</w:t>
      </w:r>
    </w:p>
    <w:p w14:paraId="5821C120">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③区域经济发展状况、统计数据、城市规划资料、基准地价资料等由土地估价师向相关部门收集获取。</w:t>
      </w:r>
    </w:p>
    <w:p w14:paraId="1640B0FA">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④估价中的相关基础资料、地产市场交易案例资料，由</w:t>
      </w:r>
      <w:r>
        <w:rPr>
          <w:rFonts w:hint="eastAsia" w:ascii="仿宋_GB2312" w:hAnsi="仿宋_GB2312" w:eastAsia="仿宋_GB2312" w:cs="仿宋_GB2312"/>
          <w:bCs/>
          <w:color w:val="auto"/>
          <w:kern w:val="2"/>
          <w:sz w:val="28"/>
          <w:szCs w:val="28"/>
          <w:highlight w:val="none"/>
          <w:lang w:val="en-US" w:eastAsia="zh-CN" w:bidi="ar-SA"/>
        </w:rPr>
        <w:t>湖南兆财不动产规划评估有限公司</w:t>
      </w:r>
      <w:r>
        <w:rPr>
          <w:rFonts w:hint="default" w:ascii="仿宋_GB2312" w:hAnsi="仿宋_GB2312" w:eastAsia="仿宋_GB2312" w:cs="仿宋_GB2312"/>
          <w:bCs/>
          <w:color w:val="auto"/>
          <w:kern w:val="2"/>
          <w:sz w:val="28"/>
          <w:szCs w:val="28"/>
          <w:highlight w:val="none"/>
          <w:lang w:val="en-GB" w:eastAsia="zh-CN" w:bidi="ar-SA"/>
        </w:rPr>
        <w:t>的土地估价师通过政府部门相关文件规定、公开媒体、网络平台等多种途径获取。</w:t>
      </w:r>
    </w:p>
    <w:p w14:paraId="2184F06F">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⑤土地估价师结合执业经验，对上述相关评估资料的真实性、合法性、有效性、适用性进行了尽职核实和专业判断。</w:t>
      </w:r>
    </w:p>
    <w:p w14:paraId="2983FF67">
      <w:pPr>
        <w:keepLines w:val="0"/>
        <w:pageBreakBefore w:val="0"/>
        <w:widowControl w:val="0"/>
        <w:kinsoku/>
        <w:wordWrap/>
        <w:overflowPunct/>
        <w:topLinePunct w:val="0"/>
        <w:autoSpaceDE/>
        <w:autoSpaceDN/>
        <w:bidi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（2）估价人员对估价现场勘查仅限于可观察和可接触到的部分，对被遮盖、未暴露以及难以接触部分，因无法调查而不能实地确认，评估以委托方提供的资料和估价人员实地调查掌握的资料为准。</w:t>
      </w:r>
    </w:p>
    <w:p w14:paraId="61325C74">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2、估价中经济技术指标来源</w:t>
      </w:r>
    </w:p>
    <w:p w14:paraId="151BAD58">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（1）估价对象所在整体宗地的土地总面积以</w:t>
      </w:r>
      <w:r>
        <w:rPr>
          <w:rFonts w:hint="eastAsia" w:ascii="仿宋_GB2312" w:hAnsi="仿宋_GB2312" w:eastAsia="仿宋_GB2312" w:cs="仿宋_GB2312"/>
          <w:bCs/>
          <w:color w:val="auto"/>
          <w:kern w:val="2"/>
          <w:sz w:val="28"/>
          <w:szCs w:val="28"/>
          <w:highlight w:val="none"/>
          <w:lang w:val="en-GB" w:eastAsia="zh-CN" w:bidi="ar-SA"/>
        </w:rPr>
        <w:t>《土地分摊表》</w:t>
      </w:r>
      <w:r>
        <w:rPr>
          <w:rFonts w:hint="default" w:ascii="仿宋_GB2312" w:hAnsi="仿宋_GB2312" w:eastAsia="仿宋_GB2312" w:cs="仿宋_GB2312"/>
          <w:bCs/>
          <w:color w:val="auto"/>
          <w:kern w:val="2"/>
          <w:sz w:val="28"/>
          <w:szCs w:val="28"/>
          <w:highlight w:val="none"/>
          <w:lang w:val="en-GB" w:eastAsia="zh-CN" w:bidi="ar-SA"/>
        </w:rPr>
        <w:t>为依据，土地</w:t>
      </w:r>
      <w:r>
        <w:rPr>
          <w:rFonts w:hint="eastAsia" w:ascii="仿宋_GB2312" w:hAnsi="仿宋_GB2312" w:eastAsia="仿宋_GB2312" w:cs="仿宋_GB2312"/>
          <w:bCs/>
          <w:color w:val="auto"/>
          <w:kern w:val="2"/>
          <w:sz w:val="28"/>
          <w:szCs w:val="28"/>
          <w:highlight w:val="none"/>
          <w:lang w:val="en-US" w:eastAsia="zh-CN" w:bidi="ar-SA"/>
        </w:rPr>
        <w:t>分摊</w:t>
      </w:r>
      <w:r>
        <w:rPr>
          <w:rFonts w:hint="default" w:ascii="仿宋_GB2312" w:hAnsi="仿宋_GB2312" w:eastAsia="仿宋_GB2312" w:cs="仿宋_GB2312"/>
          <w:bCs/>
          <w:color w:val="auto"/>
          <w:kern w:val="2"/>
          <w:sz w:val="28"/>
          <w:szCs w:val="28"/>
          <w:highlight w:val="none"/>
          <w:lang w:val="en-GB" w:eastAsia="zh-CN" w:bidi="ar-SA"/>
        </w:rPr>
        <w:t>面积</w:t>
      </w:r>
      <w:r>
        <w:rPr>
          <w:rFonts w:hint="eastAsia" w:ascii="仿宋_GB2312" w:hAnsi="仿宋_GB2312" w:eastAsia="仿宋_GB2312" w:cs="仿宋_GB2312"/>
          <w:bCs/>
          <w:color w:val="auto"/>
          <w:kern w:val="2"/>
          <w:sz w:val="28"/>
          <w:szCs w:val="28"/>
          <w:highlight w:val="none"/>
          <w:lang w:val="en-US" w:eastAsia="zh-CN" w:bidi="ar-SA"/>
        </w:rPr>
        <w:t>15.2平方米，估价对象地上建筑物面积以</w:t>
      </w:r>
      <w:r>
        <w:rPr>
          <w:rFonts w:hint="eastAsia" w:ascii="仿宋_GB2312" w:hAnsi="仿宋_GB2312" w:eastAsia="仿宋_GB2312" w:cs="仿宋_GB2312"/>
          <w:bCs/>
          <w:color w:val="auto"/>
          <w:kern w:val="2"/>
          <w:sz w:val="28"/>
          <w:szCs w:val="28"/>
          <w:highlight w:val="none"/>
          <w:lang w:val="en-GB" w:eastAsia="zh-CN" w:bidi="ar-SA"/>
        </w:rPr>
        <w:t>《户室面积对照表》</w:t>
      </w:r>
      <w:r>
        <w:rPr>
          <w:rFonts w:hint="eastAsia" w:ascii="仿宋_GB2312" w:hAnsi="仿宋_GB2312" w:eastAsia="仿宋_GB2312" w:cs="仿宋_GB2312"/>
          <w:bCs/>
          <w:color w:val="auto"/>
          <w:kern w:val="2"/>
          <w:sz w:val="28"/>
          <w:szCs w:val="28"/>
          <w:highlight w:val="none"/>
          <w:lang w:val="en-US" w:eastAsia="zh-CN" w:bidi="ar-SA"/>
        </w:rPr>
        <w:t>为依据，建筑面积为73.415平方米，则估价对象现状容积率为4.83。</w:t>
      </w:r>
      <w:r>
        <w:rPr>
          <w:rFonts w:hint="default" w:ascii="仿宋_GB2312" w:hAnsi="仿宋_GB2312" w:eastAsia="仿宋_GB2312" w:cs="仿宋_GB2312"/>
          <w:bCs/>
          <w:color w:val="auto"/>
          <w:kern w:val="2"/>
          <w:sz w:val="28"/>
          <w:szCs w:val="28"/>
          <w:highlight w:val="none"/>
          <w:lang w:val="en-GB" w:eastAsia="zh-CN" w:bidi="ar-SA"/>
        </w:rPr>
        <w:t>根据估价目的，本次评估现状利用条件下的出让土地使用权价格容积率设定为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。实际需以当地自然资源部门核定为准。</w:t>
      </w:r>
    </w:p>
    <w:p w14:paraId="19DF72B5">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（2）其他经济技术指标</w:t>
      </w:r>
      <w:r>
        <w:rPr>
          <w:rFonts w:hint="eastAsia" w:ascii="仿宋_GB2312" w:hAnsi="仿宋_GB2312" w:eastAsia="仿宋_GB2312" w:cs="仿宋_GB2312"/>
          <w:bCs/>
          <w:color w:val="auto"/>
          <w:kern w:val="2"/>
          <w:sz w:val="28"/>
          <w:szCs w:val="28"/>
          <w:highlight w:val="none"/>
          <w:lang w:val="en-US" w:eastAsia="zh-CN" w:bidi="ar-SA"/>
        </w:rPr>
        <w:t>结合政府政策文件及</w:t>
      </w:r>
      <w:r>
        <w:rPr>
          <w:rFonts w:hint="default" w:ascii="仿宋_GB2312" w:hAnsi="仿宋_GB2312" w:eastAsia="仿宋_GB2312" w:cs="仿宋_GB2312"/>
          <w:bCs/>
          <w:color w:val="auto"/>
          <w:kern w:val="2"/>
          <w:sz w:val="28"/>
          <w:szCs w:val="28"/>
          <w:highlight w:val="none"/>
          <w:lang w:val="en-GB" w:eastAsia="zh-CN" w:bidi="ar-SA"/>
        </w:rPr>
        <w:t>地方税费文件等资料和市场调查综合确定</w:t>
      </w:r>
    </w:p>
    <w:p w14:paraId="5F3BFC0B">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3、对估价结果和估价工作可能产生影响的变化事项</w:t>
      </w:r>
    </w:p>
    <w:p w14:paraId="1EC647C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（1）估价对象的土地面积与现状利用条件以委托方提供的资料为依据，若土地面积和现状利用条件发生变化，评估结果应作相应调整。</w:t>
      </w:r>
    </w:p>
    <w:p w14:paraId="1A9BA537">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2）本报告估价结果是在满足地价定义所设定条件下的土地使用权价格，若估价对象的土地利用方式、估价期日、土地开发状况、土地使用年限、土地面积等影响地价的因素发生变化，该评估价格应作相应调整。</w:t>
      </w:r>
    </w:p>
    <w:p w14:paraId="47BF185D">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（3）本次评估中关于宗地开发程度的设定</w:t>
      </w:r>
    </w:p>
    <w:p w14:paraId="0379DCD5">
      <w:pPr>
        <w:pStyle w:val="11"/>
        <w:spacing w:line="480" w:lineRule="exact"/>
        <w:ind w:firstLine="560"/>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根据委托方提供的资料及估价人员的现场勘查，估价对象于估价期日实际开发程度为宗地红线内外“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通”（通路、通电、供水、排水、通讯）及宗地红线内场地平整，估价对象所在整体宗地上有一栋</w:t>
      </w:r>
      <w:r>
        <w:rPr>
          <w:rFonts w:hint="eastAsia" w:ascii="仿宋_GB2312" w:hAnsi="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default" w:ascii="仿宋_GB2312" w:hAnsi="仿宋_GB2312" w:eastAsia="仿宋_GB2312" w:cs="仿宋_GB2312"/>
          <w:bCs/>
          <w:color w:val="auto"/>
          <w:kern w:val="2"/>
          <w:sz w:val="28"/>
          <w:szCs w:val="28"/>
          <w:highlight w:val="none"/>
          <w:lang w:val="en-GB" w:eastAsia="zh-CN" w:bidi="ar-SA"/>
        </w:rPr>
        <w:t>。根据估价目的，本次评估是为委托方办理土地使用权出让手续提供参考依据，宗地红线内的其他基础设施费用非出让方付出，不应将其重复计入土地价值，故本次评估设定待估宗地开发程度为宗地红线外“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通”（通路、通电、供水、排水、通讯）及宗地红线内场地平整。</w:t>
      </w:r>
    </w:p>
    <w:p w14:paraId="3919A25C">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4、估价对象的特殊性、估价中未考虑的因素及采取的特殊性处理</w:t>
      </w:r>
    </w:p>
    <w:p w14:paraId="10E1925E">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（1）估价对象的特殊性</w:t>
      </w:r>
    </w:p>
    <w:p w14:paraId="7DFC318B">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default" w:ascii="仿宋_GB2312" w:hAnsi="仿宋_GB2312" w:eastAsia="仿宋_GB2312" w:cs="仿宋_GB2312"/>
          <w:bCs/>
          <w:color w:val="auto"/>
          <w:kern w:val="2"/>
          <w:sz w:val="28"/>
          <w:szCs w:val="28"/>
          <w:highlight w:val="none"/>
          <w:lang w:val="en-US" w:eastAsia="zh-CN" w:bidi="ar-SA"/>
        </w:rPr>
      </w:pPr>
      <w:r>
        <w:rPr>
          <w:rFonts w:hint="eastAsia" w:ascii="仿宋_GB2312" w:hAnsi="仿宋_GB2312" w:eastAsia="仿宋_GB2312" w:cs="仿宋_GB2312"/>
          <w:bCs/>
          <w:color w:val="auto"/>
          <w:kern w:val="2"/>
          <w:sz w:val="28"/>
          <w:szCs w:val="28"/>
          <w:highlight w:val="none"/>
          <w:lang w:val="en-US" w:eastAsia="zh-CN" w:bidi="ar-SA"/>
        </w:rPr>
        <w:t>①</w:t>
      </w:r>
      <w:r>
        <w:rPr>
          <w:rFonts w:hint="eastAsia" w:ascii="仿宋_GB2312" w:hAnsi="仿宋_GB2312" w:eastAsia="仿宋_GB2312" w:cs="仿宋_GB2312"/>
          <w:bCs/>
          <w:color w:val="auto"/>
          <w:kern w:val="2"/>
          <w:sz w:val="28"/>
          <w:szCs w:val="28"/>
          <w:highlight w:val="none"/>
          <w:lang w:val="en-GB" w:eastAsia="zh-CN" w:bidi="ar-SA"/>
        </w:rPr>
        <w:t>根据道县集中化解房地产办证信访突出问题工作领导小组办公室</w:t>
      </w:r>
      <w:r>
        <w:rPr>
          <w:rFonts w:hint="eastAsia" w:ascii="仿宋_GB2312" w:hAnsi="仿宋_GB2312" w:cs="仿宋_GB2312"/>
          <w:bCs/>
          <w:color w:val="auto"/>
          <w:kern w:val="2"/>
          <w:sz w:val="28"/>
          <w:szCs w:val="28"/>
          <w:highlight w:val="none"/>
          <w:lang w:val="en-US" w:eastAsia="zh-CN" w:bidi="ar-SA"/>
        </w:rPr>
        <w:t>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本次评估结合《评估委托书》和《土地权属及性质证明》（2026年5月19日），设定估价对象</w:t>
      </w:r>
      <w:r>
        <w:rPr>
          <w:rFonts w:hint="default" w:ascii="仿宋_GB2312" w:hAnsi="仿宋_GB2312" w:eastAsia="仿宋_GB2312" w:cs="仿宋_GB2312"/>
          <w:bCs/>
          <w:color w:val="auto"/>
          <w:kern w:val="2"/>
          <w:sz w:val="28"/>
          <w:szCs w:val="28"/>
          <w:highlight w:val="none"/>
          <w:lang w:val="en-GB" w:eastAsia="zh-CN" w:bidi="ar-SA"/>
        </w:rPr>
        <w:t>至估价期日</w:t>
      </w:r>
      <w:r>
        <w:rPr>
          <w:rFonts w:hint="eastAsia" w:ascii="仿宋_GB2312" w:hAnsi="仿宋_GB2312" w:cs="仿宋_GB2312"/>
          <w:bCs/>
          <w:color w:val="auto"/>
          <w:kern w:val="2"/>
          <w:sz w:val="28"/>
          <w:szCs w:val="28"/>
          <w:highlight w:val="none"/>
          <w:lang w:val="en-US" w:eastAsia="zh-CN" w:bidi="ar-SA"/>
        </w:rPr>
        <w:t>为国有</w:t>
      </w:r>
      <w:r>
        <w:rPr>
          <w:rFonts w:hint="eastAsia" w:ascii="仿宋_GB2312" w:hAnsi="仿宋_GB2312" w:eastAsia="仿宋_GB2312" w:cs="仿宋_GB2312"/>
          <w:bCs/>
          <w:color w:val="auto"/>
          <w:kern w:val="2"/>
          <w:sz w:val="28"/>
          <w:szCs w:val="28"/>
          <w:highlight w:val="none"/>
          <w:lang w:val="en-GB" w:eastAsia="zh-CN" w:bidi="ar-SA"/>
        </w:rPr>
        <w:t>划拨</w:t>
      </w:r>
      <w:r>
        <w:rPr>
          <w:rFonts w:hint="eastAsia" w:ascii="仿宋_GB2312" w:hAnsi="仿宋_GB2312" w:cs="仿宋_GB2312"/>
          <w:bCs/>
          <w:color w:val="auto"/>
          <w:kern w:val="2"/>
          <w:sz w:val="28"/>
          <w:szCs w:val="28"/>
          <w:highlight w:val="none"/>
          <w:lang w:val="en-US" w:eastAsia="zh-CN" w:bidi="ar-SA"/>
        </w:rPr>
        <w:t>土</w:t>
      </w:r>
      <w:r>
        <w:rPr>
          <w:rFonts w:hint="default" w:ascii="仿宋_GB2312" w:hAnsi="仿宋_GB2312" w:eastAsia="仿宋_GB2312" w:cs="仿宋_GB2312"/>
          <w:bCs/>
          <w:color w:val="auto"/>
          <w:kern w:val="2"/>
          <w:sz w:val="28"/>
          <w:szCs w:val="28"/>
          <w:highlight w:val="none"/>
          <w:lang w:val="en-GB" w:eastAsia="zh-CN" w:bidi="ar-SA"/>
        </w:rPr>
        <w:t>地</w:t>
      </w:r>
      <w:r>
        <w:rPr>
          <w:rFonts w:hint="eastAsia" w:ascii="仿宋_GB2312" w:hAnsi="仿宋_GB2312" w:cs="仿宋_GB2312"/>
          <w:bCs/>
          <w:color w:val="auto"/>
          <w:kern w:val="2"/>
          <w:sz w:val="28"/>
          <w:szCs w:val="28"/>
          <w:highlight w:val="none"/>
          <w:lang w:val="en-GB" w:eastAsia="zh-CN" w:bidi="ar-SA"/>
        </w:rPr>
        <w:t>，</w:t>
      </w:r>
      <w:r>
        <w:rPr>
          <w:rFonts w:hint="eastAsia" w:ascii="仿宋_GB2312" w:hAnsi="仿宋_GB2312" w:cs="仿宋_GB2312"/>
          <w:bCs/>
          <w:color w:val="auto"/>
          <w:kern w:val="2"/>
          <w:sz w:val="28"/>
          <w:szCs w:val="28"/>
          <w:highlight w:val="none"/>
          <w:lang w:val="en-US" w:eastAsia="zh-CN" w:bidi="ar-SA"/>
        </w:rPr>
        <w:t>土地使用权人为王汝冲。</w:t>
      </w:r>
    </w:p>
    <w:p w14:paraId="04DA0843">
      <w:pPr>
        <w:pStyle w:val="11"/>
        <w:keepNext w:val="0"/>
        <w:keepLines w:val="0"/>
        <w:pageBreakBefore w:val="0"/>
        <w:widowControl w:val="0"/>
        <w:kinsoku/>
        <w:wordWrap/>
        <w:overflowPunct/>
        <w:topLinePunct w:val="0"/>
        <w:autoSpaceDE/>
        <w:autoSpaceDN/>
        <w:bidi w:val="0"/>
        <w:spacing w:line="480" w:lineRule="exact"/>
        <w:ind w:firstLine="56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cs="仿宋_GB2312"/>
          <w:bCs/>
          <w:color w:val="auto"/>
          <w:kern w:val="2"/>
          <w:sz w:val="28"/>
          <w:szCs w:val="28"/>
          <w:highlight w:val="none"/>
          <w:lang w:val="en-US" w:eastAsia="zh-CN" w:bidi="ar-SA"/>
        </w:rPr>
        <w:t>②</w:t>
      </w:r>
      <w:r>
        <w:rPr>
          <w:rFonts w:hint="eastAsia" w:ascii="仿宋_GB2312" w:hAnsi="仿宋_GB2312" w:eastAsia="仿宋_GB2312" w:cs="仿宋_GB2312"/>
          <w:bCs/>
          <w:color w:val="auto"/>
          <w:kern w:val="2"/>
          <w:sz w:val="28"/>
          <w:szCs w:val="28"/>
          <w:highlight w:val="none"/>
          <w:lang w:val="en-GB" w:eastAsia="zh-CN" w:bidi="ar-SA"/>
        </w:rPr>
        <w:t>根据委托方提供的估价对象《房屋所有权证》（道房权证字第713000590号），</w:t>
      </w:r>
      <w:r>
        <w:rPr>
          <w:rFonts w:hint="eastAsia" w:ascii="仿宋_GB2312" w:hAnsi="仿宋_GB2312" w:cs="仿宋_GB2312"/>
          <w:bCs/>
          <w:color w:val="auto"/>
          <w:kern w:val="2"/>
          <w:sz w:val="28"/>
          <w:szCs w:val="28"/>
          <w:highlight w:val="none"/>
          <w:lang w:val="en-US" w:eastAsia="zh-CN" w:bidi="ar-SA"/>
        </w:rPr>
        <w:t>估价对象登记建筑面积为74.55平方米</w:t>
      </w:r>
      <w:r>
        <w:rPr>
          <w:rFonts w:hint="eastAsia" w:ascii="仿宋_GB2312" w:hAnsi="仿宋_GB2312" w:eastAsia="仿宋_GB2312" w:cs="仿宋_GB2312"/>
          <w:bCs/>
          <w:color w:val="auto"/>
          <w:kern w:val="2"/>
          <w:sz w:val="28"/>
          <w:szCs w:val="28"/>
          <w:highlight w:val="none"/>
          <w:lang w:val="en-US" w:eastAsia="zh-CN" w:bidi="ar-SA"/>
        </w:rPr>
        <w:t>，根据</w:t>
      </w:r>
      <w:r>
        <w:rPr>
          <w:rFonts w:hint="eastAsia" w:ascii="仿宋_GB2312" w:hAnsi="仿宋_GB2312" w:cs="仿宋_GB2312"/>
          <w:bCs/>
          <w:color w:val="auto"/>
          <w:kern w:val="2"/>
          <w:sz w:val="28"/>
          <w:szCs w:val="28"/>
          <w:highlight w:val="none"/>
          <w:lang w:val="en-US" w:eastAsia="zh-CN" w:bidi="ar-SA"/>
        </w:rPr>
        <w:t>《不动产测绘报告书》中的《户室面积对照表》，估价对象实测建筑面积73.415平方米，与证载面积不一致，根据《评估委托书》，建筑面积为73.415平方米，估价对象分摊土地面积以《土地分摊表》为依据15.2平方米</w:t>
      </w:r>
      <w:r>
        <w:rPr>
          <w:rFonts w:hint="eastAsia" w:ascii="仿宋_GB2312" w:hAnsi="仿宋_GB2312" w:eastAsia="仿宋_GB2312" w:cs="仿宋_GB2312"/>
          <w:bCs/>
          <w:color w:val="auto"/>
          <w:kern w:val="2"/>
          <w:sz w:val="28"/>
          <w:szCs w:val="28"/>
          <w:highlight w:val="none"/>
          <w:lang w:val="en-GB" w:eastAsia="zh-CN" w:bidi="ar-SA"/>
        </w:rPr>
        <w:t>。</w:t>
      </w:r>
    </w:p>
    <w:p w14:paraId="3DC6A4AB">
      <w:pPr>
        <w:keepNext w:val="0"/>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GB" w:eastAsia="zh-CN" w:bidi="ar-SA"/>
        </w:rPr>
        <w:t>（2）估价中未考虑的因素</w:t>
      </w:r>
    </w:p>
    <w:p w14:paraId="45BAE90D">
      <w:pPr>
        <w:keepNext w:val="0"/>
        <w:keepLines w:val="0"/>
        <w:pageBreakBefore w:val="0"/>
        <w:widowControl w:val="0"/>
        <w:kinsoku/>
        <w:wordWrap/>
        <w:overflowPunct/>
        <w:topLinePunct w:val="0"/>
        <w:autoSpaceDE/>
        <w:autoSpaceDN/>
        <w:bidi w:val="0"/>
        <w:adjustRightInd w:val="0"/>
        <w:snapToGrid w:val="0"/>
        <w:spacing w:line="480" w:lineRule="atLeas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本次估价结果是反映估价对象在本次估价目的下的公开市场价格水平，估价时没有考虑未来国家宏观经济政策发生变化、市场供应变化、市场结构转变、遇有自然力和其他不可抗力等因素对土地使用权价值的影响，也没有考虑特殊交易方式下的特殊交易价格等对评估价值的影响。当上述条件发生变化时，评估结果应做相应调整。</w:t>
      </w:r>
    </w:p>
    <w:p w14:paraId="3161E12E">
      <w:pPr>
        <w:keepLines w:val="0"/>
        <w:pageBreakBefore w:val="0"/>
        <w:widowControl w:val="0"/>
        <w:kinsoku/>
        <w:wordWrap/>
        <w:overflowPunct/>
        <w:topLinePunct w:val="0"/>
        <w:autoSpaceDE/>
        <w:autoSpaceDN/>
        <w:bidi w:val="0"/>
        <w:adjustRightInd w:val="0"/>
        <w:snapToGrid w:val="0"/>
        <w:spacing w:line="480" w:lineRule="exact"/>
        <w:ind w:right="0" w:firstLine="560" w:firstLineChars="20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（3）采取的特殊处理方式</w:t>
      </w:r>
    </w:p>
    <w:p w14:paraId="33C08FCB">
      <w:pPr>
        <w:keepNext w:val="0"/>
        <w:keepLines w:val="0"/>
        <w:pageBreakBefore w:val="0"/>
        <w:widowControl w:val="0"/>
        <w:kinsoku/>
        <w:wordWrap/>
        <w:overflowPunct/>
        <w:topLinePunct w:val="0"/>
        <w:autoSpaceDE/>
        <w:autoSpaceDN/>
        <w:bidi w:val="0"/>
        <w:adjustRightInd w:val="0"/>
        <w:snapToGrid w:val="0"/>
        <w:spacing w:line="42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估价对象于估价期日土地使用权类型为划拨，根据《国土资源部办公厅关于发布&lt;国有建设用地使用权出让地价评估技术规范&gt;的通知》（国土资厅发[2018]4号），划拨土地办理协议出让时，不改变土地及建筑物、构筑物现状的，应按本规范评估在现状利用条件下的出让土地使用权正常市场价格，减去划拨土地使用权价格。根据《土地资产评估委托书》和相关部门要求，本次评估仅需评估估价对象于估价日期在现状利用条件下的出让土地使用权价格，为</w:t>
      </w:r>
      <w:r>
        <w:rPr>
          <w:rFonts w:hint="eastAsia" w:ascii="仿宋_GB2312" w:hAnsi="仿宋_GB2312" w:eastAsia="仿宋_GB2312" w:cs="仿宋_GB2312"/>
          <w:bCs/>
          <w:color w:val="auto"/>
          <w:kern w:val="2"/>
          <w:sz w:val="28"/>
          <w:szCs w:val="28"/>
          <w:highlight w:val="none"/>
          <w:lang w:val="en-US" w:eastAsia="zh-CN" w:bidi="ar-SA"/>
        </w:rPr>
        <w:t>道县</w:t>
      </w:r>
      <w:r>
        <w:rPr>
          <w:rFonts w:hint="default" w:ascii="仿宋_GB2312" w:hAnsi="仿宋_GB2312" w:eastAsia="仿宋_GB2312" w:cs="仿宋_GB2312"/>
          <w:bCs/>
          <w:color w:val="auto"/>
          <w:kern w:val="2"/>
          <w:sz w:val="28"/>
          <w:szCs w:val="28"/>
          <w:highlight w:val="none"/>
          <w:lang w:val="en-GB" w:eastAsia="zh-CN" w:bidi="ar-SA"/>
        </w:rPr>
        <w:t>自然资源局办理土地使用权出让手续提供参考，故本报告未对估价对象的划拨土地使用权价格进行评估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9748AF0">
      <w:pPr>
        <w:rPr>
          <w:rFonts w:hint="default" w:ascii="仿宋_GB2312" w:hAnsi="仿宋_GB2312" w:eastAsia="仿宋_GB2312" w:cs="仿宋_GB2312"/>
          <w:b/>
          <w:bCs w:val="0"/>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br w:type="page"/>
      </w:r>
    </w:p>
    <w:p w14:paraId="62EC9FBA">
      <w:pPr>
        <w:ind w:firstLine="562" w:firstLineChars="200"/>
        <w:outlineLvl w:val="1"/>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
          <w:bCs w:val="0"/>
          <w:color w:val="auto"/>
          <w:kern w:val="2"/>
          <w:sz w:val="28"/>
          <w:szCs w:val="28"/>
          <w:highlight w:val="none"/>
          <w:lang w:val="en-GB" w:eastAsia="zh-CN" w:bidi="ar-SA"/>
        </w:rPr>
        <w:t>十一、土地估价师签字</w:t>
      </w:r>
      <w:bookmarkEnd w:id="20"/>
      <w:bookmarkEnd w:id="21"/>
    </w:p>
    <w:tbl>
      <w:tblPr>
        <w:tblStyle w:val="13"/>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99650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1641" w:type="pct"/>
            <w:tcBorders>
              <w:tl2br w:val="nil"/>
              <w:tr2bl w:val="nil"/>
            </w:tcBorders>
            <w:vAlign w:val="center"/>
          </w:tcPr>
          <w:p w14:paraId="71109A33">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估价师姓名</w:t>
            </w:r>
          </w:p>
        </w:tc>
        <w:tc>
          <w:tcPr>
            <w:tcW w:w="1716" w:type="pct"/>
            <w:tcBorders>
              <w:tl2br w:val="nil"/>
              <w:tr2bl w:val="nil"/>
            </w:tcBorders>
            <w:vAlign w:val="center"/>
          </w:tcPr>
          <w:p w14:paraId="152C403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土地估价师资格证号</w:t>
            </w:r>
          </w:p>
        </w:tc>
        <w:tc>
          <w:tcPr>
            <w:tcW w:w="1642" w:type="pct"/>
            <w:tcBorders>
              <w:tl2br w:val="nil"/>
              <w:tr2bl w:val="nil"/>
            </w:tcBorders>
            <w:vAlign w:val="center"/>
          </w:tcPr>
          <w:p w14:paraId="765A3CED">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r>
              <w:rPr>
                <w:rFonts w:hint="eastAsia" w:ascii="仿宋_GB2312" w:hAnsi="仿宋_GB2312" w:eastAsia="仿宋_GB2312" w:cs="仿宋_GB2312"/>
                <w:sz w:val="28"/>
                <w:szCs w:val="18"/>
                <w:highlight w:val="none"/>
              </w:rPr>
              <w:t>签    字</w:t>
            </w:r>
          </w:p>
        </w:tc>
      </w:tr>
      <w:tr w14:paraId="6D362E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1641" w:type="pct"/>
            <w:tcBorders>
              <w:tl2br w:val="nil"/>
              <w:tr2bl w:val="nil"/>
            </w:tcBorders>
            <w:vAlign w:val="center"/>
          </w:tcPr>
          <w:p w14:paraId="2B36C455">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谢良元</w:t>
            </w:r>
          </w:p>
        </w:tc>
        <w:tc>
          <w:tcPr>
            <w:tcW w:w="1716" w:type="pct"/>
            <w:tcBorders>
              <w:tl2br w:val="nil"/>
              <w:tr2bl w:val="nil"/>
            </w:tcBorders>
            <w:vAlign w:val="center"/>
          </w:tcPr>
          <w:p w14:paraId="3A782436">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2019430003</w:t>
            </w:r>
          </w:p>
        </w:tc>
        <w:tc>
          <w:tcPr>
            <w:tcW w:w="1642" w:type="pct"/>
            <w:tcBorders>
              <w:tl2br w:val="nil"/>
              <w:tr2bl w:val="nil"/>
            </w:tcBorders>
          </w:tcPr>
          <w:p w14:paraId="5F8335E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r w14:paraId="581521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1641" w:type="pct"/>
            <w:tcBorders>
              <w:tl2br w:val="nil"/>
              <w:tr2bl w:val="nil"/>
            </w:tcBorders>
            <w:vAlign w:val="center"/>
          </w:tcPr>
          <w:p w14:paraId="6B4F9B5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sz w:val="28"/>
                <w:szCs w:val="18"/>
                <w:highlight w:val="none"/>
                <w:lang w:val="en-US" w:eastAsia="zh-CN"/>
              </w:rPr>
            </w:pPr>
            <w:r>
              <w:rPr>
                <w:rFonts w:hint="eastAsia" w:ascii="仿宋_GB2312" w:hAnsi="仿宋_GB2312" w:eastAsia="仿宋_GB2312" w:cs="仿宋_GB2312"/>
                <w:sz w:val="28"/>
                <w:szCs w:val="18"/>
                <w:highlight w:val="none"/>
                <w:lang w:val="en-US" w:eastAsia="zh-CN"/>
              </w:rPr>
              <w:t>彭翀</w:t>
            </w:r>
          </w:p>
        </w:tc>
        <w:tc>
          <w:tcPr>
            <w:tcW w:w="1716" w:type="pct"/>
            <w:tcBorders>
              <w:tl2br w:val="nil"/>
              <w:tr2bl w:val="nil"/>
            </w:tcBorders>
            <w:vAlign w:val="center"/>
          </w:tcPr>
          <w:p w14:paraId="75570887">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sz w:val="28"/>
                <w:szCs w:val="18"/>
                <w:highlight w:val="none"/>
                <w:lang w:eastAsia="zh-CN"/>
              </w:rPr>
            </w:pPr>
            <w:r>
              <w:rPr>
                <w:rFonts w:hint="eastAsia" w:ascii="仿宋_GB2312" w:hAnsi="仿宋_GB2312" w:eastAsia="仿宋_GB2312" w:cs="仿宋_GB2312"/>
                <w:sz w:val="28"/>
                <w:szCs w:val="18"/>
                <w:highlight w:val="none"/>
                <w:lang w:val="en-US" w:eastAsia="zh-CN"/>
              </w:rPr>
              <w:t>2004450008</w:t>
            </w:r>
          </w:p>
        </w:tc>
        <w:tc>
          <w:tcPr>
            <w:tcW w:w="1642" w:type="pct"/>
            <w:tcBorders>
              <w:tl2br w:val="nil"/>
              <w:tr2bl w:val="nil"/>
            </w:tcBorders>
          </w:tcPr>
          <w:p w14:paraId="1D92584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sz w:val="28"/>
                <w:szCs w:val="18"/>
                <w:highlight w:val="none"/>
              </w:rPr>
            </w:pPr>
          </w:p>
        </w:tc>
      </w:tr>
    </w:tbl>
    <w:p w14:paraId="0FB7E2C3">
      <w:pPr>
        <w:keepLines w:val="0"/>
        <w:pageBreakBefore w:val="0"/>
        <w:widowControl w:val="0"/>
        <w:kinsoku/>
        <w:wordWrap/>
        <w:overflowPunct/>
        <w:topLinePunct w:val="0"/>
        <w:autoSpaceDE/>
        <w:autoSpaceDN/>
        <w:bidi w:val="0"/>
        <w:spacing w:line="480" w:lineRule="exact"/>
        <w:ind w:right="0" w:firstLine="562" w:firstLineChars="200"/>
        <w:textAlignment w:val="auto"/>
        <w:outlineLvl w:val="1"/>
        <w:rPr>
          <w:rFonts w:hint="default" w:ascii="仿宋_GB2312" w:hAnsi="仿宋_GB2312" w:eastAsia="仿宋_GB2312" w:cs="仿宋_GB2312"/>
          <w:bCs/>
          <w:color w:val="auto"/>
          <w:kern w:val="2"/>
          <w:sz w:val="28"/>
          <w:szCs w:val="28"/>
          <w:highlight w:val="none"/>
          <w:lang w:val="en-GB" w:eastAsia="zh-CN" w:bidi="ar-SA"/>
        </w:rPr>
      </w:pPr>
      <w:bookmarkStart w:id="22" w:name="_Toc5315"/>
      <w:bookmarkStart w:id="23" w:name="_Toc9299"/>
      <w:r>
        <w:rPr>
          <w:rFonts w:hint="default" w:ascii="仿宋_GB2312" w:hAnsi="仿宋_GB2312" w:eastAsia="仿宋_GB2312" w:cs="仿宋_GB2312"/>
          <w:b/>
          <w:bCs w:val="0"/>
          <w:color w:val="auto"/>
          <w:kern w:val="2"/>
          <w:sz w:val="28"/>
          <w:szCs w:val="28"/>
          <w:highlight w:val="none"/>
          <w:lang w:val="en-GB" w:eastAsia="zh-CN" w:bidi="ar-SA"/>
        </w:rPr>
        <w:t>十二、土地估价机构</w:t>
      </w:r>
      <w:bookmarkEnd w:id="22"/>
      <w:bookmarkEnd w:id="23"/>
      <w:r>
        <w:rPr>
          <w:rFonts w:hint="default" w:ascii="仿宋_GB2312" w:hAnsi="仿宋_GB2312" w:eastAsia="仿宋_GB2312" w:cs="仿宋_GB2312"/>
          <w:bCs/>
          <w:color w:val="auto"/>
          <w:kern w:val="2"/>
          <w:sz w:val="28"/>
          <w:szCs w:val="28"/>
          <w:highlight w:val="none"/>
          <w:lang w:val="en-GB" w:eastAsia="zh-CN" w:bidi="ar-SA"/>
        </w:rPr>
        <w:t xml:space="preserve">                </w:t>
      </w:r>
    </w:p>
    <w:p w14:paraId="086F5309">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 xml:space="preserve"> 估价机构法定代表人签字：</w:t>
      </w:r>
    </w:p>
    <w:p w14:paraId="56F9AF5E">
      <w:pPr>
        <w:keepLines w:val="0"/>
        <w:pageBreakBefore w:val="0"/>
        <w:widowControl w:val="0"/>
        <w:kinsoku/>
        <w:wordWrap/>
        <w:overflowPunct/>
        <w:topLinePunct w:val="0"/>
        <w:autoSpaceDE/>
        <w:autoSpaceDN/>
        <w:bidi w:val="0"/>
        <w:spacing w:line="480" w:lineRule="exact"/>
        <w:ind w:right="0"/>
        <w:textAlignment w:val="auto"/>
        <w:rPr>
          <w:rFonts w:hint="default" w:ascii="仿宋_GB2312" w:hAnsi="仿宋_GB2312" w:eastAsia="仿宋_GB2312" w:cs="仿宋_GB2312"/>
          <w:bCs/>
          <w:color w:val="auto"/>
          <w:kern w:val="2"/>
          <w:sz w:val="28"/>
          <w:szCs w:val="28"/>
          <w:highlight w:val="none"/>
          <w:lang w:val="en-GB" w:eastAsia="zh-CN" w:bidi="ar-SA"/>
        </w:rPr>
      </w:pPr>
    </w:p>
    <w:p w14:paraId="56FE67B4">
      <w:pPr>
        <w:pStyle w:val="11"/>
        <w:rPr>
          <w:rFonts w:hint="default"/>
          <w:highlight w:val="none"/>
          <w:lang w:val="en-GB" w:eastAsia="zh-CN"/>
        </w:rPr>
      </w:pPr>
    </w:p>
    <w:p w14:paraId="305A06C9">
      <w:pPr>
        <w:keepNext w:val="0"/>
        <w:keepLines w:val="0"/>
        <w:pageBreakBefore w:val="0"/>
        <w:widowControl w:val="0"/>
        <w:kinsoku/>
        <w:wordWrap/>
        <w:overflowPunct/>
        <w:topLinePunct w:val="0"/>
        <w:autoSpaceDE/>
        <w:autoSpaceDN/>
        <w:bidi w:val="0"/>
        <w:adjustRightInd/>
        <w:snapToGrid/>
        <w:spacing w:line="480" w:lineRule="exact"/>
        <w:ind w:right="0"/>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default" w:ascii="仿宋_GB2312" w:hAnsi="仿宋_GB2312" w:eastAsia="仿宋_GB2312" w:cs="仿宋_GB2312"/>
          <w:bCs/>
          <w:color w:val="auto"/>
          <w:kern w:val="2"/>
          <w:sz w:val="28"/>
          <w:szCs w:val="28"/>
          <w:highlight w:val="none"/>
          <w:lang w:val="en-GB" w:eastAsia="zh-CN" w:bidi="ar-SA"/>
        </w:rPr>
        <w:t>湖南</w:t>
      </w:r>
      <w:r>
        <w:rPr>
          <w:rFonts w:hint="eastAsia" w:ascii="仿宋_GB2312" w:hAnsi="仿宋_GB2312" w:eastAsia="仿宋_GB2312" w:cs="仿宋_GB2312"/>
          <w:bCs/>
          <w:color w:val="auto"/>
          <w:kern w:val="2"/>
          <w:sz w:val="28"/>
          <w:szCs w:val="28"/>
          <w:highlight w:val="none"/>
          <w:lang w:val="en-US" w:eastAsia="zh-CN" w:bidi="ar-SA"/>
        </w:rPr>
        <w:t>兆财不动产规划评估有限</w:t>
      </w:r>
      <w:r>
        <w:rPr>
          <w:rFonts w:hint="default" w:ascii="仿宋_GB2312" w:hAnsi="仿宋_GB2312" w:eastAsia="仿宋_GB2312" w:cs="仿宋_GB2312"/>
          <w:bCs/>
          <w:color w:val="auto"/>
          <w:kern w:val="2"/>
          <w:sz w:val="28"/>
          <w:szCs w:val="28"/>
          <w:highlight w:val="none"/>
          <w:lang w:val="en-GB" w:eastAsia="zh-CN" w:bidi="ar-SA"/>
        </w:rPr>
        <w:t>公司</w:t>
      </w:r>
    </w:p>
    <w:p w14:paraId="6C36FAFD">
      <w:pPr>
        <w:keepNext w:val="0"/>
        <w:keepLines w:val="0"/>
        <w:pageBreakBefore w:val="0"/>
        <w:widowControl w:val="0"/>
        <w:kinsoku/>
        <w:wordWrap/>
        <w:overflowPunct/>
        <w:topLinePunct w:val="0"/>
        <w:autoSpaceDE/>
        <w:autoSpaceDN/>
        <w:bidi w:val="0"/>
        <w:adjustRightInd/>
        <w:snapToGrid/>
        <w:spacing w:line="480" w:lineRule="exact"/>
        <w:jc w:val="right"/>
        <w:textAlignment w:val="auto"/>
        <w:rPr>
          <w:rFonts w:hint="default" w:ascii="仿宋_GB2312" w:hAnsi="仿宋_GB2312" w:eastAsia="仿宋_GB2312" w:cs="仿宋_GB2312"/>
          <w:bCs/>
          <w:color w:val="auto"/>
          <w:kern w:val="2"/>
          <w:sz w:val="28"/>
          <w:szCs w:val="28"/>
          <w:highlight w:val="none"/>
          <w:lang w:val="en-GB" w:eastAsia="zh-CN" w:bidi="ar-SA"/>
        </w:rPr>
      </w:pPr>
      <w:r>
        <w:rPr>
          <w:rFonts w:hint="eastAsia" w:ascii="仿宋_GB2312" w:hAnsi="仿宋_GB2312" w:eastAsia="仿宋_GB2312" w:cs="仿宋_GB2312"/>
          <w:bCs/>
          <w:color w:val="auto"/>
          <w:kern w:val="2"/>
          <w:sz w:val="28"/>
          <w:szCs w:val="28"/>
          <w:highlight w:val="none"/>
          <w:lang w:val="en-US" w:eastAsia="zh-CN" w:bidi="ar-SA"/>
        </w:rPr>
        <w:t>二〇二六年五月二十日</w:t>
      </w:r>
    </w:p>
    <w:p w14:paraId="44068CE2">
      <w:pPr>
        <w:pStyle w:val="2"/>
        <w:ind w:firstLine="0"/>
        <w:jc w:val="center"/>
        <w:rPr>
          <w:rFonts w:hint="default" w:ascii="Times New Roman" w:hAnsi="Times New Roman" w:eastAsia="仿宋" w:cs="Times New Roman"/>
          <w:sz w:val="28"/>
          <w:szCs w:val="28"/>
          <w:highlight w:val="none"/>
        </w:rPr>
      </w:pPr>
      <w:r>
        <w:rPr>
          <w:rFonts w:hint="default" w:ascii="Times New Roman" w:hAnsi="Times New Roman" w:eastAsia="仿宋_GB2312" w:cs="Times New Roman"/>
          <w:color w:val="FF0000"/>
          <w:szCs w:val="28"/>
          <w:highlight w:val="none"/>
        </w:rPr>
        <w:br w:type="page"/>
      </w:r>
      <w:r>
        <w:rPr>
          <w:rFonts w:hint="eastAsia" w:asciiTheme="majorEastAsia" w:hAnsiTheme="majorEastAsia" w:eastAsiaTheme="majorEastAsia" w:cstheme="majorEastAsia"/>
          <w:b/>
          <w:bCs/>
          <w:sz w:val="32"/>
          <w:highlight w:val="none"/>
        </w:rPr>
        <w:t>第二部分  估价对象描述及地价影响因素分析</w:t>
      </w:r>
    </w:p>
    <w:p w14:paraId="5DC51525">
      <w:pPr>
        <w:pStyle w:val="3"/>
        <w:keepLines w:val="0"/>
        <w:pageBreakBefore w:val="0"/>
        <w:widowControl w:val="0"/>
        <w:kinsoku/>
        <w:wordWrap/>
        <w:overflowPunct/>
        <w:topLinePunct w:val="0"/>
        <w:autoSpaceDE/>
        <w:autoSpaceDN/>
        <w:bidi w:val="0"/>
        <w:adjustRightInd w:val="0"/>
        <w:snapToGrid w:val="0"/>
        <w:spacing w:line="480" w:lineRule="exact"/>
        <w:ind w:left="0" w:firstLine="0"/>
        <w:jc w:val="left"/>
        <w:textAlignment w:val="auto"/>
        <w:rPr>
          <w:rFonts w:hint="eastAsia" w:ascii="仿宋" w:hAnsi="仿宋" w:eastAsia="仿宋" w:cs="仿宋"/>
          <w:b/>
          <w:bCs w:val="0"/>
          <w:sz w:val="28"/>
          <w:szCs w:val="28"/>
          <w:highlight w:val="none"/>
        </w:rPr>
      </w:pPr>
      <w:r>
        <w:rPr>
          <w:rFonts w:hint="eastAsia" w:ascii="仿宋" w:hAnsi="仿宋" w:eastAsia="仿宋" w:cs="仿宋"/>
          <w:b/>
          <w:bCs w:val="0"/>
          <w:sz w:val="28"/>
          <w:szCs w:val="28"/>
          <w:highlight w:val="none"/>
        </w:rPr>
        <w:t>一、估价对象描述</w:t>
      </w:r>
    </w:p>
    <w:p w14:paraId="7FFDBF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EC8EE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488A440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051BAB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6D7015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486155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B54F8C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3576A9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2CB8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135C2E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F5572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D81F0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742C5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FAA48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21CF92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55DCD5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7F57D2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5B5842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700678E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2864F3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1CF0B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705F3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2B18BF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566BC23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00B04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ED1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79467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2CE5F6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75A945B">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6" name="图片 6"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7949D1E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1" name="图片 1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7D0B05C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2220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2CCAD71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A29E7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19615E2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06D34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4BD9D7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2C0388C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788703E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default" w:ascii="仿宋_GB2312" w:hAnsi="仿宋_GB2312" w:eastAsia="仿宋_GB2312" w:cs="仿宋_GB2312"/>
          <w:b/>
          <w:bCs w:val="0"/>
          <w:color w:val="auto"/>
          <w:sz w:val="28"/>
          <w:szCs w:val="28"/>
          <w:highlight w:val="none"/>
          <w:lang w:val="en-US" w:eastAsia="zh-CN"/>
        </w:rPr>
        <w:t>二、地价影响因素分析</w:t>
      </w:r>
    </w:p>
    <w:p w14:paraId="23E125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14:paraId="21E1748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土地权利类型：国有建设用地土地使用权；</w:t>
      </w:r>
    </w:p>
    <w:p w14:paraId="214C2AA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.土地权利性质：国有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用地，现拟办理出让手续；</w:t>
      </w:r>
    </w:p>
    <w:p w14:paraId="11878C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屋所有权证》（道房权证字第713000590号），估价对象位于道县月岩西路，根据《评估委托书》、《户室面积对照表》和《土地分摊表》，估价对象位于皮革厂家属楼3栋4层404房，建筑面积73.415平方米，分摊土地使用权面积15.2平方米，</w:t>
      </w:r>
      <w:r>
        <w:rPr>
          <w:rFonts w:hint="default" w:ascii="仿宋_GB2312" w:hAnsi="仿宋_GB2312" w:eastAsia="仿宋_GB2312" w:cs="仿宋_GB2312"/>
          <w:bCs/>
          <w:color w:val="auto"/>
          <w:kern w:val="2"/>
          <w:sz w:val="28"/>
          <w:szCs w:val="28"/>
          <w:highlight w:val="none"/>
          <w:lang w:val="en-GB" w:eastAsia="zh-CN" w:bidi="ar-SA"/>
        </w:rPr>
        <w:t>委托方拟按现状利用条件为其办理土地使用权出让手续。</w:t>
      </w:r>
      <w:r>
        <w:rPr>
          <w:rFonts w:hint="eastAsia" w:ascii="仿宋_GB2312" w:hAnsi="仿宋_GB2312" w:eastAsia="仿宋_GB2312" w:cs="仿宋_GB2312"/>
          <w:bCs/>
          <w:color w:val="auto"/>
          <w:kern w:val="2"/>
          <w:sz w:val="28"/>
          <w:szCs w:val="28"/>
          <w:highlight w:val="none"/>
          <w:lang w:val="en-US" w:eastAsia="zh-CN" w:bidi="ar-SA"/>
        </w:rPr>
        <w:t>根据道县集中化解房地产办证信访突出问题工作领导小组办公室出具的《土地权属及性质证明》（2026年5月19日），估价对象土地使用者为王汝冲，道县皮革厂工作人员，根据房改房政策于2004年购得位于道州月岩西路皮革厂家属楼3栋4层404住房一套，房产证号：道房权证字第713000590号，房屋登记面积74.55平方米。其房屋分摊土地使用权类型为国有划拨，因历史遗留问题，土地暂未办理土地权属登记。</w:t>
      </w:r>
    </w:p>
    <w:p w14:paraId="735C6A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.地理位置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及坐落</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p>
    <w:p w14:paraId="351943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BEE24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.宗地四至：北临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，南临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，西临建筑，东临建筑；</w:t>
      </w:r>
    </w:p>
    <w:p w14:paraId="6251A48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.使用权面积：根据《土地分摊表》，宗地面积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833D8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lang w:val="en-US" w:eastAsia="zh-CN"/>
          <w14:textFill>
            <w14:solidFill>
              <w14:schemeClr w14:val="tx1"/>
            </w14:solidFill>
          </w14:textFill>
        </w:rPr>
        <w:t>8</w:t>
      </w:r>
      <w:r>
        <w:rPr>
          <w:rFonts w:hint="eastAsia" w:ascii="仿宋_GB2312" w:eastAsia="仿宋_GB2312"/>
          <w:color w:val="000000" w:themeColor="text1"/>
          <w:sz w:val="28"/>
          <w:highlight w:val="none"/>
          <w14:textFill>
            <w14:solidFill>
              <w14:schemeClr w14:val="tx1"/>
            </w14:solidFill>
          </w14:textFill>
        </w:rPr>
        <w:t>.土地级别：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themeColor="text1"/>
          <w:sz w:val="28"/>
          <w:highlight w:val="none"/>
          <w:lang w:eastAsia="zh-CN"/>
          <w14:textFill>
            <w14:solidFill>
              <w14:schemeClr w14:val="tx1"/>
            </w14:solidFill>
          </w14:textFill>
        </w:rPr>
        <w:t>，</w:t>
      </w:r>
      <w:r>
        <w:rPr>
          <w:rFonts w:hint="eastAsia" w:ascii="仿宋_GB2312" w:eastAsia="仿宋_GB2312"/>
          <w:color w:val="000000" w:themeColor="text1"/>
          <w:sz w:val="28"/>
          <w:highlight w:val="none"/>
          <w:lang w:val="en-US" w:eastAsia="zh-CN"/>
          <w14:textFill>
            <w14:solidFill>
              <w14:schemeClr w14:val="tx1"/>
            </w14:solidFill>
          </w14:textFill>
        </w:rPr>
        <w:t>故暂无土地级别信息</w:t>
      </w:r>
      <w:r>
        <w:rPr>
          <w:rFonts w:hint="eastAsia" w:ascii="仿宋_GB2312" w:eastAsia="仿宋_GB2312"/>
          <w:color w:val="000000" w:themeColor="text1"/>
          <w:sz w:val="28"/>
          <w:highlight w:val="none"/>
          <w14:textFill>
            <w14:solidFill>
              <w14:schemeClr w14:val="tx1"/>
            </w14:solidFill>
          </w14:textFill>
        </w:rPr>
        <w:t>；</w:t>
      </w:r>
    </w:p>
    <w:p w14:paraId="5553CF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9.土地使用年限：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w:t>
      </w:r>
      <w:r>
        <w:rPr>
          <w:rFonts w:hint="eastAsia" w:ascii="仿宋_GB2312" w:hAnsi="仿宋_GB2312" w:eastAsia="仿宋_GB2312" w:cs="仿宋_GB2312"/>
          <w:bCs/>
          <w:sz w:val="28"/>
          <w:szCs w:val="28"/>
          <w:highlight w:val="none"/>
          <w:lang w:eastAsia="zh-CN"/>
        </w:rPr>
        <w:t>土地使用权出让最高年限为</w:t>
      </w:r>
      <w:r>
        <w:rPr>
          <w:rFonts w:hint="eastAsia" w:ascii="仿宋_GB2312" w:hAnsi="仿宋_GB2312" w:eastAsia="仿宋_GB2312" w:cs="仿宋_GB2312"/>
          <w:bCs/>
          <w:sz w:val="28"/>
          <w:szCs w:val="28"/>
          <w:highlight w:val="none"/>
          <w:lang w:val="en-US" w:eastAsia="zh-CN"/>
        </w:rPr>
        <w:t>住宅</w:t>
      </w:r>
      <w:r>
        <w:rPr>
          <w:rFonts w:hint="eastAsia" w:ascii="仿宋_GB2312" w:hAnsi="仿宋_GB2312" w:eastAsia="仿宋_GB2312" w:cs="仿宋_GB2312"/>
          <w:bCs/>
          <w:sz w:val="28"/>
          <w:szCs w:val="28"/>
          <w:highlight w:val="none"/>
          <w:lang w:eastAsia="zh-CN"/>
        </w:rPr>
        <w:t>用地</w:t>
      </w:r>
      <w:r>
        <w:rPr>
          <w:rFonts w:hint="eastAsia" w:ascii="仿宋_GB2312" w:hAnsi="仿宋_GB2312" w:eastAsia="仿宋_GB2312" w:cs="仿宋_GB2312"/>
          <w:bCs/>
          <w:sz w:val="28"/>
          <w:szCs w:val="28"/>
          <w:highlight w:val="none"/>
          <w:lang w:val="en-US" w:eastAsia="zh-CN"/>
        </w:rPr>
        <w:t>70</w:t>
      </w:r>
      <w:r>
        <w:rPr>
          <w:rFonts w:hint="eastAsia" w:ascii="仿宋_GB2312" w:hAnsi="仿宋_GB2312" w:eastAsia="仿宋_GB2312" w:cs="仿宋_GB2312"/>
          <w:bCs/>
          <w:sz w:val="28"/>
          <w:szCs w:val="28"/>
          <w:highlight w:val="none"/>
          <w:lang w:eastAsia="zh-CN"/>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本次评估根据《评估委托书》约定和估价目的，估价对象土地使用权出让年限为住宅用地70年，此次评估设定土地使用权年限为住宅用地70年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6E950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10.权利证书号：</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CEB289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不动产权证书编号：/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0412B3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12.权利人：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68A1F6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13.登记时间：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5FBB0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14.地籍图号：/；</w:t>
      </w:r>
    </w:p>
    <w:p w14:paraId="1490C3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15.宗地号：/；</w:t>
      </w:r>
    </w:p>
    <w:p w14:paraId="142E738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附记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DF2A6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划拨</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用地，未办理登记手续，故暂无土地权利证书编号、登记时间、地籍图号、宗地号、终止日期等相关信息。</w:t>
      </w:r>
    </w:p>
    <w:p w14:paraId="27ADE0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14:paraId="797CFF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1.土地所有权状况：于</w:t>
      </w:r>
      <w:r>
        <w:rPr>
          <w:rFonts w:hint="default" w:ascii="仿宋_GB2312" w:hAnsi="仿宋_GB2312" w:eastAsia="仿宋_GB2312" w:cs="仿宋_GB2312"/>
          <w:bCs/>
          <w:color w:val="auto"/>
          <w:kern w:val="2"/>
          <w:sz w:val="28"/>
          <w:szCs w:val="28"/>
          <w:highlight w:val="none"/>
          <w:lang w:val="en-GB" w:eastAsia="zh-CN" w:bidi="ar-SA"/>
        </w:rPr>
        <w:t>估价对象的土地所有权属国家所有</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546D4B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2.土地使用权状况：</w:t>
      </w:r>
      <w:r>
        <w:rPr>
          <w:rFonts w:hint="default" w:ascii="仿宋_GB2312" w:hAnsi="仿宋_GB2312" w:eastAsia="仿宋_GB2312" w:cs="仿宋_GB2312"/>
          <w:bCs/>
          <w:color w:val="auto"/>
          <w:kern w:val="2"/>
          <w:sz w:val="28"/>
          <w:szCs w:val="28"/>
          <w:highlight w:val="none"/>
          <w:lang w:val="en-GB" w:eastAsia="zh-CN" w:bidi="ar-SA"/>
        </w:rPr>
        <w:t>根据委托方提供的</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评估委托书</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和道县集中化解房地产办证信访突出问题工作领导小组办公室出具的《土地权属及性质证明》（2026年5月19日）</w:t>
      </w:r>
      <w:r>
        <w:rPr>
          <w:rFonts w:hint="default" w:ascii="仿宋_GB2312" w:hAnsi="仿宋_GB2312" w:eastAsia="仿宋_GB2312" w:cs="仿宋_GB2312"/>
          <w:bCs/>
          <w:color w:val="auto"/>
          <w:kern w:val="2"/>
          <w:sz w:val="28"/>
          <w:szCs w:val="28"/>
          <w:highlight w:val="none"/>
          <w:lang w:val="en-GB" w:eastAsia="zh-CN" w:bidi="ar-SA"/>
        </w:rPr>
        <w:t>，估价对象现为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用地；至估价期日，仍为</w:t>
      </w:r>
      <w:r>
        <w:rPr>
          <w:rFonts w:hint="eastAsia" w:ascii="仿宋_GB2312" w:hAnsi="仿宋_GB2312" w:eastAsia="仿宋_GB2312" w:cs="仿宋_GB2312"/>
          <w:bCs/>
          <w:color w:val="auto"/>
          <w:kern w:val="2"/>
          <w:sz w:val="28"/>
          <w:szCs w:val="28"/>
          <w:highlight w:val="none"/>
          <w:lang w:val="en-GB" w:eastAsia="zh-CN" w:bidi="ar-SA"/>
        </w:rPr>
        <w:t>划拨</w:t>
      </w:r>
      <w:r>
        <w:rPr>
          <w:rFonts w:hint="default" w:ascii="仿宋_GB2312" w:hAnsi="仿宋_GB2312" w:eastAsia="仿宋_GB2312" w:cs="仿宋_GB2312"/>
          <w:bCs/>
          <w:color w:val="auto"/>
          <w:kern w:val="2"/>
          <w:sz w:val="28"/>
          <w:szCs w:val="28"/>
          <w:highlight w:val="none"/>
          <w:lang w:val="en-GB" w:eastAsia="zh-CN" w:bidi="ar-SA"/>
        </w:rPr>
        <w:t>用地，使用年期为无年期限制。委托方拟按现状办理出让手续，</w:t>
      </w:r>
      <w:r>
        <w:rPr>
          <w:rFonts w:hint="eastAsia" w:ascii="仿宋_GB2312" w:hAnsi="仿宋_GB2312" w:eastAsia="仿宋_GB2312" w:cs="仿宋_GB2312"/>
          <w:bCs/>
          <w:color w:val="auto"/>
          <w:kern w:val="2"/>
          <w:sz w:val="28"/>
          <w:szCs w:val="28"/>
          <w:highlight w:val="none"/>
          <w:lang w:val="en-US" w:eastAsia="zh-CN" w:bidi="ar-SA"/>
        </w:rPr>
        <w:t>土地使用年期为70年，</w:t>
      </w:r>
      <w:r>
        <w:rPr>
          <w:rFonts w:hint="default" w:ascii="仿宋_GB2312" w:hAnsi="仿宋_GB2312" w:eastAsia="仿宋_GB2312" w:cs="仿宋_GB2312"/>
          <w:bCs/>
          <w:color w:val="auto"/>
          <w:kern w:val="2"/>
          <w:sz w:val="28"/>
          <w:szCs w:val="28"/>
          <w:highlight w:val="none"/>
          <w:lang w:val="en-GB" w:eastAsia="zh-CN" w:bidi="ar-SA"/>
        </w:rPr>
        <w:t>根据评估目的并结合国务院第55号令《中华人民共和国城镇国有土地使用权出让和转让暂行条例》</w:t>
      </w:r>
      <w:r>
        <w:rPr>
          <w:rFonts w:hint="eastAsia" w:ascii="仿宋_GB2312" w:hAnsi="仿宋_GB2312" w:eastAsia="仿宋_GB2312" w:cs="仿宋_GB2312"/>
          <w:bCs/>
          <w:color w:val="auto"/>
          <w:kern w:val="2"/>
          <w:sz w:val="28"/>
          <w:szCs w:val="28"/>
          <w:highlight w:val="none"/>
          <w:lang w:val="en-US" w:eastAsia="zh-CN" w:bidi="ar-SA"/>
        </w:rPr>
        <w:t>和《土地资产评估委托书》</w:t>
      </w:r>
      <w:r>
        <w:rPr>
          <w:rFonts w:hint="default" w:ascii="仿宋_GB2312" w:hAnsi="仿宋_GB2312" w:eastAsia="仿宋_GB2312" w:cs="仿宋_GB2312"/>
          <w:bCs/>
          <w:color w:val="auto"/>
          <w:kern w:val="2"/>
          <w:sz w:val="28"/>
          <w:szCs w:val="28"/>
          <w:highlight w:val="none"/>
          <w:lang w:val="en-GB" w:eastAsia="zh-CN" w:bidi="ar-SA"/>
        </w:rPr>
        <w:t>，本次评估设定土地用途为住宅用地，本次评估现状利用条件下的出让土地使用权价格的土地使用权年限为</w:t>
      </w:r>
      <w:r>
        <w:rPr>
          <w:rFonts w:hint="eastAsia" w:ascii="仿宋_GB2312" w:hAnsi="仿宋_GB2312" w:eastAsia="仿宋_GB2312" w:cs="仿宋_GB2312"/>
          <w:bCs/>
          <w:color w:val="auto"/>
          <w:kern w:val="2"/>
          <w:sz w:val="28"/>
          <w:szCs w:val="28"/>
          <w:highlight w:val="none"/>
          <w:lang w:val="en-US" w:eastAsia="zh-CN" w:bidi="ar-SA"/>
        </w:rPr>
        <w:t>70年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14B9A4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3.土地他项权利状况：根据委托估价方提供的资料，估价对象与相邻地地界分明，无地上地下相邻相关权利限制。至估价期日止，估价对象未设置抵押权、担保权、地役权、租赁权等他项权利限制。</w:t>
      </w:r>
    </w:p>
    <w:p w14:paraId="1DE068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4.相邻关系：估价对象权属清晰，四至界址明确，无权属纠纷，无相邻权利人道路通行权等相邻关系。</w:t>
      </w:r>
    </w:p>
    <w:p w14:paraId="616CAF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4D3BED0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14:paraId="07DAFF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3063C86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020BC7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30415247">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12" name="图片 12"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5A6BB49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13" name="图片 13"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1807ED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4F3EE4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C4C90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49F564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4B11E6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035041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值为最佳利用方式。</w:t>
      </w:r>
    </w:p>
    <w:p w14:paraId="12FEE7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C8972B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highlight w:val="none"/>
          <w:lang w:val="en-US" w:eastAsia="zh-CN"/>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16EA5CF">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US" w:eastAsia="zh-CN"/>
        </w:rPr>
      </w:pPr>
      <w:r>
        <w:rPr>
          <w:rFonts w:hint="eastAsia" w:ascii="仿宋_GB2312" w:hAnsi="仿宋_GB2312" w:eastAsia="仿宋_GB2312" w:cs="仿宋_GB2312"/>
          <w:b/>
          <w:bCs w:val="0"/>
          <w:color w:val="auto"/>
          <w:sz w:val="28"/>
          <w:szCs w:val="28"/>
          <w:highlight w:val="none"/>
          <w:lang w:val="en-US" w:eastAsia="zh-CN"/>
        </w:rPr>
        <w:t>四</w:t>
      </w:r>
      <w:r>
        <w:rPr>
          <w:rFonts w:hint="default" w:ascii="仿宋_GB2312" w:hAnsi="仿宋_GB2312" w:eastAsia="仿宋_GB2312" w:cs="仿宋_GB2312"/>
          <w:b/>
          <w:bCs w:val="0"/>
          <w:color w:val="auto"/>
          <w:sz w:val="28"/>
          <w:szCs w:val="28"/>
          <w:highlight w:val="none"/>
          <w:lang w:val="en-US" w:eastAsia="zh-CN"/>
        </w:rPr>
        <w:t>、地价影响因素分析</w:t>
      </w:r>
    </w:p>
    <w:p w14:paraId="0FAB045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2"/>
        <w:rPr>
          <w:rFonts w:hint="default" w:ascii="仿宋_GB2312" w:hAnsi="仿宋_GB2312" w:eastAsia="仿宋_GB2312" w:cs="仿宋_GB2312"/>
          <w:bCs/>
          <w:color w:val="auto"/>
          <w:sz w:val="28"/>
          <w:szCs w:val="28"/>
          <w:highlight w:val="none"/>
          <w:lang w:val="en-US" w:eastAsia="zh-CN"/>
        </w:rPr>
      </w:pPr>
      <w:r>
        <w:rPr>
          <w:rFonts w:hint="default" w:ascii="仿宋_GB2312" w:hAnsi="仿宋_GB2312" w:eastAsia="仿宋_GB2312" w:cs="仿宋_GB2312"/>
          <w:bCs/>
          <w:color w:val="auto"/>
          <w:sz w:val="28"/>
          <w:szCs w:val="28"/>
          <w:highlight w:val="none"/>
          <w:lang w:val="en-US" w:eastAsia="zh-CN"/>
        </w:rPr>
        <w:t>（一）一般因素</w:t>
      </w:r>
    </w:p>
    <w:p w14:paraId="21FCCC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7A097D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1438B74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16E4DD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1EBC4F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8FC76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08AF2A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55DDDD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66E6D9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694F50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593E53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58A1E2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7F84F4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003706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078961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4AAC2D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2月8日，道县第三次国土调查结果经县政府、永州市“三调”办审议并原则同意后，道县第三次国土调查领导小组办公室、道县自然资源局、道县统计局印发了《道县第三次国土调查主要数据公报》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主要地类数据如下：</w:t>
      </w:r>
    </w:p>
    <w:p w14:paraId="736A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482094.830亩(32139.50公顷),占比74.832%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8776B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亩(13.97公顷),占比0.06%;其他园地170854.835亩(11390.17公顷),占比50.62%。总体来看，园地主要分布在祥霖铺镇、审章塘瑶族乡、白芒铺镇、柑子园镇、蚣坝镇、白马渡镇、东门街道和上关街道等。</w:t>
      </w:r>
    </w:p>
    <w:p w14:paraId="5BBC74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4C44A2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53E8C5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5D9315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538103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E6B57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37CD6F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4FF5A2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2F097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C442B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72240E5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6806FC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616591A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160AAB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48591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2593C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57D3460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6288F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1E7A7E6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009F74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2297251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6C2A5E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777D9F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F39CC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DCE95F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17AE4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1EA7BC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5624A46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476D47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0F03E9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36DDB8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2020年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8月18</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人民政府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66DDB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47C8F71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4B28DB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38FD60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1E3CEF9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7D535F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43037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73944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235500BC">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12"/>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59797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43A8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BD78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9BEBE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4FCE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2A2CE8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BF54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B847F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BABE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C73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4F52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DE2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03EC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6863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33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9DBC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2EA1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C4C5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EFC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CBA1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548CBF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3B2DB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A8A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08F79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FC66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5724E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B588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31BC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D4AF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22D50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3ED1A8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0DF83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20FB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3349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501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767604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8613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1F2E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C8DD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D615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32BA59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929F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0050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CC6C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EDEF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187122C">
      <w:pPr>
        <w:pStyle w:val="11"/>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607F7C95">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8255" b="14605"/>
            <wp:docPr id="1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19D77C7B">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0524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5052A3A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6C51614D">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28C572CF">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DF6B3A6">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14605" b="3810"/>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22"/>
                    <a:stretch>
                      <a:fillRect/>
                    </a:stretch>
                  </pic:blipFill>
                  <pic:spPr>
                    <a:xfrm>
                      <a:off x="0" y="0"/>
                      <a:ext cx="5757545" cy="2015490"/>
                    </a:xfrm>
                    <a:prstGeom prst="rect">
                      <a:avLst/>
                    </a:prstGeom>
                    <a:noFill/>
                    <a:ln>
                      <a:noFill/>
                    </a:ln>
                  </pic:spPr>
                </pic:pic>
              </a:graphicData>
            </a:graphic>
          </wp:inline>
        </w:drawing>
      </w:r>
    </w:p>
    <w:p w14:paraId="6A641D7B">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0112E74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6350" b="23495"/>
            <wp:docPr id="18"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3114BD7">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340D3C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6CBC7B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0CCC61A7">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49DE1016">
      <w:pPr>
        <w:pStyle w:val="18"/>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12"/>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6309FB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E221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439352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F54F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0900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303BFC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AF48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BF12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74AA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2B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7F78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D6390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0E9D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FA87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8BD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EDC9A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84F165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B42B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BDDD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2E2C0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328F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74D6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AAC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AE7A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45212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D3E92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D4A2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6C3E2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E952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914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60B68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11C3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09514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36BD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BB58C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7D7FD0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0BEDB29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2128B3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20A22A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631E143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3834C2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4D1BD16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D13409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41E44B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458383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5FBF828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485ECD3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462416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622EC00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0A7B46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26C934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33822BF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4F253D9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0C05CB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4F413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278850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6C2A35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8D63F2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666A03F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0D7AA0F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944751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3E35A85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FAC6068">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AA216A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2023年5月，道县人民政府关于印发《道县进一步促进房地产市场平稳健康发展的十条措施》的通知，结合道县实际，制定十条措施保障房地产市场健康发展：</w:t>
      </w:r>
    </w:p>
    <w:p w14:paraId="6A8A259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03E2D4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6DE645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1A1E4FB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08C04C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23908F8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6540CCB3">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1EFFB4A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06E4F80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7AAB65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A2436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37708E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000247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7ED46D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7078261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0AD87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640F5B5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53830E4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767DAE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60AC37D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406018D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46BD2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89FCB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480A5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74B2A3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20859E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4D0AF7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5C3799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948D20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60EF47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6927D6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61BE60D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51D006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3054DC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DF87D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0A7A321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2342EB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3AA45E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2D63592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321ED59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D1E66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719733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0EB535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4BB88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4FDBD8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0AB5FD4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79C57D1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253BCF2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7F8C48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02DCAF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F791F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70565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纳税人：缴纳增值税、消费税的单位和个人，按2%计征；</w:t>
      </w:r>
    </w:p>
    <w:p w14:paraId="5313A9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41BC51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64F17C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2CE39F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52E2A6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86DBAE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21E4C7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20635A3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399F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0AB3F45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40328A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1691F6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7BD86C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2774BB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36E244F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487E29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867AF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64BA33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4BB199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14.83%计入应纳税所得额，按20%的税率缴纳企业所得税（税负4.83％）；对年应纳税所得额超过100万元但不超过300万元的部分，减按50%计入应纳税所得额，按20%的税率缴纳企业所得税（税负10％）。</w:t>
      </w:r>
    </w:p>
    <w:p w14:paraId="075245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5F2356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18F755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3C0BEBE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35BFBC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64B8CA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4CBB4F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6DA9DCA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36544FF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74708D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1FDD729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175A9C0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22FE18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76CC4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8D3FE3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045013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用水平显著提高；重点环境问题得到有效整治，城乡污水处理、生活垃圾分类无害化处理实现全覆盖，生态环境持续改善，生态安全屏障更加牢固，城乡人居环境明显改善；“江湾映城、山水相融”的城市空间格局基本形成，民生设施建设取得显著成效，乡村地区基本实现集约发展，传统历史文化得到保护、传承和弘扬；现代化产业体系初具规模，科技创新能力显著增强，对外开放与区域协同水平全面提升，成为湘粤桂交汇区经济发展的核心引擎。</w:t>
      </w:r>
    </w:p>
    <w:p w14:paraId="6BF7B0C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7CE62EC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0C9FD18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9207B4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69EAD42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35746D8">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058BD9B9">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根据道县人民政府网发布的消息，道县目前城市经济布局主要突出以下几个方面：</w:t>
      </w:r>
    </w:p>
    <w:p w14:paraId="533ECCB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21608E46">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动火车站片区、物流园片区组团滚动发展，打造南部现代物流新城。以潇水为发展纵轴，以营阳大道（G207 道县绕城公路）、树湘大道为环线，突出上关片区开发建设，加快路网成型，产业导入，打造东部文化生态新城。</w:t>
      </w:r>
    </w:p>
    <w:p w14:paraId="55579C6D">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62FF409">
      <w:pPr>
        <w:pStyle w:val="11"/>
        <w:keepNext w:val="0"/>
        <w:keepLines w:val="0"/>
        <w:pageBreakBefore w:val="0"/>
        <w:widowControl w:val="0"/>
        <w:kinsoku/>
        <w:wordWrap/>
        <w:overflowPunct/>
        <w:topLinePunct w:val="0"/>
        <w:autoSpaceDE w:val="0"/>
        <w:autoSpaceDN w:val="0"/>
        <w:bidi w:val="0"/>
        <w:adjustRightInd w:val="0"/>
        <w:snapToGrid w:val="0"/>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质增效。完善产业平台配套设施。培育城区内生增长动力和 “造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2337220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668FF5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1F5D2E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2个百分点。2024年非公有制经济增加值189.73亿元，比上年增长7.3%，占地区生产总值的比重为64.58%，比上年提高1.18个百分点。</w:t>
      </w:r>
    </w:p>
    <w:p w14:paraId="36CCA48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01021B77">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0055A29D">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167E31BC">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40306E1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2627CDF8">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736F599F">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87FCE49">
      <w:pPr>
        <w:pStyle w:val="11"/>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48763A0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122BBF40">
      <w:pPr>
        <w:keepNext w:val="0"/>
        <w:keepLines w:val="0"/>
        <w:pageBreakBefore w:val="0"/>
        <w:widowControl w:val="0"/>
        <w:numPr>
          <w:ilvl w:val="0"/>
          <w:numId w:val="0"/>
        </w:numPr>
        <w:tabs>
          <w:tab w:val="left" w:pos="834"/>
          <w:tab w:val="center" w:pos="4493"/>
        </w:tabs>
        <w:kinsoku/>
        <w:wordWrap/>
        <w:overflowPunct/>
        <w:topLinePunct w:val="0"/>
        <w:autoSpaceDE/>
        <w:autoSpaceDN/>
        <w:bidi w:val="0"/>
        <w:adjustRightInd w:val="0"/>
        <w:snapToGrid w:val="0"/>
        <w:spacing w:line="480" w:lineRule="exact"/>
        <w:ind w:firstLine="560" w:firstLineChars="200"/>
        <w:jc w:val="left"/>
        <w:textAlignment w:val="auto"/>
        <w:outlineLvl w:val="2"/>
        <w:rPr>
          <w:rFonts w:hint="eastAsia" w:ascii="仿宋_GB2312" w:hAnsi="仿宋_GB2312" w:eastAsia="仿宋_GB2312" w:cs="仿宋_GB2312"/>
          <w:bCs/>
          <w:color w:val="auto"/>
          <w:sz w:val="28"/>
          <w:szCs w:val="28"/>
          <w:highlight w:val="none"/>
          <w:lang w:val="en-US" w:eastAsia="zh-CN"/>
        </w:rPr>
      </w:pPr>
      <w:r>
        <w:rPr>
          <w:rFonts w:hint="eastAsia" w:ascii="仿宋_GB2312" w:hAnsi="仿宋_GB2312" w:eastAsia="仿宋_GB2312" w:cs="仿宋_GB2312"/>
          <w:bCs/>
          <w:color w:val="auto"/>
          <w:kern w:val="2"/>
          <w:sz w:val="28"/>
          <w:szCs w:val="28"/>
          <w:highlight w:val="none"/>
          <w:lang w:val="en-US" w:eastAsia="zh-CN" w:bidi="ar-SA"/>
        </w:rPr>
        <w:t>（二）</w:t>
      </w:r>
      <w:r>
        <w:rPr>
          <w:rFonts w:hint="eastAsia" w:ascii="仿宋_GB2312" w:hAnsi="仿宋_GB2312" w:eastAsia="仿宋_GB2312" w:cs="仿宋_GB2312"/>
          <w:bCs/>
          <w:color w:val="auto"/>
          <w:sz w:val="28"/>
          <w:szCs w:val="28"/>
          <w:highlight w:val="none"/>
          <w:lang w:val="en-US" w:eastAsia="zh-CN"/>
        </w:rPr>
        <w:t>区域因素</w:t>
      </w:r>
    </w:p>
    <w:p w14:paraId="455CC94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hAnsi="仿宋_GB2312" w:eastAsia="仿宋_GB2312" w:cs="仿宋_GB2312"/>
          <w:sz w:val="28"/>
          <w:highlight w:val="none"/>
          <w:lang w:val="en-US" w:eastAsia="zh-CN"/>
        </w:rPr>
        <w:t>影响</w:t>
      </w:r>
      <w:r>
        <w:rPr>
          <w:rFonts w:hint="eastAsia" w:ascii="仿宋_GB2312" w:eastAsia="仿宋_GB2312"/>
          <w:sz w:val="28"/>
          <w:szCs w:val="30"/>
          <w:highlight w:val="none"/>
          <w:lang w:val="en-US" w:eastAsia="zh-CN"/>
        </w:rPr>
        <w:t>估价对象的区域因素主要有：区域概况、交通条件、基础设施条件、环境条件、商服繁华情况、规划限制等。</w:t>
      </w:r>
    </w:p>
    <w:p w14:paraId="0E27028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1.区域概况</w:t>
      </w:r>
    </w:p>
    <w:p w14:paraId="0C42778F">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lang w:val="en-US" w:eastAsia="zh-CN"/>
        </w:rPr>
        <w:t xml:space="preserve">（1）区域位置  </w:t>
      </w:r>
    </w:p>
    <w:p w14:paraId="01B5AC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eastAsia="仿宋_GB2312"/>
          <w:sz w:val="28"/>
          <w:szCs w:val="30"/>
          <w:highlight w:val="none"/>
        </w:rPr>
        <w:t>①区域位置、级别及人口：估价对象位于</w:t>
      </w:r>
      <w:r>
        <w:rPr>
          <w:rFonts w:hint="eastAsia" w:ascii="仿宋_GB2312" w:eastAsia="仿宋_GB2312"/>
          <w:sz w:val="28"/>
          <w:szCs w:val="30"/>
          <w:highlight w:val="none"/>
          <w:lang w:val="en-US" w:eastAsia="zh-CN"/>
        </w:rPr>
        <w:t>道县状元路以北、潇水北路以西</w:t>
      </w:r>
      <w:r>
        <w:rPr>
          <w:rFonts w:hint="eastAsia" w:ascii="仿宋_GB2312" w:eastAsia="仿宋_GB2312"/>
          <w:sz w:val="28"/>
          <w:szCs w:val="30"/>
          <w:highlight w:val="none"/>
        </w:rPr>
        <w:t>，道县辖7个街道、12个镇、3个乡。县政府驻濂溪街道寇公街66号。截至2023年末，道县常住人口57.40万人。</w:t>
      </w:r>
    </w:p>
    <w:p w14:paraId="6648025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rPr>
      </w:pPr>
      <w:r>
        <w:rPr>
          <w:rFonts w:hint="eastAsia" w:ascii="仿宋_GB2312" w:hAnsi="Times New Roman" w:eastAsia="仿宋_GB2312" w:cs="Times New Roman"/>
          <w:sz w:val="28"/>
          <w:szCs w:val="30"/>
          <w:highlight w:val="none"/>
          <w:lang w:val="en-US" w:eastAsia="zh-CN"/>
        </w:rPr>
        <w:t>②土地级别：</w:t>
      </w:r>
      <w:r>
        <w:rPr>
          <w:rFonts w:hint="eastAsia" w:ascii="仿宋_GB2312" w:eastAsia="仿宋_GB2312"/>
          <w:color w:val="000000"/>
          <w:sz w:val="28"/>
          <w:highlight w:val="none"/>
        </w:rPr>
        <w:t>道县城镇基准地价的颁布实施时间为2019年11月22日，批准文号为道政函〔2019〕85号,文件名称为《关于更新城区基准地价和制订11个建制镇基准地价的通告》（道政函〔2019〕85号，2019年11月22日），批准机关为道县人民政府，估价期日为2019年5月1日，距估价期日超过六年</w:t>
      </w:r>
      <w:r>
        <w:rPr>
          <w:rFonts w:hint="eastAsia" w:ascii="仿宋_GB2312" w:eastAsia="仿宋_GB2312"/>
          <w:color w:val="000000"/>
          <w:sz w:val="28"/>
          <w:highlight w:val="none"/>
          <w:lang w:eastAsia="zh-CN"/>
        </w:rPr>
        <w:t>，</w:t>
      </w:r>
      <w:r>
        <w:rPr>
          <w:rFonts w:hint="eastAsia" w:ascii="仿宋_GB2312" w:eastAsia="仿宋_GB2312"/>
          <w:color w:val="000000"/>
          <w:sz w:val="28"/>
          <w:highlight w:val="none"/>
          <w:lang w:val="en-US" w:eastAsia="zh-CN"/>
        </w:rPr>
        <w:t>故暂无土地级别信息</w:t>
      </w:r>
      <w:r>
        <w:rPr>
          <w:rFonts w:hint="eastAsia" w:ascii="仿宋_GB2312" w:hAnsi="Times New Roman" w:eastAsia="仿宋_GB2312" w:cs="Times New Roman"/>
          <w:sz w:val="28"/>
          <w:szCs w:val="30"/>
          <w:highlight w:val="none"/>
          <w:lang w:val="en-US" w:eastAsia="zh-CN"/>
        </w:rPr>
        <w:t>。</w:t>
      </w:r>
    </w:p>
    <w:p w14:paraId="13A42AE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Times New Roman" w:eastAsia="仿宋_GB2312" w:cs="Times New Roman"/>
          <w:sz w:val="28"/>
          <w:szCs w:val="30"/>
          <w:highlight w:val="none"/>
          <w:lang w:val="en-US" w:eastAsia="zh-CN"/>
        </w:rPr>
        <w:t>③</w:t>
      </w:r>
      <w:r>
        <w:rPr>
          <w:rFonts w:hint="eastAsia" w:ascii="仿宋_GB2312" w:hAnsi="Times New Roman" w:eastAsia="仿宋_GB2312" w:cs="Times New Roman"/>
          <w:sz w:val="28"/>
          <w:szCs w:val="30"/>
          <w:highlight w:val="none"/>
        </w:rPr>
        <w:t>经济发展：</w:t>
      </w:r>
      <w:r>
        <w:rPr>
          <w:rFonts w:hint="eastAsia" w:ascii="仿宋_GB2312" w:eastAsia="仿宋_GB2312" w:cs="Times New Roman"/>
          <w:sz w:val="28"/>
          <w:szCs w:val="30"/>
          <w:highlight w:val="none"/>
          <w:lang w:val="en-US" w:eastAsia="zh-CN"/>
        </w:rPr>
        <w:t>2024年道县</w:t>
      </w:r>
      <w:r>
        <w:rPr>
          <w:rFonts w:hint="eastAsia" w:ascii="仿宋_GB2312" w:hAnsi="Times New Roman" w:eastAsia="仿宋_GB2312" w:cs="Times New Roman"/>
          <w:sz w:val="28"/>
          <w:szCs w:val="30"/>
          <w:highlight w:val="none"/>
        </w:rPr>
        <w:t>主要经济指标继续保持全市第一方阵，全年完成地区生产总值293.81亿元，增长7.0%。规模工业增加值增长14.0%，固定资产投资增长8.1%，社会消费品零售总额增长6.9%，地方一般公共预算收入完成14.6亿元。县域经济高质量发展在全省同类同档县中排名前列。进出口总额完成19.1亿元，增幅排名全市第1</w:t>
      </w:r>
      <w:r>
        <w:rPr>
          <w:rFonts w:hint="eastAsia" w:ascii="仿宋_GB2312" w:eastAsia="仿宋_GB2312"/>
          <w:sz w:val="28"/>
          <w:szCs w:val="30"/>
          <w:highlight w:val="none"/>
        </w:rPr>
        <w:t>。</w:t>
      </w:r>
    </w:p>
    <w:p w14:paraId="3CEB88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eastAsia="zh-CN"/>
        </w:rPr>
      </w:pPr>
      <w:r>
        <w:rPr>
          <w:rFonts w:hint="eastAsia" w:ascii="仿宋_GB2312" w:eastAsia="仿宋_GB2312"/>
          <w:sz w:val="28"/>
          <w:szCs w:val="30"/>
          <w:highlight w:val="none"/>
          <w:lang w:val="en-US" w:eastAsia="zh-CN"/>
        </w:rPr>
        <w:t>④</w:t>
      </w:r>
      <w:r>
        <w:rPr>
          <w:rFonts w:hint="eastAsia" w:ascii="仿宋_GB2312" w:eastAsia="仿宋_GB2312"/>
          <w:sz w:val="28"/>
          <w:szCs w:val="30"/>
          <w:highlight w:val="none"/>
        </w:rPr>
        <w:t>区位优势</w:t>
      </w:r>
      <w:r>
        <w:rPr>
          <w:rFonts w:hint="eastAsia" w:ascii="仿宋_GB2312" w:hAnsi="Times New Roman" w:eastAsia="仿宋_GB2312" w:cs="Times New Roman"/>
          <w:sz w:val="28"/>
          <w:szCs w:val="30"/>
          <w:highlight w:val="none"/>
        </w:rPr>
        <w:t>：道县处于湘粤桂三省交汇区</w:t>
      </w:r>
      <w:r>
        <w:rPr>
          <w:rFonts w:hint="eastAsia" w:ascii="仿宋_GB2312" w:hAnsi="Times New Roman" w:eastAsia="仿宋_GB2312" w:cs="Times New Roman"/>
          <w:sz w:val="28"/>
          <w:szCs w:val="30"/>
          <w:highlight w:val="none"/>
          <w:lang w:eastAsia="zh-CN"/>
        </w:rPr>
        <w:t>，是全省以至中部地区对接东盟，融入泛珠三角经济圈、泛北部湾经济圈的重要节点城市。近年来，道县依托独特的区位优势、地理环境和资源禀赋，坚持以新型城镇化的大突破，带动新型工业化、农业现代化的大发展，县域经济突飞猛进，连续多年被评为湖南省县域经济发展先进县。城市现代服务业异军突起，肯德基、苏宁电器、碧桂园等国际国内知名品牌企业纷纷抢滩登陆。文化旅游蓬勃发展，理学文化旅游节品牌效应凸显，以濂溪文化景区为龙头的全域旅游开发建设风生水起。道县被评为中华诗词之乡、中国龙舟之乡，道县入选湖南省旅游资源重点县，清塘镇纳入湖南省特色旅游小镇名录。是湘南国家级承接产业转移示范区核心区、全国加工贸易梯度转移重点承接地、全国粮食生产先进县、全国厚朴生产基地县、全国生猪生产调出大县、全国能繁母牛养殖示范县、全国蔬菜产业重点县、全国生态文明先进县和中国脐橙之乡。</w:t>
      </w:r>
    </w:p>
    <w:p w14:paraId="147867F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Times New Roman" w:eastAsia="仿宋_GB2312" w:cs="Times New Roman"/>
          <w:sz w:val="28"/>
          <w:szCs w:val="30"/>
          <w:highlight w:val="none"/>
          <w:lang w:val="en-US" w:eastAsia="zh-CN"/>
        </w:rPr>
      </w:pPr>
      <w:r>
        <w:rPr>
          <w:rFonts w:hint="eastAsia" w:ascii="仿宋_GB2312" w:hAnsi="Times New Roman" w:eastAsia="仿宋_GB2312" w:cs="Times New Roman"/>
          <w:sz w:val="28"/>
          <w:szCs w:val="30"/>
          <w:highlight w:val="none"/>
          <w:lang w:val="en-US" w:eastAsia="zh-CN"/>
        </w:rPr>
        <w:t>2.交通条件</w:t>
      </w:r>
    </w:p>
    <w:p w14:paraId="1A6C867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（1）区域内公共交通状况</w:t>
      </w:r>
    </w:p>
    <w:p w14:paraId="6E2AD22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color w:val="auto"/>
          <w:sz w:val="28"/>
          <w:szCs w:val="28"/>
          <w:highlight w:val="none"/>
        </w:rPr>
        <w:t>估价对象区域内有</w:t>
      </w:r>
      <w:r>
        <w:rPr>
          <w:rFonts w:hint="eastAsia" w:ascii="仿宋_GB2312" w:hAnsi="仿宋_GB2312" w:eastAsia="仿宋_GB2312" w:cs="仿宋_GB2312"/>
          <w:snapToGrid w:val="0"/>
          <w:color w:val="auto"/>
          <w:sz w:val="28"/>
          <w:szCs w:val="28"/>
          <w:highlight w:val="none"/>
          <w:lang w:val="en-US" w:eastAsia="zh-CN"/>
        </w:rPr>
        <w:t>月岩西路、道州中路、文化路</w:t>
      </w:r>
      <w:r>
        <w:rPr>
          <w:rFonts w:hint="eastAsia" w:ascii="仿宋_GB2312" w:hAnsi="仿宋_GB2312" w:eastAsia="仿宋_GB2312" w:cs="仿宋_GB2312"/>
          <w:snapToGrid w:val="0"/>
          <w:color w:val="auto"/>
          <w:sz w:val="28"/>
          <w:szCs w:val="28"/>
          <w:highlight w:val="none"/>
        </w:rPr>
        <w:t>等城市主、次干道，距离</w:t>
      </w:r>
      <w:r>
        <w:rPr>
          <w:rFonts w:hint="eastAsia" w:ascii="仿宋_GB2312" w:hAnsi="仿宋_GB2312" w:eastAsia="仿宋_GB2312" w:cs="仿宋_GB2312"/>
          <w:snapToGrid w:val="0"/>
          <w:color w:val="auto"/>
          <w:sz w:val="28"/>
          <w:szCs w:val="28"/>
          <w:highlight w:val="none"/>
          <w:lang w:val="en-US" w:eastAsia="zh-CN"/>
        </w:rPr>
        <w:t>道州新车站</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680</w:t>
      </w:r>
      <w:r>
        <w:rPr>
          <w:rFonts w:hint="eastAsia" w:ascii="仿宋_GB2312" w:hAnsi="仿宋_GB2312" w:eastAsia="仿宋_GB2312" w:cs="仿宋_GB2312"/>
          <w:snapToGrid w:val="0"/>
          <w:color w:val="auto"/>
          <w:sz w:val="28"/>
          <w:szCs w:val="28"/>
          <w:highlight w:val="none"/>
        </w:rPr>
        <w:t>米，距离</w:t>
      </w:r>
      <w:r>
        <w:rPr>
          <w:rFonts w:hint="eastAsia" w:ascii="仿宋_GB2312" w:hAnsi="仿宋_GB2312" w:eastAsia="仿宋_GB2312" w:cs="仿宋_GB2312"/>
          <w:snapToGrid w:val="0"/>
          <w:color w:val="auto"/>
          <w:sz w:val="28"/>
          <w:szCs w:val="28"/>
          <w:highlight w:val="none"/>
          <w:lang w:val="en-US" w:eastAsia="zh-CN"/>
        </w:rPr>
        <w:t>零道高速出入口</w:t>
      </w:r>
      <w:r>
        <w:rPr>
          <w:rFonts w:hint="eastAsia" w:ascii="仿宋_GB2312" w:hAnsi="仿宋_GB2312" w:eastAsia="仿宋_GB2312" w:cs="仿宋_GB2312"/>
          <w:snapToGrid w:val="0"/>
          <w:color w:val="auto"/>
          <w:sz w:val="28"/>
          <w:szCs w:val="28"/>
          <w:highlight w:val="none"/>
        </w:rPr>
        <w:t>约</w:t>
      </w:r>
      <w:r>
        <w:rPr>
          <w:rFonts w:hint="eastAsia" w:ascii="仿宋_GB2312" w:hAnsi="仿宋_GB2312" w:eastAsia="仿宋_GB2312" w:cs="仿宋_GB2312"/>
          <w:snapToGrid w:val="0"/>
          <w:color w:val="auto"/>
          <w:sz w:val="28"/>
          <w:szCs w:val="28"/>
          <w:highlight w:val="none"/>
          <w:lang w:val="en-US" w:eastAsia="zh-CN"/>
        </w:rPr>
        <w:t>4900</w:t>
      </w:r>
      <w:r>
        <w:rPr>
          <w:rFonts w:hint="eastAsia" w:ascii="仿宋_GB2312" w:hAnsi="仿宋_GB2312" w:eastAsia="仿宋_GB2312" w:cs="仿宋_GB2312"/>
          <w:snapToGrid w:val="0"/>
          <w:color w:val="auto"/>
          <w:sz w:val="28"/>
          <w:szCs w:val="28"/>
          <w:highlight w:val="none"/>
        </w:rPr>
        <w:t>米，区域内交通便捷度</w:t>
      </w:r>
      <w:r>
        <w:rPr>
          <w:rFonts w:hint="eastAsia" w:ascii="仿宋_GB2312" w:hAnsi="仿宋_GB2312" w:eastAsia="仿宋_GB2312" w:cs="仿宋_GB2312"/>
          <w:snapToGrid w:val="0"/>
          <w:color w:val="auto"/>
          <w:sz w:val="28"/>
          <w:szCs w:val="28"/>
          <w:highlight w:val="none"/>
          <w:lang w:val="en-US" w:eastAsia="zh-CN"/>
        </w:rPr>
        <w:t>较高</w:t>
      </w:r>
      <w:r>
        <w:rPr>
          <w:rFonts w:hint="eastAsia" w:ascii="仿宋_GB2312" w:eastAsia="仿宋_GB2312"/>
          <w:sz w:val="28"/>
          <w:szCs w:val="30"/>
          <w:highlight w:val="none"/>
        </w:rPr>
        <w:t>。</w:t>
      </w:r>
    </w:p>
    <w:p w14:paraId="55FF7A9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（2）对外交通条件</w:t>
      </w:r>
    </w:p>
    <w:p w14:paraId="4B43D0D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eastAsia="仿宋_GB2312"/>
          <w:sz w:val="28"/>
          <w:szCs w:val="30"/>
          <w:highlight w:val="none"/>
        </w:rPr>
      </w:pPr>
      <w:r>
        <w:rPr>
          <w:rFonts w:hint="eastAsia" w:ascii="仿宋_GB2312" w:hAnsi="仿宋_GB2312" w:eastAsia="仿宋_GB2312" w:cs="仿宋_GB2312"/>
          <w:bCs/>
          <w:sz w:val="28"/>
          <w:szCs w:val="28"/>
          <w:highlight w:val="none"/>
          <w:lang w:val="en-US" w:eastAsia="zh-CN"/>
        </w:rPr>
        <w:t>①公路：</w:t>
      </w:r>
      <w:r>
        <w:rPr>
          <w:rFonts w:hint="eastAsia" w:ascii="仿宋_GB2312" w:eastAsia="仿宋_GB2312"/>
          <w:sz w:val="28"/>
          <w:szCs w:val="30"/>
          <w:highlight w:val="none"/>
        </w:rPr>
        <w:t>区域的外联道路主要有</w:t>
      </w:r>
      <w:r>
        <w:rPr>
          <w:rFonts w:hint="eastAsia" w:ascii="仿宋_GB2312" w:eastAsia="仿宋_GB2312"/>
          <w:sz w:val="28"/>
          <w:szCs w:val="30"/>
          <w:highlight w:val="none"/>
          <w:lang w:val="en-US" w:eastAsia="zh-CN"/>
        </w:rPr>
        <w:t>G207、G357</w:t>
      </w:r>
      <w:r>
        <w:rPr>
          <w:rFonts w:hint="eastAsia" w:ascii="仿宋_GB2312" w:eastAsia="仿宋_GB2312"/>
          <w:sz w:val="28"/>
          <w:szCs w:val="30"/>
          <w:highlight w:val="none"/>
        </w:rPr>
        <w:t>等干线交会，为区域内对外开放奠定了良好的基础，区位优势明显，交通十分便利。</w:t>
      </w:r>
    </w:p>
    <w:p w14:paraId="77B84EB5">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②铁路：道州火车站主要线路为益湛铁路，估价对象所在区域中心距离该火车站约1500m。</w:t>
      </w:r>
    </w:p>
    <w:p w14:paraId="1599A82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③高铁：估价对象区域距永州高铁站约104.5km。</w:t>
      </w:r>
    </w:p>
    <w:p w14:paraId="716F5D51">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④航空：估价对象区域距离最近的机场为永州零陵机场约91.6km。</w:t>
      </w:r>
    </w:p>
    <w:p w14:paraId="614A8A00">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⑤水运：道县区域境内主要河流为潇水，水位较浅，未形成水运条件，水运主要依托长沙湘江流域。</w:t>
      </w:r>
    </w:p>
    <w:p w14:paraId="2223A9C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3.基础设施和市政公用设施</w:t>
      </w:r>
    </w:p>
    <w:p w14:paraId="6413D67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（1）供电：区域内接市政双回路110KV供电管网，供电保证率高。</w:t>
      </w:r>
    </w:p>
    <w:p w14:paraId="0C37BD8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（2）通讯：区域内通讯与市政通讯网相联，通讯线路以地下管道为主，辅以架空线路，通讯线路畅通，区内已实现移动电话全国漫游，区内全面铺设了高速宽带通讯光缆。</w:t>
      </w:r>
    </w:p>
    <w:p w14:paraId="4F60E91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（3）给水：区域内供水主要来自区内的市政供水。自来水供应管道标准φ1000mm、φ800mm、φ600mm，供水保证率高。</w:t>
      </w:r>
    </w:p>
    <w:p w14:paraId="7667A5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（4）排水：区内排水为雨污分流方式，排污管沿主要道路铺设，以污水处理厂为终结，市政排水体系完备。</w:t>
      </w:r>
    </w:p>
    <w:p w14:paraId="31206B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（5）通气：/。</w:t>
      </w:r>
    </w:p>
    <w:p w14:paraId="5869B9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（6）供暖：/。</w:t>
      </w:r>
    </w:p>
    <w:p w14:paraId="095609A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4.环境条件</w:t>
      </w:r>
    </w:p>
    <w:p w14:paraId="29A29B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（1）人文环境</w:t>
      </w:r>
    </w:p>
    <w:p w14:paraId="3D5C1C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hAnsi="仿宋_GB2312" w:eastAsia="仿宋_GB2312" w:cs="仿宋_GB2312"/>
          <w:snapToGrid w:val="0"/>
          <w:sz w:val="28"/>
          <w:szCs w:val="28"/>
          <w:highlight w:val="none"/>
        </w:rPr>
        <w:t>区域内有居民受教育程度较好，人文环境较好</w:t>
      </w:r>
      <w:r>
        <w:rPr>
          <w:rFonts w:hint="eastAsia" w:ascii="仿宋_GB2312" w:eastAsia="仿宋_GB2312"/>
          <w:sz w:val="28"/>
          <w:szCs w:val="30"/>
          <w:highlight w:val="none"/>
        </w:rPr>
        <w:t>。</w:t>
      </w:r>
    </w:p>
    <w:p w14:paraId="032BC13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sz w:val="28"/>
          <w:szCs w:val="30"/>
          <w:highlight w:val="none"/>
        </w:rPr>
      </w:pPr>
      <w:r>
        <w:rPr>
          <w:rFonts w:hint="eastAsia" w:ascii="仿宋_GB2312" w:eastAsia="仿宋_GB2312"/>
          <w:sz w:val="28"/>
          <w:szCs w:val="30"/>
          <w:highlight w:val="none"/>
        </w:rPr>
        <w:t>（2）自然环境</w:t>
      </w:r>
    </w:p>
    <w:p w14:paraId="7ADF27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eastAsia="仿宋_GB2312"/>
          <w:sz w:val="28"/>
          <w:szCs w:val="30"/>
          <w:highlight w:val="none"/>
          <w:lang w:val="en-US" w:eastAsia="zh-CN"/>
        </w:rPr>
      </w:pPr>
      <w:r>
        <w:rPr>
          <w:rFonts w:hint="eastAsia" w:ascii="仿宋_GB2312" w:eastAsia="仿宋_GB2312"/>
          <w:sz w:val="28"/>
          <w:szCs w:val="30"/>
          <w:highlight w:val="none"/>
        </w:rPr>
        <w:t>宗地所在区域，地质条件较好，宗地无异常地质现象，地基承载力</w:t>
      </w:r>
      <w:r>
        <w:rPr>
          <w:rFonts w:hint="eastAsia" w:ascii="仿宋_GB2312" w:eastAsia="仿宋_GB2312"/>
          <w:sz w:val="28"/>
          <w:szCs w:val="30"/>
          <w:highlight w:val="none"/>
          <w:lang w:val="en-US" w:eastAsia="zh-CN"/>
        </w:rPr>
        <w:t>大于25</w:t>
      </w:r>
      <w:r>
        <w:rPr>
          <w:rFonts w:hint="eastAsia" w:ascii="仿宋_GB2312" w:eastAsia="仿宋_GB2312"/>
          <w:sz w:val="28"/>
          <w:szCs w:val="30"/>
          <w:highlight w:val="none"/>
        </w:rPr>
        <w:t>吨/平方米，地势平坦。区域内无大型污染性企业，据史料记载，区域内自然灾害率大于100年一遇</w:t>
      </w:r>
      <w:r>
        <w:rPr>
          <w:rFonts w:hint="eastAsia" w:ascii="仿宋_GB2312" w:eastAsia="仿宋_GB2312"/>
          <w:sz w:val="28"/>
          <w:szCs w:val="30"/>
          <w:highlight w:val="none"/>
          <w:lang w:eastAsia="zh-CN"/>
        </w:rPr>
        <w:t>，</w:t>
      </w:r>
      <w:r>
        <w:rPr>
          <w:rFonts w:hint="eastAsia" w:ascii="仿宋_GB2312" w:eastAsia="仿宋_GB2312"/>
          <w:sz w:val="28"/>
          <w:szCs w:val="30"/>
          <w:highlight w:val="none"/>
          <w:lang w:val="en-US" w:eastAsia="zh-CN"/>
        </w:rPr>
        <w:t>自然环境较好。</w:t>
      </w:r>
    </w:p>
    <w:p w14:paraId="53A083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5.商服繁华程度</w:t>
      </w:r>
    </w:p>
    <w:p w14:paraId="74644A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color w:val="auto"/>
          <w:sz w:val="28"/>
          <w:szCs w:val="28"/>
          <w:highlight w:val="none"/>
        </w:rPr>
        <w:t>宗地所在区域距离</w:t>
      </w:r>
      <w:r>
        <w:rPr>
          <w:rFonts w:hint="eastAsia" w:ascii="仿宋_GB2312" w:hAnsi="仿宋_GB2312" w:eastAsia="仿宋_GB2312" w:cs="仿宋_GB2312"/>
          <w:color w:val="auto"/>
          <w:sz w:val="28"/>
          <w:szCs w:val="28"/>
          <w:highlight w:val="none"/>
          <w:lang w:val="en-US" w:eastAsia="zh-CN"/>
        </w:rPr>
        <w:t>商服中心道州商业广场</w:t>
      </w:r>
      <w:r>
        <w:rPr>
          <w:rFonts w:hint="eastAsia" w:ascii="仿宋_GB2312" w:hAnsi="仿宋_GB2312" w:eastAsia="仿宋_GB2312" w:cs="仿宋_GB2312"/>
          <w:color w:val="auto"/>
          <w:sz w:val="28"/>
          <w:szCs w:val="28"/>
          <w:highlight w:val="none"/>
        </w:rPr>
        <w:t>约</w:t>
      </w:r>
      <w:r>
        <w:rPr>
          <w:rFonts w:hint="eastAsia" w:ascii="仿宋_GB2312" w:hAnsi="仿宋_GB2312" w:eastAsia="仿宋_GB2312" w:cs="仿宋_GB2312"/>
          <w:color w:val="auto"/>
          <w:sz w:val="28"/>
          <w:szCs w:val="28"/>
          <w:highlight w:val="none"/>
          <w:lang w:val="en-US" w:eastAsia="zh-CN"/>
        </w:rPr>
        <w:t>890米</w:t>
      </w:r>
      <w:r>
        <w:rPr>
          <w:rFonts w:hint="eastAsia" w:ascii="仿宋_GB2312" w:hAnsi="仿宋_GB2312" w:eastAsia="仿宋_GB2312" w:cs="仿宋_GB2312"/>
          <w:color w:val="auto"/>
          <w:sz w:val="28"/>
          <w:szCs w:val="28"/>
          <w:highlight w:val="none"/>
        </w:rPr>
        <w:t>，商服繁华影响度</w:t>
      </w:r>
      <w:r>
        <w:rPr>
          <w:rFonts w:hint="eastAsia" w:ascii="仿宋_GB2312" w:hAnsi="仿宋_GB2312" w:eastAsia="仿宋_GB2312" w:cs="仿宋_GB2312"/>
          <w:color w:val="auto"/>
          <w:sz w:val="28"/>
          <w:szCs w:val="28"/>
          <w:highlight w:val="none"/>
          <w:lang w:val="en-US" w:eastAsia="zh-CN"/>
        </w:rPr>
        <w:t>较优</w:t>
      </w:r>
      <w:r>
        <w:rPr>
          <w:rFonts w:hint="eastAsia" w:ascii="仿宋_GB2312" w:hAnsi="仿宋_GB2312" w:eastAsia="仿宋_GB2312" w:cs="仿宋_GB2312"/>
          <w:bCs/>
          <w:sz w:val="28"/>
          <w:szCs w:val="28"/>
          <w:highlight w:val="none"/>
          <w:lang w:val="en-US" w:eastAsia="zh-CN"/>
        </w:rPr>
        <w:t>。</w:t>
      </w:r>
    </w:p>
    <w:p w14:paraId="2A56F4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6.规划限制</w:t>
      </w:r>
    </w:p>
    <w:p w14:paraId="04D271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highlight w:val="none"/>
          <w:lang w:val="en-US" w:eastAsia="zh-CN"/>
        </w:rPr>
        <w:t>估价对象所在区域周边土地利用类型主要规划为商服用地、住宅用地，具体的开发建设必须符合规划管理部门的控制性详细规划</w:t>
      </w:r>
      <w:r>
        <w:rPr>
          <w:rFonts w:hint="eastAsia" w:ascii="仿宋_GB2312" w:hAnsi="仿宋_GB2312" w:eastAsia="仿宋_GB2312" w:cs="仿宋_GB2312"/>
          <w:bCs/>
          <w:sz w:val="28"/>
          <w:szCs w:val="28"/>
          <w:highlight w:val="none"/>
          <w:lang w:val="en-US" w:eastAsia="zh-CN"/>
        </w:rPr>
        <w:t>。</w:t>
      </w:r>
    </w:p>
    <w:p w14:paraId="1DEA8BF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7.微观区域因素</w:t>
      </w:r>
    </w:p>
    <w:p w14:paraId="1A539B8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sz w:val="28"/>
          <w:szCs w:val="28"/>
          <w:highlight w:val="none"/>
          <w:lang w:val="en-US" w:eastAsia="zh-CN"/>
        </w:rPr>
        <w:t>估价对象位于道县月岩西路，估价对象交通由道州中路、文化路、月岩西路构成路网，汇入各条主干道，区域交通条件一般。距最近汽车站（</w:t>
      </w:r>
      <w:r>
        <w:rPr>
          <w:rFonts w:hint="eastAsia" w:ascii="仿宋_GB2312" w:eastAsia="仿宋_GB2312"/>
          <w:sz w:val="28"/>
          <w:szCs w:val="30"/>
          <w:highlight w:val="none"/>
          <w:lang w:val="en-US" w:eastAsia="zh-CN"/>
        </w:rPr>
        <w:t>道州新车站）约680m</w:t>
      </w:r>
      <w:r>
        <w:rPr>
          <w:rFonts w:hint="eastAsia" w:ascii="仿宋_GB2312" w:hAnsi="仿宋_GB2312" w:eastAsia="仿宋_GB2312" w:cs="仿宋_GB2312"/>
          <w:bCs/>
          <w:sz w:val="28"/>
          <w:szCs w:val="28"/>
          <w:highlight w:val="none"/>
          <w:lang w:val="en-US" w:eastAsia="zh-CN"/>
        </w:rPr>
        <w:t>，距离最近火车站（道州火车站）约1500米，距火车站距离较劣；区域基础设施状况好，水电综合保障率达95%以上。</w:t>
      </w:r>
    </w:p>
    <w:p w14:paraId="3D1544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sz w:val="28"/>
          <w:szCs w:val="28"/>
          <w:highlight w:val="none"/>
          <w:lang w:val="en-US" w:eastAsia="zh-CN"/>
        </w:rPr>
        <w:t>综合考虑以上影响地价区域因素，评估分析：估价对象所在区域交通条件较优，基础设施齐全，商业繁华影响度较优，地质条件好，区域无特殊规划限制。</w:t>
      </w:r>
    </w:p>
    <w:p w14:paraId="116907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3ECB62C4">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4DB05D12">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403BFC9D">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估价对象位于道县</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月岩西路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18B1F88">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6B3B29A5">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根据委托估价方提供的《土地分摊表》，估价对象土地面积为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71BD4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，南临</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建筑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，西临建筑，东临建筑。</w:t>
      </w:r>
    </w:p>
    <w:p w14:paraId="7B82F800">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AE211CE">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评估委托书</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》，土地用途为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75BD011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2DFD96CA">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宗地图</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评估对象所在宗地整体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土地利用有一定影响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67CA019C">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431E9706">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5E4453F">
      <w:pPr>
        <w:pStyle w:val="11"/>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4F7CFC92">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6BE6D77B">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745A4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）土地利用现状</w:t>
      </w:r>
    </w:p>
    <w:p w14:paraId="22C374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根据委托方提供的资料及估价人员的现场勘查，估价对象实际开发程度为红线内外“</w:t>
      </w:r>
      <w:r>
        <w:rPr>
          <w:rFonts w:hint="eastAsia" w:ascii="仿宋_GB2312" w:hAnsi="仿宋_GB2312" w:eastAsia="仿宋_GB2312" w:cs="仿宋_GB2312"/>
          <w:bCs/>
          <w:color w:val="auto"/>
          <w:kern w:val="2"/>
          <w:sz w:val="28"/>
          <w:szCs w:val="28"/>
          <w:highlight w:val="none"/>
          <w:lang w:val="en-US" w:eastAsia="zh-CN" w:bidi="ar-SA"/>
        </w:rPr>
        <w:t>五</w:t>
      </w:r>
      <w:r>
        <w:rPr>
          <w:rFonts w:hint="default" w:ascii="仿宋_GB2312" w:hAnsi="仿宋_GB2312" w:eastAsia="仿宋_GB2312" w:cs="仿宋_GB2312"/>
          <w:bCs/>
          <w:color w:val="auto"/>
          <w:kern w:val="2"/>
          <w:sz w:val="28"/>
          <w:szCs w:val="28"/>
          <w:highlight w:val="none"/>
          <w:lang w:val="en-GB" w:eastAsia="zh-CN" w:bidi="ar-SA"/>
        </w:rPr>
        <w:t>通”（通路、通电、供水、排水、通讯）和红线内场地平整，估价对象所在整体宗地上有一栋混合结构</w:t>
      </w:r>
      <w:r>
        <w:rPr>
          <w:rFonts w:hint="eastAsia" w:ascii="仿宋_GB2312" w:hAnsi="仿宋_GB2312" w:eastAsia="仿宋_GB2312" w:cs="仿宋_GB2312"/>
          <w:bCs/>
          <w:color w:val="auto"/>
          <w:kern w:val="2"/>
          <w:sz w:val="28"/>
          <w:szCs w:val="28"/>
          <w:highlight w:val="none"/>
          <w:lang w:val="en-US" w:eastAsia="zh-CN" w:bidi="ar-SA"/>
        </w:rPr>
        <w:t>建筑物</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p>
    <w:p w14:paraId="40AAEE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12"/>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4CF33A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5ADEA00E">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94610" cy="2584450"/>
                  <wp:effectExtent l="0" t="0" r="15240" b="6350"/>
                  <wp:docPr id="20" name="图片 20" descr="微信图片_20260515163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微信图片_20260515163404"/>
                          <pic:cNvPicPr>
                            <a:picLocks noChangeAspect="1"/>
                          </pic:cNvPicPr>
                        </pic:nvPicPr>
                        <pic:blipFill>
                          <a:blip r:embed="rId19"/>
                          <a:stretch>
                            <a:fillRect/>
                          </a:stretch>
                        </pic:blipFill>
                        <pic:spPr>
                          <a:xfrm>
                            <a:off x="0" y="0"/>
                            <a:ext cx="2594610" cy="2584450"/>
                          </a:xfrm>
                          <a:prstGeom prst="rect">
                            <a:avLst/>
                          </a:prstGeom>
                        </pic:spPr>
                      </pic:pic>
                    </a:graphicData>
                  </a:graphic>
                </wp:inline>
              </w:drawing>
            </w:r>
          </w:p>
        </w:tc>
        <w:tc>
          <w:tcPr>
            <w:tcW w:w="2466" w:type="pct"/>
          </w:tcPr>
          <w:p w14:paraId="63CD7CD2">
            <w:pPr>
              <w:pStyle w:val="18"/>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1585" cy="2574925"/>
                  <wp:effectExtent l="0" t="0" r="12065" b="15875"/>
                  <wp:docPr id="21" name="图片 21" descr="微信图片_20260515163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微信图片_20260515163412"/>
                          <pic:cNvPicPr>
                            <a:picLocks noChangeAspect="1"/>
                          </pic:cNvPicPr>
                        </pic:nvPicPr>
                        <pic:blipFill>
                          <a:blip r:embed="rId20"/>
                          <a:srcRect b="21567"/>
                          <a:stretch>
                            <a:fillRect/>
                          </a:stretch>
                        </pic:blipFill>
                        <pic:spPr>
                          <a:xfrm>
                            <a:off x="0" y="0"/>
                            <a:ext cx="2521585" cy="2574925"/>
                          </a:xfrm>
                          <a:prstGeom prst="rect">
                            <a:avLst/>
                          </a:prstGeom>
                        </pic:spPr>
                      </pic:pic>
                    </a:graphicData>
                  </a:graphic>
                </wp:inline>
              </w:drawing>
            </w:r>
          </w:p>
        </w:tc>
      </w:tr>
    </w:tbl>
    <w:p w14:paraId="0ACA28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七成新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p>
    <w:p w14:paraId="39E01A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）规划利用条件</w:t>
      </w:r>
    </w:p>
    <w:p w14:paraId="38E21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规划利用状况</w:t>
      </w:r>
    </w:p>
    <w:p w14:paraId="3B9A43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w:t>
      </w:r>
      <w:r>
        <w:rPr>
          <w:rFonts w:hint="eastAsia" w:ascii="仿宋_GB2312" w:eastAsia="仿宋_GB2312"/>
          <w:color w:val="000000" w:themeColor="text1"/>
          <w:sz w:val="28"/>
          <w:szCs w:val="30"/>
          <w:highlight w:val="none"/>
          <w:lang w:eastAsia="zh-CN"/>
          <w14:textFill>
            <w14:solidFill>
              <w14:schemeClr w14:val="tx1"/>
            </w14:solidFill>
          </w14:textFill>
        </w:rPr>
        <w:t>《评估委托书》、《户室面积对照表》、《土地分摊表》</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及现场勘查状况，估价对象</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土地面积为15.2平方米，建筑面积73.415平方米，容积率为4.83。</w:t>
      </w:r>
    </w:p>
    <w:p w14:paraId="704D7A8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最佳利用</w:t>
      </w:r>
    </w:p>
    <w:p w14:paraId="6E275D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，设定容积率为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其余指标均取规划值为最佳利用方式。</w:t>
      </w:r>
    </w:p>
    <w:p w14:paraId="781EB95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31F22F77">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AE22B9">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6EB641B6">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估价对象宗地实际土地开发程度为宗地红线外“五通”（即通路、通电、供水、排水、通讯），宗地红线内场地平整。</w:t>
      </w:r>
    </w:p>
    <w:p w14:paraId="51D33D24">
      <w:pPr>
        <w:pStyle w:val="11"/>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估价对象所在宗地整体临鹭鸶塘路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26CC463F">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高</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1E3DA588">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A4FA49B">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（4）给水：区域内供水主要来自区内的市政供水。</w:t>
      </w:r>
    </w:p>
    <w:p w14:paraId="61706580">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（5）排水：宗地外接排水设施，在雨水大的情况下无洪涝和积水。</w:t>
      </w:r>
    </w:p>
    <w:p w14:paraId="2D125457">
      <w:pPr>
        <w:pStyle w:val="11"/>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6" w:type="first"/>
          <w:footerReference r:id="rId17" w:type="first"/>
          <w:endnotePr>
            <w:numFmt w:val="decimal"/>
          </w:endnotePr>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，对土地利用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，宗地</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整体</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形状</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较不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规则，对</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土地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利用</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有一定影响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，地质地势条件优，主要进出道路为</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支路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，道路通达度</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，距</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长途汽车站距离一般，</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最近货运火车站距离劣。估价对象作为设定用途符合有效利用原则，其他个别条件均对宗地产生较有利</w:t>
      </w:r>
      <w:r>
        <w:rPr>
          <w:rFonts w:hint="eastAsia" w:ascii="仿宋_GB2312" w:hAnsi="仿宋_GB2312" w:cs="仿宋_GB2312"/>
          <w:bCs/>
          <w:color w:val="000000" w:themeColor="text1"/>
          <w:sz w:val="28"/>
          <w:szCs w:val="28"/>
          <w:highlight w:val="none"/>
          <w:lang w:val="en-US" w:eastAsia="zh-CN"/>
          <w14:textFill>
            <w14:solidFill>
              <w14:schemeClr w14:val="tx1"/>
            </w14:solidFill>
          </w14:textFill>
        </w:rPr>
        <w:t>影响。</w:t>
      </w:r>
    </w:p>
    <w:p w14:paraId="08665943">
      <w:pPr>
        <w:numPr>
          <w:ilvl w:val="0"/>
          <w:numId w:val="0"/>
        </w:numPr>
        <w:adjustRightInd w:val="0"/>
        <w:snapToGrid w:val="0"/>
        <w:spacing w:line="480" w:lineRule="exact"/>
        <w:jc w:val="center"/>
        <w:outlineLvl w:val="0"/>
        <w:rPr>
          <w:rFonts w:hint="default" w:ascii="Times New Roman" w:hAnsi="Times New Roman" w:eastAsia="仿宋_GB2312" w:cs="Times New Roman"/>
          <w:sz w:val="28"/>
          <w:szCs w:val="28"/>
          <w:highlight w:val="none"/>
        </w:rPr>
      </w:pPr>
      <w:r>
        <w:rPr>
          <w:rFonts w:hint="eastAsia" w:asciiTheme="majorEastAsia" w:hAnsiTheme="majorEastAsia" w:eastAsiaTheme="majorEastAsia" w:cstheme="majorEastAsia"/>
          <w:b/>
          <w:bCs/>
          <w:sz w:val="32"/>
          <w:szCs w:val="32"/>
          <w:highlight w:val="none"/>
        </w:rPr>
        <w:t>第三部分  土地估价</w:t>
      </w:r>
    </w:p>
    <w:p w14:paraId="64FD685A">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outlineLvl w:val="1"/>
        <w:rPr>
          <w:rFonts w:hint="default" w:ascii="仿宋_GB2312" w:hAnsi="仿宋_GB2312" w:eastAsia="仿宋_GB2312" w:cs="仿宋_GB2312"/>
          <w:b/>
          <w:bCs w:val="0"/>
          <w:color w:val="auto"/>
          <w:sz w:val="28"/>
          <w:szCs w:val="28"/>
          <w:highlight w:val="none"/>
          <w:lang w:val="en-GB" w:eastAsia="zh-CN"/>
        </w:rPr>
      </w:pPr>
      <w:r>
        <w:rPr>
          <w:rFonts w:hint="default" w:ascii="仿宋_GB2312" w:hAnsi="仿宋_GB2312" w:eastAsia="仿宋_GB2312" w:cs="仿宋_GB2312"/>
          <w:b/>
          <w:bCs w:val="0"/>
          <w:color w:val="auto"/>
          <w:sz w:val="28"/>
          <w:szCs w:val="28"/>
          <w:highlight w:val="none"/>
          <w:lang w:val="en-GB" w:eastAsia="zh-CN"/>
        </w:rPr>
        <w:t>一、估价原则</w:t>
      </w:r>
    </w:p>
    <w:p w14:paraId="1A69456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bookmarkStart w:id="24" w:name="_Toc25024"/>
      <w:bookmarkStart w:id="25" w:name="_Toc25643"/>
      <w:r>
        <w:rPr>
          <w:rFonts w:hint="default" w:ascii="仿宋_GB2312" w:hAnsi="仿宋_GB2312" w:eastAsia="仿宋_GB2312" w:cs="仿宋_GB2312"/>
          <w:b w:val="0"/>
          <w:bCs/>
          <w:color w:val="auto"/>
          <w:sz w:val="28"/>
          <w:szCs w:val="28"/>
          <w:highlight w:val="none"/>
          <w:lang w:val="en-GB" w:eastAsia="zh-CN"/>
        </w:rPr>
        <w:t>地价是由其效用、相对稀缺性及有效需求三者相互作用、相互影响所形成的。而这些因素又经常处于变动之中，土地估价必须要对此做细致分析并正确判断其变动趋向，了解土地价格组成的各项因素及各因素之间的相互作用，才能做出正确的估价。我们在本次估价过程中，根据《城镇土地估价规程》及估价对象的具体情况和对应的估价方法，主要遵循以下原则：</w:t>
      </w:r>
    </w:p>
    <w:p w14:paraId="4823C16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1、合法性原则</w:t>
      </w:r>
    </w:p>
    <w:p w14:paraId="6B31CB5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土地估价应以估价对象的合法权益为前提进行。合法权益包括：合法产权、合法使用、合法处分等方面。在合法产权方面，应以国有土地使用证、权属登记和其他合法证件为依据。在合法使用方面，应以使用管制（城市规划、土地用途管制等）为依据。在合法处分方面，应以法律法规和国有土地使用证等容许的处分方式为依据。</w:t>
      </w:r>
    </w:p>
    <w:p w14:paraId="716438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2、替代原则</w:t>
      </w:r>
    </w:p>
    <w:p w14:paraId="13A6EBF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根据市场运行规律，在同一商品市场中，商品或提供服务的效用相同或大致相似时，价格低者吸引需求，即有两个以上互有替代性的商品或服务同时存在时，商品或服务的价格是经过相互影响与比较之后来决定的。土地价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1DBF33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本次</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GB" w:eastAsia="zh-CN"/>
        </w:rPr>
        <w:t>法中选取的3个案例均处于估价对象所处区域范围，相互之间存在替代性</w:t>
      </w:r>
      <w:r>
        <w:rPr>
          <w:rFonts w:hint="eastAsia" w:ascii="仿宋_GB2312" w:hAnsi="仿宋_GB2312" w:eastAsia="仿宋_GB2312" w:cs="仿宋_GB2312"/>
          <w:b w:val="0"/>
          <w:bCs/>
          <w:color w:val="auto"/>
          <w:sz w:val="28"/>
          <w:szCs w:val="28"/>
          <w:highlight w:val="none"/>
          <w:lang w:val="en-US" w:eastAsia="zh-CN"/>
        </w:rPr>
        <w:t>体现了该原则。</w:t>
      </w:r>
    </w:p>
    <w:p w14:paraId="0611CEC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3、需求与供给原则</w:t>
      </w:r>
    </w:p>
    <w:p w14:paraId="62EDE1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在完全的市场竞争中，一般商品的价格都取决于供求的均衡点。供小于求，价格就会提高，否则，价格就会降低。由于土地与一般商品相比，具有独特的人文和自然特性，因此在进行土地估价时既要考虑到所假设的公平市场，又要考虑土地供应的垄断性特征。</w:t>
      </w:r>
    </w:p>
    <w:p w14:paraId="7550479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GB" w:eastAsia="zh-CN"/>
        </w:rPr>
      </w:pPr>
      <w:r>
        <w:rPr>
          <w:rFonts w:hint="default" w:ascii="仿宋_GB2312" w:hAnsi="仿宋_GB2312" w:eastAsia="仿宋_GB2312" w:cs="仿宋_GB2312"/>
          <w:b w:val="0"/>
          <w:bCs/>
          <w:color w:val="auto"/>
          <w:sz w:val="28"/>
          <w:szCs w:val="28"/>
          <w:highlight w:val="none"/>
          <w:lang w:val="en-GB" w:eastAsia="zh-CN"/>
        </w:rPr>
        <w:t>4、预期收益原则</w:t>
      </w:r>
    </w:p>
    <w:p w14:paraId="2C4EAE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GB" w:eastAsia="zh-CN"/>
        </w:rPr>
        <w:t>遵循预期收益原则，是指土地估价应以估价对象在正常利用条件下的未来客观有效的预期收益为依据。收益还原法和剩余法等评估方法以及还原利率的确定、交易实例价格的检查等技术过程都会应用本原则。</w:t>
      </w:r>
    </w:p>
    <w:p w14:paraId="05E8B7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5、合理有效利用原则</w:t>
      </w:r>
    </w:p>
    <w:p w14:paraId="13638F4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不同的土地利用方式能为权利人带来不同的收益，土地权利人都期望从其所占有的土地上获取更多的收益，故土地评估应以估价对象在一定的社会经济条件下，最为合理有效的利用方式为前提。首先判断估价对象的土地利用方式是否符合法律法规政策规定、规划限制条件、生态保护要求、市场需求等，再结合估价对象的自身利用条件设定最合理有效的土地利用方式。</w:t>
      </w:r>
    </w:p>
    <w:p w14:paraId="04517D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6、价值主导原则</w:t>
      </w:r>
    </w:p>
    <w:p w14:paraId="27F90B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土地综合质量优劣是对土地价格产生影响的主要因素。</w:t>
      </w:r>
    </w:p>
    <w:p w14:paraId="3FC103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本次评估综合考虑了影响估价对象土地价格的自然、社会、经济状况，符合价值主导原则。</w:t>
      </w:r>
    </w:p>
    <w:p w14:paraId="58078A8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7、审慎原则</w:t>
      </w:r>
    </w:p>
    <w:p w14:paraId="00320AA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在评估中确定相关参数和结果时，应分析并充分考虑市场运行状况、有关行业发展状况，以及存在的风险。</w:t>
      </w:r>
    </w:p>
    <w:p w14:paraId="4D863A6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8、贡献原则</w:t>
      </w:r>
    </w:p>
    <w:p w14:paraId="4F527A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土地总收益是土地及其他生产要素共同作用的结果，土地的价格由土地对总收益的贡献大小来决定。</w:t>
      </w:r>
    </w:p>
    <w:p w14:paraId="546EA3B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本次在采用</w:t>
      </w:r>
      <w:r>
        <w:rPr>
          <w:rFonts w:hint="eastAsia" w:ascii="仿宋_GB2312" w:hAnsi="仿宋_GB2312" w:eastAsia="仿宋_GB2312" w:cs="仿宋_GB2312"/>
          <w:b w:val="0"/>
          <w:bCs/>
          <w:color w:val="auto"/>
          <w:sz w:val="28"/>
          <w:szCs w:val="28"/>
          <w:highlight w:val="none"/>
          <w:lang w:val="en-US" w:eastAsia="zh-CN"/>
        </w:rPr>
        <w:t>剩余</w:t>
      </w:r>
      <w:r>
        <w:rPr>
          <w:rFonts w:hint="default" w:ascii="仿宋_GB2312" w:hAnsi="仿宋_GB2312" w:eastAsia="仿宋_GB2312" w:cs="仿宋_GB2312"/>
          <w:b w:val="0"/>
          <w:bCs/>
          <w:color w:val="auto"/>
          <w:sz w:val="28"/>
          <w:szCs w:val="28"/>
          <w:highlight w:val="none"/>
          <w:lang w:val="en-US" w:eastAsia="zh-CN"/>
        </w:rPr>
        <w:t>法时，通过扣除相关成本及其他税费来测算土地价格，体现了贡献原则。</w:t>
      </w:r>
    </w:p>
    <w:p w14:paraId="0047C04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9、公开市场原则</w:t>
      </w:r>
    </w:p>
    <w:p w14:paraId="481D48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评估结果在公平、公正、公开的土地市场上可实现。</w:t>
      </w:r>
    </w:p>
    <w:p w14:paraId="18A04E4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待估宗地按照地价评估的基本原则和估价程序，选择合适的评估方法，评估得到估价对象在设定用途、设定土地使用权类型及土地使用权年限、设定开发程度条件、规划条件下、正常市场条件下的国有出让土地使用权价格，并且评估结果在公平、公正、公开的土地市场上可实现。</w:t>
      </w:r>
    </w:p>
    <w:p w14:paraId="1E6CBC2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Times New Roman" w:hAnsi="Times New Roman" w:eastAsia="仿宋" w:cs="Times New Roman"/>
          <w:sz w:val="28"/>
          <w:szCs w:val="28"/>
          <w:highlight w:val="none"/>
        </w:rPr>
      </w:pPr>
      <w:r>
        <w:rPr>
          <w:rFonts w:hint="default" w:ascii="仿宋_GB2312" w:hAnsi="仿宋_GB2312" w:eastAsia="仿宋_GB2312" w:cs="仿宋_GB2312"/>
          <w:b w:val="0"/>
          <w:bCs/>
          <w:color w:val="auto"/>
          <w:sz w:val="28"/>
          <w:szCs w:val="28"/>
          <w:highlight w:val="none"/>
          <w:lang w:val="en-US" w:eastAsia="zh-CN"/>
        </w:rPr>
        <w:t>总之，在评估过程中，要按国家、地方的有关规定，遵守客观、公正、科学、合法的总原则进行土地价格评估，做到评估过程合理，评估方法科学，评估结果准确，严格保守评估秘密</w:t>
      </w:r>
      <w:r>
        <w:rPr>
          <w:rFonts w:hint="default" w:ascii="Times New Roman" w:hAnsi="Times New Roman" w:eastAsia="仿宋" w:cs="Times New Roman"/>
          <w:sz w:val="28"/>
          <w:szCs w:val="28"/>
          <w:highlight w:val="none"/>
        </w:rPr>
        <w:t>。</w:t>
      </w:r>
    </w:p>
    <w:p w14:paraId="6C821045">
      <w:pPr>
        <w:pStyle w:val="3"/>
        <w:spacing w:line="480" w:lineRule="exact"/>
        <w:ind w:left="0" w:firstLine="0"/>
        <w:jc w:val="left"/>
        <w:rPr>
          <w:rFonts w:hint="default" w:ascii="仿宋_GB2312" w:hAnsi="仿宋_GB2312" w:eastAsia="仿宋_GB2312" w:cs="仿宋_GB2312"/>
          <w:b/>
          <w:bCs w:val="0"/>
          <w:color w:val="auto"/>
          <w:kern w:val="2"/>
          <w:sz w:val="28"/>
          <w:szCs w:val="28"/>
          <w:highlight w:val="none"/>
          <w:lang w:val="en-US" w:eastAsia="zh-CN" w:bidi="ar-SA"/>
        </w:rPr>
      </w:pPr>
      <w:r>
        <w:rPr>
          <w:rFonts w:hint="default" w:ascii="Times New Roman" w:hAnsi="Times New Roman" w:eastAsia="仿宋" w:cs="Times New Roman"/>
          <w:b/>
          <w:bCs w:val="0"/>
          <w:sz w:val="28"/>
          <w:szCs w:val="28"/>
          <w:highlight w:val="none"/>
        </w:rPr>
        <w:t>二、</w:t>
      </w:r>
      <w:r>
        <w:rPr>
          <w:rFonts w:hint="default" w:ascii="仿宋_GB2312" w:hAnsi="仿宋_GB2312" w:eastAsia="仿宋_GB2312" w:cs="仿宋_GB2312"/>
          <w:b/>
          <w:bCs w:val="0"/>
          <w:color w:val="auto"/>
          <w:kern w:val="2"/>
          <w:sz w:val="28"/>
          <w:szCs w:val="28"/>
          <w:highlight w:val="none"/>
          <w:lang w:val="en-US" w:eastAsia="zh-CN" w:bidi="ar-SA"/>
        </w:rPr>
        <w:t>估价方法与估价过程</w:t>
      </w:r>
      <w:bookmarkEnd w:id="24"/>
      <w:bookmarkEnd w:id="25"/>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A.根据《城镇土地估价规程》（GB/T18508-2014,2014年12月01日实施）中关于住宅用地估价方法选择的原则：</w:t>
      </w:r>
    </w:p>
    <w:p w14:paraId="786BE8C5">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a)评估住宅用地价格宜选市场比较法，并至少另辅一种适宜的估价方法；</w:t>
      </w:r>
    </w:p>
    <w:p w14:paraId="37434381">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b)对位于中心城区的住宅用地，不宜采用成本逼近法；</w:t>
      </w:r>
    </w:p>
    <w:p w14:paraId="471151DA">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c)对投资待建的住宅用地，可选择剩余法；</w:t>
      </w:r>
    </w:p>
    <w:p w14:paraId="2AE0C06D">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d)对位于城镇规划区外零星分布的住宅用地，可选择剩余法；</w:t>
      </w:r>
    </w:p>
    <w:p w14:paraId="54E24D52">
      <w:pPr>
        <w:keepNext w:val="0"/>
        <w:keepLines w:val="0"/>
        <w:pageBreakBefore w:val="0"/>
        <w:widowControl w:val="0"/>
        <w:kinsoku/>
        <w:wordWrap/>
        <w:overflowPunct w:val="0"/>
        <w:topLinePunct w:val="0"/>
        <w:autoSpaceDE w:val="0"/>
        <w:autoSpaceDN w:val="0"/>
        <w:bidi w:val="0"/>
        <w:snapToGrid w:val="0"/>
        <w:spacing w:line="480" w:lineRule="exact"/>
        <w:ind w:firstLine="560" w:firstLineChars="200"/>
        <w:textAlignment w:val="auto"/>
        <w:rPr>
          <w:rFonts w:hint="eastAsia" w:ascii="仿宋_GB2312" w:hAnsi="仿宋_GB2312" w:eastAsia="仿宋_GB2312" w:cs="仿宋_GB2312"/>
          <w:snapToGrid w:val="0"/>
          <w:kern w:val="0"/>
          <w:sz w:val="28"/>
          <w:szCs w:val="28"/>
          <w:highlight w:val="none"/>
        </w:rPr>
      </w:pPr>
      <w:r>
        <w:rPr>
          <w:rFonts w:hint="eastAsia" w:ascii="仿宋_GB2312" w:hAnsi="仿宋_GB2312" w:eastAsia="仿宋_GB2312" w:cs="仿宋_GB2312"/>
          <w:snapToGrid w:val="0"/>
          <w:kern w:val="0"/>
          <w:sz w:val="28"/>
          <w:szCs w:val="28"/>
          <w:highlight w:val="none"/>
        </w:rPr>
        <w:t>e)对新开发土地，可选用成本逼近法。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665F18F0">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（1）市场比较法：将估价对象与在估价期日近期有过交易的类似土地进行比较，对这些类似土地的已知价格作适当的修正，以此估算估价对象的客观合理价格或价值的方法；</w:t>
      </w:r>
    </w:p>
    <w:p w14:paraId="4B57EC4E">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（2）收益还原法：为预计估价对象未来的正常收益，选用适当的资本化率将其折现到估价期日后累加，以此估算估价对象的客观合理价格或价值的方法；</w:t>
      </w:r>
    </w:p>
    <w:p w14:paraId="150C1045">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（3）剩余法：是在估算开发完成后不动产正常交易价格的基础上，扣除建筑物建造费用和与建筑物建造、买卖有关的专业费、利息、利润、税收等费用后，以价格余额来估算土地价格的方法；</w:t>
      </w:r>
    </w:p>
    <w:p w14:paraId="2B58A41F">
      <w:pPr>
        <w:pStyle w:val="17"/>
        <w:keepNext w:val="0"/>
        <w:keepLines w:val="0"/>
        <w:pageBreakBefore w:val="0"/>
        <w:widowControl w:val="0"/>
        <w:numPr>
          <w:ilvl w:val="0"/>
          <w:numId w:val="0"/>
        </w:numPr>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（4）成本逼近法：是以土地取得费、土地开发所耗各项费用之和为主要依据，再加上一定的利润、利息、应缴纳的税金和土地增值收益来确定土地价格的估价方法；</w:t>
      </w:r>
    </w:p>
    <w:p w14:paraId="5D63F972">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5）公示地价系数修正法：指在求取一宗土地的价格时，依据估价对象所处地区的土地级别基准地价水平，参照估价对象所处土地级别的各种修正因素说明，确定区域因素、个别因素、估价期日、容积率与建筑密度、使用年期、开发程度等修正系数，最后修正得出估价对象地价的一种方</w:t>
      </w:r>
      <w:r>
        <w:rPr>
          <w:rFonts w:hint="eastAsia" w:ascii="仿宋_GB2312" w:hAnsi="仿宋_GB2312" w:cs="仿宋_GB2312"/>
          <w:color w:val="auto"/>
          <w:szCs w:val="28"/>
          <w:highlight w:val="none"/>
          <w:lang w:val="en-US" w:eastAsia="zh-CN"/>
        </w:rPr>
        <w:t>法。</w:t>
      </w:r>
    </w:p>
    <w:p w14:paraId="4A31240C">
      <w:pPr>
        <w:pStyle w:val="11"/>
        <w:keepNext w:val="0"/>
        <w:keepLines w:val="0"/>
        <w:pageBreakBefore w:val="0"/>
        <w:widowControl w:val="0"/>
        <w:kinsoku/>
        <w:wordWrap/>
        <w:overflowPunct/>
        <w:topLinePunct w:val="0"/>
        <w:autoSpaceDE/>
        <w:autoSpaceDN/>
        <w:bidi w:val="0"/>
        <w:spacing w:line="480" w:lineRule="exact"/>
        <w:textAlignment w:val="auto"/>
        <w:rPr>
          <w:rFonts w:hint="eastAsia" w:ascii="仿宋_GB2312" w:hAnsi="仿宋_GB2312" w:cs="仿宋_GB2312"/>
          <w:color w:val="auto"/>
          <w:szCs w:val="28"/>
          <w:highlight w:val="none"/>
          <w:lang w:val="en-US" w:eastAsia="zh-CN"/>
        </w:rPr>
      </w:pPr>
      <w:r>
        <w:rPr>
          <w:rFonts w:hint="eastAsia" w:ascii="仿宋_GB2312" w:hAnsi="仿宋_GB2312" w:cs="仿宋_GB2312"/>
          <w:color w:val="auto"/>
          <w:szCs w:val="28"/>
          <w:highlight w:val="none"/>
          <w:lang w:val="en-US" w:eastAsia="zh-CN"/>
        </w:rPr>
        <w:t>2.估价方法选择</w:t>
      </w:r>
    </w:p>
    <w:p w14:paraId="37D2BB5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（1）</w:t>
      </w:r>
      <w:r>
        <w:rPr>
          <w:rFonts w:hint="eastAsia" w:ascii="仿宋_GB2312" w:hAnsi="仿宋_GB2312" w:eastAsia="仿宋_GB2312" w:cs="仿宋_GB2312"/>
          <w:b w:val="0"/>
          <w:bCs/>
          <w:color w:val="auto"/>
          <w:sz w:val="28"/>
          <w:szCs w:val="28"/>
          <w:highlight w:val="none"/>
          <w:lang w:val="en-US" w:eastAsia="zh-CN"/>
        </w:rPr>
        <w:t>采用方法及采用方法</w:t>
      </w:r>
      <w:r>
        <w:rPr>
          <w:rFonts w:hint="default" w:ascii="仿宋_GB2312" w:hAnsi="仿宋_GB2312" w:eastAsia="仿宋_GB2312" w:cs="仿宋_GB2312"/>
          <w:b w:val="0"/>
          <w:bCs/>
          <w:color w:val="auto"/>
          <w:sz w:val="28"/>
          <w:szCs w:val="28"/>
          <w:highlight w:val="none"/>
          <w:lang w:val="en-US" w:eastAsia="zh-CN"/>
        </w:rPr>
        <w:t>的理由：</w:t>
      </w:r>
    </w:p>
    <w:p w14:paraId="3A7288F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成本逼近法</w:t>
      </w:r>
    </w:p>
    <w:p w14:paraId="494C1EF4">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 w:val="0"/>
          <w:bCs/>
          <w:color w:val="auto"/>
          <w:sz w:val="28"/>
          <w:szCs w:val="28"/>
          <w:highlight w:val="none"/>
          <w:lang w:val="en-US" w:eastAsia="zh-CN"/>
        </w:rPr>
      </w:pPr>
      <w:r>
        <w:rPr>
          <w:rFonts w:hint="eastAsia" w:ascii="仿宋_GB2312" w:hAnsi="仿宋_GB2312" w:eastAsia="仿宋_GB2312" w:cs="仿宋_GB2312"/>
          <w:b w:val="0"/>
          <w:bCs/>
          <w:color w:val="auto"/>
          <w:sz w:val="28"/>
          <w:szCs w:val="28"/>
          <w:highlight w:val="none"/>
          <w:lang w:val="en-US" w:eastAsia="zh-CN"/>
        </w:rPr>
        <w:t>估价对象所在区域有土地征收案例，政府公布了征地有关文件，可测算土地取得成本，故选择成本逼近法作为土地评估方法之一。</w:t>
      </w:r>
    </w:p>
    <w:p w14:paraId="06822E2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eastAsia" w:ascii="仿宋_GB2312" w:hAnsi="仿宋_GB2312" w:eastAsia="仿宋_GB2312" w:cs="仿宋_GB2312"/>
          <w:b w:val="0"/>
          <w:bCs/>
          <w:color w:val="auto"/>
          <w:sz w:val="28"/>
          <w:szCs w:val="28"/>
          <w:highlight w:val="none"/>
          <w:lang w:val="en-US" w:eastAsia="zh-CN"/>
        </w:rPr>
        <w:t>收益还原法</w:t>
      </w:r>
    </w:p>
    <w:p w14:paraId="47E5EA4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由于估价对象地上房屋建筑物有</w:t>
      </w:r>
      <w:r>
        <w:rPr>
          <w:rFonts w:hint="eastAsia" w:ascii="仿宋_GB2312" w:hAnsi="仿宋_GB2312" w:eastAsia="仿宋_GB2312" w:cs="仿宋_GB2312"/>
          <w:b w:val="0"/>
          <w:bCs/>
          <w:color w:val="auto"/>
          <w:sz w:val="28"/>
          <w:szCs w:val="28"/>
          <w:highlight w:val="none"/>
          <w:lang w:val="en-US" w:eastAsia="zh-CN"/>
        </w:rPr>
        <w:t>潜在</w:t>
      </w:r>
      <w:r>
        <w:rPr>
          <w:rFonts w:hint="default" w:ascii="仿宋_GB2312" w:hAnsi="仿宋_GB2312" w:eastAsia="仿宋_GB2312" w:cs="仿宋_GB2312"/>
          <w:b w:val="0"/>
          <w:bCs/>
          <w:color w:val="auto"/>
          <w:sz w:val="28"/>
          <w:szCs w:val="28"/>
          <w:highlight w:val="none"/>
          <w:lang w:val="en-US" w:eastAsia="zh-CN"/>
        </w:rPr>
        <w:t>收益，所在区域内同类型用房租赁情况较多，不动产总收益较易确定，故可采用收益还原法作为评估方法之一。</w:t>
      </w:r>
    </w:p>
    <w:p w14:paraId="084E9ED4">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最后综合分析宗地所在区域地产市场行情，确定土地价格</w:t>
      </w:r>
      <w:r>
        <w:rPr>
          <w:rFonts w:hint="eastAsia" w:ascii="仿宋_GB2312" w:hAnsi="仿宋_GB2312" w:eastAsia="仿宋_GB2312" w:cs="仿宋_GB2312"/>
          <w:color w:val="auto"/>
          <w:szCs w:val="28"/>
          <w:highlight w:val="none"/>
          <w:lang w:val="en-US" w:eastAsia="zh-CN"/>
        </w:rPr>
        <w:t>。</w:t>
      </w:r>
    </w:p>
    <w:p w14:paraId="3BEDF33E">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color w:val="auto"/>
          <w:szCs w:val="28"/>
          <w:highlight w:val="none"/>
          <w:lang w:val="en-US" w:eastAsia="zh-CN"/>
        </w:rPr>
        <w:t>（2）不采用的方法及不采用方法理由</w:t>
      </w:r>
      <w:r>
        <w:rPr>
          <w:rFonts w:hint="eastAsia" w:hAnsi="仿宋_GB2312" w:cs="仿宋_GB2312"/>
          <w:color w:val="auto"/>
          <w:szCs w:val="28"/>
          <w:highlight w:val="none"/>
          <w:lang w:val="en-US" w:eastAsia="zh-CN"/>
        </w:rPr>
        <w:t>：</w:t>
      </w:r>
    </w:p>
    <w:p w14:paraId="491E615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1 \* GB3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①</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不选择市场比较法</w:t>
      </w:r>
    </w:p>
    <w:p w14:paraId="5AFBEA1F">
      <w:pPr>
        <w:pStyle w:val="17"/>
        <w:keepNext w:val="0"/>
        <w:keepLines w:val="0"/>
        <w:pageBreakBefore w:val="0"/>
        <w:widowControl w:val="0"/>
        <w:numPr>
          <w:ilvl w:val="0"/>
          <w:numId w:val="0"/>
        </w:numPr>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auto"/>
          <w:szCs w:val="28"/>
          <w:highlight w:val="none"/>
          <w:lang w:val="en-US" w:eastAsia="zh-CN"/>
        </w:rPr>
      </w:pPr>
      <w:r>
        <w:rPr>
          <w:rFonts w:hint="eastAsia" w:ascii="仿宋_GB2312" w:hAnsi="仿宋_GB2312" w:eastAsia="仿宋_GB2312" w:cs="仿宋_GB2312"/>
          <w:snapToGrid w:val="0"/>
          <w:kern w:val="0"/>
          <w:sz w:val="28"/>
          <w:szCs w:val="28"/>
          <w:highlight w:val="none"/>
        </w:rPr>
        <w:t>根据土地估价师调查了解，估价对象所处区域地产市场近3年同一供需圈内与宗地用途、利用条件等类似的同级别商服出让成交实例少于3个，因此不适宜选择市场比较法进行评估</w:t>
      </w:r>
      <w:r>
        <w:rPr>
          <w:rFonts w:hint="eastAsia" w:hAnsi="仿宋_GB2312" w:cs="仿宋_GB2312"/>
          <w:snapToGrid w:val="0"/>
          <w:kern w:val="0"/>
          <w:sz w:val="28"/>
          <w:szCs w:val="28"/>
          <w:highlight w:val="none"/>
          <w:lang w:eastAsia="zh-CN"/>
        </w:rPr>
        <w:t>。</w:t>
      </w:r>
    </w:p>
    <w:p w14:paraId="51A3BDD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GB3 \* MERGEFORMAT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②</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不选择剩余法（增值收益扣减法）</w:t>
      </w:r>
    </w:p>
    <w:p w14:paraId="3D204830">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color w:val="auto"/>
          <w:sz w:val="28"/>
          <w:szCs w:val="28"/>
          <w:highlight w:val="none"/>
          <w:lang w:val="en-US" w:eastAsia="zh-CN"/>
        </w:rPr>
        <w:t>剩余法适用于具有投资开发或再开发潜力的土地估价。估价对象周边房地产交易案例较少，难以合理确定房地产开发价值，此次评估已优选两种评估方法，因而不采用剩余法进行评估</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p>
    <w:p w14:paraId="3B03AFB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③不选择</w:t>
      </w:r>
      <w:r>
        <w:rPr>
          <w:rFonts w:hint="eastAsia" w:ascii="仿宋_GB2312" w:hAnsi="仿宋_GB2312" w:eastAsia="仿宋_GB2312" w:cs="仿宋_GB2312"/>
          <w:b w:val="0"/>
          <w:bCs/>
          <w:color w:val="auto"/>
          <w:sz w:val="28"/>
          <w:szCs w:val="28"/>
          <w:highlight w:val="none"/>
          <w:lang w:val="en-US" w:eastAsia="zh-CN"/>
        </w:rPr>
        <w:t>公示地价修正法</w:t>
      </w:r>
    </w:p>
    <w:p w14:paraId="2F6D4D32">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城镇基准地价的颁布实施时间为2019年11月22日，城区基准地价估价期日为2019年5月1日，批准文号为道政函〔2019〕85号,文件名称为《关于更新城区基准地价和制订11个建制镇基准地价的通告》（道政函〔2019〕85号，2019年11月22日），批准机关为道县人民政府，本次估价期日为2026年5月18日，距估价期日超过六年，根据《关于进一步做好湖南省公示地价体系建设和管理有关工作的通知》（湘自资办发[2022]23号）：“城镇基准地价每3年应全面更新一次，超过6年未全面更新的，不得作为确定出让最低价标准的依据，不得作为宗地评估基准地价系数修正法的依据。”因此不选择公示地价系数修正法。</w:t>
      </w:r>
    </w:p>
    <w:p w14:paraId="7344A33C">
      <w:pPr>
        <w:pStyle w:val="11"/>
        <w:keepNext w:val="0"/>
        <w:keepLines w:val="0"/>
        <w:pageBreakBefore w:val="0"/>
        <w:widowControl w:val="0"/>
        <w:kinsoku/>
        <w:wordWrap/>
        <w:overflowPunct/>
        <w:topLinePunct w:val="0"/>
        <w:autoSpaceDE/>
        <w:autoSpaceDN/>
        <w:bidi w:val="0"/>
        <w:spacing w:line="480" w:lineRule="exact"/>
        <w:textAlignment w:val="auto"/>
        <w:rPr>
          <w:rFonts w:hint="default" w:ascii="仿宋_GB2312" w:hAnsi="仿宋_GB2312" w:cs="仿宋_GB2312"/>
          <w:color w:val="auto"/>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t>综上所述，</w:t>
      </w:r>
      <w:r>
        <w:rPr>
          <w:rFonts w:hint="eastAsia" w:ascii="仿宋_GB2312" w:hAnsi="仿宋_GB2312" w:eastAsia="仿宋_GB2312" w:cs="仿宋_GB2312"/>
          <w:b w:val="0"/>
          <w:bCs/>
          <w:color w:val="auto"/>
          <w:sz w:val="28"/>
          <w:szCs w:val="28"/>
          <w:highlight w:val="none"/>
          <w:lang w:val="en-US" w:eastAsia="zh-CN"/>
        </w:rPr>
        <w:t>本次评估</w:t>
      </w:r>
      <w:r>
        <w:rPr>
          <w:rFonts w:hint="default" w:ascii="仿宋_GB2312" w:hAnsi="仿宋_GB2312" w:eastAsia="仿宋_GB2312" w:cs="仿宋_GB2312"/>
          <w:b w:val="0"/>
          <w:bCs/>
          <w:color w:val="auto"/>
          <w:sz w:val="28"/>
          <w:szCs w:val="28"/>
          <w:highlight w:val="none"/>
          <w:lang w:val="en-US" w:eastAsia="zh-CN"/>
        </w:rPr>
        <w:t>采用</w:t>
      </w:r>
      <w:r>
        <w:rPr>
          <w:rFonts w:hint="eastAsia" w:ascii="仿宋_GB2312" w:hAnsi="仿宋_GB2312" w:eastAsia="仿宋_GB2312" w:cs="仿宋_GB2312"/>
          <w:b w:val="0"/>
          <w:bCs/>
          <w:color w:val="auto"/>
          <w:sz w:val="28"/>
          <w:szCs w:val="28"/>
          <w:highlight w:val="none"/>
          <w:lang w:val="en-US" w:eastAsia="zh-CN"/>
        </w:rPr>
        <w:t>成本逼近法</w:t>
      </w:r>
      <w:r>
        <w:rPr>
          <w:rFonts w:hint="default" w:ascii="仿宋_GB2312" w:hAnsi="仿宋_GB2312" w:eastAsia="仿宋_GB2312" w:cs="仿宋_GB2312"/>
          <w:b w:val="0"/>
          <w:bCs/>
          <w:color w:val="auto"/>
          <w:sz w:val="28"/>
          <w:szCs w:val="28"/>
          <w:highlight w:val="none"/>
          <w:lang w:val="en-US" w:eastAsia="zh-CN"/>
        </w:rPr>
        <w:t>和</w:t>
      </w:r>
      <w:r>
        <w:rPr>
          <w:rFonts w:hint="eastAsia" w:ascii="仿宋_GB2312" w:hAnsi="仿宋_GB2312" w:eastAsia="仿宋_GB2312" w:cs="仿宋_GB2312"/>
          <w:b w:val="0"/>
          <w:bCs/>
          <w:color w:val="auto"/>
          <w:sz w:val="28"/>
          <w:szCs w:val="28"/>
          <w:highlight w:val="none"/>
          <w:lang w:val="en-US" w:eastAsia="zh-CN"/>
        </w:rPr>
        <w:t>收益还原法</w:t>
      </w:r>
      <w:r>
        <w:rPr>
          <w:rFonts w:hint="default" w:ascii="仿宋_GB2312" w:hAnsi="仿宋_GB2312" w:eastAsia="仿宋_GB2312" w:cs="仿宋_GB2312"/>
          <w:b w:val="0"/>
          <w:bCs/>
          <w:color w:val="auto"/>
          <w:sz w:val="28"/>
          <w:szCs w:val="28"/>
          <w:highlight w:val="none"/>
          <w:lang w:val="en-US" w:eastAsia="zh-CN"/>
        </w:rPr>
        <w:t>进行评估确定。</w:t>
      </w:r>
    </w:p>
    <w:p w14:paraId="16DD924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default" w:ascii="仿宋_GB2312" w:hAnsi="仿宋_GB2312" w:eastAsia="仿宋_GB2312" w:cs="仿宋_GB2312"/>
          <w:b w:val="0"/>
          <w:bCs/>
          <w:color w:val="auto"/>
          <w:sz w:val="28"/>
          <w:szCs w:val="28"/>
          <w:highlight w:val="none"/>
          <w:lang w:val="en-US" w:eastAsia="zh-CN"/>
        </w:rPr>
      </w:pPr>
      <w:r>
        <w:rPr>
          <w:rFonts w:hint="default" w:ascii="仿宋_GB2312" w:hAnsi="仿宋_GB2312" w:eastAsia="仿宋_GB2312" w:cs="仿宋_GB2312"/>
          <w:b w:val="0"/>
          <w:bCs/>
          <w:color w:val="auto"/>
          <w:sz w:val="28"/>
          <w:szCs w:val="28"/>
          <w:highlight w:val="none"/>
          <w:lang w:val="en-US" w:eastAsia="zh-CN"/>
        </w:rPr>
        <w:fldChar w:fldCharType="begin"/>
      </w:r>
      <w:r>
        <w:rPr>
          <w:rFonts w:hint="default" w:ascii="仿宋_GB2312" w:hAnsi="仿宋_GB2312" w:eastAsia="仿宋_GB2312" w:cs="仿宋_GB2312"/>
          <w:b w:val="0"/>
          <w:bCs/>
          <w:color w:val="auto"/>
          <w:sz w:val="28"/>
          <w:szCs w:val="28"/>
          <w:highlight w:val="none"/>
          <w:lang w:val="en-US" w:eastAsia="zh-CN"/>
        </w:rPr>
        <w:instrText xml:space="preserve"> = 2 \* ROMAN </w:instrText>
      </w:r>
      <w:r>
        <w:rPr>
          <w:rFonts w:hint="default" w:ascii="仿宋_GB2312" w:hAnsi="仿宋_GB2312" w:eastAsia="仿宋_GB2312" w:cs="仿宋_GB2312"/>
          <w:b w:val="0"/>
          <w:bCs/>
          <w:color w:val="auto"/>
          <w:sz w:val="28"/>
          <w:szCs w:val="28"/>
          <w:highlight w:val="none"/>
          <w:lang w:val="en-US" w:eastAsia="zh-CN"/>
        </w:rPr>
        <w:fldChar w:fldCharType="separate"/>
      </w:r>
      <w:r>
        <w:rPr>
          <w:rFonts w:hint="default" w:ascii="仿宋_GB2312" w:hAnsi="仿宋_GB2312" w:eastAsia="仿宋_GB2312" w:cs="仿宋_GB2312"/>
          <w:b w:val="0"/>
          <w:bCs/>
          <w:color w:val="auto"/>
          <w:sz w:val="28"/>
          <w:szCs w:val="28"/>
          <w:highlight w:val="none"/>
          <w:lang w:val="en-US" w:eastAsia="zh-CN"/>
        </w:rPr>
        <w:t>II</w:t>
      </w:r>
      <w:r>
        <w:rPr>
          <w:rFonts w:hint="default" w:ascii="仿宋_GB2312" w:hAnsi="仿宋_GB2312" w:eastAsia="仿宋_GB2312" w:cs="仿宋_GB2312"/>
          <w:b w:val="0"/>
          <w:bCs/>
          <w:color w:val="auto"/>
          <w:sz w:val="28"/>
          <w:szCs w:val="28"/>
          <w:highlight w:val="none"/>
          <w:lang w:val="en-US" w:eastAsia="zh-CN"/>
        </w:rPr>
        <w:fldChar w:fldCharType="end"/>
      </w:r>
      <w:r>
        <w:rPr>
          <w:rFonts w:hint="default" w:ascii="仿宋_GB2312" w:hAnsi="仿宋_GB2312" w:eastAsia="仿宋_GB2312" w:cs="仿宋_GB2312"/>
          <w:b w:val="0"/>
          <w:bCs/>
          <w:color w:val="auto"/>
          <w:sz w:val="28"/>
          <w:szCs w:val="28"/>
          <w:highlight w:val="none"/>
          <w:lang w:val="en-US" w:eastAsia="zh-CN"/>
        </w:rPr>
        <w:t>、估价过程：</w:t>
      </w:r>
    </w:p>
    <w:p w14:paraId="6541DB9E">
      <w:pPr>
        <w:spacing w:line="460" w:lineRule="exact"/>
        <w:ind w:firstLine="562" w:firstLineChars="200"/>
        <w:outlineLvl w:val="2"/>
        <w:rPr>
          <w:rFonts w:hint="eastAsia" w:ascii="仿宋_GB2312" w:hAnsi="Times New Roman" w:eastAsia="仿宋_GB2312" w:cs="Times New Roman"/>
          <w:b/>
          <w:bCs/>
          <w:sz w:val="28"/>
          <w:szCs w:val="30"/>
          <w:highlight w:val="none"/>
          <w:lang w:val="en-GB"/>
        </w:rPr>
      </w:pPr>
      <w:r>
        <w:rPr>
          <w:rFonts w:hint="eastAsia" w:ascii="仿宋_GB2312" w:hAnsi="Times New Roman" w:eastAsia="仿宋_GB2312" w:cs="Times New Roman"/>
          <w:b/>
          <w:bCs/>
          <w:sz w:val="28"/>
          <w:szCs w:val="30"/>
          <w:highlight w:val="none"/>
          <w:lang w:val="en-GB"/>
        </w:rPr>
        <w:t>★</w:t>
      </w:r>
      <w:r>
        <w:rPr>
          <w:rFonts w:hint="eastAsia" w:ascii="仿宋_GB2312" w:eastAsia="仿宋_GB2312" w:cs="Times New Roman"/>
          <w:b/>
          <w:bCs/>
          <w:sz w:val="28"/>
          <w:szCs w:val="30"/>
          <w:highlight w:val="none"/>
          <w:lang w:val="en-US" w:eastAsia="zh-CN"/>
        </w:rPr>
        <w:t>成本逼近</w:t>
      </w:r>
      <w:r>
        <w:rPr>
          <w:rFonts w:hint="eastAsia" w:ascii="仿宋_GB2312" w:hAnsi="Times New Roman" w:eastAsia="仿宋_GB2312" w:cs="Times New Roman"/>
          <w:b/>
          <w:bCs/>
          <w:sz w:val="28"/>
          <w:szCs w:val="30"/>
          <w:highlight w:val="none"/>
          <w:lang w:val="en-GB"/>
        </w:rPr>
        <w:t>法</w:t>
      </w:r>
    </w:p>
    <w:p w14:paraId="2FD627A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成本逼近法是以开发土地所耗费的各项费用之和为主要依据，再加上一定的利润、利息、应缴纳的税金和土地增值收益来确定土地价格的估价方法。成本逼近法的基本计算公式如下：</w:t>
      </w:r>
    </w:p>
    <w:p w14:paraId="27B175AC">
      <w:pPr>
        <w:spacing w:line="480" w:lineRule="exact"/>
        <w:jc w:val="center"/>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p>
    <w:p w14:paraId="41FE59CE">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式中：</w:t>
      </w:r>
    </w:p>
    <w:p w14:paraId="45EAF091">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V—估价价格</w:t>
      </w:r>
    </w:p>
    <w:p w14:paraId="48CAE5D6">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a</w:t>
      </w:r>
      <w:r>
        <w:rPr>
          <w:rFonts w:eastAsia="仿宋_GB2312"/>
          <w:color w:val="000000" w:themeColor="text1"/>
          <w:sz w:val="28"/>
          <w:szCs w:val="28"/>
          <w:highlight w:val="none"/>
          <w14:textFill>
            <w14:solidFill>
              <w14:schemeClr w14:val="tx1"/>
            </w14:solidFill>
          </w14:textFill>
        </w:rPr>
        <w:t>—土地取得费</w:t>
      </w:r>
    </w:p>
    <w:p w14:paraId="33EAC862">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E</w:t>
      </w:r>
      <w:r>
        <w:rPr>
          <w:rFonts w:eastAsia="仿宋_GB2312"/>
          <w:color w:val="000000" w:themeColor="text1"/>
          <w:sz w:val="28"/>
          <w:szCs w:val="28"/>
          <w:highlight w:val="none"/>
          <w:vertAlign w:val="subscript"/>
          <w14:textFill>
            <w14:solidFill>
              <w14:schemeClr w14:val="tx1"/>
            </w14:solidFill>
          </w14:textFill>
        </w:rPr>
        <w:t>d</w:t>
      </w:r>
      <w:r>
        <w:rPr>
          <w:rFonts w:eastAsia="仿宋_GB2312"/>
          <w:color w:val="000000" w:themeColor="text1"/>
          <w:sz w:val="28"/>
          <w:szCs w:val="28"/>
          <w:highlight w:val="none"/>
          <w14:textFill>
            <w14:solidFill>
              <w14:schemeClr w14:val="tx1"/>
            </w14:solidFill>
          </w14:textFill>
        </w:rPr>
        <w:t>—土地开发费</w:t>
      </w:r>
    </w:p>
    <w:p w14:paraId="456761E3">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T—税费</w:t>
      </w:r>
    </w:p>
    <w:p w14:paraId="70309514">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1</w:t>
      </w:r>
      <w:r>
        <w:rPr>
          <w:rFonts w:eastAsia="仿宋_GB2312"/>
          <w:color w:val="000000" w:themeColor="text1"/>
          <w:sz w:val="28"/>
          <w:szCs w:val="28"/>
          <w:highlight w:val="none"/>
          <w14:textFill>
            <w14:solidFill>
              <w14:schemeClr w14:val="tx1"/>
            </w14:solidFill>
          </w14:textFill>
        </w:rPr>
        <w:t>—利息</w:t>
      </w:r>
    </w:p>
    <w:p w14:paraId="3ADE03AD">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2</w:t>
      </w:r>
      <w:r>
        <w:rPr>
          <w:rFonts w:eastAsia="仿宋_GB2312"/>
          <w:color w:val="000000" w:themeColor="text1"/>
          <w:sz w:val="28"/>
          <w:szCs w:val="28"/>
          <w:highlight w:val="none"/>
          <w14:textFill>
            <w14:solidFill>
              <w14:schemeClr w14:val="tx1"/>
            </w14:solidFill>
          </w14:textFill>
        </w:rPr>
        <w:t>—利润</w:t>
      </w:r>
    </w:p>
    <w:p w14:paraId="1472D2D8">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R</w:t>
      </w:r>
      <w:r>
        <w:rPr>
          <w:rFonts w:eastAsia="仿宋_GB2312"/>
          <w:color w:val="000000" w:themeColor="text1"/>
          <w:sz w:val="28"/>
          <w:szCs w:val="28"/>
          <w:highlight w:val="none"/>
          <w:vertAlign w:val="subscript"/>
          <w14:textFill>
            <w14:solidFill>
              <w14:schemeClr w14:val="tx1"/>
            </w14:solidFill>
          </w14:textFill>
        </w:rPr>
        <w:t>3</w:t>
      </w:r>
      <w:r>
        <w:rPr>
          <w:rFonts w:eastAsia="仿宋_GB2312"/>
          <w:color w:val="000000" w:themeColor="text1"/>
          <w:sz w:val="28"/>
          <w:szCs w:val="28"/>
          <w:highlight w:val="none"/>
          <w14:textFill>
            <w14:solidFill>
              <w14:schemeClr w14:val="tx1"/>
            </w14:solidFill>
          </w14:textFill>
        </w:rPr>
        <w:t>—土地增值</w:t>
      </w:r>
    </w:p>
    <w:p w14:paraId="1A70A99C">
      <w:pPr>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V</w:t>
      </w:r>
      <w:r>
        <w:rPr>
          <w:rFonts w:eastAsia="仿宋_GB2312"/>
          <w:color w:val="000000" w:themeColor="text1"/>
          <w:sz w:val="28"/>
          <w:szCs w:val="28"/>
          <w:highlight w:val="none"/>
          <w:vertAlign w:val="subscript"/>
          <w14:textFill>
            <w14:solidFill>
              <w14:schemeClr w14:val="tx1"/>
            </w14:solidFill>
          </w14:textFill>
        </w:rPr>
        <w:t>E</w:t>
      </w:r>
      <w:r>
        <w:rPr>
          <w:rFonts w:eastAsia="仿宋_GB2312"/>
          <w:color w:val="000000" w:themeColor="text1"/>
          <w:sz w:val="28"/>
          <w:szCs w:val="28"/>
          <w:highlight w:val="none"/>
          <w14:textFill>
            <w14:solidFill>
              <w14:schemeClr w14:val="tx1"/>
            </w14:solidFill>
          </w14:textFill>
        </w:rPr>
        <w:t>—土地成本价</w:t>
      </w:r>
    </w:p>
    <w:p w14:paraId="37FA9EFD">
      <w:pPr>
        <w:snapToGrid w:val="0"/>
        <w:spacing w:line="480" w:lineRule="exact"/>
        <w:ind w:firstLine="560" w:firstLineChars="200"/>
        <w:rPr>
          <w:rFonts w:eastAsia="仿宋_GB2312"/>
          <w:color w:val="000000" w:themeColor="text1"/>
          <w:sz w:val="28"/>
          <w:szCs w:val="28"/>
          <w:highlight w:val="none"/>
          <w14:textFill>
            <w14:solidFill>
              <w14:schemeClr w14:val="tx1"/>
            </w14:solidFill>
          </w14:textFill>
        </w:rPr>
      </w:pPr>
      <w:r>
        <w:rPr>
          <w:rFonts w:eastAsia="仿宋_GB2312"/>
          <w:color w:val="000000" w:themeColor="text1"/>
          <w:sz w:val="28"/>
          <w:szCs w:val="28"/>
          <w:highlight w:val="none"/>
          <w14:textFill>
            <w14:solidFill>
              <w14:schemeClr w14:val="tx1"/>
            </w14:solidFill>
          </w14:textFill>
        </w:rPr>
        <w:t>计算过程：</w:t>
      </w:r>
    </w:p>
    <w:p w14:paraId="72233F9B">
      <w:pPr>
        <w:spacing w:line="480" w:lineRule="exact"/>
        <w:ind w:firstLine="560" w:firstLineChars="200"/>
        <w:rPr>
          <w:rFonts w:eastAsia="仿宋_GB2312"/>
          <w:sz w:val="28"/>
          <w:szCs w:val="28"/>
          <w:highlight w:val="none"/>
        </w:rPr>
      </w:pPr>
      <w:r>
        <w:rPr>
          <w:rFonts w:eastAsia="仿宋_GB2312"/>
          <w:sz w:val="28"/>
          <w:szCs w:val="28"/>
          <w:highlight w:val="none"/>
        </w:rPr>
        <w:t>估价对象位于</w:t>
      </w:r>
      <w:r>
        <w:rPr>
          <w:rFonts w:hint="eastAsia" w:eastAsia="仿宋_GB2312"/>
          <w:sz w:val="28"/>
          <w:szCs w:val="28"/>
          <w:highlight w:val="none"/>
          <w:lang w:val="en-US" w:eastAsia="zh-CN"/>
        </w:rPr>
        <w:t>道县月岩西路</w:t>
      </w:r>
      <w:r>
        <w:rPr>
          <w:rFonts w:eastAsia="仿宋_GB2312"/>
          <w:sz w:val="28"/>
          <w:szCs w:val="28"/>
          <w:highlight w:val="none"/>
        </w:rPr>
        <w:t>，根据</w:t>
      </w:r>
      <w:r>
        <w:rPr>
          <w:rFonts w:hint="eastAsia" w:ascii="仿宋_GB2312" w:hAnsi="仿宋_GB2312" w:eastAsia="仿宋_GB2312" w:cs="仿宋_GB2312"/>
          <w:bCs/>
          <w:sz w:val="28"/>
          <w:szCs w:val="28"/>
          <w:highlight w:val="none"/>
          <w:lang w:val="en-US" w:eastAsia="zh-CN"/>
        </w:rPr>
        <w:t>对估价对象周边区域用地调查</w:t>
      </w:r>
      <w:r>
        <w:rPr>
          <w:rFonts w:eastAsia="仿宋_GB2312"/>
          <w:sz w:val="28"/>
          <w:szCs w:val="28"/>
          <w:highlight w:val="none"/>
        </w:rPr>
        <w:t>，评估宗地</w:t>
      </w:r>
      <w:r>
        <w:rPr>
          <w:rFonts w:hint="eastAsia" w:eastAsia="仿宋_GB2312"/>
          <w:sz w:val="28"/>
          <w:szCs w:val="28"/>
          <w:highlight w:val="none"/>
          <w:lang w:val="en-US" w:eastAsia="zh-CN"/>
        </w:rPr>
        <w:t>以耕地</w:t>
      </w:r>
      <w:r>
        <w:rPr>
          <w:rFonts w:eastAsia="仿宋_GB2312"/>
          <w:sz w:val="28"/>
          <w:szCs w:val="28"/>
          <w:highlight w:val="none"/>
        </w:rPr>
        <w:t>为主，此次采用成本逼近法评估待估宗地地价时，考虑估价期日被征用的土地为</w:t>
      </w:r>
      <w:r>
        <w:rPr>
          <w:rFonts w:hint="eastAsia" w:eastAsia="仿宋_GB2312"/>
          <w:sz w:val="28"/>
          <w:szCs w:val="28"/>
          <w:highlight w:val="none"/>
          <w:lang w:val="en-US" w:eastAsia="zh-CN"/>
        </w:rPr>
        <w:t>耕地</w:t>
      </w:r>
      <w:r>
        <w:rPr>
          <w:rFonts w:eastAsia="仿宋_GB2312"/>
          <w:sz w:val="28"/>
          <w:szCs w:val="28"/>
          <w:highlight w:val="none"/>
        </w:rPr>
        <w:t>。</w:t>
      </w:r>
    </w:p>
    <w:p w14:paraId="0AFD832F">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仿宋_GB2312" w:eastAsia="仿宋_GB2312" w:cs="仿宋_GB2312"/>
          <w:sz w:val="28"/>
          <w:szCs w:val="30"/>
          <w:highlight w:val="none"/>
          <w:lang w:val="en-US" w:eastAsia="zh-CN"/>
        </w:rPr>
      </w:pPr>
      <w:r>
        <w:rPr>
          <w:rFonts w:hint="eastAsia" w:ascii="仿宋_GB2312" w:hAnsi="仿宋_GB2312" w:eastAsia="仿宋_GB2312" w:cs="仿宋_GB2312"/>
          <w:color w:val="000000"/>
          <w:sz w:val="28"/>
          <w:szCs w:val="28"/>
          <w:highlight w:val="none"/>
        </w:rPr>
        <w:t>估价对象的估价期日为</w:t>
      </w:r>
      <w:r>
        <w:rPr>
          <w:rFonts w:hint="eastAsia" w:ascii="仿宋_GB2312" w:hAnsi="仿宋_GB2312" w:cs="仿宋_GB2312"/>
          <w:sz w:val="28"/>
          <w:szCs w:val="28"/>
          <w:highlight w:val="none"/>
          <w:lang w:val="en-US" w:eastAsia="zh-CN"/>
        </w:rPr>
        <w:t>2026年5月18日</w:t>
      </w:r>
      <w:r>
        <w:rPr>
          <w:rFonts w:hint="eastAsia" w:ascii="仿宋_GB2312" w:hAnsi="仿宋_GB2312" w:eastAsia="仿宋_GB2312" w:cs="仿宋_GB2312"/>
          <w:color w:val="000000"/>
          <w:sz w:val="28"/>
          <w:szCs w:val="28"/>
          <w:highlight w:val="none"/>
        </w:rPr>
        <w:t>，根据新土地管理法规定结合</w:t>
      </w:r>
      <w:r>
        <w:rPr>
          <w:rFonts w:hint="eastAsia" w:ascii="仿宋_GB2312" w:hAnsi="仿宋_GB2312" w:eastAsia="仿宋_GB2312" w:cs="仿宋_GB2312"/>
          <w:bCs/>
          <w:sz w:val="28"/>
          <w:szCs w:val="28"/>
          <w:highlight w:val="none"/>
          <w:lang w:val="en-US" w:eastAsia="zh-CN"/>
        </w:rPr>
        <w:t>《湖南省人民政府关于调整湖南省征地补偿标准的通知》（湘政发〔2024〕1号，2024年1月31日）</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eastAsia="zh-CN"/>
        </w:rPr>
        <w:t>《湖南省自然资源厅关于调整征收农用地补偿区片空间范围的通知》（湘自资发〔2024〕7号，</w:t>
      </w:r>
      <w:r>
        <w:rPr>
          <w:rFonts w:hint="eastAsia" w:ascii="仿宋_GB2312" w:hAnsi="仿宋_GB2312" w:eastAsia="仿宋_GB2312" w:cs="仿宋_GB2312"/>
          <w:color w:val="000000"/>
          <w:sz w:val="28"/>
          <w:szCs w:val="28"/>
          <w:highlight w:val="none"/>
          <w:lang w:val="en-US" w:eastAsia="zh-CN"/>
        </w:rPr>
        <w:t>2024年2月1日</w:t>
      </w:r>
      <w:r>
        <w:rPr>
          <w:rFonts w:hint="eastAsia" w:ascii="仿宋_GB2312" w:hAnsi="仿宋_GB2312" w:eastAsia="仿宋_GB2312" w:cs="仿宋_GB2312"/>
          <w:color w:val="000000"/>
          <w:sz w:val="28"/>
          <w:szCs w:val="28"/>
          <w:highlight w:val="none"/>
          <w:lang w:eastAsia="zh-CN"/>
        </w:rPr>
        <w:t>）、</w:t>
      </w:r>
      <w:r>
        <w:rPr>
          <w:rFonts w:hint="eastAsia" w:ascii="仿宋_GB2312" w:hAnsi="仿宋_GB2312" w:eastAsia="仿宋_GB2312" w:cs="仿宋_GB2312"/>
          <w:bCs/>
          <w:sz w:val="28"/>
          <w:szCs w:val="28"/>
          <w:highlight w:val="none"/>
          <w:lang w:val="en-US" w:eastAsia="zh-CN"/>
        </w:rPr>
        <w:t>永州市人民政府关于印发《永州市集体土地与房屋征收补偿安置办法》的通知（永政发〔2024〕4号，2024年5月11日）、</w:t>
      </w:r>
      <w:r>
        <w:rPr>
          <w:rFonts w:hint="eastAsia" w:ascii="仿宋_GB2312" w:hAnsi="仿宋_GB2312" w:eastAsia="仿宋_GB2312" w:cs="仿宋_GB2312"/>
          <w:color w:val="000000" w:themeColor="text1"/>
          <w:sz w:val="28"/>
          <w:szCs w:val="28"/>
          <w:highlight w:val="none"/>
          <w14:textFill>
            <w14:solidFill>
              <w14:schemeClr w14:val="tx1"/>
            </w14:solidFill>
          </w14:textFill>
        </w:rPr>
        <w:t>以及湖南省、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w:t>
      </w:r>
      <w:r>
        <w:rPr>
          <w:rFonts w:hint="eastAsia" w:ascii="仿宋_GB2312" w:hAnsi="仿宋_GB2312" w:eastAsia="仿宋_GB2312" w:cs="仿宋_GB2312"/>
          <w:color w:val="000000" w:themeColor="text1"/>
          <w:sz w:val="28"/>
          <w:szCs w:val="28"/>
          <w:highlight w:val="none"/>
          <w14:textFill>
            <w14:solidFill>
              <w14:schemeClr w14:val="tx1"/>
            </w14:solidFill>
          </w14:textFill>
        </w:rPr>
        <w:t>颁布其他各项文件为依据。根据成本逼近法测算地价的步骤，其各项费用如下：</w:t>
      </w:r>
    </w:p>
    <w:p w14:paraId="09258BF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1、土地取得费</w:t>
      </w:r>
    </w:p>
    <w:p w14:paraId="3EC4040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中华人民共和国土地管理法》（根据2019年8月26日第十三届全国人民代表大会常务委员会第十二次会议《关于修改〈中华人民共和国土地管理法〉、〈中华人民共和国城市房地产管理法〉的决定》第三次修正））第四十八条规定，征用土地的补偿费用包括土地补偿费、安置补助费以及农村村民住宅、其他地上附着物和青苗等的补偿费用、被征地农民的社会保障费用。</w:t>
      </w:r>
    </w:p>
    <w:p w14:paraId="0AA37DF5">
      <w:pPr>
        <w:spacing w:line="480" w:lineRule="exact"/>
        <w:ind w:firstLine="560" w:firstLineChars="200"/>
        <w:rPr>
          <w:rFonts w:hint="eastAsia" w:ascii="仿宋_GB2312" w:hAnsi="仿宋_GB2312" w:eastAsia="仿宋_GB2312" w:cs="仿宋_GB2312"/>
          <w:color w:val="000000" w:themeColor="text1"/>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①</w:t>
      </w:r>
      <w:r>
        <w:rPr>
          <w:rFonts w:hint="eastAsia" w:ascii="仿宋_GB2312" w:hAnsi="仿宋_GB2312" w:eastAsia="仿宋_GB2312" w:cs="仿宋_GB2312"/>
          <w:color w:val="000000" w:themeColor="text1"/>
          <w:sz w:val="28"/>
          <w:highlight w:val="none"/>
          <w14:textFill>
            <w14:solidFill>
              <w14:schemeClr w14:val="tx1"/>
            </w14:solidFill>
          </w14:textFill>
        </w:rPr>
        <w:t>征地补偿费和安置补助费</w:t>
      </w:r>
    </w:p>
    <w:p w14:paraId="6E72B338">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根据评估人员现场勘察和调查区域周边的土地利用状况，待估宗地所在区域土地利用类型主要</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为耕地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r>
        <w:rPr>
          <w:rFonts w:hint="eastAsia" w:ascii="仿宋_GB2312" w:hAnsi="仿宋_GB2312" w:eastAsia="仿宋_GB2312" w:cs="仿宋_GB2312"/>
          <w:color w:val="000000" w:themeColor="text1"/>
          <w:sz w:val="28"/>
          <w:szCs w:val="28"/>
          <w:highlight w:val="none"/>
          <w14:textFill>
            <w14:solidFill>
              <w14:schemeClr w14:val="tx1"/>
            </w14:solidFill>
          </w14:textFill>
        </w:rPr>
        <w:t>及</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估价对象</w:t>
      </w:r>
      <w:r>
        <w:rPr>
          <w:rFonts w:hint="eastAsia" w:ascii="仿宋_GB2312" w:hAnsi="仿宋_GB2312" w:eastAsia="仿宋_GB2312" w:cs="仿宋_GB2312"/>
          <w:color w:val="000000" w:themeColor="text1"/>
          <w:sz w:val="28"/>
          <w:szCs w:val="28"/>
          <w:highlight w:val="none"/>
          <w14:textFill>
            <w14:solidFill>
              <w14:schemeClr w14:val="tx1"/>
            </w14:solidFill>
          </w14:textFill>
        </w:rPr>
        <w:t>属于</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I</w:t>
      </w:r>
      <w:r>
        <w:rPr>
          <w:rFonts w:hint="eastAsia" w:ascii="仿宋_GB2312" w:hAnsi="仿宋_GB2312" w:eastAsia="仿宋_GB2312" w:cs="仿宋_GB2312"/>
          <w:color w:val="000000" w:themeColor="text1"/>
          <w:sz w:val="28"/>
          <w:szCs w:val="28"/>
          <w:highlight w:val="none"/>
          <w14:textFill>
            <w14:solidFill>
              <w14:schemeClr w14:val="tx1"/>
            </w14:solidFill>
          </w14:textFill>
        </w:rPr>
        <w:t>区范围，</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szCs w:val="28"/>
          <w:highlight w:val="none"/>
          <w14:textFill>
            <w14:solidFill>
              <w14:schemeClr w14:val="tx1"/>
            </w14:solidFill>
          </w14:textFill>
        </w:rPr>
        <w:t>补偿费为</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元/亩</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则：</w:t>
      </w:r>
    </w:p>
    <w:p w14:paraId="06FFCAB7">
      <w:pPr>
        <w:spacing w:line="480" w:lineRule="exact"/>
        <w:ind w:firstLine="560" w:firstLineChars="200"/>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征地补偿费=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66300</w:t>
      </w:r>
      <w:r>
        <w:rPr>
          <w:rFonts w:hint="eastAsia" w:ascii="仿宋_GB2312" w:hAnsi="仿宋_GB2312" w:eastAsia="仿宋_GB2312" w:cs="仿宋_GB2312"/>
          <w:color w:val="000000" w:themeColor="text1"/>
          <w:sz w:val="28"/>
          <w:szCs w:val="28"/>
          <w:highlight w:val="none"/>
          <w14:textFill>
            <w14:solidFill>
              <w14:schemeClr w14:val="tx1"/>
            </w14:solidFill>
          </w14:textFill>
        </w:rPr>
        <w:t>×0.0015=</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99.45</w:t>
      </w:r>
      <w:r>
        <w:rPr>
          <w:rFonts w:hint="eastAsia" w:ascii="仿宋_GB2312" w:hAnsi="仿宋_GB2312" w:eastAsia="仿宋_GB2312" w:cs="仿宋_GB2312"/>
          <w:color w:val="000000" w:themeColor="text1"/>
          <w:sz w:val="28"/>
          <w:szCs w:val="28"/>
          <w:highlight w:val="none"/>
          <w14:textFill>
            <w14:solidFill>
              <w14:schemeClr w14:val="tx1"/>
            </w14:solidFill>
          </w14:textFill>
        </w:rPr>
        <w:t>元/平方米。</w:t>
      </w:r>
    </w:p>
    <w:p w14:paraId="7527774E">
      <w:pPr>
        <w:snapToGrid w:val="0"/>
        <w:spacing w:line="480" w:lineRule="exact"/>
        <w:ind w:firstLine="560" w:firstLineChars="20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②</w:t>
      </w:r>
      <w:r>
        <w:rPr>
          <w:rFonts w:hint="eastAsia" w:ascii="仿宋_GB2312" w:hAnsi="仿宋_GB2312" w:eastAsia="仿宋_GB2312" w:cs="仿宋_GB2312"/>
          <w:color w:val="000000" w:themeColor="text1"/>
          <w:sz w:val="28"/>
          <w:highlight w:val="none"/>
          <w14:textFill>
            <w14:solidFill>
              <w14:schemeClr w14:val="tx1"/>
            </w14:solidFill>
          </w14:textFill>
        </w:rPr>
        <w:t>地上附着物补偿</w:t>
      </w:r>
    </w:p>
    <w:p w14:paraId="5E466C10">
      <w:pPr>
        <w:snapToGrid w:val="0"/>
        <w:spacing w:line="480" w:lineRule="exact"/>
        <w:ind w:firstLine="560" w:firstLineChars="200"/>
        <w:rPr>
          <w:rFonts w:hint="eastAsia" w:ascii="仿宋_GB2312" w:hAnsi="仿宋_GB2312" w:eastAsia="仿宋_GB2312" w:cs="仿宋_GB2312"/>
          <w:sz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永州市人民政府关于印发《永州市集体土地与房屋征收补偿安置办法》的通知（永政发〔2024〕4号，2024年5月11日）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szCs w:val="28"/>
          <w:highlight w:val="none"/>
          <w:lang w:val="en-US" w:eastAsia="zh-CN"/>
        </w:rPr>
        <w:t>道县</w:t>
      </w:r>
      <w:r>
        <w:rPr>
          <w:rFonts w:hint="eastAsia" w:ascii="仿宋_GB2312" w:hAnsi="仿宋_GB2312" w:eastAsia="仿宋_GB2312" w:cs="仿宋_GB2312"/>
          <w:sz w:val="28"/>
          <w:szCs w:val="28"/>
          <w:highlight w:val="none"/>
        </w:rPr>
        <w:t>的</w:t>
      </w:r>
      <w:r>
        <w:rPr>
          <w:rFonts w:hint="eastAsia" w:ascii="仿宋_GB2312" w:hAnsi="仿宋_GB2312" w:eastAsia="仿宋_GB2312" w:cs="仿宋_GB2312"/>
          <w:sz w:val="28"/>
          <w:szCs w:val="28"/>
          <w:highlight w:val="none"/>
          <w:lang w:val="en-US" w:eastAsia="zh-CN"/>
        </w:rPr>
        <w:t>水田</w:t>
      </w:r>
      <w:r>
        <w:rPr>
          <w:rFonts w:hint="eastAsia" w:ascii="仿宋_GB2312" w:hAnsi="仿宋_GB2312" w:eastAsia="仿宋_GB2312" w:cs="仿宋_GB2312"/>
          <w:sz w:val="28"/>
          <w:szCs w:val="28"/>
          <w:highlight w:val="none"/>
        </w:rPr>
        <w:t>青苗补偿标准为</w:t>
      </w:r>
      <w:r>
        <w:rPr>
          <w:rFonts w:hint="eastAsia" w:ascii="仿宋_GB2312" w:hAnsi="仿宋_GB2312" w:eastAsia="仿宋_GB2312" w:cs="仿宋_GB2312"/>
          <w:sz w:val="28"/>
          <w:szCs w:val="28"/>
          <w:highlight w:val="none"/>
          <w:lang w:val="en-US" w:eastAsia="zh-CN"/>
        </w:rPr>
        <w:t>2800</w:t>
      </w:r>
      <w:r>
        <w:rPr>
          <w:rFonts w:hint="eastAsia" w:ascii="仿宋_GB2312" w:hAnsi="仿宋_GB2312" w:eastAsia="仿宋_GB2312" w:cs="仿宋_GB2312"/>
          <w:sz w:val="28"/>
          <w:highlight w:val="none"/>
        </w:rPr>
        <w:t>元/亩，合</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元/㎡；</w:t>
      </w:r>
    </w:p>
    <w:p w14:paraId="7A8377A6">
      <w:pPr>
        <w:spacing w:line="480" w:lineRule="exact"/>
        <w:ind w:firstLine="560" w:firstLineChars="200"/>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根据</w:t>
      </w:r>
      <w:r>
        <w:rPr>
          <w:rFonts w:hint="eastAsia" w:ascii="仿宋_GB2312" w:hAnsi="仿宋_GB2312" w:eastAsia="仿宋_GB2312" w:cs="仿宋_GB2312"/>
          <w:sz w:val="28"/>
          <w:highlight w:val="none"/>
        </w:rPr>
        <w:t>《永州市集体土地与房屋征收补偿安置办法》的通知（永政发〔2024〕4号，2024年5月11日）</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sz w:val="28"/>
          <w:highlight w:val="none"/>
        </w:rPr>
        <w:t>地上建筑物补偿标准计算</w:t>
      </w:r>
      <w:r>
        <w:rPr>
          <w:rFonts w:hint="eastAsia" w:ascii="仿宋_GB2312" w:hAnsi="仿宋_GB2312" w:eastAsia="仿宋_GB2312" w:cs="仿宋_GB2312"/>
          <w:sz w:val="28"/>
          <w:szCs w:val="28"/>
          <w:highlight w:val="none"/>
        </w:rPr>
        <w:t>如下：</w:t>
      </w:r>
    </w:p>
    <w:p w14:paraId="68075F42">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表3</w:t>
      </w:r>
      <w:r>
        <w:rPr>
          <w:rFonts w:hint="eastAsia" w:ascii="仿宋_GB2312" w:hAnsi="仿宋_GB2312" w:eastAsia="仿宋_GB2312" w:cs="仿宋_GB2312"/>
          <w:sz w:val="28"/>
          <w:szCs w:val="28"/>
          <w:highlight w:val="none"/>
          <w:lang w:val="en-US" w:eastAsia="zh-CN"/>
        </w:rPr>
        <w:t>-1</w:t>
      </w:r>
      <w:r>
        <w:rPr>
          <w:rFonts w:hint="eastAsia" w:ascii="仿宋_GB2312" w:hAnsi="仿宋_GB2312" w:eastAsia="仿宋_GB2312" w:cs="仿宋_GB2312"/>
          <w:sz w:val="28"/>
          <w:szCs w:val="28"/>
          <w:highlight w:val="none"/>
        </w:rPr>
        <w:t xml:space="preserve"> 建筑物补偿标准</w:t>
      </w:r>
    </w:p>
    <w:tbl>
      <w:tblPr>
        <w:tblStyle w:val="12"/>
        <w:tblW w:w="871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58"/>
        <w:gridCol w:w="1560"/>
        <w:gridCol w:w="1755"/>
        <w:gridCol w:w="1335"/>
        <w:gridCol w:w="1005"/>
        <w:gridCol w:w="1704"/>
      </w:tblGrid>
      <w:tr w14:paraId="0ED447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0" w:hRule="atLeast"/>
        </w:trPr>
        <w:tc>
          <w:tcPr>
            <w:tcW w:w="1358" w:type="dxa"/>
            <w:noWrap w:val="0"/>
            <w:vAlign w:val="center"/>
          </w:tcPr>
          <w:p w14:paraId="04F2A23A">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补偿项目名称</w:t>
            </w:r>
          </w:p>
        </w:tc>
        <w:tc>
          <w:tcPr>
            <w:tcW w:w="1560" w:type="dxa"/>
            <w:noWrap w:val="0"/>
            <w:vAlign w:val="center"/>
          </w:tcPr>
          <w:p w14:paraId="33183AE8">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附着物补偿标准（元/㎡）</w:t>
            </w:r>
          </w:p>
        </w:tc>
        <w:tc>
          <w:tcPr>
            <w:tcW w:w="1755" w:type="dxa"/>
            <w:noWrap w:val="0"/>
            <w:vAlign w:val="center"/>
          </w:tcPr>
          <w:p w14:paraId="2D3F87B9">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计算基数</w:t>
            </w:r>
          </w:p>
        </w:tc>
        <w:tc>
          <w:tcPr>
            <w:tcW w:w="1335" w:type="dxa"/>
            <w:noWrap w:val="0"/>
            <w:vAlign w:val="center"/>
          </w:tcPr>
          <w:p w14:paraId="508D0690">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人均合法建筑面积（㎡）</w:t>
            </w:r>
          </w:p>
        </w:tc>
        <w:tc>
          <w:tcPr>
            <w:tcW w:w="1005" w:type="dxa"/>
            <w:noWrap w:val="0"/>
            <w:vAlign w:val="center"/>
          </w:tcPr>
          <w:p w14:paraId="4FA96B62">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补偿金额（元）</w:t>
            </w:r>
          </w:p>
        </w:tc>
        <w:tc>
          <w:tcPr>
            <w:tcW w:w="1704" w:type="dxa"/>
            <w:noWrap w:val="0"/>
            <w:vAlign w:val="center"/>
          </w:tcPr>
          <w:p w14:paraId="5D60CCC5">
            <w:pPr>
              <w:widowControl/>
              <w:jc w:val="center"/>
              <w:rPr>
                <w:rFonts w:hint="eastAsia" w:ascii="仿宋_GB2312" w:hAnsi="仿宋_GB2312" w:eastAsia="仿宋_GB2312" w:cs="仿宋_GB2312"/>
                <w:kern w:val="0"/>
                <w:sz w:val="21"/>
                <w:szCs w:val="21"/>
                <w:highlight w:val="none"/>
              </w:rPr>
            </w:pPr>
            <w:r>
              <w:rPr>
                <w:rFonts w:hint="eastAsia" w:ascii="仿宋_GB2312" w:hAnsi="仿宋_GB2312" w:eastAsia="仿宋_GB2312" w:cs="仿宋_GB2312"/>
                <w:kern w:val="0"/>
                <w:sz w:val="21"/>
                <w:szCs w:val="21"/>
                <w:highlight w:val="none"/>
              </w:rPr>
              <w:t>备注</w:t>
            </w:r>
          </w:p>
        </w:tc>
      </w:tr>
      <w:tr w14:paraId="5365D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8" w:hRule="atLeast"/>
        </w:trPr>
        <w:tc>
          <w:tcPr>
            <w:tcW w:w="1358" w:type="dxa"/>
            <w:noWrap w:val="0"/>
            <w:vAlign w:val="center"/>
          </w:tcPr>
          <w:p w14:paraId="6137705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房屋补偿费</w:t>
            </w:r>
          </w:p>
        </w:tc>
        <w:tc>
          <w:tcPr>
            <w:tcW w:w="1560" w:type="dxa"/>
            <w:noWrap w:val="0"/>
            <w:vAlign w:val="center"/>
          </w:tcPr>
          <w:p w14:paraId="437C685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1350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0BD9C1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7A7FA1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33F3DCFE">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94500</w:t>
            </w:r>
          </w:p>
        </w:tc>
        <w:tc>
          <w:tcPr>
            <w:tcW w:w="1704" w:type="dxa"/>
            <w:noWrap w:val="0"/>
            <w:vAlign w:val="center"/>
          </w:tcPr>
          <w:p w14:paraId="583F8DD2">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砖混，本补偿标准含室内外装饰、装修</w:t>
            </w:r>
          </w:p>
        </w:tc>
      </w:tr>
      <w:tr w14:paraId="218D0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9" w:hRule="atLeast"/>
        </w:trPr>
        <w:tc>
          <w:tcPr>
            <w:tcW w:w="1358" w:type="dxa"/>
            <w:noWrap w:val="0"/>
            <w:vAlign w:val="center"/>
          </w:tcPr>
          <w:p w14:paraId="6BFB59C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主动腾地奖</w:t>
            </w:r>
          </w:p>
        </w:tc>
        <w:tc>
          <w:tcPr>
            <w:tcW w:w="1560" w:type="dxa"/>
            <w:noWrap w:val="0"/>
            <w:vAlign w:val="center"/>
          </w:tcPr>
          <w:p w14:paraId="2E2CD87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w:t>
            </w:r>
          </w:p>
        </w:tc>
        <w:tc>
          <w:tcPr>
            <w:tcW w:w="1755" w:type="dxa"/>
            <w:noWrap w:val="0"/>
            <w:vAlign w:val="center"/>
          </w:tcPr>
          <w:p w14:paraId="7A359EF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按合法建筑面积</w:t>
            </w:r>
          </w:p>
        </w:tc>
        <w:tc>
          <w:tcPr>
            <w:tcW w:w="1335" w:type="dxa"/>
            <w:noWrap w:val="0"/>
            <w:vAlign w:val="center"/>
          </w:tcPr>
          <w:p w14:paraId="046AEE3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w:t>
            </w:r>
          </w:p>
        </w:tc>
        <w:tc>
          <w:tcPr>
            <w:tcW w:w="1005" w:type="dxa"/>
            <w:noWrap w:val="0"/>
            <w:vAlign w:val="center"/>
          </w:tcPr>
          <w:p w14:paraId="5CDD96C7">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7000</w:t>
            </w:r>
          </w:p>
        </w:tc>
        <w:tc>
          <w:tcPr>
            <w:tcW w:w="1704" w:type="dxa"/>
            <w:noWrap w:val="0"/>
            <w:vAlign w:val="center"/>
          </w:tcPr>
          <w:p w14:paraId="6138197F">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按二层计算</w:t>
            </w:r>
          </w:p>
        </w:tc>
      </w:tr>
      <w:tr w14:paraId="59CF7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trPr>
        <w:tc>
          <w:tcPr>
            <w:tcW w:w="1358" w:type="dxa"/>
            <w:noWrap w:val="0"/>
            <w:vAlign w:val="center"/>
          </w:tcPr>
          <w:p w14:paraId="63FA6AE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搬家费</w:t>
            </w:r>
          </w:p>
        </w:tc>
        <w:tc>
          <w:tcPr>
            <w:tcW w:w="1560" w:type="dxa"/>
            <w:noWrap w:val="0"/>
            <w:vAlign w:val="center"/>
          </w:tcPr>
          <w:p w14:paraId="21F012DA">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2000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755" w:type="dxa"/>
            <w:noWrap w:val="0"/>
            <w:vAlign w:val="center"/>
          </w:tcPr>
          <w:p w14:paraId="6AA80BF6">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4C411D58">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2DE4CA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500</w:t>
            </w:r>
          </w:p>
        </w:tc>
        <w:tc>
          <w:tcPr>
            <w:tcW w:w="1704" w:type="dxa"/>
            <w:noWrap w:val="0"/>
            <w:vAlign w:val="center"/>
          </w:tcPr>
          <w:p w14:paraId="115D1F3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按中间值计算</w:t>
            </w:r>
          </w:p>
        </w:tc>
      </w:tr>
      <w:tr w14:paraId="68C2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0" w:hRule="atLeast"/>
        </w:trPr>
        <w:tc>
          <w:tcPr>
            <w:tcW w:w="1358" w:type="dxa"/>
            <w:noWrap w:val="0"/>
            <w:vAlign w:val="center"/>
          </w:tcPr>
          <w:p w14:paraId="2002C56C">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过渡费</w:t>
            </w:r>
          </w:p>
        </w:tc>
        <w:tc>
          <w:tcPr>
            <w:tcW w:w="1560" w:type="dxa"/>
            <w:noWrap w:val="0"/>
            <w:vAlign w:val="center"/>
          </w:tcPr>
          <w:p w14:paraId="5B349BB0">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1000</w:t>
            </w:r>
            <w:r>
              <w:rPr>
                <w:rFonts w:hint="eastAsia" w:ascii="仿宋_GB2312" w:hAnsi="仿宋_GB2312" w:eastAsia="仿宋_GB2312" w:cs="仿宋_GB2312"/>
                <w:i w:val="0"/>
                <w:iCs w:val="0"/>
                <w:color w:val="000000"/>
                <w:kern w:val="0"/>
                <w:sz w:val="21"/>
                <w:szCs w:val="21"/>
                <w:highlight w:val="none"/>
                <w:u w:val="none"/>
                <w:lang w:val="en-US" w:eastAsia="zh-CN" w:bidi="ar"/>
              </w:rPr>
              <w:t>元</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月</w:t>
            </w:r>
          </w:p>
        </w:tc>
        <w:tc>
          <w:tcPr>
            <w:tcW w:w="1755" w:type="dxa"/>
            <w:noWrap w:val="0"/>
            <w:vAlign w:val="center"/>
          </w:tcPr>
          <w:p w14:paraId="4FD128CB">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按每户，</w:t>
            </w:r>
            <w:r>
              <w:rPr>
                <w:rStyle w:val="20"/>
                <w:rFonts w:hint="eastAsia" w:ascii="仿宋_GB2312" w:hAnsi="仿宋_GB2312" w:eastAsia="仿宋_GB2312" w:cs="仿宋_GB2312"/>
                <w:sz w:val="21"/>
                <w:szCs w:val="21"/>
                <w:highlight w:val="none"/>
                <w:lang w:val="en-US" w:eastAsia="zh-CN" w:bidi="ar"/>
              </w:rPr>
              <w:t>4</w:t>
            </w:r>
            <w:r>
              <w:rPr>
                <w:rFonts w:hint="eastAsia" w:ascii="仿宋_GB2312" w:hAnsi="仿宋_GB2312" w:eastAsia="仿宋_GB2312" w:cs="仿宋_GB2312"/>
                <w:i w:val="0"/>
                <w:iCs w:val="0"/>
                <w:color w:val="000000"/>
                <w:kern w:val="0"/>
                <w:sz w:val="21"/>
                <w:szCs w:val="21"/>
                <w:highlight w:val="none"/>
                <w:u w:val="none"/>
                <w:lang w:val="en-US" w:eastAsia="zh-CN" w:bidi="ar"/>
              </w:rPr>
              <w:t>人</w:t>
            </w:r>
            <w:r>
              <w:rPr>
                <w:rStyle w:val="20"/>
                <w:rFonts w:hint="eastAsia" w:ascii="仿宋_GB2312" w:hAnsi="仿宋_GB2312" w:eastAsia="仿宋_GB2312" w:cs="仿宋_GB2312"/>
                <w:sz w:val="21"/>
                <w:szCs w:val="21"/>
                <w:highlight w:val="none"/>
                <w:lang w:val="en-US" w:eastAsia="zh-CN" w:bidi="ar"/>
              </w:rPr>
              <w:t>/</w:t>
            </w:r>
            <w:r>
              <w:rPr>
                <w:rFonts w:hint="eastAsia" w:ascii="仿宋_GB2312" w:hAnsi="仿宋_GB2312" w:eastAsia="仿宋_GB2312" w:cs="仿宋_GB2312"/>
                <w:i w:val="0"/>
                <w:iCs w:val="0"/>
                <w:color w:val="000000"/>
                <w:kern w:val="0"/>
                <w:sz w:val="21"/>
                <w:szCs w:val="21"/>
                <w:highlight w:val="none"/>
                <w:u w:val="none"/>
                <w:lang w:val="en-US" w:eastAsia="zh-CN" w:bidi="ar"/>
              </w:rPr>
              <w:t>户</w:t>
            </w:r>
          </w:p>
        </w:tc>
        <w:tc>
          <w:tcPr>
            <w:tcW w:w="1335" w:type="dxa"/>
            <w:noWrap w:val="0"/>
            <w:vAlign w:val="center"/>
          </w:tcPr>
          <w:p w14:paraId="5399E405">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Style w:val="20"/>
                <w:rFonts w:hint="eastAsia" w:ascii="仿宋_GB2312" w:hAnsi="仿宋_GB2312" w:eastAsia="仿宋_GB2312" w:cs="仿宋_GB2312"/>
                <w:sz w:val="21"/>
                <w:szCs w:val="21"/>
                <w:highlight w:val="none"/>
                <w:lang w:val="en-US" w:eastAsia="zh-CN" w:bidi="ar"/>
              </w:rPr>
              <w:t>1</w:t>
            </w:r>
            <w:r>
              <w:rPr>
                <w:rFonts w:hint="eastAsia" w:ascii="仿宋_GB2312" w:hAnsi="仿宋_GB2312" w:eastAsia="仿宋_GB2312" w:cs="仿宋_GB2312"/>
                <w:i w:val="0"/>
                <w:iCs w:val="0"/>
                <w:color w:val="000000"/>
                <w:kern w:val="0"/>
                <w:sz w:val="21"/>
                <w:szCs w:val="21"/>
                <w:highlight w:val="none"/>
                <w:u w:val="none"/>
                <w:lang w:val="en-US" w:eastAsia="zh-CN" w:bidi="ar"/>
              </w:rPr>
              <w:t>人</w:t>
            </w:r>
          </w:p>
        </w:tc>
        <w:tc>
          <w:tcPr>
            <w:tcW w:w="1005" w:type="dxa"/>
            <w:noWrap w:val="0"/>
            <w:vAlign w:val="center"/>
          </w:tcPr>
          <w:p w14:paraId="682C0DB9">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3000</w:t>
            </w:r>
          </w:p>
        </w:tc>
        <w:tc>
          <w:tcPr>
            <w:tcW w:w="1704" w:type="dxa"/>
            <w:noWrap w:val="0"/>
            <w:vAlign w:val="center"/>
          </w:tcPr>
          <w:p w14:paraId="6DDCF0E1">
            <w:pPr>
              <w:keepNext w:val="0"/>
              <w:keepLines w:val="0"/>
              <w:widowControl/>
              <w:suppressLineNumbers w:val="0"/>
              <w:jc w:val="center"/>
              <w:textAlignment w:val="center"/>
              <w:rPr>
                <w:rFonts w:hint="eastAsia" w:ascii="仿宋_GB2312" w:hAnsi="仿宋_GB2312" w:eastAsia="仿宋_GB2312" w:cs="仿宋_GB2312"/>
                <w:color w:val="000000"/>
                <w:kern w:val="0"/>
                <w:sz w:val="21"/>
                <w:szCs w:val="21"/>
                <w:highlight w:val="none"/>
              </w:rPr>
            </w:pPr>
            <w:r>
              <w:rPr>
                <w:rFonts w:hint="eastAsia" w:ascii="仿宋_GB2312" w:hAnsi="仿宋_GB2312" w:eastAsia="仿宋_GB2312" w:cs="仿宋_GB2312"/>
                <w:i w:val="0"/>
                <w:iCs w:val="0"/>
                <w:color w:val="000000"/>
                <w:kern w:val="0"/>
                <w:sz w:val="21"/>
                <w:szCs w:val="21"/>
                <w:highlight w:val="none"/>
                <w:u w:val="none"/>
                <w:lang w:val="en-US" w:eastAsia="zh-CN" w:bidi="ar"/>
              </w:rPr>
              <w:t>过渡期</w:t>
            </w:r>
            <w:r>
              <w:rPr>
                <w:rStyle w:val="20"/>
                <w:rFonts w:hint="eastAsia" w:ascii="仿宋_GB2312" w:hAnsi="仿宋_GB2312" w:eastAsia="仿宋_GB2312" w:cs="仿宋_GB2312"/>
                <w:sz w:val="21"/>
                <w:szCs w:val="21"/>
                <w:highlight w:val="none"/>
                <w:lang w:val="en-US" w:eastAsia="zh-CN" w:bidi="ar"/>
              </w:rPr>
              <w:t>12</w:t>
            </w:r>
            <w:r>
              <w:rPr>
                <w:rFonts w:hint="eastAsia" w:ascii="仿宋_GB2312" w:hAnsi="仿宋_GB2312" w:eastAsia="仿宋_GB2312" w:cs="仿宋_GB2312"/>
                <w:i w:val="0"/>
                <w:iCs w:val="0"/>
                <w:color w:val="000000"/>
                <w:kern w:val="0"/>
                <w:sz w:val="21"/>
                <w:szCs w:val="21"/>
                <w:highlight w:val="none"/>
                <w:u w:val="none"/>
                <w:lang w:val="en-US" w:eastAsia="zh-CN" w:bidi="ar"/>
              </w:rPr>
              <w:t>个月</w:t>
            </w:r>
          </w:p>
        </w:tc>
      </w:tr>
    </w:tbl>
    <w:p w14:paraId="66B587CF">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根据以上测算，区域地上建筑物平均补偿费用为</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元/人。据湖南征地信息平台公布的数据，收集到的区域三个征地案例的安置农业人口数，确定区域农业人口数约</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人/公顷。具体补偿人口数量详见下表：</w:t>
      </w:r>
    </w:p>
    <w:p w14:paraId="60FF420F">
      <w:pPr>
        <w:spacing w:line="480" w:lineRule="exact"/>
        <w:ind w:firstLine="560" w:firstLineChars="200"/>
        <w:jc w:val="center"/>
        <w:rPr>
          <w:rFonts w:hint="eastAsia"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表</w:t>
      </w:r>
      <w:r>
        <w:rPr>
          <w:rFonts w:hint="eastAsia" w:ascii="仿宋_GB2312" w:hAnsi="仿宋_GB2312" w:eastAsia="仿宋_GB2312" w:cs="仿宋_GB2312"/>
          <w:sz w:val="28"/>
          <w:szCs w:val="28"/>
          <w:highlight w:val="none"/>
          <w:lang w:val="en-US" w:eastAsia="zh-CN"/>
        </w:rPr>
        <w:t>3-2</w:t>
      </w:r>
      <w:r>
        <w:rPr>
          <w:rFonts w:hint="eastAsia" w:ascii="仿宋_GB2312" w:hAnsi="仿宋_GB2312" w:eastAsia="仿宋_GB2312" w:cs="仿宋_GB2312"/>
          <w:sz w:val="28"/>
          <w:szCs w:val="28"/>
          <w:highlight w:val="none"/>
        </w:rPr>
        <w:t>平均</w:t>
      </w:r>
      <w:r>
        <w:rPr>
          <w:rFonts w:hint="eastAsia" w:ascii="仿宋_GB2312" w:hAnsi="仿宋_GB2312" w:eastAsia="仿宋_GB2312" w:cs="仿宋_GB2312"/>
          <w:sz w:val="28"/>
          <w:highlight w:val="none"/>
        </w:rPr>
        <w:t>安置农业人口数确定表</w:t>
      </w:r>
    </w:p>
    <w:tbl>
      <w:tblPr>
        <w:tblStyle w:val="12"/>
        <w:tblW w:w="8637" w:type="dxa"/>
        <w:tblInd w:w="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29"/>
        <w:gridCol w:w="2467"/>
        <w:gridCol w:w="1289"/>
        <w:gridCol w:w="1266"/>
        <w:gridCol w:w="1586"/>
      </w:tblGrid>
      <w:tr w14:paraId="72D07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4679DA02">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项目名称</w:t>
            </w:r>
          </w:p>
        </w:tc>
        <w:tc>
          <w:tcPr>
            <w:tcW w:w="2467" w:type="dxa"/>
            <w:noWrap w:val="0"/>
            <w:vAlign w:val="center"/>
          </w:tcPr>
          <w:p w14:paraId="63F6E5F9">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位置</w:t>
            </w:r>
          </w:p>
        </w:tc>
        <w:tc>
          <w:tcPr>
            <w:tcW w:w="1289" w:type="dxa"/>
            <w:noWrap w:val="0"/>
            <w:vAlign w:val="center"/>
          </w:tcPr>
          <w:p w14:paraId="436A47F6">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用地面积</w:t>
            </w:r>
          </w:p>
          <w:p w14:paraId="166198FF">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（h㎡）</w:t>
            </w:r>
          </w:p>
        </w:tc>
        <w:tc>
          <w:tcPr>
            <w:tcW w:w="1266" w:type="dxa"/>
            <w:noWrap w:val="0"/>
            <w:vAlign w:val="center"/>
          </w:tcPr>
          <w:p w14:paraId="58F71645">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安置农业人口（人）</w:t>
            </w:r>
          </w:p>
        </w:tc>
        <w:tc>
          <w:tcPr>
            <w:tcW w:w="1586" w:type="dxa"/>
            <w:noWrap w:val="0"/>
            <w:vAlign w:val="center"/>
          </w:tcPr>
          <w:p w14:paraId="53BF67CB">
            <w:pPr>
              <w:widowControl/>
              <w:jc w:val="center"/>
              <w:rPr>
                <w:rFonts w:hint="eastAsia" w:ascii="仿宋_GB2312" w:hAnsi="仿宋_GB2312" w:eastAsia="仿宋_GB2312" w:cs="仿宋_GB2312"/>
                <w:kern w:val="0"/>
                <w:szCs w:val="21"/>
                <w:highlight w:val="none"/>
              </w:rPr>
            </w:pPr>
            <w:r>
              <w:rPr>
                <w:rFonts w:hint="eastAsia" w:ascii="仿宋_GB2312" w:hAnsi="仿宋_GB2312" w:eastAsia="仿宋_GB2312" w:cs="仿宋_GB2312"/>
                <w:kern w:val="0"/>
                <w:szCs w:val="21"/>
                <w:highlight w:val="none"/>
              </w:rPr>
              <w:t>安置人口数折合人/公顷</w:t>
            </w:r>
          </w:p>
        </w:tc>
      </w:tr>
      <w:tr w14:paraId="1CFFE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trPr>
        <w:tc>
          <w:tcPr>
            <w:tcW w:w="2029" w:type="dxa"/>
            <w:noWrap w:val="0"/>
            <w:vAlign w:val="center"/>
          </w:tcPr>
          <w:p w14:paraId="73118DF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道县2023年第五批次建设用地</w:t>
            </w:r>
          </w:p>
        </w:tc>
        <w:tc>
          <w:tcPr>
            <w:tcW w:w="2467" w:type="dxa"/>
            <w:noWrap w:val="0"/>
            <w:vAlign w:val="center"/>
          </w:tcPr>
          <w:p w14:paraId="06EE8E4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道县东门街道乌家山社区、富塘街道五里牌社区、溪街道东阳社区</w:t>
            </w:r>
          </w:p>
        </w:tc>
        <w:tc>
          <w:tcPr>
            <w:tcW w:w="1289" w:type="dxa"/>
            <w:noWrap w:val="0"/>
            <w:vAlign w:val="center"/>
          </w:tcPr>
          <w:p w14:paraId="23FD5E3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1.3883</w:t>
            </w:r>
          </w:p>
        </w:tc>
        <w:tc>
          <w:tcPr>
            <w:tcW w:w="1266" w:type="dxa"/>
            <w:noWrap w:val="0"/>
            <w:vAlign w:val="center"/>
          </w:tcPr>
          <w:p w14:paraId="24E5BE1A">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9</w:t>
            </w:r>
          </w:p>
        </w:tc>
        <w:tc>
          <w:tcPr>
            <w:tcW w:w="1586" w:type="dxa"/>
            <w:noWrap w:val="0"/>
            <w:vAlign w:val="center"/>
          </w:tcPr>
          <w:p w14:paraId="49945E7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6.48</w:t>
            </w:r>
          </w:p>
        </w:tc>
      </w:tr>
      <w:tr w14:paraId="6E4507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3" w:hRule="atLeast"/>
        </w:trPr>
        <w:tc>
          <w:tcPr>
            <w:tcW w:w="2029" w:type="dxa"/>
            <w:noWrap w:val="0"/>
            <w:vAlign w:val="center"/>
          </w:tcPr>
          <w:p w14:paraId="2BC107A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道县2023年第四批次建设用地</w:t>
            </w:r>
          </w:p>
        </w:tc>
        <w:tc>
          <w:tcPr>
            <w:tcW w:w="2467" w:type="dxa"/>
            <w:noWrap w:val="0"/>
            <w:vAlign w:val="center"/>
          </w:tcPr>
          <w:p w14:paraId="42562DA3">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道县东门街道东门社区、乌家山社区、北门社区</w:t>
            </w:r>
          </w:p>
        </w:tc>
        <w:tc>
          <w:tcPr>
            <w:tcW w:w="1289" w:type="dxa"/>
            <w:noWrap w:val="0"/>
            <w:vAlign w:val="center"/>
          </w:tcPr>
          <w:p w14:paraId="73B4306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0.9904</w:t>
            </w:r>
          </w:p>
        </w:tc>
        <w:tc>
          <w:tcPr>
            <w:tcW w:w="1266" w:type="dxa"/>
            <w:noWrap w:val="0"/>
            <w:vAlign w:val="center"/>
          </w:tcPr>
          <w:p w14:paraId="68FD0515">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w:t>
            </w:r>
          </w:p>
        </w:tc>
        <w:tc>
          <w:tcPr>
            <w:tcW w:w="1586" w:type="dxa"/>
            <w:noWrap w:val="0"/>
            <w:vAlign w:val="center"/>
          </w:tcPr>
          <w:p w14:paraId="1B22CA1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16.16</w:t>
            </w:r>
          </w:p>
        </w:tc>
      </w:tr>
      <w:tr w14:paraId="41E7F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19BBDF84">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道县2023年第三批次建设用地</w:t>
            </w:r>
          </w:p>
        </w:tc>
        <w:tc>
          <w:tcPr>
            <w:tcW w:w="2467" w:type="dxa"/>
            <w:noWrap w:val="0"/>
            <w:vAlign w:val="center"/>
          </w:tcPr>
          <w:p w14:paraId="04C03930">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道县万家庄街道下洞社区</w:t>
            </w:r>
          </w:p>
        </w:tc>
        <w:tc>
          <w:tcPr>
            <w:tcW w:w="1289" w:type="dxa"/>
            <w:noWrap w:val="0"/>
            <w:vAlign w:val="center"/>
          </w:tcPr>
          <w:p w14:paraId="18138F91">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4.83283</w:t>
            </w:r>
          </w:p>
        </w:tc>
        <w:tc>
          <w:tcPr>
            <w:tcW w:w="1266" w:type="dxa"/>
            <w:noWrap w:val="0"/>
            <w:vAlign w:val="center"/>
          </w:tcPr>
          <w:p w14:paraId="0967F218">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40</w:t>
            </w:r>
          </w:p>
        </w:tc>
        <w:tc>
          <w:tcPr>
            <w:tcW w:w="1586" w:type="dxa"/>
            <w:noWrap w:val="0"/>
            <w:vAlign w:val="center"/>
          </w:tcPr>
          <w:p w14:paraId="24A657EF">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15.82</w:t>
            </w:r>
          </w:p>
        </w:tc>
      </w:tr>
      <w:tr w14:paraId="72D89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2029" w:type="dxa"/>
            <w:noWrap w:val="0"/>
            <w:vAlign w:val="center"/>
          </w:tcPr>
          <w:p w14:paraId="0709C5F9">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rPr>
            </w:pPr>
            <w:r>
              <w:rPr>
                <w:rFonts w:hint="eastAsia" w:ascii="仿宋_GB2312" w:hAnsi="仿宋_GB2312" w:eastAsia="仿宋_GB2312" w:cs="仿宋_GB2312"/>
                <w:i w:val="0"/>
                <w:iCs w:val="0"/>
                <w:color w:val="auto"/>
                <w:kern w:val="0"/>
                <w:sz w:val="21"/>
                <w:szCs w:val="21"/>
                <w:highlight w:val="none"/>
                <w:u w:val="none"/>
                <w:lang w:val="en-US" w:eastAsia="zh-CN" w:bidi="ar"/>
              </w:rPr>
              <w:t>平均值</w:t>
            </w:r>
          </w:p>
        </w:tc>
        <w:tc>
          <w:tcPr>
            <w:tcW w:w="2467" w:type="dxa"/>
            <w:noWrap w:val="0"/>
            <w:vAlign w:val="center"/>
          </w:tcPr>
          <w:p w14:paraId="0BB9B09D">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89" w:type="dxa"/>
            <w:noWrap w:val="0"/>
            <w:vAlign w:val="center"/>
          </w:tcPr>
          <w:p w14:paraId="1176DCC2">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266" w:type="dxa"/>
            <w:noWrap w:val="0"/>
            <w:vAlign w:val="center"/>
          </w:tcPr>
          <w:p w14:paraId="7C9520AE">
            <w:pPr>
              <w:jc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color w:val="auto"/>
                <w:kern w:val="0"/>
                <w:sz w:val="21"/>
                <w:szCs w:val="21"/>
                <w:highlight w:val="none"/>
                <w:lang w:val="en-US" w:eastAsia="zh-CN"/>
              </w:rPr>
              <w:t>/</w:t>
            </w:r>
          </w:p>
        </w:tc>
        <w:tc>
          <w:tcPr>
            <w:tcW w:w="1586" w:type="dxa"/>
            <w:noWrap w:val="0"/>
            <w:vAlign w:val="center"/>
          </w:tcPr>
          <w:p w14:paraId="21C6920C">
            <w:pPr>
              <w:keepNext w:val="0"/>
              <w:keepLines w:val="0"/>
              <w:widowControl/>
              <w:suppressLineNumbers w:val="0"/>
              <w:jc w:val="center"/>
              <w:textAlignment w:val="center"/>
              <w:rPr>
                <w:rFonts w:hint="eastAsia" w:ascii="仿宋_GB2312" w:hAnsi="仿宋_GB2312" w:eastAsia="仿宋_GB2312" w:cs="仿宋_GB2312"/>
                <w:color w:val="auto"/>
                <w:kern w:val="0"/>
                <w:sz w:val="21"/>
                <w:szCs w:val="21"/>
                <w:highlight w:val="none"/>
                <w:lang w:val="en-US" w:eastAsia="zh-CN"/>
              </w:rPr>
            </w:pPr>
            <w:r>
              <w:rPr>
                <w:rFonts w:hint="eastAsia" w:ascii="仿宋_GB2312" w:hAnsi="仿宋_GB2312" w:eastAsia="仿宋_GB2312" w:cs="仿宋_GB2312"/>
                <w:i w:val="0"/>
                <w:iCs w:val="0"/>
                <w:color w:val="auto"/>
                <w:kern w:val="0"/>
                <w:sz w:val="21"/>
                <w:szCs w:val="21"/>
                <w:highlight w:val="none"/>
                <w:u w:val="none"/>
                <w:lang w:val="en-US" w:eastAsia="zh-CN" w:bidi="ar"/>
              </w:rPr>
              <w:t>12.82</w:t>
            </w:r>
          </w:p>
        </w:tc>
      </w:tr>
    </w:tbl>
    <w:p w14:paraId="1BD6F1A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则地上附着物补偿标准为地上建筑物费用+青苗费补偿</w:t>
      </w:r>
    </w:p>
    <w:p w14:paraId="220CD6BD">
      <w:pPr>
        <w:pStyle w:val="21"/>
        <w:spacing w:line="480" w:lineRule="exact"/>
        <w:ind w:firstLine="560"/>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105000</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1282</w:t>
      </w:r>
      <w:r>
        <w:rPr>
          <w:rFonts w:hint="eastAsia" w:ascii="仿宋_GB2312" w:hAnsi="仿宋_GB2312" w:eastAsia="仿宋_GB2312" w:cs="仿宋_GB2312"/>
          <w:sz w:val="28"/>
          <w:highlight w:val="none"/>
        </w:rPr>
        <w:t>÷10000+</w:t>
      </w:r>
      <w:r>
        <w:rPr>
          <w:rFonts w:hint="eastAsia" w:ascii="仿宋_GB2312" w:hAnsi="仿宋_GB2312" w:eastAsia="仿宋_GB2312" w:cs="仿宋_GB2312"/>
          <w:sz w:val="28"/>
          <w:highlight w:val="none"/>
          <w:lang w:val="en-US" w:eastAsia="zh-CN"/>
        </w:rPr>
        <w:t>4.2</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元/㎡。</w:t>
      </w:r>
    </w:p>
    <w:p w14:paraId="093DCA87">
      <w:pPr>
        <w:snapToGrid w:val="0"/>
        <w:spacing w:line="480" w:lineRule="exact"/>
        <w:ind w:firstLine="560" w:firstLineChars="200"/>
        <w:rPr>
          <w:rFonts w:hint="eastAsia" w:ascii="仿宋_GB2312" w:hAnsi="仿宋_GB2312" w:eastAsia="仿宋_GB2312" w:cs="仿宋_GB2312"/>
          <w:color w:val="000000"/>
          <w:sz w:val="28"/>
          <w:highlight w:val="none"/>
        </w:rPr>
      </w:pPr>
      <w:r>
        <w:rPr>
          <w:rFonts w:hint="eastAsia" w:ascii="仿宋_GB2312" w:hAnsi="仿宋_GB2312" w:eastAsia="仿宋_GB2312" w:cs="仿宋_GB2312"/>
          <w:color w:val="000000"/>
          <w:sz w:val="28"/>
          <w:highlight w:val="none"/>
        </w:rPr>
        <w:t>故：土地取得费＝①＋②</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99.45</w:t>
      </w:r>
      <w:r>
        <w:rPr>
          <w:rFonts w:hint="eastAsia" w:ascii="仿宋_GB2312" w:hAnsi="仿宋_GB2312" w:eastAsia="仿宋_GB2312" w:cs="仿宋_GB2312"/>
          <w:sz w:val="28"/>
          <w:highlight w:val="none"/>
        </w:rPr>
        <w:t>+</w:t>
      </w:r>
      <w:r>
        <w:rPr>
          <w:rFonts w:hint="eastAsia" w:ascii="仿宋_GB2312" w:hAnsi="仿宋_GB2312" w:eastAsia="仿宋_GB2312" w:cs="仿宋_GB2312"/>
          <w:sz w:val="28"/>
          <w:highlight w:val="none"/>
          <w:lang w:val="en-US" w:eastAsia="zh-CN"/>
        </w:rPr>
        <w:t>138.81</w:t>
      </w:r>
      <w:r>
        <w:rPr>
          <w:rFonts w:hint="eastAsia" w:ascii="仿宋_GB2312" w:hAnsi="仿宋_GB2312" w:eastAsia="仿宋_GB2312" w:cs="仿宋_GB2312"/>
          <w:sz w:val="28"/>
          <w:highlight w:val="none"/>
        </w:rPr>
        <w:t>=</w:t>
      </w:r>
      <w:r>
        <w:rPr>
          <w:rFonts w:hint="eastAsia" w:ascii="仿宋_GB2312" w:hAnsi="仿宋_GB2312" w:eastAsia="仿宋_GB2312" w:cs="仿宋_GB2312"/>
          <w:color w:val="000000"/>
          <w:sz w:val="28"/>
          <w:highlight w:val="none"/>
          <w:lang w:val="en-US" w:eastAsia="zh-CN"/>
        </w:rPr>
        <w:t>238.26</w:t>
      </w:r>
      <w:r>
        <w:rPr>
          <w:rFonts w:hint="eastAsia" w:ascii="仿宋_GB2312" w:hAnsi="仿宋_GB2312" w:eastAsia="仿宋_GB2312" w:cs="仿宋_GB2312"/>
          <w:color w:val="000000"/>
          <w:sz w:val="28"/>
          <w:highlight w:val="none"/>
        </w:rPr>
        <w:t>元/平方米</w:t>
      </w:r>
      <w:r>
        <w:rPr>
          <w:rFonts w:hint="eastAsia" w:ascii="仿宋_GB2312" w:hAnsi="仿宋_GB2312" w:eastAsia="仿宋_GB2312" w:cs="仿宋_GB2312"/>
          <w:sz w:val="28"/>
          <w:szCs w:val="21"/>
          <w:highlight w:val="none"/>
        </w:rPr>
        <w:t>。</w:t>
      </w:r>
    </w:p>
    <w:p w14:paraId="5043DC2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2、相关税费</w:t>
      </w:r>
      <w:r>
        <w:rPr>
          <w:rFonts w:hint="eastAsia" w:ascii="仿宋_GB2312" w:hAnsi="仿宋_GB2312" w:eastAsia="仿宋_GB2312" w:cs="仿宋_GB2312"/>
          <w:color w:val="000000" w:themeColor="text1"/>
          <w:sz w:val="28"/>
          <w:szCs w:val="21"/>
          <w:highlight w:val="none"/>
          <w14:textFill>
            <w14:solidFill>
              <w14:schemeClr w14:val="tx1"/>
            </w14:solidFill>
          </w14:textFill>
        </w:rPr>
        <w:t>（T）</w:t>
      </w:r>
    </w:p>
    <w:p w14:paraId="1E7347DF">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①水利建设基金</w:t>
      </w:r>
    </w:p>
    <w:p w14:paraId="2FC4BE0C">
      <w:pPr>
        <w:keepNext w:val="0"/>
        <w:keepLines w:val="0"/>
        <w:pageBreakBefore w:val="0"/>
        <w:widowControl w:val="0"/>
        <w:kinsoku/>
        <w:wordWrap/>
        <w:overflowPunct/>
        <w:topLinePunct w:val="0"/>
        <w:autoSpaceDE/>
        <w:autoSpaceDN/>
        <w:bidi w:val="0"/>
        <w:snapToGrid w:val="0"/>
        <w:spacing w:line="480" w:lineRule="exact"/>
        <w:ind w:firstLine="555"/>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使用新增建设用地的单位和个人应缴纳的水利建设基金，由省国土资源厅在办理用地审批手续、征收新增建设用地有偿使用费时，按应缴新增建设用地有偿使用费的10%征收水利建设基金。根据湖南省财政厅 湖南省自然资源厅 中国人民银行长沙中心支行《关于调整新增建设用地土地有偿使用费征收管理有关政策的通知》（湘财综[2018]42号），道县新增建设用地土地有偿使用费征收等别为13等，征收标准为16元/平方米，故取水利建设基金为1.6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4B6ACF">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②耕地占用税</w:t>
      </w:r>
    </w:p>
    <w:p w14:paraId="036EA62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评估宗地考虑征用的土地为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林地</w:t>
      </w:r>
      <w:r>
        <w:rPr>
          <w:rFonts w:hint="eastAsia" w:ascii="仿宋_GB2312" w:hAnsi="仿宋_GB2312" w:eastAsia="仿宋_GB2312" w:cs="仿宋_GB2312"/>
          <w:color w:val="000000" w:themeColor="text1"/>
          <w:sz w:val="28"/>
          <w:highlight w:val="none"/>
          <w14:textFill>
            <w14:solidFill>
              <w14:schemeClr w14:val="tx1"/>
            </w14:solidFill>
          </w14:textFill>
        </w:rPr>
        <w:t>，根据《湖南省人民代表大会常务委员会关于湖南省耕地占用税适用税额的决定》(已经湖南省第十三届人民代表大会常务委员会第十二次会议通过，2019年7月31日)，湖南省道县耕地占用税税额标准为25元/平方米</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故此次评估</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w:t>
      </w:r>
      <w:r>
        <w:rPr>
          <w:rFonts w:hint="eastAsia" w:ascii="仿宋_GB2312" w:hAnsi="仿宋_GB2312" w:eastAsia="仿宋_GB2312" w:cs="仿宋_GB2312"/>
          <w:color w:val="000000" w:themeColor="text1"/>
          <w:sz w:val="28"/>
          <w:highlight w:val="none"/>
          <w14:textFill>
            <w14:solidFill>
              <w14:schemeClr w14:val="tx1"/>
            </w14:solidFill>
          </w14:textFill>
        </w:rPr>
        <w:t>占用税：</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85F886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fldChar w:fldCharType="begin"/>
      </w:r>
      <w:r>
        <w:rPr>
          <w:rFonts w:hint="eastAsia" w:ascii="仿宋_GB2312" w:hAnsi="仿宋_GB2312" w:eastAsia="仿宋_GB2312" w:cs="仿宋_GB2312"/>
          <w:color w:val="000000" w:themeColor="text1"/>
          <w:sz w:val="28"/>
          <w:highlight w:val="none"/>
          <w14:textFill>
            <w14:solidFill>
              <w14:schemeClr w14:val="tx1"/>
            </w14:solidFill>
          </w14:textFill>
        </w:rPr>
        <w:instrText xml:space="preserve"> = 3 \* GB3 </w:instrTex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separate"/>
      </w:r>
      <w:r>
        <w:rPr>
          <w:rFonts w:hint="eastAsia" w:ascii="仿宋_GB2312" w:hAnsi="仿宋_GB2312" w:eastAsia="仿宋_GB2312" w:cs="仿宋_GB2312"/>
          <w:color w:val="000000" w:themeColor="text1"/>
          <w:sz w:val="28"/>
          <w:highlight w:val="none"/>
          <w14:textFill>
            <w14:solidFill>
              <w14:schemeClr w14:val="tx1"/>
            </w14:solidFill>
          </w14:textFill>
        </w:rPr>
        <w:t>③</w:t>
      </w:r>
      <w:r>
        <w:rPr>
          <w:rFonts w:hint="eastAsia" w:ascii="仿宋_GB2312" w:hAnsi="仿宋_GB2312" w:eastAsia="仿宋_GB2312" w:cs="仿宋_GB2312"/>
          <w:color w:val="000000" w:themeColor="text1"/>
          <w:sz w:val="28"/>
          <w:highlight w:val="none"/>
          <w14:textFill>
            <w14:solidFill>
              <w14:schemeClr w14:val="tx1"/>
            </w14:solidFill>
          </w14:textFill>
        </w:rPr>
        <w:fldChar w:fldCharType="end"/>
      </w:r>
      <w:r>
        <w:rPr>
          <w:rFonts w:hint="eastAsia" w:ascii="仿宋_GB2312" w:hAnsi="仿宋_GB2312" w:eastAsia="仿宋_GB2312" w:cs="仿宋_GB2312"/>
          <w:color w:val="000000" w:themeColor="text1"/>
          <w:sz w:val="28"/>
          <w:highlight w:val="none"/>
          <w14:textFill>
            <w14:solidFill>
              <w14:schemeClr w14:val="tx1"/>
            </w14:solidFill>
          </w14:textFill>
        </w:rPr>
        <w:t>耕地开垦费</w:t>
      </w:r>
    </w:p>
    <w:p w14:paraId="48361F09">
      <w:pPr>
        <w:snapToGrid w:val="0"/>
        <w:spacing w:line="440" w:lineRule="exact"/>
        <w:ind w:firstLine="555"/>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湖南省财政厅</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湖南省发展和改革委员会</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14:textFill>
            <w14:solidFill>
              <w14:schemeClr w14:val="tx1"/>
            </w14:solidFill>
          </w14:textFill>
        </w:rPr>
        <w:t>湖南省自然资源厅关于印发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&lt;</w:t>
      </w:r>
      <w:r>
        <w:rPr>
          <w:rFonts w:hint="eastAsia" w:ascii="仿宋_GB2312" w:hAnsi="仿宋_GB2312" w:eastAsia="仿宋_GB2312" w:cs="仿宋_GB2312"/>
          <w:color w:val="000000" w:themeColor="text1"/>
          <w:sz w:val="28"/>
          <w:highlight w:val="none"/>
          <w14:textFill>
            <w14:solidFill>
              <w14:schemeClr w14:val="tx1"/>
            </w14:solidFill>
          </w14:textFill>
        </w:rPr>
        <w:t>湖南省耕地开垦费征收使用管理办法</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&gt;</w:t>
      </w:r>
      <w:r>
        <w:rPr>
          <w:rFonts w:hint="eastAsia" w:ascii="仿宋_GB2312" w:hAnsi="仿宋_GB2312" w:eastAsia="仿宋_GB2312" w:cs="仿宋_GB2312"/>
          <w:color w:val="000000" w:themeColor="text1"/>
          <w:sz w:val="28"/>
          <w:highlight w:val="none"/>
          <w14:textFill>
            <w14:solidFill>
              <w14:schemeClr w14:val="tx1"/>
            </w14:solidFill>
          </w14:textFill>
        </w:rPr>
        <w:t>的通知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highlight w:val="none"/>
          <w14:textFill>
            <w14:solidFill>
              <w14:schemeClr w14:val="tx1"/>
            </w14:solidFill>
          </w14:textFill>
        </w:rPr>
        <w:t>（湘财税〔2025〕17号），</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估价对象属于中等水田，</w:t>
      </w:r>
      <w:r>
        <w:rPr>
          <w:rFonts w:hint="eastAsia" w:ascii="仿宋_GB2312" w:hAnsi="仿宋_GB2312" w:eastAsia="仿宋_GB2312" w:cs="仿宋_GB2312"/>
          <w:color w:val="000000" w:themeColor="text1"/>
          <w:sz w:val="28"/>
          <w:highlight w:val="none"/>
          <w14:textFill>
            <w14:solidFill>
              <w14:schemeClr w14:val="tx1"/>
            </w14:solidFill>
          </w14:textFill>
        </w:rPr>
        <w:t>耕地开垦费征收标准为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6.6万元/亩，则：</w:t>
      </w:r>
    </w:p>
    <w:p w14:paraId="690CE848">
      <w:pPr>
        <w:snapToGrid w:val="0"/>
        <w:spacing w:line="440" w:lineRule="exact"/>
        <w:ind w:firstLine="555"/>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耕地开垦费=6.6×10000×0.0015=99元/平方米</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305FCABF">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④社会保障资金</w:t>
      </w:r>
    </w:p>
    <w:p w14:paraId="0BA37880">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根据湖南省人力资源社会保障厅《关于进一步做好被征地农民社会保障工作的通知》（湘人社规〔2023〕1号，2023年4月28日），确定被征地农民社会保障费为30元/平方米。</w:t>
      </w:r>
    </w:p>
    <w:p w14:paraId="1DC17F85">
      <w:pPr>
        <w:snapToGrid w:val="0"/>
        <w:spacing w:line="440" w:lineRule="exact"/>
        <w:ind w:firstLine="560"/>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则：各项税费合计为=1.6+2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99</w:t>
      </w:r>
      <w:r>
        <w:rPr>
          <w:rFonts w:hint="eastAsia" w:ascii="仿宋_GB2312" w:hAnsi="仿宋_GB2312" w:eastAsia="仿宋_GB2312" w:cs="仿宋_GB2312"/>
          <w:color w:val="000000" w:themeColor="text1"/>
          <w:sz w:val="28"/>
          <w:highlight w:val="none"/>
          <w14:textFill>
            <w14:solidFill>
              <w14:schemeClr w14:val="tx1"/>
            </w14:solidFill>
          </w14:textFill>
        </w:rPr>
        <w:t>+30=</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155.6</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B5EE326">
      <w:pPr>
        <w:snapToGrid w:val="0"/>
        <w:spacing w:line="440" w:lineRule="exact"/>
        <w:ind w:firstLine="560"/>
        <w:jc w:val="center"/>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w:t>
      </w:r>
      <w:r>
        <w:rPr>
          <w:rFonts w:hint="eastAsia" w:ascii="仿宋_GB2312" w:hAnsi="仿宋_GB2312" w:eastAsia="仿宋_GB2312" w:cs="仿宋_GB2312"/>
          <w:color w:val="000000" w:themeColor="text1"/>
          <w:sz w:val="28"/>
          <w:highlight w:val="none"/>
          <w14:textFill>
            <w14:solidFill>
              <w14:schemeClr w14:val="tx1"/>
            </w14:solidFill>
          </w14:textFill>
        </w:rPr>
        <w:t xml:space="preserve"> 估价对象土地取得费及相关税费一览表</w:t>
      </w:r>
    </w:p>
    <w:tbl>
      <w:tblPr>
        <w:tblStyle w:val="12"/>
        <w:tblW w:w="5000" w:type="pct"/>
        <w:jc w:val="center"/>
        <w:tblLayout w:type="autofit"/>
        <w:tblCellMar>
          <w:top w:w="0" w:type="dxa"/>
          <w:left w:w="0" w:type="dxa"/>
          <w:bottom w:w="0" w:type="dxa"/>
          <w:right w:w="0" w:type="dxa"/>
        </w:tblCellMar>
      </w:tblPr>
      <w:tblGrid>
        <w:gridCol w:w="1571"/>
        <w:gridCol w:w="1559"/>
        <w:gridCol w:w="1277"/>
        <w:gridCol w:w="1443"/>
        <w:gridCol w:w="1555"/>
        <w:gridCol w:w="1117"/>
      </w:tblGrid>
      <w:tr w14:paraId="166BDAB5">
        <w:tblPrEx>
          <w:tblCellMar>
            <w:top w:w="0" w:type="dxa"/>
            <w:left w:w="0" w:type="dxa"/>
            <w:bottom w:w="0" w:type="dxa"/>
            <w:right w:w="0" w:type="dxa"/>
          </w:tblCellMar>
        </w:tblPrEx>
        <w:trPr>
          <w:trHeight w:val="850"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B7E76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土地取得费（元/平方米）</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EFCCED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水利建设基金（元/平方米）</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8A1AA0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耕地占用税（元/平方米）</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1CD201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耕地开垦费（元/平方米）</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49D145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社会保障费（元/平方米）</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305525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合计（元/平方米）</w:t>
            </w:r>
          </w:p>
        </w:tc>
      </w:tr>
      <w:tr w14:paraId="177AC768">
        <w:tblPrEx>
          <w:tblCellMar>
            <w:top w:w="0" w:type="dxa"/>
            <w:left w:w="0" w:type="dxa"/>
            <w:bottom w:w="0" w:type="dxa"/>
            <w:right w:w="0" w:type="dxa"/>
          </w:tblCellMar>
        </w:tblPrEx>
        <w:trPr>
          <w:trHeight w:val="234" w:hRule="atLeast"/>
          <w:jc w:val="center"/>
        </w:trPr>
        <w:tc>
          <w:tcPr>
            <w:tcW w:w="921"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4F7AE7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238.26</w:t>
            </w:r>
          </w:p>
        </w:tc>
        <w:tc>
          <w:tcPr>
            <w:tcW w:w="914"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A6C98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1.6</w:t>
            </w:r>
          </w:p>
        </w:tc>
        <w:tc>
          <w:tcPr>
            <w:tcW w:w="749"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9758C45">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25</w:t>
            </w:r>
          </w:p>
        </w:tc>
        <w:tc>
          <w:tcPr>
            <w:tcW w:w="846"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75A2859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99</w:t>
            </w:r>
          </w:p>
        </w:tc>
        <w:tc>
          <w:tcPr>
            <w:tcW w:w="912"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02B4E3A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30</w:t>
            </w:r>
          </w:p>
        </w:tc>
        <w:tc>
          <w:tcPr>
            <w:tcW w:w="655" w:type="pct"/>
            <w:tcBorders>
              <w:top w:val="single" w:color="000000" w:sz="4" w:space="0"/>
              <w:left w:val="single" w:color="000000" w:sz="4" w:space="0"/>
              <w:bottom w:val="single" w:color="000000" w:sz="4" w:space="0"/>
              <w:right w:val="single" w:color="000000" w:sz="4" w:space="0"/>
            </w:tcBorders>
            <w:noWrap w:val="0"/>
            <w:tcMar>
              <w:top w:w="0" w:type="dxa"/>
              <w:left w:w="108" w:type="dxa"/>
              <w:bottom w:w="0" w:type="dxa"/>
              <w:right w:w="108" w:type="dxa"/>
            </w:tcMar>
            <w:vAlign w:val="center"/>
          </w:tcPr>
          <w:p w14:paraId="2FDA3B87">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393.86</w:t>
            </w:r>
          </w:p>
        </w:tc>
      </w:tr>
    </w:tbl>
    <w:p w14:paraId="50C9B041">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3、土地开发费</w:t>
      </w:r>
    </w:p>
    <w:p w14:paraId="2A1CE51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本次评估设定的土地开发程度为宗地红线外</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“五通”（即通路、通电、通讯、供水、排水）</w:t>
      </w:r>
      <w:r>
        <w:rPr>
          <w:rFonts w:hint="eastAsia" w:ascii="仿宋_GB2312" w:hAnsi="仿宋_GB2312" w:eastAsia="仿宋_GB2312" w:cs="仿宋_GB2312"/>
          <w:color w:val="000000" w:themeColor="text1"/>
          <w:sz w:val="28"/>
          <w:highlight w:val="none"/>
          <w14:textFill>
            <w14:solidFill>
              <w14:schemeClr w14:val="tx1"/>
            </w14:solidFill>
          </w14:textFill>
        </w:rPr>
        <w:t>及红线</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内场地平整</w:t>
      </w:r>
      <w:r>
        <w:rPr>
          <w:rFonts w:hint="eastAsia" w:ascii="仿宋_GB2312" w:hAnsi="仿宋_GB2312" w:eastAsia="仿宋_GB2312" w:cs="仿宋_GB2312"/>
          <w:color w:val="000000" w:themeColor="text1"/>
          <w:sz w:val="28"/>
          <w:highlight w:val="none"/>
          <w14:textFill>
            <w14:solidFill>
              <w14:schemeClr w14:val="tx1"/>
            </w14:solidFill>
          </w14:textFill>
        </w:rPr>
        <w:t>，根据估价人员市场调查的资料，确定区域开发费用“</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 w:val="28"/>
          <w:highlight w:val="none"/>
          <w14:textFill>
            <w14:solidFill>
              <w14:schemeClr w14:val="tx1"/>
            </w14:solidFill>
          </w14:textFill>
        </w:rPr>
        <w:t>及场地平整”约为</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0E719C38">
      <w:pPr>
        <w:keepNext w:val="0"/>
        <w:keepLines w:val="0"/>
        <w:pageBreakBefore w:val="0"/>
        <w:widowControl w:val="0"/>
        <w:kinsoku/>
        <w:wordWrap/>
        <w:overflowPunct/>
        <w:topLinePunct w:val="0"/>
        <w:autoSpaceDE w:val="0"/>
        <w:autoSpaceDN w:val="0"/>
        <w:bidi w:val="0"/>
        <w:adjustRightInd w:val="0"/>
        <w:snapToGrid w:val="0"/>
        <w:spacing w:before="120" w:beforeLines="50" w:after="120" w:afterLines="50" w:line="480" w:lineRule="exact"/>
        <w:jc w:val="center"/>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表3-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4道县</w:t>
      </w:r>
      <w:r>
        <w:rPr>
          <w:rFonts w:hint="eastAsia" w:ascii="仿宋_GB2312" w:hAnsi="仿宋_GB2312" w:eastAsia="仿宋_GB2312" w:cs="仿宋_GB2312"/>
          <w:color w:val="000000" w:themeColor="text1"/>
          <w:sz w:val="28"/>
          <w:highlight w:val="none"/>
          <w14:textFill>
            <w14:solidFill>
              <w14:schemeClr w14:val="tx1"/>
            </w14:solidFill>
          </w14:textFill>
        </w:rPr>
        <w:t>城区土地开发费用分项一览表</w:t>
      </w:r>
    </w:p>
    <w:tbl>
      <w:tblPr>
        <w:tblStyle w:val="12"/>
        <w:tblW w:w="4984"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9"/>
        <w:gridCol w:w="1120"/>
        <w:gridCol w:w="1042"/>
        <w:gridCol w:w="891"/>
        <w:gridCol w:w="831"/>
        <w:gridCol w:w="889"/>
        <w:gridCol w:w="1248"/>
        <w:gridCol w:w="765"/>
      </w:tblGrid>
      <w:tr w14:paraId="3E5F5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 w:hRule="atLeast"/>
          <w:jc w:val="center"/>
        </w:trPr>
        <w:tc>
          <w:tcPr>
            <w:tcW w:w="1005" w:type="pct"/>
            <w:noWrap w:val="0"/>
            <w:vAlign w:val="center"/>
          </w:tcPr>
          <w:p w14:paraId="68134BC4">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土地开发项目</w:t>
            </w:r>
          </w:p>
        </w:tc>
        <w:tc>
          <w:tcPr>
            <w:tcW w:w="659" w:type="pct"/>
            <w:noWrap w:val="0"/>
            <w:vAlign w:val="center"/>
          </w:tcPr>
          <w:p w14:paraId="31346051">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通路</w:t>
            </w:r>
          </w:p>
        </w:tc>
        <w:tc>
          <w:tcPr>
            <w:tcW w:w="613" w:type="pct"/>
            <w:noWrap w:val="0"/>
            <w:vAlign w:val="center"/>
          </w:tcPr>
          <w:p w14:paraId="68F6FB98">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供水</w:t>
            </w:r>
          </w:p>
        </w:tc>
        <w:tc>
          <w:tcPr>
            <w:tcW w:w="524" w:type="pct"/>
            <w:noWrap w:val="0"/>
            <w:vAlign w:val="center"/>
          </w:tcPr>
          <w:p w14:paraId="4EFA9600">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排水</w:t>
            </w:r>
          </w:p>
        </w:tc>
        <w:tc>
          <w:tcPr>
            <w:tcW w:w="489" w:type="pct"/>
            <w:noWrap w:val="0"/>
            <w:vAlign w:val="center"/>
          </w:tcPr>
          <w:p w14:paraId="161F8D2D">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通电</w:t>
            </w:r>
          </w:p>
        </w:tc>
        <w:tc>
          <w:tcPr>
            <w:tcW w:w="523" w:type="pct"/>
            <w:noWrap w:val="0"/>
            <w:vAlign w:val="center"/>
          </w:tcPr>
          <w:p w14:paraId="0C6CDB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通讯</w:t>
            </w:r>
          </w:p>
        </w:tc>
        <w:tc>
          <w:tcPr>
            <w:tcW w:w="734" w:type="pct"/>
            <w:noWrap w:val="0"/>
            <w:vAlign w:val="center"/>
          </w:tcPr>
          <w:p w14:paraId="6F8B8199">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场地平整</w:t>
            </w:r>
          </w:p>
        </w:tc>
        <w:tc>
          <w:tcPr>
            <w:tcW w:w="450" w:type="pct"/>
            <w:noWrap w:val="0"/>
            <w:vAlign w:val="center"/>
          </w:tcPr>
          <w:p w14:paraId="4ADDBAAE">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合计</w:t>
            </w:r>
          </w:p>
        </w:tc>
      </w:tr>
      <w:tr w14:paraId="3860E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 w:hRule="atLeast"/>
          <w:jc w:val="center"/>
        </w:trPr>
        <w:tc>
          <w:tcPr>
            <w:tcW w:w="1005" w:type="pct"/>
            <w:noWrap w:val="0"/>
            <w:vAlign w:val="center"/>
          </w:tcPr>
          <w:p w14:paraId="28DA4D32">
            <w:pPr>
              <w:snapToGrid w:val="0"/>
              <w:spacing w:line="240" w:lineRule="atLeast"/>
              <w:jc w:val="cente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费用（元/㎡）</w:t>
            </w:r>
          </w:p>
        </w:tc>
        <w:tc>
          <w:tcPr>
            <w:tcW w:w="659" w:type="pct"/>
            <w:noWrap w:val="0"/>
            <w:vAlign w:val="center"/>
          </w:tcPr>
          <w:p w14:paraId="6B904843">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613" w:type="pct"/>
            <w:noWrap w:val="0"/>
            <w:vAlign w:val="center"/>
          </w:tcPr>
          <w:p w14:paraId="37BD6B0B">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4" w:type="pct"/>
            <w:noWrap w:val="0"/>
            <w:vAlign w:val="center"/>
          </w:tcPr>
          <w:p w14:paraId="16F0EF9D">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14-16</w:t>
            </w:r>
          </w:p>
        </w:tc>
        <w:tc>
          <w:tcPr>
            <w:tcW w:w="489" w:type="pct"/>
            <w:noWrap w:val="0"/>
            <w:vAlign w:val="center"/>
          </w:tcPr>
          <w:p w14:paraId="553E14EC">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12-14</w:t>
            </w:r>
          </w:p>
        </w:tc>
        <w:tc>
          <w:tcPr>
            <w:tcW w:w="523" w:type="pct"/>
            <w:noWrap w:val="0"/>
            <w:vAlign w:val="center"/>
          </w:tcPr>
          <w:p w14:paraId="75E0FCA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5-7</w:t>
            </w:r>
          </w:p>
        </w:tc>
        <w:tc>
          <w:tcPr>
            <w:tcW w:w="734" w:type="pct"/>
            <w:noWrap w:val="0"/>
            <w:vAlign w:val="center"/>
          </w:tcPr>
          <w:p w14:paraId="10365306">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13-15</w:t>
            </w:r>
          </w:p>
        </w:tc>
        <w:tc>
          <w:tcPr>
            <w:tcW w:w="450" w:type="pct"/>
            <w:noWrap w:val="0"/>
            <w:vAlign w:val="center"/>
          </w:tcPr>
          <w:p w14:paraId="4B57F1F8">
            <w:pPr>
              <w:snapToGrid w:val="0"/>
              <w:spacing w:line="240" w:lineRule="atLeast"/>
              <w:jc w:val="center"/>
              <w:rPr>
                <w:rFonts w:hint="default" w:ascii="仿宋_GB2312" w:hAnsi="仿宋_GB2312" w:eastAsia="仿宋_GB2312" w:cs="仿宋_GB2312"/>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70-82</w:t>
            </w:r>
          </w:p>
        </w:tc>
      </w:tr>
    </w:tbl>
    <w:p w14:paraId="7D0478E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4、投资利息</w:t>
      </w:r>
    </w:p>
    <w:p w14:paraId="7E445249">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根据待估宗地的开发程度和开发规模及实际调查分析，确定土地开发周期为1年，中国人民银行授权全国银行间同业拆借中心公布，202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 w:val="28"/>
          <w:highlight w:val="none"/>
          <w14:textFill>
            <w14:solidFill>
              <w14:schemeClr w14:val="tx1"/>
            </w14:solidFill>
          </w14:textFill>
        </w:rPr>
        <w:t>年</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color w:val="000000" w:themeColor="text1"/>
          <w:sz w:val="28"/>
          <w:highlight w:val="none"/>
          <w14:textFill>
            <w14:solidFill>
              <w14:schemeClr w14:val="tx1"/>
            </w14:solidFill>
          </w14:textFill>
        </w:rPr>
        <w:t>月2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日贷款市场报价利率（LPR）为：1年期LPR为3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%，5年期以上LPR为3.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5</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本次</w:t>
      </w:r>
      <w:r>
        <w:rPr>
          <w:rFonts w:hint="eastAsia" w:ascii="仿宋_GB2312" w:hAnsi="仿宋_GB2312" w:eastAsia="仿宋_GB2312" w:cs="仿宋_GB2312"/>
          <w:color w:val="000000" w:themeColor="text1"/>
          <w:sz w:val="28"/>
          <w:highlight w:val="none"/>
          <w14:textFill>
            <w14:solidFill>
              <w14:schemeClr w14:val="tx1"/>
            </w14:solidFill>
          </w14:textFill>
        </w:rPr>
        <w:t>投资利息率按取3.</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0</w:t>
      </w:r>
      <w:r>
        <w:rPr>
          <w:rFonts w:hint="eastAsia" w:ascii="仿宋_GB2312" w:hAnsi="仿宋_GB2312" w:eastAsia="仿宋_GB2312" w:cs="仿宋_GB2312"/>
          <w:color w:val="000000" w:themeColor="text1"/>
          <w:sz w:val="28"/>
          <w:highlight w:val="none"/>
          <w14:textFill>
            <w14:solidFill>
              <w14:schemeClr w14:val="tx1"/>
            </w14:solidFill>
          </w14:textFill>
        </w:rPr>
        <w:t>%。其中土地征地费及相关税费在征地时一次投入，土地开发费在开发期内均匀投入，单利计息，则：</w:t>
      </w:r>
    </w:p>
    <w:p w14:paraId="15E9872A">
      <w:pPr>
        <w:keepNext w:val="0"/>
        <w:keepLines w:val="0"/>
        <w:pageBreakBefore w:val="0"/>
        <w:widowControl w:val="0"/>
        <w:tabs>
          <w:tab w:val="left" w:pos="8520"/>
        </w:tabs>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投资利息=（土地取得费＋相关税费）×开发周期×利息率＋土地开发费×开发周期×1/2×利息率</w:t>
      </w:r>
    </w:p>
    <w:p w14:paraId="451208F3">
      <w:pPr>
        <w:keepNext w:val="0"/>
        <w:keepLines w:val="0"/>
        <w:pageBreakBefore w:val="0"/>
        <w:widowControl w:val="0"/>
        <w:kinsoku/>
        <w:wordWrap/>
        <w:overflowPunct/>
        <w:topLinePunct w:val="0"/>
        <w:autoSpaceDE w:val="0"/>
        <w:autoSpaceDN w:val="0"/>
        <w:bidi w:val="0"/>
        <w:adjustRightInd w:val="0"/>
        <w:snapToGrid w:val="0"/>
        <w:spacing w:line="480" w:lineRule="exact"/>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%）－1]+</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82</w:t>
      </w:r>
      <w:r>
        <w:rPr>
          <w:rFonts w:hint="eastAsia" w:ascii="仿宋_GB2312" w:hAnsi="仿宋_GB2312" w:eastAsia="仿宋_GB2312" w:cs="仿宋_GB2312"/>
          <w:color w:val="000000" w:themeColor="text1"/>
          <w:sz w:val="28"/>
          <w:highlight w:val="none"/>
          <w14:textFill>
            <w14:solidFill>
              <w14:schemeClr w14:val="tx1"/>
            </w14:solidFill>
          </w14:textFill>
        </w:rPr>
        <w:t>×1/2×</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3.0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0E91A58E">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13.05</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63273F1F">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5、投资利润</w:t>
      </w:r>
    </w:p>
    <w:p w14:paraId="5ADA536D">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土地作为一种生产要素进入企业的生产过程，土地资产与其它生产要素相结合产生了利润，土地投资应获得与其资产量相对应的回报。</w:t>
      </w:r>
    </w:p>
    <w:p w14:paraId="4CC9D10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根据估价对象所在区域土地开发企业投资利润率的情况，考虑</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道县房地产</w:t>
      </w:r>
      <w:r>
        <w:rPr>
          <w:rFonts w:hint="eastAsia" w:ascii="仿宋_GB2312" w:hAnsi="仿宋_GB2312" w:eastAsia="仿宋_GB2312" w:cs="仿宋_GB2312"/>
          <w:color w:val="000000" w:themeColor="text1"/>
          <w:sz w:val="28"/>
          <w:highlight w:val="none"/>
          <w14:textFill>
            <w14:solidFill>
              <w14:schemeClr w14:val="tx1"/>
            </w14:solidFill>
          </w14:textFill>
        </w:rPr>
        <w:t>开发投资回报率水平及委托方实际经营投资收益情况，以</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％作为本次土地评估的投资利润率。则：</w:t>
      </w:r>
    </w:p>
    <w:p w14:paraId="098BDD65">
      <w:pPr>
        <w:keepNext w:val="0"/>
        <w:keepLines w:val="0"/>
        <w:pageBreakBefore w:val="0"/>
        <w:widowControl w:val="0"/>
        <w:kinsoku/>
        <w:wordWrap/>
        <w:overflowPunct/>
        <w:topLinePunct w:val="0"/>
        <w:autoSpaceDE w:val="0"/>
        <w:autoSpaceDN w:val="0"/>
        <w:bidi w:val="0"/>
        <w:adjustRightInd w:val="0"/>
        <w:snapToGrid w:val="0"/>
        <w:spacing w:line="480" w:lineRule="exact"/>
        <w:ind w:firstLine="56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投资利润=（土地取得费+有关税费+土地开发费）×</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580F4536">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highlight w:val="none"/>
          <w14:textFill>
            <w14:solidFill>
              <w14:schemeClr w14:val="tx1"/>
            </w14:solidFill>
          </w14:textFill>
        </w:rPr>
        <w:t xml:space="preserve">        =（</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238.26+155.6+82</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×20%</w:t>
      </w:r>
      <w:r>
        <w:rPr>
          <w:rFonts w:hint="eastAsia" w:ascii="仿宋_GB2312" w:hAnsi="仿宋_GB2312" w:eastAsia="仿宋_GB2312" w:cs="仿宋_GB2312"/>
          <w:color w:val="000000" w:themeColor="text1"/>
          <w:sz w:val="28"/>
          <w:highlight w:val="none"/>
          <w14:textFill>
            <w14:solidFill>
              <w14:schemeClr w14:val="tx1"/>
            </w14:solidFill>
          </w14:textFill>
        </w:rPr>
        <w:t>=</w:t>
      </w: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95.17</w:t>
      </w:r>
      <w:r>
        <w:rPr>
          <w:rFonts w:hint="eastAsia" w:ascii="仿宋_GB2312" w:hAnsi="仿宋_GB2312" w:eastAsia="仿宋_GB2312" w:cs="仿宋_GB2312"/>
          <w:color w:val="000000" w:themeColor="text1"/>
          <w:sz w:val="28"/>
          <w:highlight w:val="none"/>
          <w14:textFill>
            <w14:solidFill>
              <w14:schemeClr w14:val="tx1"/>
            </w14:solidFill>
          </w14:textFill>
        </w:rPr>
        <w:t>元/平方米</w:t>
      </w:r>
    </w:p>
    <w:p w14:paraId="5AD5D8AE">
      <w:pPr>
        <w:keepNext w:val="0"/>
        <w:keepLines w:val="0"/>
        <w:pageBreakBefore w:val="0"/>
        <w:widowControl w:val="0"/>
        <w:kinsoku/>
        <w:wordWrap/>
        <w:overflowPunct/>
        <w:topLinePunct w:val="0"/>
        <w:autoSpaceDE w:val="0"/>
        <w:autoSpaceDN w:val="0"/>
        <w:bidi w:val="0"/>
        <w:adjustRightInd w:val="0"/>
        <w:snapToGrid w:val="0"/>
        <w:spacing w:line="300" w:lineRule="auto"/>
        <w:ind w:left="561"/>
        <w:textAlignment w:val="auto"/>
        <w:rPr>
          <w:rFonts w:hint="eastAsia"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、土地增值收益</w:t>
      </w:r>
    </w:p>
    <w:p w14:paraId="646D4E67">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土地增值是待估土地因改变用途或进行土地开发，达到建设用地的某种利用条件而发生的价值增加，是土地开发后市场价格与成本价格之间的差额。</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湖南省人民政府办公厅关于印发《湖南省国有土地使用权出让收支管理办法》的通知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湘政办发〔2015〕1号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转让划拨国有土地使用权、依法利用原划拨土地进行经营性建设，或者变现处置抵押划拨土地使用权等，依法应当补办出让手续的，补缴土地价款等于正常出让土地使用权市场价格减去划拨土地使用权价格。其最低补缴额，商业用地不得低于成交价款的40%;商品住宅用地不得低于成交价款的35％”，</w:t>
      </w:r>
      <w:r>
        <w:rPr>
          <w:rFonts w:hint="eastAsia" w:ascii="仿宋_GB2312" w:hAnsi="仿宋_GB2312" w:eastAsia="仿宋_GB2312" w:cs="仿宋_GB2312"/>
          <w:color w:val="000000" w:themeColor="text1"/>
          <w:sz w:val="28"/>
          <w:szCs w:val="28"/>
          <w:highlight w:val="none"/>
          <w14:textFill>
            <w14:solidFill>
              <w14:schemeClr w14:val="tx1"/>
            </w14:solidFill>
          </w14:textFill>
        </w:rPr>
        <w:t>估价人员通过对</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永州市道县住宅</w:t>
      </w:r>
      <w:r>
        <w:rPr>
          <w:rFonts w:hint="eastAsia" w:ascii="仿宋_GB2312" w:hAnsi="仿宋_GB2312" w:eastAsia="仿宋_GB2312" w:cs="仿宋_GB2312"/>
          <w:color w:val="000000" w:themeColor="text1"/>
          <w:sz w:val="28"/>
          <w:szCs w:val="28"/>
          <w:highlight w:val="none"/>
          <w14:textFill>
            <w14:solidFill>
              <w14:schemeClr w14:val="tx1"/>
            </w14:solidFill>
          </w14:textFill>
        </w:rPr>
        <w:t>用地的增值收益情况的调查，</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永州市道县城镇住宅用地增值收益率为土地价格的35%，</w:t>
      </w:r>
      <w:r>
        <w:rPr>
          <w:rFonts w:hint="eastAsia" w:ascii="仿宋_GB2312" w:hAnsi="仿宋_GB2312" w:eastAsia="仿宋_GB2312" w:cs="仿宋_GB2312"/>
          <w:color w:val="000000"/>
          <w:sz w:val="28"/>
          <w:szCs w:val="28"/>
          <w:highlight w:val="none"/>
        </w:rPr>
        <w:t>结合宗地所在区域土地市场行情，此次评估确定取土地成本的</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%为</w:t>
      </w:r>
      <w:r>
        <w:rPr>
          <w:rFonts w:hint="eastAsia" w:ascii="仿宋_GB2312" w:hAnsi="仿宋_GB2312" w:eastAsia="仿宋_GB2312" w:cs="仿宋_GB2312"/>
          <w:color w:val="000000"/>
          <w:sz w:val="28"/>
          <w:szCs w:val="28"/>
          <w:highlight w:val="none"/>
          <w:lang w:val="en-US" w:eastAsia="zh-CN"/>
        </w:rPr>
        <w:t>城镇住宅用地的</w:t>
      </w:r>
      <w:r>
        <w:rPr>
          <w:rFonts w:hint="eastAsia" w:ascii="仿宋_GB2312" w:hAnsi="仿宋_GB2312" w:eastAsia="仿宋_GB2312" w:cs="仿宋_GB2312"/>
          <w:color w:val="000000"/>
          <w:sz w:val="28"/>
          <w:szCs w:val="28"/>
          <w:highlight w:val="none"/>
        </w:rPr>
        <w:t>土地增值收益率。</w:t>
      </w:r>
    </w:p>
    <w:p w14:paraId="13FFE4B7">
      <w:pPr>
        <w:adjustRightInd w:val="0"/>
        <w:snapToGrid w:val="0"/>
        <w:spacing w:line="480" w:lineRule="exact"/>
        <w:ind w:firstLine="560" w:firstLineChars="2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lang w:val="en-US" w:eastAsia="zh-CN"/>
        </w:rPr>
        <w:t>住宅用地</w:t>
      </w:r>
      <w:r>
        <w:rPr>
          <w:rFonts w:hint="eastAsia" w:ascii="仿宋_GB2312" w:hAnsi="仿宋_GB2312" w:eastAsia="仿宋_GB2312" w:cs="仿宋_GB2312"/>
          <w:color w:val="000000"/>
          <w:sz w:val="28"/>
          <w:szCs w:val="28"/>
          <w:highlight w:val="none"/>
        </w:rPr>
        <w:t>土地增值收益=土地成本价格×土地增值收益率</w:t>
      </w:r>
    </w:p>
    <w:p w14:paraId="2FE375F8">
      <w:pPr>
        <w:adjustRightInd w:val="0"/>
        <w:snapToGrid w:val="0"/>
        <w:spacing w:line="480" w:lineRule="exact"/>
        <w:ind w:firstLine="2240" w:firstLineChars="800"/>
        <w:rPr>
          <w:rFonts w:hint="eastAsia"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（238.26+155.6+82+13.05+95.17）</w:t>
      </w:r>
      <w:r>
        <w:rPr>
          <w:rFonts w:hint="eastAsia" w:ascii="仿宋_GB2312" w:hAnsi="仿宋_GB2312" w:eastAsia="仿宋_GB2312" w:cs="仿宋_GB2312"/>
          <w:color w:val="000000"/>
          <w:sz w:val="28"/>
          <w:szCs w:val="28"/>
          <w:highlight w:val="none"/>
        </w:rPr>
        <w:t>×</w:t>
      </w:r>
      <w:r>
        <w:rPr>
          <w:rFonts w:hint="eastAsia" w:ascii="仿宋_GB2312" w:hAnsi="仿宋_GB2312" w:eastAsia="仿宋_GB2312" w:cs="仿宋_GB2312"/>
          <w:color w:val="000000"/>
          <w:sz w:val="28"/>
          <w:szCs w:val="28"/>
          <w:highlight w:val="none"/>
          <w:lang w:val="en-US" w:eastAsia="zh-CN"/>
        </w:rPr>
        <w:t>35</w:t>
      </w:r>
      <w:r>
        <w:rPr>
          <w:rFonts w:hint="eastAsia" w:ascii="仿宋_GB2312" w:hAnsi="仿宋_GB2312" w:eastAsia="仿宋_GB2312" w:cs="仿宋_GB2312"/>
          <w:color w:val="000000"/>
          <w:sz w:val="28"/>
          <w:szCs w:val="28"/>
          <w:highlight w:val="none"/>
        </w:rPr>
        <w:t>%</w:t>
      </w:r>
    </w:p>
    <w:p w14:paraId="0DC7DB59">
      <w:pPr>
        <w:pStyle w:val="11"/>
        <w:rPr>
          <w:rFonts w:hint="eastAsia" w:ascii="仿宋_GB2312" w:hAnsi="仿宋_GB2312" w:eastAsia="仿宋_GB2312" w:cs="仿宋_GB2312"/>
          <w:b/>
          <w:bCs/>
          <w:color w:val="000000"/>
          <w:sz w:val="28"/>
          <w:szCs w:val="28"/>
          <w:highlight w:val="none"/>
        </w:rPr>
      </w:pP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 xml:space="preserve">   </w:t>
      </w:r>
      <w:r>
        <w:rPr>
          <w:rFonts w:hint="eastAsia" w:ascii="仿宋_GB2312" w:hAnsi="仿宋_GB2312" w:eastAsia="仿宋_GB2312" w:cs="仿宋_GB2312"/>
          <w:color w:val="000000"/>
          <w:sz w:val="28"/>
          <w:szCs w:val="28"/>
          <w:highlight w:val="none"/>
        </w:rPr>
        <w:t xml:space="preserve"> =</w:t>
      </w:r>
      <w:r>
        <w:rPr>
          <w:rFonts w:hint="eastAsia" w:ascii="仿宋_GB2312" w:hAnsi="仿宋_GB2312" w:cs="仿宋_GB2312"/>
          <w:color w:val="000000"/>
          <w:sz w:val="28"/>
          <w:szCs w:val="28"/>
          <w:highlight w:val="none"/>
          <w:lang w:val="en-US" w:eastAsia="zh-CN"/>
        </w:rPr>
        <w:t>204.43</w:t>
      </w:r>
      <w:r>
        <w:rPr>
          <w:rFonts w:hint="eastAsia" w:ascii="仿宋_GB2312" w:hAnsi="仿宋_GB2312" w:eastAsia="仿宋_GB2312" w:cs="仿宋_GB2312"/>
          <w:color w:val="000000"/>
          <w:sz w:val="28"/>
          <w:szCs w:val="28"/>
          <w:highlight w:val="none"/>
          <w:lang w:val="en-US" w:eastAsia="zh-CN"/>
        </w:rPr>
        <w:t>元</w:t>
      </w:r>
      <w:r>
        <w:rPr>
          <w:rFonts w:hint="eastAsia" w:ascii="仿宋_GB2312" w:hAnsi="仿宋_GB2312" w:eastAsia="仿宋_GB2312" w:cs="仿宋_GB2312"/>
          <w:color w:val="000000"/>
          <w:sz w:val="28"/>
          <w:szCs w:val="28"/>
          <w:highlight w:val="none"/>
        </w:rPr>
        <w:t>/平方米</w:t>
      </w:r>
    </w:p>
    <w:p w14:paraId="2F757F9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color w:val="000000"/>
          <w:sz w:val="28"/>
          <w:highlight w:val="none"/>
        </w:rPr>
      </w:pPr>
      <w:r>
        <w:rPr>
          <w:rFonts w:hint="eastAsia" w:ascii="仿宋_GB2312" w:hAnsi="仿宋_GB2312" w:eastAsia="仿宋_GB2312" w:cs="仿宋_GB2312"/>
          <w:bCs/>
          <w:sz w:val="28"/>
          <w:highlight w:val="none"/>
          <w:lang w:val="en-US" w:eastAsia="zh-CN"/>
        </w:rPr>
        <w:t>7</w:t>
      </w:r>
      <w:r>
        <w:rPr>
          <w:rFonts w:hint="eastAsia" w:ascii="仿宋_GB2312" w:hAnsi="仿宋_GB2312" w:eastAsia="仿宋_GB2312" w:cs="仿宋_GB2312"/>
          <w:bCs/>
          <w:sz w:val="28"/>
          <w:highlight w:val="none"/>
        </w:rPr>
        <w:t>、土地使用年期修正系数</w:t>
      </w:r>
    </w:p>
    <w:p w14:paraId="642D7348">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土地使用年期</w:t>
      </w:r>
      <w:r>
        <w:rPr>
          <w:rFonts w:hint="eastAsia" w:ascii="仿宋_GB2312" w:hAnsi="仿宋_GB2312" w:eastAsia="仿宋_GB2312" w:cs="仿宋_GB2312"/>
          <w:bCs/>
          <w:sz w:val="28"/>
          <w:highlight w:val="none"/>
        </w:rPr>
        <w:t>修正系数为：</w:t>
      </w:r>
    </w:p>
    <w:p w14:paraId="24ECAF3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年期修正系数=1－1/ (1+r)</w:t>
      </w:r>
      <w:r>
        <w:rPr>
          <w:rFonts w:hint="eastAsia" w:ascii="仿宋_GB2312" w:hAnsi="仿宋_GB2312" w:eastAsia="仿宋_GB2312" w:cs="仿宋_GB2312"/>
          <w:bCs/>
          <w:sz w:val="28"/>
          <w:highlight w:val="none"/>
          <w:vertAlign w:val="superscript"/>
        </w:rPr>
        <w:t>n</w:t>
      </w:r>
    </w:p>
    <w:p w14:paraId="60C04BB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其中: r─土地还原利率；</w:t>
      </w:r>
    </w:p>
    <w:p w14:paraId="2FA0ED2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 xml:space="preserve">     n─估价对象设定土地使用年期；</w:t>
      </w:r>
    </w:p>
    <w:p w14:paraId="03938856">
      <w:pPr>
        <w:overflowPunct w:val="0"/>
        <w:autoSpaceDE w:val="0"/>
        <w:autoSpaceDN w:val="0"/>
        <w:snapToGrid w:val="0"/>
        <w:spacing w:line="460" w:lineRule="exact"/>
        <w:ind w:firstLine="565" w:firstLineChars="202"/>
        <w:rPr>
          <w:rFonts w:hint="eastAsia" w:ascii="仿宋" w:hAnsi="仿宋" w:eastAsia="仿宋"/>
          <w:snapToGrid w:val="0"/>
          <w:kern w:val="0"/>
          <w:sz w:val="28"/>
          <w:szCs w:val="28"/>
          <w:highlight w:val="none"/>
        </w:rPr>
      </w:pPr>
      <w:r>
        <w:rPr>
          <w:rFonts w:hint="eastAsia" w:ascii="仿宋" w:hAnsi="仿宋" w:eastAsia="仿宋"/>
          <w:snapToGrid w:val="0"/>
          <w:kern w:val="0"/>
          <w:sz w:val="28"/>
          <w:szCs w:val="28"/>
          <w:highlight w:val="none"/>
        </w:rPr>
        <w:t>土地还原率确定</w:t>
      </w:r>
      <w:r>
        <w:rPr>
          <w:rFonts w:ascii="仿宋" w:hAnsi="仿宋" w:eastAsia="仿宋"/>
          <w:snapToGrid w:val="0"/>
          <w:kern w:val="0"/>
          <w:sz w:val="28"/>
          <w:szCs w:val="28"/>
          <w:highlight w:val="none"/>
        </w:rPr>
        <w:t>过程</w:t>
      </w:r>
      <w:r>
        <w:rPr>
          <w:rFonts w:hint="eastAsia" w:ascii="仿宋" w:hAnsi="仿宋" w:eastAsia="仿宋"/>
          <w:snapToGrid w:val="0"/>
          <w:kern w:val="0"/>
          <w:sz w:val="28"/>
          <w:szCs w:val="28"/>
          <w:highlight w:val="none"/>
        </w:rPr>
        <w:t>：</w:t>
      </w:r>
    </w:p>
    <w:p w14:paraId="545ADAE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土地还原利率的确定方法是安全利率加风险调整值法，安全利率采用中国外汇交易中心（全国银行间同业拆借中心）2026年4月公布的一年期国债收益率1.16%，风险调整值根据各市场风险因素对土地市场的影响程度而确定。</w:t>
      </w:r>
    </w:p>
    <w:p w14:paraId="347D69A5">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①土地市场风险程度分析</w:t>
      </w:r>
    </w:p>
    <w:p w14:paraId="2D16BD6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napToGrid w:val="0"/>
          <w:kern w:val="0"/>
          <w:sz w:val="28"/>
          <w:szCs w:val="28"/>
          <w:highlight w:val="none"/>
        </w:rPr>
      </w:pPr>
      <w:r>
        <w:rPr>
          <w:rFonts w:hint="eastAsia" w:ascii="仿宋_GB2312" w:hAnsi="仿宋_GB2312" w:eastAsia="仿宋_GB2312" w:cs="仿宋_GB2312"/>
          <w:bCs/>
          <w:sz w:val="28"/>
          <w:highlight w:val="none"/>
          <w:lang w:val="en-US" w:eastAsia="zh-CN"/>
        </w:rPr>
        <w:t>土地投资过程是一种预测未知将来需求而进行产品生产的过程，由于未来需求的不确定性，决定了地产投资是一种典型的风险投资。这些风险因素主要源于地产位置的固定性及地产投资的周期长久性。由于地产位置固定性带来的土地地理环境变化的风险及土地投资周期长使开发商难以精确预测房地产市场的供求变化与国家政策调整方案等风险。本次评估结合道县社会经济发展及土地市场情况，通过实地调查与咨询专家，总结了各种风险因素对用地的影响程度。各风险因素因子对不同土地利用类型的影响程度分析见下表。</w:t>
      </w:r>
    </w:p>
    <w:p w14:paraId="55DD9E52">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表3-5 风险因素因子对不同土地利用类型的影响程度分析</w:t>
      </w:r>
    </w:p>
    <w:tbl>
      <w:tblPr>
        <w:tblStyle w:val="12"/>
        <w:tblW w:w="499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1"/>
        <w:gridCol w:w="3647"/>
        <w:gridCol w:w="2662"/>
      </w:tblGrid>
      <w:tr w14:paraId="49D8D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noWrap w:val="0"/>
            <w:vAlign w:val="center"/>
          </w:tcPr>
          <w:p w14:paraId="33AD5CE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风险因素</w:t>
            </w:r>
          </w:p>
        </w:tc>
        <w:tc>
          <w:tcPr>
            <w:tcW w:w="2140" w:type="pct"/>
            <w:noWrap w:val="0"/>
            <w:vAlign w:val="center"/>
          </w:tcPr>
          <w:p w14:paraId="6E8C46D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风险因子</w:t>
            </w:r>
          </w:p>
        </w:tc>
        <w:tc>
          <w:tcPr>
            <w:tcW w:w="1562" w:type="pct"/>
            <w:noWrap w:val="0"/>
            <w:vAlign w:val="center"/>
          </w:tcPr>
          <w:p w14:paraId="312A09A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53D7A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3457428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2140" w:type="pct"/>
            <w:noWrap w:val="0"/>
            <w:vAlign w:val="center"/>
          </w:tcPr>
          <w:p w14:paraId="709E95C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2662" w:type="dxa"/>
            <w:noWrap w:val="0"/>
            <w:vAlign w:val="center"/>
          </w:tcPr>
          <w:p w14:paraId="7D511DE3">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2E2B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42F55C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82D24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2662" w:type="dxa"/>
            <w:noWrap w:val="0"/>
            <w:vAlign w:val="center"/>
          </w:tcPr>
          <w:p w14:paraId="2DC9BD75">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1188D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6F3F60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6E5077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2662" w:type="dxa"/>
            <w:noWrap w:val="0"/>
            <w:vAlign w:val="center"/>
          </w:tcPr>
          <w:p w14:paraId="5CBAB12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4E4FC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7EF28AF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71629E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2662" w:type="dxa"/>
            <w:noWrap w:val="0"/>
            <w:vAlign w:val="center"/>
          </w:tcPr>
          <w:p w14:paraId="10CE997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6D684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04381F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2140" w:type="pct"/>
            <w:noWrap w:val="0"/>
            <w:vAlign w:val="center"/>
          </w:tcPr>
          <w:p w14:paraId="0154328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2662" w:type="dxa"/>
            <w:noWrap w:val="0"/>
            <w:vAlign w:val="center"/>
          </w:tcPr>
          <w:p w14:paraId="388A7D6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33966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85AC6C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5098B71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2662" w:type="dxa"/>
            <w:noWrap w:val="0"/>
            <w:vAlign w:val="center"/>
          </w:tcPr>
          <w:p w14:paraId="21DDC382">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719B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0DAC9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2FE677D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2662" w:type="dxa"/>
            <w:noWrap w:val="0"/>
            <w:vAlign w:val="center"/>
          </w:tcPr>
          <w:p w14:paraId="51CFF350">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C</w:t>
            </w:r>
          </w:p>
        </w:tc>
      </w:tr>
      <w:tr w14:paraId="6DEA4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033B82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1BDE63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2662" w:type="dxa"/>
            <w:noWrap w:val="0"/>
            <w:vAlign w:val="center"/>
          </w:tcPr>
          <w:p w14:paraId="0EFEAD5D">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B</w:t>
            </w:r>
          </w:p>
        </w:tc>
      </w:tr>
      <w:tr w14:paraId="1FCDA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restart"/>
            <w:noWrap w:val="0"/>
            <w:vAlign w:val="center"/>
          </w:tcPr>
          <w:p w14:paraId="5BCA304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2140" w:type="pct"/>
            <w:noWrap w:val="0"/>
            <w:vAlign w:val="center"/>
          </w:tcPr>
          <w:p w14:paraId="102CFFC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2662" w:type="dxa"/>
            <w:noWrap w:val="0"/>
            <w:vAlign w:val="center"/>
          </w:tcPr>
          <w:p w14:paraId="09FE4CD1">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5E21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380C770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0044B4A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2662" w:type="dxa"/>
            <w:noWrap w:val="0"/>
            <w:vAlign w:val="center"/>
          </w:tcPr>
          <w:p w14:paraId="6AA72D04">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r w14:paraId="72AFF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trPr>
        <w:tc>
          <w:tcPr>
            <w:tcW w:w="1297" w:type="pct"/>
            <w:vMerge w:val="continue"/>
            <w:noWrap w:val="0"/>
            <w:vAlign w:val="center"/>
          </w:tcPr>
          <w:p w14:paraId="167597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2140" w:type="pct"/>
            <w:noWrap w:val="0"/>
            <w:vAlign w:val="center"/>
          </w:tcPr>
          <w:p w14:paraId="7CA7A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2662" w:type="dxa"/>
            <w:noWrap w:val="0"/>
            <w:vAlign w:val="center"/>
          </w:tcPr>
          <w:p w14:paraId="3C2DB337">
            <w:pPr>
              <w:keepNext w:val="0"/>
              <w:keepLines w:val="0"/>
              <w:widowControl/>
              <w:suppressLineNumbers w:val="0"/>
              <w:jc w:val="center"/>
              <w:textAlignment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i w:val="0"/>
                <w:iCs w:val="0"/>
                <w:color w:val="000000"/>
                <w:kern w:val="0"/>
                <w:sz w:val="21"/>
                <w:szCs w:val="21"/>
                <w:u w:val="none"/>
                <w:lang w:val="en-US" w:eastAsia="zh-CN" w:bidi="ar"/>
              </w:rPr>
              <w:t>A</w:t>
            </w:r>
          </w:p>
        </w:tc>
      </w:tr>
    </w:tbl>
    <w:p w14:paraId="342928CE">
      <w:pPr>
        <w:spacing w:line="460" w:lineRule="exact"/>
        <w:ind w:firstLine="600" w:firstLineChars="250"/>
        <w:rPr>
          <w:rFonts w:hint="eastAsia" w:ascii="仿宋" w:hAnsi="仿宋" w:eastAsia="仿宋"/>
          <w:sz w:val="24"/>
          <w:highlight w:val="none"/>
        </w:rPr>
      </w:pPr>
      <w:r>
        <w:rPr>
          <w:rFonts w:hint="eastAsia" w:ascii="仿宋" w:hAnsi="仿宋" w:eastAsia="仿宋"/>
          <w:sz w:val="24"/>
          <w:highlight w:val="none"/>
        </w:rPr>
        <w:t>注：A最严重；B较严重；C不严重；D无影响</w:t>
      </w:r>
    </w:p>
    <w:p w14:paraId="76EE0F5F">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②风险因素因子权重值的确定</w:t>
      </w:r>
    </w:p>
    <w:p w14:paraId="270A3E39">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由于各种风险因素对用地的影响程度不同，需要选用风险因素因子权重来量化各种风险因素对用地的影响程度。因此，采用特尔斐法确定各风险因素因子的权重值。道县地产投资风险因素、因子及权重值见下表。</w:t>
      </w:r>
    </w:p>
    <w:p w14:paraId="599F65AA">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表3-6 风险因素、因子权重值</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1"/>
        <w:gridCol w:w="1617"/>
        <w:gridCol w:w="2911"/>
        <w:gridCol w:w="2230"/>
      </w:tblGrid>
      <w:tr w14:paraId="48B52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noWrap w:val="0"/>
            <w:vAlign w:val="center"/>
          </w:tcPr>
          <w:p w14:paraId="78A7E53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影响因素</w:t>
            </w:r>
          </w:p>
        </w:tc>
        <w:tc>
          <w:tcPr>
            <w:tcW w:w="949" w:type="pct"/>
            <w:noWrap w:val="0"/>
            <w:vAlign w:val="center"/>
          </w:tcPr>
          <w:p w14:paraId="5F0669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c>
          <w:tcPr>
            <w:tcW w:w="1708" w:type="pct"/>
            <w:noWrap w:val="0"/>
            <w:vAlign w:val="center"/>
          </w:tcPr>
          <w:p w14:paraId="3A34FB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影响因子</w:t>
            </w:r>
          </w:p>
        </w:tc>
        <w:tc>
          <w:tcPr>
            <w:tcW w:w="1308" w:type="pct"/>
            <w:noWrap w:val="0"/>
            <w:vAlign w:val="center"/>
          </w:tcPr>
          <w:p w14:paraId="32E7F6D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权重值</w:t>
            </w:r>
          </w:p>
        </w:tc>
      </w:tr>
      <w:tr w14:paraId="4463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 w:hRule="atLeast"/>
          <w:jc w:val="center"/>
        </w:trPr>
        <w:tc>
          <w:tcPr>
            <w:tcW w:w="1033" w:type="pct"/>
            <w:vMerge w:val="restart"/>
            <w:noWrap w:val="0"/>
            <w:vAlign w:val="center"/>
          </w:tcPr>
          <w:p w14:paraId="3563F64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政策风险</w:t>
            </w:r>
          </w:p>
        </w:tc>
        <w:tc>
          <w:tcPr>
            <w:tcW w:w="949" w:type="pct"/>
            <w:vMerge w:val="restart"/>
            <w:noWrap w:val="0"/>
            <w:vAlign w:val="center"/>
          </w:tcPr>
          <w:p w14:paraId="5C5A2B4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p>
        </w:tc>
        <w:tc>
          <w:tcPr>
            <w:tcW w:w="1708" w:type="pct"/>
            <w:noWrap w:val="0"/>
            <w:vAlign w:val="center"/>
          </w:tcPr>
          <w:p w14:paraId="1B2A6AC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产业政策</w:t>
            </w:r>
          </w:p>
        </w:tc>
        <w:tc>
          <w:tcPr>
            <w:tcW w:w="1308" w:type="pct"/>
            <w:noWrap w:val="0"/>
            <w:vAlign w:val="center"/>
          </w:tcPr>
          <w:p w14:paraId="14F8B1A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0.2957</w:t>
            </w:r>
          </w:p>
        </w:tc>
      </w:tr>
      <w:tr w14:paraId="2C8907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3447666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AE75E9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B8FFF4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土地使用制度改革</w:t>
            </w:r>
          </w:p>
        </w:tc>
        <w:tc>
          <w:tcPr>
            <w:tcW w:w="1308" w:type="pct"/>
            <w:noWrap w:val="0"/>
            <w:vAlign w:val="center"/>
          </w:tcPr>
          <w:p w14:paraId="66504B3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0.2121</w:t>
            </w:r>
          </w:p>
        </w:tc>
      </w:tr>
      <w:tr w14:paraId="66E8A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1A585F53">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270A81F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D636D2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住房制度</w:t>
            </w:r>
          </w:p>
        </w:tc>
        <w:tc>
          <w:tcPr>
            <w:tcW w:w="1308" w:type="pct"/>
            <w:noWrap w:val="0"/>
            <w:vAlign w:val="center"/>
          </w:tcPr>
          <w:p w14:paraId="0FCC0E8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0.2734</w:t>
            </w:r>
          </w:p>
        </w:tc>
      </w:tr>
      <w:tr w14:paraId="40360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E9BD09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64AF687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25E01B3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环保变化</w:t>
            </w:r>
          </w:p>
        </w:tc>
        <w:tc>
          <w:tcPr>
            <w:tcW w:w="1308" w:type="pct"/>
            <w:noWrap w:val="0"/>
            <w:vAlign w:val="center"/>
          </w:tcPr>
          <w:p w14:paraId="1FE5385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0.2188</w:t>
            </w:r>
          </w:p>
        </w:tc>
      </w:tr>
      <w:tr w14:paraId="39D97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3F46EB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经济风险</w:t>
            </w:r>
          </w:p>
        </w:tc>
        <w:tc>
          <w:tcPr>
            <w:tcW w:w="949" w:type="pct"/>
            <w:vMerge w:val="restart"/>
            <w:noWrap w:val="0"/>
            <w:vAlign w:val="center"/>
          </w:tcPr>
          <w:p w14:paraId="7A05CF6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p>
        </w:tc>
        <w:tc>
          <w:tcPr>
            <w:tcW w:w="1708" w:type="pct"/>
            <w:noWrap w:val="0"/>
            <w:vAlign w:val="center"/>
          </w:tcPr>
          <w:p w14:paraId="43C78FC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市场供求</w:t>
            </w:r>
          </w:p>
        </w:tc>
        <w:tc>
          <w:tcPr>
            <w:tcW w:w="1308" w:type="pct"/>
            <w:noWrap w:val="0"/>
            <w:vAlign w:val="center"/>
          </w:tcPr>
          <w:p w14:paraId="08BA9FB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0.3434</w:t>
            </w:r>
          </w:p>
        </w:tc>
      </w:tr>
      <w:tr w14:paraId="16571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61475E1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7683102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39FCF3E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财务风险</w:t>
            </w:r>
          </w:p>
        </w:tc>
        <w:tc>
          <w:tcPr>
            <w:tcW w:w="1308" w:type="pct"/>
            <w:noWrap w:val="0"/>
            <w:vAlign w:val="center"/>
          </w:tcPr>
          <w:p w14:paraId="624897F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0.2119</w:t>
            </w:r>
          </w:p>
        </w:tc>
      </w:tr>
      <w:tr w14:paraId="5CF3A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0E80387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52B0A5C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5EAB7C7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管理风险</w:t>
            </w:r>
          </w:p>
        </w:tc>
        <w:tc>
          <w:tcPr>
            <w:tcW w:w="1308" w:type="pct"/>
            <w:noWrap w:val="0"/>
            <w:vAlign w:val="center"/>
          </w:tcPr>
          <w:p w14:paraId="37193314">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0.2365</w:t>
            </w:r>
          </w:p>
        </w:tc>
      </w:tr>
      <w:tr w14:paraId="31BA4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jc w:val="center"/>
        </w:trPr>
        <w:tc>
          <w:tcPr>
            <w:tcW w:w="1033" w:type="pct"/>
            <w:vMerge w:val="continue"/>
            <w:noWrap w:val="0"/>
            <w:vAlign w:val="center"/>
          </w:tcPr>
          <w:p w14:paraId="0FF06047">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A07AB1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6A800A68">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当地经济发展</w:t>
            </w:r>
          </w:p>
        </w:tc>
        <w:tc>
          <w:tcPr>
            <w:tcW w:w="1308" w:type="pct"/>
            <w:noWrap w:val="0"/>
            <w:vAlign w:val="center"/>
          </w:tcPr>
          <w:p w14:paraId="40E3F8B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0.2082</w:t>
            </w:r>
          </w:p>
        </w:tc>
      </w:tr>
      <w:tr w14:paraId="35569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restart"/>
            <w:noWrap w:val="0"/>
            <w:vAlign w:val="center"/>
          </w:tcPr>
          <w:p w14:paraId="6E11B05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社会风险</w:t>
            </w:r>
          </w:p>
        </w:tc>
        <w:tc>
          <w:tcPr>
            <w:tcW w:w="949" w:type="pct"/>
            <w:vMerge w:val="restart"/>
            <w:noWrap w:val="0"/>
            <w:vAlign w:val="center"/>
          </w:tcPr>
          <w:p w14:paraId="70B2007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p>
        </w:tc>
        <w:tc>
          <w:tcPr>
            <w:tcW w:w="1708" w:type="pct"/>
            <w:noWrap w:val="0"/>
            <w:vAlign w:val="center"/>
          </w:tcPr>
          <w:p w14:paraId="3E9BFA65">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城市规划</w:t>
            </w:r>
          </w:p>
        </w:tc>
        <w:tc>
          <w:tcPr>
            <w:tcW w:w="1308" w:type="pct"/>
            <w:noWrap w:val="0"/>
            <w:vAlign w:val="center"/>
          </w:tcPr>
          <w:p w14:paraId="04B4F79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0.3762</w:t>
            </w:r>
          </w:p>
        </w:tc>
      </w:tr>
      <w:tr w14:paraId="1E954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4" w:hRule="atLeast"/>
          <w:jc w:val="center"/>
        </w:trPr>
        <w:tc>
          <w:tcPr>
            <w:tcW w:w="1033" w:type="pct"/>
            <w:vMerge w:val="continue"/>
            <w:noWrap w:val="0"/>
            <w:vAlign w:val="center"/>
          </w:tcPr>
          <w:p w14:paraId="49C2164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3619FE9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7880E5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区域发展</w:t>
            </w:r>
          </w:p>
        </w:tc>
        <w:tc>
          <w:tcPr>
            <w:tcW w:w="1308" w:type="pct"/>
            <w:noWrap w:val="0"/>
            <w:vAlign w:val="center"/>
          </w:tcPr>
          <w:p w14:paraId="34284CD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0.3113</w:t>
            </w:r>
          </w:p>
        </w:tc>
      </w:tr>
      <w:tr w14:paraId="6EE560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5" w:hRule="atLeast"/>
          <w:jc w:val="center"/>
        </w:trPr>
        <w:tc>
          <w:tcPr>
            <w:tcW w:w="1033" w:type="pct"/>
            <w:vMerge w:val="continue"/>
            <w:noWrap w:val="0"/>
            <w:vAlign w:val="center"/>
          </w:tcPr>
          <w:p w14:paraId="15BF902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949" w:type="pct"/>
            <w:vMerge w:val="continue"/>
            <w:noWrap w:val="0"/>
            <w:vAlign w:val="center"/>
          </w:tcPr>
          <w:p w14:paraId="4535FE1F">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p>
        </w:tc>
        <w:tc>
          <w:tcPr>
            <w:tcW w:w="1708" w:type="pct"/>
            <w:noWrap w:val="0"/>
            <w:vAlign w:val="center"/>
          </w:tcPr>
          <w:p w14:paraId="40D64F21">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治安</w:t>
            </w:r>
          </w:p>
        </w:tc>
        <w:tc>
          <w:tcPr>
            <w:tcW w:w="1308" w:type="pct"/>
            <w:noWrap w:val="0"/>
            <w:vAlign w:val="center"/>
          </w:tcPr>
          <w:p w14:paraId="0ABCE7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0.3125</w:t>
            </w:r>
          </w:p>
        </w:tc>
      </w:tr>
    </w:tbl>
    <w:p w14:paraId="313F42C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③风险调整值的确定</w:t>
      </w:r>
    </w:p>
    <w:p w14:paraId="492E4D4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风险调整值的大小由市场风险因素因子对土地市场的影响程度决定，本次评估将对市场风险影响程度赋值，即：风险因素对土地市场无影响时，风险调整值为0；风险因素对土地市场影响不严重时，风险调整值为1%；风险因素对土地市场影响较严重时，风险调整值为4%；风险因素对土地市场影响最严重时，风险调整值为8%。</w:t>
      </w:r>
    </w:p>
    <w:p w14:paraId="3DA576AE">
      <w:pPr>
        <w:jc w:val="center"/>
        <w:rPr>
          <w:rFonts w:hint="eastAsia" w:ascii="仿宋" w:hAnsi="仿宋" w:eastAsia="仿宋" w:cs="仿宋"/>
          <w:snapToGrid w:val="0"/>
          <w:kern w:val="0"/>
          <w:sz w:val="28"/>
          <w:szCs w:val="28"/>
          <w:highlight w:val="none"/>
          <w:lang w:val="en-US" w:eastAsia="zh-CN" w:bidi="ar-SA"/>
        </w:rPr>
      </w:pPr>
      <w:r>
        <w:rPr>
          <w:rFonts w:hint="eastAsia" w:ascii="仿宋" w:hAnsi="仿宋" w:eastAsia="仿宋" w:cs="仿宋"/>
          <w:snapToGrid w:val="0"/>
          <w:kern w:val="0"/>
          <w:sz w:val="28"/>
          <w:szCs w:val="28"/>
          <w:highlight w:val="none"/>
          <w:lang w:val="en-US" w:eastAsia="zh-CN" w:bidi="ar-SA"/>
        </w:rPr>
        <w:t>表3-7 风险调整值赋值表</w:t>
      </w:r>
    </w:p>
    <w:tbl>
      <w:tblPr>
        <w:tblStyle w:val="12"/>
        <w:tblW w:w="0" w:type="auto"/>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1752"/>
        <w:gridCol w:w="1614"/>
        <w:gridCol w:w="1718"/>
        <w:gridCol w:w="1719"/>
        <w:gridCol w:w="1719"/>
      </w:tblGrid>
      <w:tr w14:paraId="0AE06277">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58" w:hRule="atLeast"/>
          <w:jc w:val="center"/>
        </w:trPr>
        <w:tc>
          <w:tcPr>
            <w:tcW w:w="1993" w:type="dxa"/>
            <w:noWrap w:val="0"/>
            <w:vAlign w:val="center"/>
          </w:tcPr>
          <w:p w14:paraId="60EDBEF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市场风险影响程度</w:t>
            </w:r>
          </w:p>
        </w:tc>
        <w:tc>
          <w:tcPr>
            <w:tcW w:w="1773" w:type="dxa"/>
            <w:noWrap w:val="0"/>
            <w:vAlign w:val="center"/>
          </w:tcPr>
          <w:p w14:paraId="01E2D5F9">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无影响（D）</w:t>
            </w:r>
          </w:p>
        </w:tc>
        <w:tc>
          <w:tcPr>
            <w:tcW w:w="1896" w:type="dxa"/>
            <w:noWrap w:val="0"/>
            <w:vAlign w:val="center"/>
          </w:tcPr>
          <w:p w14:paraId="3B49E49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不严重（C）</w:t>
            </w:r>
          </w:p>
        </w:tc>
        <w:tc>
          <w:tcPr>
            <w:tcW w:w="1897" w:type="dxa"/>
            <w:noWrap w:val="0"/>
            <w:vAlign w:val="center"/>
          </w:tcPr>
          <w:p w14:paraId="6FAD0F6E">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较严重（B）</w:t>
            </w:r>
          </w:p>
        </w:tc>
        <w:tc>
          <w:tcPr>
            <w:tcW w:w="1897" w:type="dxa"/>
            <w:noWrap w:val="0"/>
            <w:vAlign w:val="center"/>
          </w:tcPr>
          <w:p w14:paraId="1DA48212">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最严重（A）</w:t>
            </w:r>
          </w:p>
        </w:tc>
      </w:tr>
      <w:tr w14:paraId="3ECC9C2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67" w:hRule="atLeast"/>
          <w:jc w:val="center"/>
        </w:trPr>
        <w:tc>
          <w:tcPr>
            <w:tcW w:w="1993" w:type="dxa"/>
            <w:noWrap w:val="0"/>
            <w:vAlign w:val="center"/>
          </w:tcPr>
          <w:p w14:paraId="5FFA589B">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1773" w:type="dxa"/>
            <w:noWrap w:val="0"/>
            <w:vAlign w:val="center"/>
          </w:tcPr>
          <w:p w14:paraId="58AD00B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w:t>
            </w:r>
          </w:p>
        </w:tc>
        <w:tc>
          <w:tcPr>
            <w:tcW w:w="1896" w:type="dxa"/>
            <w:noWrap w:val="0"/>
            <w:vAlign w:val="center"/>
          </w:tcPr>
          <w:p w14:paraId="3D14D5EC">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1</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c>
          <w:tcPr>
            <w:tcW w:w="1897" w:type="dxa"/>
            <w:noWrap w:val="0"/>
            <w:vAlign w:val="center"/>
          </w:tcPr>
          <w:p w14:paraId="73E833BA">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4%</w:t>
            </w:r>
          </w:p>
        </w:tc>
        <w:tc>
          <w:tcPr>
            <w:tcW w:w="1897" w:type="dxa"/>
            <w:noWrap w:val="0"/>
            <w:vAlign w:val="center"/>
          </w:tcPr>
          <w:p w14:paraId="2F2FCDD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8%</w:t>
            </w:r>
          </w:p>
        </w:tc>
      </w:tr>
    </w:tbl>
    <w:p w14:paraId="3B8C566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根据风险调整值赋值与道县风险因素、因子权重值，确定的道县风险调整值结果见下表。</w:t>
      </w:r>
    </w:p>
    <w:p w14:paraId="22C69091">
      <w:pPr>
        <w:spacing w:line="440" w:lineRule="exact"/>
        <w:ind w:firstLine="560" w:firstLineChars="200"/>
        <w:jc w:val="center"/>
        <w:rPr>
          <w:rFonts w:hint="eastAsia" w:ascii="仿宋" w:hAnsi="仿宋" w:eastAsia="仿宋"/>
          <w:sz w:val="24"/>
          <w:highlight w:val="none"/>
        </w:rPr>
      </w:pPr>
      <w:r>
        <w:rPr>
          <w:rFonts w:hint="eastAsia" w:ascii="仿宋" w:hAnsi="仿宋" w:eastAsia="仿宋" w:cs="仿宋"/>
          <w:snapToGrid w:val="0"/>
          <w:kern w:val="0"/>
          <w:sz w:val="28"/>
          <w:szCs w:val="28"/>
          <w:highlight w:val="none"/>
          <w:lang w:val="en-US" w:eastAsia="zh-CN" w:bidi="ar-SA"/>
        </w:rPr>
        <w:t>表3-8 道县土地市场风险调整值结果</w:t>
      </w:r>
    </w:p>
    <w:tbl>
      <w:tblPr>
        <w:tblStyle w:val="12"/>
        <w:tblW w:w="4999" w:type="pct"/>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423"/>
        <w:gridCol w:w="6097"/>
      </w:tblGrid>
      <w:tr w14:paraId="6993ECDE">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243" w:hRule="atLeast"/>
        </w:trPr>
        <w:tc>
          <w:tcPr>
            <w:tcW w:w="1422" w:type="pct"/>
            <w:noWrap w:val="0"/>
            <w:vAlign w:val="center"/>
          </w:tcPr>
          <w:p w14:paraId="11D4185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土地市场</w:t>
            </w:r>
          </w:p>
        </w:tc>
        <w:tc>
          <w:tcPr>
            <w:tcW w:w="3577" w:type="pct"/>
            <w:noWrap w:val="0"/>
            <w:vAlign w:val="center"/>
          </w:tcPr>
          <w:p w14:paraId="4193E126">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住宅用地</w:t>
            </w:r>
          </w:p>
        </w:tc>
      </w:tr>
      <w:tr w14:paraId="0C07D84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496" w:hRule="atLeast"/>
        </w:trPr>
        <w:tc>
          <w:tcPr>
            <w:tcW w:w="1422" w:type="pct"/>
            <w:noWrap w:val="0"/>
            <w:vAlign w:val="center"/>
          </w:tcPr>
          <w:p w14:paraId="37FF24D0">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风险调整值</w:t>
            </w:r>
          </w:p>
        </w:tc>
        <w:tc>
          <w:tcPr>
            <w:tcW w:w="3577" w:type="pct"/>
            <w:noWrap w:val="0"/>
            <w:vAlign w:val="center"/>
          </w:tcPr>
          <w:p w14:paraId="071A234D">
            <w:pPr>
              <w:snapToGrid w:val="0"/>
              <w:spacing w:line="240" w:lineRule="atLeast"/>
              <w:jc w:val="center"/>
              <w:rPr>
                <w:rFonts w:hint="eastAsia" w:ascii="仿宋_GB2312" w:hAnsi="仿宋_GB2312" w:eastAsia="仿宋_GB2312" w:cs="仿宋_GB2312"/>
                <w:color w:val="000000" w:themeColor="text1"/>
                <w:sz w:val="21"/>
                <w:szCs w:val="21"/>
                <w:highlight w:val="none"/>
                <w14:textFill>
                  <w14:solidFill>
                    <w14:schemeClr w14:val="tx1"/>
                  </w14:solidFill>
                </w14:textFill>
              </w:rPr>
            </w:pPr>
            <w:r>
              <w:rPr>
                <w:rFonts w:hint="eastAsia" w:ascii="仿宋_GB2312" w:hAnsi="仿宋_GB2312" w:eastAsia="仿宋_GB2312" w:cs="仿宋_GB2312"/>
                <w:color w:val="000000" w:themeColor="text1"/>
                <w:sz w:val="21"/>
                <w:szCs w:val="21"/>
                <w:highlight w:val="none"/>
                <w14:textFill>
                  <w14:solidFill>
                    <w14:schemeClr w14:val="tx1"/>
                  </w14:solidFill>
                </w14:textFill>
              </w:rPr>
              <w:t>0.3234×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%＋0.3922×</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4.25</w:t>
            </w:r>
            <w:r>
              <w:rPr>
                <w:rFonts w:hint="eastAsia" w:ascii="仿宋_GB2312" w:hAnsi="仿宋_GB2312" w:eastAsia="仿宋_GB2312" w:cs="仿宋_GB2312"/>
                <w:color w:val="000000" w:themeColor="text1"/>
                <w:sz w:val="21"/>
                <w:szCs w:val="21"/>
                <w:highlight w:val="none"/>
                <w14:textFill>
                  <w14:solidFill>
                    <w14:schemeClr w14:val="tx1"/>
                  </w14:solidFill>
                </w14:textFill>
              </w:rPr>
              <w:t>%＋0.2844×</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8.00</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r>
              <w:rPr>
                <w:rFonts w:hint="eastAsia" w:ascii="仿宋_GB2312" w:hAnsi="仿宋_GB2312" w:eastAsia="仿宋_GB2312" w:cs="仿宋_GB2312"/>
                <w:color w:val="000000" w:themeColor="text1"/>
                <w:sz w:val="21"/>
                <w:szCs w:val="21"/>
                <w:highlight w:val="none"/>
                <w:lang w:val="en-US" w:eastAsia="zh-CN"/>
                <w14:textFill>
                  <w14:solidFill>
                    <w14:schemeClr w14:val="tx1"/>
                  </w14:solidFill>
                </w14:textFill>
              </w:rPr>
              <w:t>5.3</w:t>
            </w:r>
            <w:r>
              <w:rPr>
                <w:rFonts w:hint="eastAsia" w:ascii="仿宋_GB2312" w:hAnsi="仿宋_GB2312" w:eastAsia="仿宋_GB2312" w:cs="仿宋_GB2312"/>
                <w:color w:val="000000" w:themeColor="text1"/>
                <w:sz w:val="21"/>
                <w:szCs w:val="21"/>
                <w:highlight w:val="none"/>
                <w14:textFill>
                  <w14:solidFill>
                    <w14:schemeClr w14:val="tx1"/>
                  </w14:solidFill>
                </w14:textFill>
              </w:rPr>
              <w:t>%</w:t>
            </w:r>
          </w:p>
        </w:tc>
      </w:tr>
    </w:tbl>
    <w:p w14:paraId="56385451">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 w:hAnsi="仿宋" w:eastAsia="仿宋"/>
          <w:sz w:val="28"/>
          <w:szCs w:val="28"/>
          <w:highlight w:val="none"/>
        </w:rPr>
      </w:pPr>
      <w:r>
        <w:rPr>
          <w:rFonts w:hint="eastAsia" w:ascii="仿宋_GB2312" w:hAnsi="仿宋_GB2312" w:eastAsia="仿宋_GB2312" w:cs="仿宋_GB2312"/>
          <w:bCs/>
          <w:sz w:val="28"/>
          <w:highlight w:val="none"/>
          <w:lang w:val="en-US" w:eastAsia="zh-CN"/>
        </w:rPr>
        <w:t>④还原利率的确定</w:t>
      </w:r>
    </w:p>
    <w:p w14:paraId="10C85087">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bCs/>
          <w:sz w:val="28"/>
          <w:highlight w:val="none"/>
          <w:lang w:val="en-US" w:eastAsia="zh-CN"/>
        </w:rPr>
        <w:t>根据安全利率加风险调整值法确定还原利率的公式，由于前文已经确定了住宅用地的安全利率，因此，根据还原利率=安全利率+风险调整值。</w:t>
      </w:r>
    </w:p>
    <w:p w14:paraId="5480BB4E">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 w:hAnsi="仿宋" w:eastAsia="仿宋"/>
          <w:sz w:val="28"/>
          <w:szCs w:val="28"/>
          <w:highlight w:val="none"/>
          <w:lang w:val="en-US" w:eastAsia="zh-CN"/>
        </w:rPr>
      </w:pPr>
      <w:r>
        <w:rPr>
          <w:rFonts w:hint="eastAsia" w:ascii="仿宋_GB2312" w:hAnsi="仿宋_GB2312" w:eastAsia="仿宋_GB2312" w:cs="仿宋_GB2312"/>
          <w:bCs/>
          <w:sz w:val="28"/>
          <w:highlight w:val="none"/>
          <w:lang w:val="en-US" w:eastAsia="zh-CN"/>
        </w:rPr>
        <w:t>住宅用地还原利率＝1.16%＋5.3%≈6.5%</w:t>
      </w:r>
    </w:p>
    <w:p w14:paraId="1D426E9A">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default" w:ascii="仿宋_GB2312" w:hAnsi="仿宋_GB2312" w:eastAsia="仿宋_GB2312" w:cs="仿宋_GB2312"/>
          <w:bCs/>
          <w:color w:val="000000" w:themeColor="text1"/>
          <w:sz w:val="28"/>
          <w:highlight w:val="none"/>
          <w:lang w:val="en-US"/>
          <w14:textFill>
            <w14:solidFill>
              <w14:schemeClr w14:val="tx1"/>
            </w14:solidFill>
          </w14:textFill>
        </w:rPr>
      </w:pPr>
      <w:r>
        <w:rPr>
          <w:rFonts w:hint="eastAsia" w:ascii="仿宋_GB2312" w:hAnsi="仿宋_GB2312" w:eastAsia="仿宋_GB2312" w:cs="仿宋_GB2312"/>
          <w:bCs/>
          <w:sz w:val="28"/>
          <w:highlight w:val="none"/>
          <w:lang w:val="en-US" w:eastAsia="zh-CN"/>
        </w:rPr>
        <w:t>则年期修正系数住宅用地=1-（1/（1+6.5%）</w:t>
      </w:r>
      <w:r>
        <w:rPr>
          <w:rFonts w:hint="eastAsia" w:ascii="仿宋_GB2312" w:hAnsi="仿宋_GB2312" w:eastAsia="仿宋_GB2312" w:cs="仿宋_GB2312"/>
          <w:bCs/>
          <w:sz w:val="28"/>
          <w:highlight w:val="none"/>
          <w:vertAlign w:val="superscript"/>
          <w:lang w:val="en-US" w:eastAsia="zh-CN"/>
        </w:rPr>
        <w:t>70</w:t>
      </w:r>
      <w:r>
        <w:rPr>
          <w:rFonts w:hint="eastAsia" w:ascii="仿宋_GB2312" w:hAnsi="仿宋_GB2312" w:eastAsia="仿宋_GB2312" w:cs="仿宋_GB2312"/>
          <w:bCs/>
          <w:sz w:val="28"/>
          <w:highlight w:val="none"/>
          <w:lang w:val="en-US" w:eastAsia="zh-CN"/>
        </w:rPr>
        <w:t>）=0.9878</w:t>
      </w:r>
    </w:p>
    <w:p w14:paraId="78C6835B">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highlight w:val="none"/>
          <w:lang w:val="en-US" w:eastAsia="zh-CN"/>
          <w14:textFill>
            <w14:solidFill>
              <w14:schemeClr w14:val="tx1"/>
            </w14:solidFill>
          </w14:textFill>
        </w:rPr>
        <w:t>8、区位修正系数</w:t>
      </w:r>
    </w:p>
    <w:p w14:paraId="67D898D9">
      <w:pPr>
        <w:keepNext w:val="0"/>
        <w:keepLines w:val="0"/>
        <w:pageBreakBefore w:val="0"/>
        <w:widowControl w:val="0"/>
        <w:kinsoku/>
        <w:wordWrap/>
        <w:overflowPunct/>
        <w:topLinePunct w:val="0"/>
        <w:autoSpaceDE/>
        <w:autoSpaceDN/>
        <w:bidi w:val="0"/>
        <w:adjustRightInd/>
        <w:snapToGrid w:val="0"/>
        <w:spacing w:line="480" w:lineRule="exact"/>
        <w:ind w:firstLine="560" w:firstLineChars="200"/>
        <w:textAlignment w:val="auto"/>
        <w:rPr>
          <w:rFonts w:hint="eastAsia" w:ascii="仿宋_GB2312" w:hAnsi="仿宋_GB2312" w:eastAsia="仿宋_GB2312" w:cs="仿宋_GB2312"/>
          <w:color w:val="000000" w:themeColor="text1"/>
          <w:sz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成本逼近法所评估的地价为估价对象所在区域的平均价格，因为宗地所具有的个别属性，所以宗地地价应该根据宗地所在区域内的位置和宗地自身条件，在平均价格的基础上进行个别因素修正。</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根据道县所在区域的特点，参照《城镇土地估价规程》提供的参考因素</w:t>
      </w:r>
      <w:r>
        <w:rPr>
          <w:rFonts w:hint="eastAsia" w:ascii="仿宋_GB2312" w:hAnsi="仿宋_GB2312" w:eastAsia="仿宋_GB2312" w:cs="仿宋_GB2312"/>
          <w:color w:val="000000" w:themeColor="text1"/>
          <w:sz w:val="28"/>
          <w:szCs w:val="28"/>
          <w:highlight w:val="none"/>
          <w14:textFill>
            <w14:solidFill>
              <w14:schemeClr w14:val="tx1"/>
            </w14:solidFill>
          </w14:textFill>
        </w:rPr>
        <w:t>，确定</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道县城区商服用地和住宅用地</w:t>
      </w:r>
      <w:r>
        <w:rPr>
          <w:rFonts w:hint="eastAsia" w:ascii="仿宋_GB2312" w:hAnsi="仿宋_GB2312" w:eastAsia="仿宋_GB2312" w:cs="仿宋_GB2312"/>
          <w:color w:val="000000" w:themeColor="text1"/>
          <w:sz w:val="28"/>
          <w:szCs w:val="28"/>
          <w:highlight w:val="none"/>
          <w14:textFill>
            <w14:solidFill>
              <w14:schemeClr w14:val="tx1"/>
            </w14:solidFill>
          </w14:textFill>
        </w:rPr>
        <w:t>的地价区域影响因素</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选择层次分析法（AHP法），运用yaahp软件进行测算，得到最终修正因素的权重。</w:t>
      </w:r>
      <w:r>
        <w:rPr>
          <w:rFonts w:hint="eastAsia" w:ascii="仿宋_GB2312" w:hAnsi="仿宋_GB2312" w:eastAsia="仿宋_GB2312" w:cs="仿宋_GB2312"/>
          <w:color w:val="000000" w:themeColor="text1"/>
          <w:sz w:val="28"/>
          <w:szCs w:val="28"/>
          <w:highlight w:val="none"/>
          <w14:textFill>
            <w14:solidFill>
              <w14:schemeClr w14:val="tx1"/>
            </w14:solidFill>
          </w14:textFill>
        </w:rPr>
        <w:t>具体如下表所示</w:t>
      </w:r>
      <w:r>
        <w:rPr>
          <w:rFonts w:hint="eastAsia" w:ascii="仿宋_GB2312" w:hAnsi="仿宋_GB2312" w:eastAsia="仿宋_GB2312" w:cs="仿宋_GB2312"/>
          <w:color w:val="000000" w:themeColor="text1"/>
          <w:sz w:val="28"/>
          <w:highlight w:val="none"/>
          <w14:textFill>
            <w14:solidFill>
              <w14:schemeClr w14:val="tx1"/>
            </w14:solidFill>
          </w14:textFill>
        </w:rPr>
        <w:t>。</w:t>
      </w:r>
    </w:p>
    <w:p w14:paraId="430E0463">
      <w:pPr>
        <w:jc w:val="center"/>
        <w:rPr>
          <w:rFonts w:hint="eastAsia" w:ascii="仿宋_GB2312" w:hAnsi="仿宋_GB2312" w:eastAsia="仿宋_GB2312" w:cs="仿宋_GB2312"/>
          <w:sz w:val="28"/>
          <w:highlight w:val="none"/>
        </w:rPr>
      </w:pPr>
      <w:r>
        <w:rPr>
          <w:rFonts w:hint="eastAsia" w:ascii="仿宋_GB2312" w:hAnsi="仿宋_GB2312" w:eastAsia="仿宋_GB2312" w:cs="仿宋_GB2312"/>
          <w:sz w:val="28"/>
          <w:highlight w:val="none"/>
        </w:rPr>
        <w:t>表</w:t>
      </w:r>
      <w:r>
        <w:rPr>
          <w:rFonts w:hint="eastAsia" w:ascii="仿宋_GB2312" w:hAnsi="仿宋_GB2312" w:eastAsia="仿宋_GB2312" w:cs="仿宋_GB2312"/>
          <w:sz w:val="28"/>
          <w:highlight w:val="none"/>
          <w:lang w:val="en-US" w:eastAsia="zh-CN"/>
        </w:rPr>
        <w:t>3-9</w:t>
      </w:r>
      <w:r>
        <w:rPr>
          <w:rFonts w:hint="eastAsia" w:ascii="仿宋_GB2312" w:hAnsi="仿宋_GB2312" w:eastAsia="仿宋_GB2312" w:cs="仿宋_GB2312"/>
          <w:sz w:val="28"/>
          <w:highlight w:val="none"/>
        </w:rPr>
        <w:t xml:space="preserve"> </w:t>
      </w:r>
      <w:r>
        <w:rPr>
          <w:rFonts w:hint="eastAsia" w:ascii="仿宋_GB2312" w:hAnsi="仿宋_GB2312" w:eastAsia="仿宋_GB2312" w:cs="仿宋_GB2312"/>
          <w:sz w:val="28"/>
          <w:highlight w:val="none"/>
          <w:lang w:val="en-US" w:eastAsia="zh-CN"/>
        </w:rPr>
        <w:t>道县城区城镇住宅</w:t>
      </w:r>
      <w:r>
        <w:rPr>
          <w:rFonts w:hint="eastAsia" w:ascii="仿宋_GB2312" w:hAnsi="仿宋_GB2312" w:eastAsia="仿宋_GB2312" w:cs="仿宋_GB2312"/>
          <w:sz w:val="28"/>
          <w:highlight w:val="none"/>
        </w:rPr>
        <w:t>用地宗地地价区域因素修正系数表（%）</w:t>
      </w:r>
    </w:p>
    <w:tbl>
      <w:tblPr>
        <w:tblStyle w:val="12"/>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58"/>
        <w:gridCol w:w="1067"/>
        <w:gridCol w:w="1067"/>
        <w:gridCol w:w="1067"/>
        <w:gridCol w:w="1067"/>
        <w:gridCol w:w="1067"/>
        <w:gridCol w:w="1526"/>
      </w:tblGrid>
      <w:tr w14:paraId="4C8178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65884">
            <w:pPr>
              <w:keepNext w:val="0"/>
              <w:keepLines w:val="0"/>
              <w:widowControl/>
              <w:suppressLineNumbers w:val="0"/>
              <w:jc w:val="center"/>
              <w:textAlignment w:val="center"/>
              <w:rPr>
                <w:rFonts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因素</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B4201F">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B7D47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D666B26">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5A5CF27">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0C4F335">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6CD6B4">
            <w:pPr>
              <w:keepNext w:val="0"/>
              <w:keepLines w:val="0"/>
              <w:widowControl/>
              <w:suppressLineNumbers w:val="0"/>
              <w:jc w:val="center"/>
              <w:textAlignment w:val="center"/>
              <w:rPr>
                <w:rFonts w:hint="eastAsia" w:ascii="仿宋_GB2312" w:hAnsi="宋体" w:eastAsia="仿宋_GB2312" w:cs="仿宋_GB2312"/>
                <w:b/>
                <w:bCs/>
                <w:i w:val="0"/>
                <w:iCs w:val="0"/>
                <w:color w:val="000000"/>
                <w:sz w:val="20"/>
                <w:szCs w:val="20"/>
                <w:u w:val="none"/>
              </w:rPr>
            </w:pPr>
            <w:r>
              <w:rPr>
                <w:rFonts w:hint="eastAsia" w:ascii="仿宋_GB2312" w:hAnsi="宋体" w:eastAsia="仿宋_GB2312" w:cs="仿宋_GB2312"/>
                <w:b/>
                <w:bCs/>
                <w:i w:val="0"/>
                <w:iCs w:val="0"/>
                <w:color w:val="000000"/>
                <w:kern w:val="0"/>
                <w:sz w:val="20"/>
                <w:szCs w:val="20"/>
                <w:u w:val="none"/>
                <w:lang w:val="en-US" w:eastAsia="zh-CN" w:bidi="ar"/>
              </w:rPr>
              <w:t>等级修正幅度</w:t>
            </w:r>
          </w:p>
        </w:tc>
      </w:tr>
      <w:tr w14:paraId="2AD749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8D144A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距汽车站的距离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AD04C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458F1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C23DC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7CA2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491E8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03F0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8E063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FD73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距火车站距离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7EED8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6F1C1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8CED3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0F8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3D40D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DD5F0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089B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31803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距商服中心距离</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217D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2958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较近</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3287F7">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1961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较远</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2D8D0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远</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AD8B8E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6D66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90E2B9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临路类型</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CA7CF2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混合型主干道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F52EB2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生活型主干道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F8ED9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交通型主道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09FB02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交通次主道</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599F4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支路</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1434E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9AC6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173AB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路网密度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E3CBFA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2C9876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35DA94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4564CD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较低</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6F99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低</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CC3FC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62EAA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00B11A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对外交通便利度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79A0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449CF8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1F8DDD9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38646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较不便利</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6C1EA39">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不便利</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C888F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7485B9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D4CE05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环境质量优劣度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44B1A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833AB7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较优</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B4CDA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EC93DF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较劣</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EB1FF2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劣</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D796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6DC49A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2FDD6C6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人口密度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7689B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7AAC78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较密集</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4C934B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0958D1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较稀疏</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215EFEF">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稀疏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E9AEF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2%</w:t>
            </w:r>
          </w:p>
        </w:tc>
      </w:tr>
      <w:tr w14:paraId="10B751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85D7BD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基础设施完善度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8C6AE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0AC3E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50ED128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一般完善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BB7629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较不完善</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1E29C4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不完善</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F458FB">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3%</w:t>
            </w:r>
          </w:p>
        </w:tc>
      </w:tr>
      <w:tr w14:paraId="248D14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BF773C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地形状况</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3B3D7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62DFAC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2F207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732346D3">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较不平坦</w:t>
            </w:r>
          </w:p>
        </w:tc>
        <w:tc>
          <w:tcPr>
            <w:tcW w:w="626" w:type="pct"/>
            <w:tcBorders>
              <w:top w:val="single" w:color="000000" w:sz="4" w:space="0"/>
              <w:left w:val="single" w:color="000000" w:sz="4" w:space="0"/>
              <w:bottom w:val="single" w:color="000000" w:sz="4" w:space="0"/>
              <w:right w:val="single" w:color="000000" w:sz="4" w:space="0"/>
            </w:tcBorders>
            <w:shd w:val="clear" w:color="auto" w:fill="auto"/>
            <w:vAlign w:val="center"/>
          </w:tcPr>
          <w:p w14:paraId="3E10DB4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不平坦</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D267A8">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3915A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6A18EC8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宗地面积</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9512595">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适中</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7A1F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面积较大</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E650F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面积一般</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5E32E">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面积较小</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17B0CD">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面积小</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9F136C">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r w14:paraId="61F657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trPr>
        <w:tc>
          <w:tcPr>
            <w:tcW w:w="973" w:type="pct"/>
            <w:tcBorders>
              <w:top w:val="single" w:color="000000" w:sz="4" w:space="0"/>
              <w:left w:val="single" w:color="000000" w:sz="4" w:space="0"/>
              <w:bottom w:val="single" w:color="000000" w:sz="4" w:space="0"/>
              <w:right w:val="single" w:color="000000" w:sz="4" w:space="0"/>
            </w:tcBorders>
            <w:shd w:val="clear" w:color="auto" w:fill="auto"/>
            <w:vAlign w:val="center"/>
          </w:tcPr>
          <w:p w14:paraId="49D57E62">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宗地形状</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EEDB86">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AB8E4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7F5861">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基本规则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5D02D0">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较不规则</w:t>
            </w:r>
          </w:p>
        </w:tc>
        <w:tc>
          <w:tcPr>
            <w:tcW w:w="62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1D41D4">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不规则</w:t>
            </w:r>
          </w:p>
        </w:tc>
        <w:tc>
          <w:tcPr>
            <w:tcW w:w="89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6E266A">
            <w:pPr>
              <w:keepNext w:val="0"/>
              <w:keepLines w:val="0"/>
              <w:widowControl/>
              <w:suppressLineNumbers w:val="0"/>
              <w:jc w:val="center"/>
              <w:textAlignment w:val="center"/>
              <w:rPr>
                <w:rFonts w:hint="eastAsia" w:ascii="仿宋_GB2312" w:hAnsi="宋体" w:eastAsia="仿宋_GB2312" w:cs="仿宋_GB2312"/>
                <w:i w:val="0"/>
                <w:iCs w:val="0"/>
                <w:color w:val="000000"/>
                <w:sz w:val="20"/>
                <w:szCs w:val="20"/>
                <w:u w:val="none"/>
              </w:rPr>
            </w:pPr>
            <w:r>
              <w:rPr>
                <w:rFonts w:hint="eastAsia" w:ascii="仿宋_GB2312" w:hAnsi="宋体" w:eastAsia="仿宋_GB2312" w:cs="仿宋_GB2312"/>
                <w:i w:val="0"/>
                <w:iCs w:val="0"/>
                <w:color w:val="000000"/>
                <w:kern w:val="0"/>
                <w:sz w:val="20"/>
                <w:szCs w:val="20"/>
                <w:u w:val="none"/>
                <w:lang w:val="en-US" w:eastAsia="zh-CN" w:bidi="ar"/>
              </w:rPr>
              <w:t>1%</w:t>
            </w:r>
          </w:p>
        </w:tc>
      </w:tr>
    </w:tbl>
    <w:p w14:paraId="2073112B">
      <w:pPr>
        <w:pStyle w:val="4"/>
        <w:jc w:val="center"/>
        <w:outlineLvl w:val="9"/>
        <w:rPr>
          <w:rFonts w:ascii="仿宋_GB2312" w:eastAsia="仿宋_GB2312"/>
          <w:sz w:val="28"/>
          <w:szCs w:val="28"/>
          <w:highlight w:val="none"/>
        </w:rPr>
      </w:pPr>
      <w:r>
        <w:rPr>
          <w:rFonts w:hint="eastAsia" w:ascii="仿宋_GB2312" w:eastAsia="仿宋_GB2312"/>
          <w:sz w:val="28"/>
          <w:szCs w:val="28"/>
          <w:highlight w:val="none"/>
        </w:rPr>
        <w:t>表</w:t>
      </w:r>
      <w:r>
        <w:rPr>
          <w:rFonts w:hint="eastAsia" w:ascii="仿宋_GB2312" w:eastAsia="仿宋_GB2312"/>
          <w:sz w:val="28"/>
          <w:szCs w:val="28"/>
          <w:highlight w:val="none"/>
          <w:lang w:val="en-US" w:eastAsia="zh-CN"/>
        </w:rPr>
        <w:t>3</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10</w:t>
      </w:r>
      <w:r>
        <w:rPr>
          <w:rFonts w:hint="eastAsia" w:ascii="仿宋_GB2312" w:eastAsia="仿宋_GB2312"/>
          <w:sz w:val="28"/>
          <w:szCs w:val="28"/>
          <w:highlight w:val="none"/>
        </w:rPr>
        <w:t xml:space="preserve"> 宗地地价影响因素条件说明、修正系数表</w:t>
      </w:r>
    </w:p>
    <w:tbl>
      <w:tblPr>
        <w:tblStyle w:val="12"/>
        <w:tblW w:w="4985"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449"/>
        <w:gridCol w:w="3216"/>
        <w:gridCol w:w="1415"/>
        <w:gridCol w:w="1416"/>
      </w:tblGrid>
      <w:tr w14:paraId="3B117A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l2br w:val="nil"/>
            </w:tcBorders>
            <w:shd w:val="clear" w:color="auto" w:fill="FFFFFF"/>
            <w:noWrap/>
            <w:vAlign w:val="center"/>
          </w:tcPr>
          <w:p w14:paraId="44B81285">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A924176">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因素说明</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06E8F5E2">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因素优劣度</w:t>
            </w:r>
          </w:p>
        </w:tc>
        <w:tc>
          <w:tcPr>
            <w:tcW w:w="1098"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17A3F63">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因素修正</w:t>
            </w:r>
          </w:p>
        </w:tc>
      </w:tr>
      <w:tr w14:paraId="2A343F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522B2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距汽车站的距离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D7E661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距道州新车站680米，距离较近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B530A0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0B8CFD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89CCB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0AE40F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距火车站距离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DA0DB5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距道州站1500米，距离较远</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63346E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3BFE7A2">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5067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36B72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距商服中心距离</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8A54F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距道州商业广场890米，距离较近</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E80FCF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E7CE2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82859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60"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72FD5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临路类型</w:t>
            </w:r>
          </w:p>
        </w:tc>
        <w:tc>
          <w:tcPr>
            <w:tcW w:w="1097"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7370A264">
            <w:pPr>
              <w:keepNext w:val="0"/>
              <w:keepLines w:val="0"/>
              <w:widowControl/>
              <w:suppressLineNumbers w:val="0"/>
              <w:jc w:val="center"/>
              <w:textAlignment w:val="center"/>
              <w:rPr>
                <w:rFonts w:hint="default" w:ascii="仿宋_GB2312" w:hAnsi="仿宋_GB2312" w:eastAsia="仿宋_GB2312" w:cs="仿宋_GB2312"/>
                <w:b w:val="0"/>
                <w:i w:val="0"/>
                <w:iCs w:val="0"/>
                <w:color w:val="000000"/>
                <w:sz w:val="20"/>
                <w:szCs w:val="20"/>
                <w:u w:val="none"/>
                <w:lang w:val="en-US"/>
              </w:rPr>
            </w:pPr>
            <w:r>
              <w:rPr>
                <w:rFonts w:hint="eastAsia" w:ascii="仿宋_GB2312" w:hAnsi="仿宋_GB2312" w:eastAsia="仿宋_GB2312" w:cs="仿宋_GB2312"/>
                <w:b w:val="0"/>
                <w:i w:val="0"/>
                <w:iCs w:val="0"/>
                <w:color w:val="000000"/>
                <w:kern w:val="0"/>
                <w:sz w:val="20"/>
                <w:szCs w:val="20"/>
                <w:u w:val="none"/>
                <w:lang w:val="en-US" w:eastAsia="zh-CN" w:bidi="ar"/>
              </w:rPr>
              <w:t>临支路鹭鸶塘路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FB26EC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682ABD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-4%</w:t>
            </w:r>
          </w:p>
        </w:tc>
      </w:tr>
      <w:tr w14:paraId="665EBD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3381A8E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路网密度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A9E24B7">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1951E3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FB1B76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C581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4734519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对外交通便利度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14F9D8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较便利</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403BEB">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C9A57D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1602EA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28E5FA8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环境质量优劣度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EE4A5A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2A149CE">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B27C1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58FFA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5FF4EC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人口密度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1939674">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较密集</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22C7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4DDA37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1D2C6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8FD05AC">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基础设施完善度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8D8435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较完善</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1653C5D1">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6EC9D5D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3%</w:t>
            </w:r>
          </w:p>
        </w:tc>
      </w:tr>
      <w:tr w14:paraId="20E0E9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33E4FC5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地形状况</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0C6B7D">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较平坦</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7DFF47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较优</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477943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1%</w:t>
            </w:r>
          </w:p>
        </w:tc>
      </w:tr>
      <w:tr w14:paraId="115C75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56EDF93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宗地面积</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9F75E3">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面积较小</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4695851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BD2DC69">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34842BF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1"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118ED3C5">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宗地形状</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694C3C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较不规则</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0FEE06AF">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较劣</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72402338">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-2%</w:t>
            </w:r>
          </w:p>
        </w:tc>
      </w:tr>
      <w:tr w14:paraId="403CD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7" w:hRule="atLeast"/>
        </w:trPr>
        <w:tc>
          <w:tcPr>
            <w:tcW w:w="1706" w:type="pct"/>
            <w:tcBorders>
              <w:top w:val="single" w:color="000000" w:sz="4" w:space="0"/>
              <w:left w:val="single" w:color="000000" w:sz="4" w:space="0"/>
              <w:bottom w:val="single" w:color="000000" w:sz="4" w:space="0"/>
              <w:right w:val="single" w:color="000000" w:sz="4" w:space="0"/>
            </w:tcBorders>
            <w:shd w:val="clear" w:color="auto" w:fill="FFFFFF"/>
            <w:vAlign w:val="center"/>
          </w:tcPr>
          <w:p w14:paraId="6F1A7986">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合计</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5B0E40BA">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7"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154F00">
            <w:pPr>
              <w:keepNext w:val="0"/>
              <w:keepLines w:val="0"/>
              <w:widowControl/>
              <w:suppressLineNumbers w:val="0"/>
              <w:jc w:val="center"/>
              <w:textAlignment w:val="center"/>
              <w:rPr>
                <w:rFonts w:hint="eastAsia" w:ascii="仿宋_GB2312" w:hAnsi="仿宋_GB2312" w:eastAsia="仿宋_GB2312" w:cs="仿宋_GB2312"/>
                <w:b w:val="0"/>
                <w:i w:val="0"/>
                <w:iCs w:val="0"/>
                <w:color w:val="000000"/>
                <w:sz w:val="20"/>
                <w:szCs w:val="20"/>
                <w:u w:val="none"/>
              </w:rPr>
            </w:pPr>
            <w:r>
              <w:rPr>
                <w:rFonts w:hint="eastAsia" w:ascii="仿宋_GB2312" w:hAnsi="仿宋_GB2312" w:eastAsia="仿宋_GB2312" w:cs="仿宋_GB2312"/>
                <w:b w:val="0"/>
                <w:i w:val="0"/>
                <w:iCs w:val="0"/>
                <w:color w:val="000000"/>
                <w:kern w:val="0"/>
                <w:sz w:val="20"/>
                <w:szCs w:val="20"/>
                <w:u w:val="none"/>
                <w:lang w:val="en-US" w:eastAsia="zh-CN" w:bidi="ar"/>
              </w:rPr>
              <w:t>/</w:t>
            </w:r>
          </w:p>
        </w:tc>
        <w:tc>
          <w:tcPr>
            <w:tcW w:w="1098" w:type="pct"/>
            <w:tcBorders>
              <w:top w:val="single" w:color="000000" w:sz="4" w:space="0"/>
              <w:left w:val="single" w:color="000000" w:sz="4" w:space="0"/>
              <w:bottom w:val="single" w:color="000000" w:sz="4" w:space="0"/>
              <w:right w:val="single" w:color="000000" w:sz="4" w:space="0"/>
            </w:tcBorders>
            <w:shd w:val="clear" w:color="auto" w:fill="FFFFFF"/>
            <w:noWrap/>
            <w:vAlign w:val="center"/>
          </w:tcPr>
          <w:p w14:paraId="25B16D6B">
            <w:pPr>
              <w:keepNext w:val="0"/>
              <w:keepLines w:val="0"/>
              <w:widowControl/>
              <w:suppressLineNumbers w:val="0"/>
              <w:jc w:val="center"/>
              <w:textAlignment w:val="center"/>
              <w:rPr>
                <w:rFonts w:hint="eastAsia" w:ascii="仿宋_GB2312" w:hAnsi="仿宋_GB2312" w:eastAsia="仿宋_GB2312" w:cs="仿宋_GB2312"/>
                <w:b w:val="0"/>
                <w:bCs/>
                <w:i w:val="0"/>
                <w:iCs w:val="0"/>
                <w:color w:val="000000"/>
                <w:sz w:val="20"/>
                <w:szCs w:val="20"/>
                <w:u w:val="none"/>
              </w:rPr>
            </w:pPr>
            <w:r>
              <w:rPr>
                <w:rFonts w:hint="eastAsia" w:ascii="仿宋_GB2312" w:hAnsi="仿宋_GB2312" w:eastAsia="仿宋_GB2312" w:cs="仿宋_GB2312"/>
                <w:b w:val="0"/>
                <w:bCs/>
                <w:i w:val="0"/>
                <w:iCs w:val="0"/>
                <w:color w:val="000000"/>
                <w:kern w:val="0"/>
                <w:sz w:val="20"/>
                <w:szCs w:val="20"/>
                <w:u w:val="none"/>
                <w:lang w:val="en-US" w:eastAsia="zh-CN" w:bidi="ar"/>
              </w:rPr>
              <w:t>10%</w:t>
            </w:r>
          </w:p>
        </w:tc>
      </w:tr>
    </w:tbl>
    <w:p w14:paraId="39ABDD8D">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lang w:val="en-US" w:eastAsia="zh-CN"/>
        </w:rPr>
      </w:pPr>
      <w:r>
        <w:rPr>
          <w:rFonts w:hint="eastAsia" w:ascii="仿宋_GB2312" w:hAnsi="仿宋_GB2312" w:eastAsia="仿宋_GB2312" w:cs="仿宋_GB2312"/>
          <w:sz w:val="28"/>
          <w:highlight w:val="none"/>
        </w:rPr>
        <w:t>根据上述修正过程，确定区位条件修正系数为</w:t>
      </w:r>
      <w:r>
        <w:rPr>
          <w:rFonts w:hint="eastAsia" w:ascii="仿宋_GB2312" w:hAnsi="仿宋_GB2312" w:eastAsia="仿宋_GB2312" w:cs="仿宋_GB2312"/>
          <w:sz w:val="28"/>
          <w:highlight w:val="none"/>
          <w:lang w:val="en-US" w:eastAsia="zh-CN"/>
        </w:rPr>
        <w:t>10%</w:t>
      </w:r>
      <w:r>
        <w:rPr>
          <w:rFonts w:hint="eastAsia" w:ascii="仿宋_GB2312" w:hAnsi="仿宋_GB2312" w:eastAsia="仿宋_GB2312" w:cs="仿宋_GB2312"/>
          <w:sz w:val="28"/>
          <w:highlight w:val="none"/>
        </w:rPr>
        <w:t>。</w:t>
      </w:r>
    </w:p>
    <w:p w14:paraId="3D274630">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lang w:val="en-US" w:eastAsia="zh-CN"/>
        </w:rPr>
        <w:t>9</w:t>
      </w:r>
      <w:r>
        <w:rPr>
          <w:rFonts w:hint="eastAsia" w:ascii="仿宋_GB2312" w:hAnsi="仿宋_GB2312" w:eastAsia="仿宋_GB2312" w:cs="仿宋_GB2312"/>
          <w:bCs/>
          <w:sz w:val="28"/>
          <w:highlight w:val="none"/>
        </w:rPr>
        <w:t>、成本逼近法价格计算</w:t>
      </w:r>
    </w:p>
    <w:p w14:paraId="401DF346">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P=</w:t>
      </w:r>
      <w:r>
        <w:rPr>
          <w:rFonts w:hint="eastAsia" w:ascii="仿宋_GB2312" w:hAnsi="仿宋_GB2312" w:eastAsia="仿宋_GB2312" w:cs="仿宋_GB2312"/>
          <w:color w:val="000000"/>
          <w:sz w:val="28"/>
          <w:highlight w:val="none"/>
        </w:rPr>
        <w:t>（土地取得费+相关税费+土地开发费+投资利息+投资利润</w:t>
      </w:r>
      <w:r>
        <w:rPr>
          <w:rFonts w:hint="eastAsia" w:ascii="仿宋_GB2312" w:hAnsi="仿宋_GB2312" w:eastAsia="仿宋_GB2312" w:cs="仿宋_GB2312"/>
          <w:color w:val="000000"/>
          <w:sz w:val="28"/>
          <w:highlight w:val="none"/>
          <w:lang w:val="en-US" w:eastAsia="zh-CN"/>
        </w:rPr>
        <w:t>+土地增值收益</w:t>
      </w:r>
      <w:r>
        <w:rPr>
          <w:rFonts w:hint="eastAsia" w:ascii="仿宋_GB2312" w:hAnsi="仿宋_GB2312" w:eastAsia="仿宋_GB2312" w:cs="仿宋_GB2312"/>
          <w:color w:val="000000"/>
          <w:sz w:val="28"/>
          <w:highlight w:val="none"/>
        </w:rPr>
        <w:t>）×土地使用年期修正系数×区位修正系数</w:t>
      </w:r>
    </w:p>
    <w:p w14:paraId="5D1A7182">
      <w:pPr>
        <w:keepNext w:val="0"/>
        <w:keepLines w:val="0"/>
        <w:pageBreakBefore w:val="0"/>
        <w:widowControl w:val="0"/>
        <w:kinsoku/>
        <w:wordWrap/>
        <w:overflowPunct/>
        <w:topLinePunct w:val="0"/>
        <w:autoSpaceDE/>
        <w:autoSpaceDN/>
        <w:bidi w:val="0"/>
        <w:spacing w:line="480" w:lineRule="exact"/>
        <w:ind w:firstLine="560" w:firstLineChars="200"/>
        <w:textAlignment w:val="auto"/>
        <w:rPr>
          <w:rFonts w:hint="eastAsia" w:ascii="仿宋_GB2312" w:hAnsi="仿宋_GB2312" w:eastAsia="仿宋_GB2312" w:cs="仿宋_GB2312"/>
          <w:bCs/>
          <w:sz w:val="28"/>
          <w:highlight w:val="none"/>
        </w:rPr>
      </w:pP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238.26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155.6</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82</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13.05</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95.17+204.43</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×0.9878</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eastAsia="zh-CN"/>
        </w:rPr>
        <w:t>（</w:t>
      </w:r>
      <w:r>
        <w:rPr>
          <w:rFonts w:hint="eastAsia" w:ascii="仿宋_GB2312" w:hAnsi="仿宋_GB2312" w:eastAsia="仿宋_GB2312" w:cs="仿宋_GB2312"/>
          <w:bCs/>
          <w:sz w:val="28"/>
          <w:highlight w:val="none"/>
          <w:lang w:val="en-US" w:eastAsia="zh-CN"/>
        </w:rPr>
        <w:t>1+10%）</w:t>
      </w:r>
      <w:r>
        <w:rPr>
          <w:rFonts w:hint="eastAsia" w:ascii="仿宋_GB2312" w:hAnsi="仿宋_GB2312" w:eastAsia="仿宋_GB2312" w:cs="仿宋_GB2312"/>
          <w:bCs/>
          <w:sz w:val="28"/>
          <w:highlight w:val="none"/>
        </w:rPr>
        <w:t>＝</w:t>
      </w:r>
      <w:r>
        <w:rPr>
          <w:rFonts w:hint="eastAsia" w:ascii="仿宋_GB2312" w:hAnsi="仿宋_GB2312" w:eastAsia="仿宋_GB2312" w:cs="仿宋_GB2312"/>
          <w:bCs/>
          <w:sz w:val="28"/>
          <w:highlight w:val="none"/>
          <w:lang w:val="en-US" w:eastAsia="zh-CN"/>
        </w:rPr>
        <w:t>856.8</w:t>
      </w:r>
      <w:r>
        <w:rPr>
          <w:rFonts w:hint="eastAsia" w:ascii="仿宋_GB2312" w:hAnsi="仿宋_GB2312" w:eastAsia="仿宋_GB2312" w:cs="仿宋_GB2312"/>
          <w:bCs/>
          <w:sz w:val="28"/>
          <w:highlight w:val="none"/>
        </w:rPr>
        <w:t>元／平方米</w:t>
      </w:r>
    </w:p>
    <w:p w14:paraId="686910A3">
      <w:pPr>
        <w:pStyle w:val="6"/>
        <w:keepNext w:val="0"/>
        <w:keepLines w:val="0"/>
        <w:pageBreakBefore w:val="0"/>
        <w:widowControl w:val="0"/>
        <w:numPr>
          <w:ilvl w:val="0"/>
          <w:numId w:val="0"/>
        </w:numPr>
        <w:kinsoku/>
        <w:wordWrap/>
        <w:topLinePunct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color w:val="000000"/>
          <w:sz w:val="28"/>
          <w:szCs w:val="20"/>
          <w:highlight w:val="none"/>
        </w:rPr>
        <w:t>成本逼近法</w:t>
      </w:r>
      <w:r>
        <w:rPr>
          <w:rFonts w:hint="eastAsia" w:ascii="仿宋_GB2312" w:hAnsi="仿宋_GB2312" w:eastAsia="仿宋_GB2312" w:cs="仿宋_GB2312"/>
          <w:color w:val="000000"/>
          <w:sz w:val="28"/>
          <w:highlight w:val="none"/>
        </w:rPr>
        <w:t>测算地价的结果为：估价对象于估价期日</w:t>
      </w:r>
      <w:r>
        <w:rPr>
          <w:rFonts w:hint="eastAsia" w:ascii="仿宋_GB2312" w:hAnsi="仿宋_GB2312" w:cs="仿宋_GB2312"/>
          <w:color w:val="000000"/>
          <w:sz w:val="28"/>
          <w:highlight w:val="none"/>
          <w:lang w:val="en-US" w:eastAsia="zh-CN"/>
        </w:rPr>
        <w:t>2026年5月18日</w:t>
      </w:r>
      <w:r>
        <w:rPr>
          <w:rFonts w:hint="eastAsia" w:ascii="仿宋_GB2312" w:hAnsi="仿宋_GB2312" w:eastAsia="仿宋_GB2312" w:cs="仿宋_GB2312"/>
          <w:color w:val="000000"/>
          <w:sz w:val="28"/>
          <w:highlight w:val="none"/>
        </w:rPr>
        <w:t>，在设定土地用途，设定土地使用年限，设定土地开发程度，</w:t>
      </w:r>
      <w:r>
        <w:rPr>
          <w:rFonts w:hint="eastAsia" w:ascii="仿宋_GB2312" w:hAnsi="仿宋_GB2312" w:cs="仿宋_GB2312"/>
          <w:color w:val="000000"/>
          <w:sz w:val="28"/>
          <w:highlight w:val="none"/>
          <w:lang w:val="en-US" w:eastAsia="zh-CN"/>
        </w:rPr>
        <w:t>现状</w:t>
      </w:r>
      <w:r>
        <w:rPr>
          <w:rFonts w:hint="eastAsia" w:ascii="仿宋_GB2312" w:hAnsi="仿宋_GB2312" w:eastAsia="仿宋_GB2312" w:cs="仿宋_GB2312"/>
          <w:color w:val="000000"/>
          <w:sz w:val="28"/>
          <w:highlight w:val="none"/>
        </w:rPr>
        <w:t>利用条件下的国有土地</w:t>
      </w:r>
      <w:r>
        <w:rPr>
          <w:rFonts w:hint="eastAsia" w:ascii="仿宋_GB2312" w:hAnsi="仿宋_GB2312" w:eastAsia="仿宋_GB2312" w:cs="仿宋_GB2312"/>
          <w:color w:val="000000"/>
          <w:sz w:val="28"/>
          <w:highlight w:val="none"/>
          <w:lang w:val="en-US" w:eastAsia="zh-CN"/>
        </w:rPr>
        <w:t>出让</w:t>
      </w:r>
      <w:r>
        <w:rPr>
          <w:rFonts w:hint="eastAsia" w:ascii="仿宋_GB2312" w:hAnsi="仿宋_GB2312" w:eastAsia="仿宋_GB2312" w:cs="仿宋_GB2312"/>
          <w:color w:val="000000"/>
          <w:sz w:val="28"/>
          <w:highlight w:val="none"/>
        </w:rPr>
        <w:t>使用权价格为</w:t>
      </w:r>
      <w:r>
        <w:rPr>
          <w:rFonts w:hint="eastAsia" w:ascii="仿宋_GB2312" w:hAnsi="仿宋_GB2312" w:cs="仿宋_GB2312"/>
          <w:color w:val="000000"/>
          <w:sz w:val="28"/>
          <w:highlight w:val="none"/>
          <w:lang w:val="en-US" w:eastAsia="zh-CN"/>
        </w:rPr>
        <w:t>856.8</w:t>
      </w:r>
      <w:r>
        <w:rPr>
          <w:rFonts w:hint="eastAsia" w:ascii="仿宋_GB2312" w:hAnsi="仿宋_GB2312" w:eastAsia="仿宋_GB2312" w:cs="仿宋_GB2312"/>
          <w:color w:val="000000"/>
          <w:sz w:val="28"/>
          <w:highlight w:val="none"/>
          <w:lang w:val="en-US" w:eastAsia="zh-CN"/>
        </w:rPr>
        <w:t>元/平方米</w:t>
      </w:r>
      <w:r>
        <w:rPr>
          <w:rFonts w:hint="eastAsia" w:ascii="仿宋_GB2312" w:hAnsi="仿宋_GB2312" w:eastAsia="仿宋_GB2312" w:cs="仿宋_GB2312"/>
          <w:color w:val="000000"/>
          <w:sz w:val="28"/>
          <w:highlight w:val="none"/>
        </w:rPr>
        <w:t>。</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23310"/>
      <w:bookmarkStart w:id="27" w:name="_Toc16838"/>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收益还原法是在估算估价对象在未来每年预期纯收益（正常年纯收益）的基础上，以一定的土地还原率，将评估对象在未来每年的纯收益折算为估价期日收益总和的一种方法。</w:t>
      </w:r>
    </w:p>
    <w:p w14:paraId="3B5DDFBC">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法定有限年期的土地使用权价格计算公式为：</w:t>
      </w:r>
    </w:p>
    <w:p w14:paraId="550F5353">
      <w:pPr>
        <w:keepNext w:val="0"/>
        <w:keepLines w:val="0"/>
        <w:pageBreakBefore w:val="0"/>
        <w:widowControl w:val="0"/>
        <w:kinsoku/>
        <w:wordWrap/>
        <w:overflowPunct/>
        <w:topLinePunct w:val="0"/>
        <w:autoSpaceDE/>
        <w:autoSpaceDN/>
        <w:bidi w:val="0"/>
        <w:adjustRightInd w:val="0"/>
        <w:snapToGrid w:val="0"/>
        <w:spacing w:line="240" w:lineRule="auto"/>
        <w:ind w:firstLine="840" w:firstLineChars="3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5" o:spt="75" type="#_x0000_t75" style="height:38pt;width:103.95pt;" o:ole="t" filled="f" o:preferrelative="t" stroked="f" coordsize="21600,21600">
            <v:path/>
            <v:fill on="f" focussize="0,0"/>
            <v:stroke on="f"/>
            <v:imagedata r:id="rId27" o:title=""/>
            <o:lock v:ext="edit" aspectratio="t"/>
            <w10:wrap type="none"/>
            <w10:anchorlock/>
          </v:shape>
          <o:OLEObject Type="Embed" ProgID="Equation.3" ShapeID="_x0000_i1025" DrawAspect="Content" ObjectID="_1468075725" r:id="rId26">
            <o:LockedField>false</o:LockedField>
          </o:OLEObject>
        </w:object>
      </w:r>
    </w:p>
    <w:p w14:paraId="6AC76995">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式中：</w:t>
      </w:r>
      <w:r>
        <w:rPr>
          <w:rFonts w:hint="eastAsia" w:ascii="仿宋_GB2312" w:hAnsi="仿宋_GB2312" w:eastAsia="仿宋_GB2312" w:cs="仿宋_GB2312"/>
          <w:b w:val="0"/>
          <w:bCs w:val="0"/>
          <w:color w:val="000000"/>
          <w:kern w:val="2"/>
          <w:sz w:val="28"/>
          <w:szCs w:val="28"/>
          <w:highlight w:val="none"/>
          <w:lang w:val="en-US" w:eastAsia="zh-CN" w:bidi="ar-SA"/>
        </w:rPr>
        <w:object>
          <v:shape id="_x0000_i1026" o:spt="75" type="#_x0000_t75" style="height:13pt;width:12pt;" o:ole="t" filled="f" o:preferrelative="t" stroked="f" coordsize="21600,21600">
            <v:path/>
            <v:fill on="f" focussize="0,0"/>
            <v:stroke on="f"/>
            <v:imagedata r:id="rId29" o:title=""/>
            <o:lock v:ext="edit" aspectratio="t"/>
            <w10:wrap type="none"/>
            <w10:anchorlock/>
          </v:shape>
          <o:OLEObject Type="Embed" ProgID="Equation.3" ShapeID="_x0000_i1026" DrawAspect="Content" ObjectID="_1468075726" r:id="rId28">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－土地价格</w:t>
      </w:r>
    </w:p>
    <w:p w14:paraId="4471A620">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7" o:spt="75" type="#_x0000_t75" style="height:11pt;width:10pt;" o:ole="t" filled="f" o:preferrelative="t" stroked="f" coordsize="21600,21600">
            <v:path/>
            <v:fill on="f" focussize="0,0"/>
            <v:stroke on="f"/>
            <v:imagedata r:id="rId31" o:title=""/>
            <o:lock v:ext="edit" aspectratio="t"/>
            <w10:wrap type="none"/>
            <w10:anchorlock/>
          </v:shape>
          <o:OLEObject Type="Embed" ProgID="Equation.3" ShapeID="_x0000_i1027" DrawAspect="Content" ObjectID="_1468075727" r:id="rId30">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－土地年纯收益</w:t>
      </w:r>
    </w:p>
    <w:p w14:paraId="5962B9E9">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8" o:spt="75" type="#_x0000_t75" style="height:10pt;width:9pt;" o:ole="t" filled="f" o:preferrelative="t" stroked="f" coordsize="21600,21600">
            <v:path/>
            <v:fill on="f" focussize="0,0"/>
            <v:stroke on="f"/>
            <v:imagedata r:id="rId33" o:title=""/>
            <o:lock v:ext="edit" aspectratio="t"/>
            <w10:wrap type="none"/>
            <w10:anchorlock/>
          </v:shape>
          <o:OLEObject Type="Embed" ProgID="Equation.3" ShapeID="_x0000_i1028" DrawAspect="Content" ObjectID="_1468075728" r:id="rId32">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－土地还原利率</w:t>
      </w:r>
    </w:p>
    <w:p w14:paraId="7CF796DC">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object>
          <v:shape id="_x0000_i1029" o:spt="75" type="#_x0000_t75" style="height:11pt;width:10pt;" o:ole="t" filled="f" o:preferrelative="t" stroked="f" coordsize="21600,21600">
            <v:path/>
            <v:fill on="f" focussize="0,0"/>
            <v:stroke on="f"/>
            <v:imagedata r:id="rId35" o:title=""/>
            <o:lock v:ext="edit" aspectratio="t"/>
            <w10:wrap type="none"/>
            <w10:anchorlock/>
          </v:shape>
          <o:OLEObject Type="Embed" ProgID="Equation.3" ShapeID="_x0000_i1029" DrawAspect="Content" ObjectID="_1468075729" r:id="rId34">
            <o:LockedField>false</o:LockedField>
          </o:OLEObject>
        </w:object>
      </w:r>
      <w:r>
        <w:rPr>
          <w:rFonts w:hint="eastAsia" w:ascii="仿宋_GB2312" w:hAnsi="仿宋_GB2312" w:eastAsia="仿宋_GB2312" w:cs="仿宋_GB2312"/>
          <w:b w:val="0"/>
          <w:bCs w:val="0"/>
          <w:color w:val="000000"/>
          <w:kern w:val="2"/>
          <w:sz w:val="28"/>
          <w:szCs w:val="28"/>
          <w:highlight w:val="none"/>
          <w:lang w:val="en-US" w:eastAsia="zh-CN" w:bidi="ar-SA"/>
        </w:rPr>
        <w:t>－使用土地的年期或有土地收益的年期</w:t>
      </w:r>
    </w:p>
    <w:p w14:paraId="6523A0A9">
      <w:pPr>
        <w:adjustRightInd w:val="0"/>
        <w:snapToGrid w:val="0"/>
        <w:spacing w:line="480" w:lineRule="exact"/>
        <w:ind w:firstLine="555"/>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具体测算思路是：</w:t>
      </w:r>
    </w:p>
    <w:p w14:paraId="5D074D7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A.房地年总收益＝房地年租金＝月租金×12×收益总面积×出租率×有效使用面积比率</w:t>
      </w:r>
    </w:p>
    <w:p w14:paraId="71974E23">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B．房地出租年总费用＝维修费+管理费+保险费+税金</w:t>
      </w:r>
    </w:p>
    <w:p w14:paraId="082CED8B">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C．房地年纯收益＝房地年总收益-房地出租年总费用</w:t>
      </w:r>
    </w:p>
    <w:p w14:paraId="46AB2466">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D．房屋年纯收益＝房屋现值×房屋还原率</w:t>
      </w:r>
    </w:p>
    <w:p w14:paraId="1964B3C4">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房屋现值＝重置价－折旧总额＝重置成本－年折旧费×已使用年限</w:t>
      </w:r>
    </w:p>
    <w:p w14:paraId="0C30B48A">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E．土地年纯收益＝房地年纯收益—房屋年纯收益</w:t>
      </w:r>
    </w:p>
    <w:p w14:paraId="2AE802BF">
      <w:pPr>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F．总地价＝土地年纯收益÷r×[1-1/（1+r）n]</w:t>
      </w:r>
    </w:p>
    <w:p w14:paraId="6F2CCE87">
      <w:pPr>
        <w:adjustRightInd w:val="0"/>
        <w:snapToGrid w:val="0"/>
        <w:spacing w:line="480" w:lineRule="exact"/>
        <w:ind w:firstLine="57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G．单位面积地价＝总地价÷总用地面积</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14:paraId="4265A839">
      <w:pPr>
        <w:keepNext w:val="0"/>
        <w:keepLines w:val="0"/>
        <w:pageBreakBefore w:val="0"/>
        <w:widowControl w:val="0"/>
        <w:kinsoku/>
        <w:wordWrap/>
        <w:overflowPunct/>
        <w:topLinePunct w:val="0"/>
        <w:bidi w:val="0"/>
        <w:adjustRightInd w:val="0"/>
        <w:snapToGrid w:val="0"/>
        <w:spacing w:line="480" w:lineRule="exact"/>
        <w:ind w:firstLine="562" w:firstLineChars="200"/>
        <w:outlineLvl w:val="1"/>
        <w:rPr>
          <w:rFonts w:hint="eastAsia" w:ascii="仿宋_GB2312" w:hAnsi="仿宋_GB2312" w:eastAsia="仿宋_GB2312" w:cs="仿宋_GB2312"/>
          <w:b/>
          <w:bCs/>
          <w:color w:val="000000"/>
          <w:kern w:val="2"/>
          <w:sz w:val="28"/>
          <w:szCs w:val="28"/>
          <w:highlight w:val="none"/>
          <w:lang w:val="en-US" w:eastAsia="zh-CN" w:bidi="ar-SA"/>
        </w:rPr>
      </w:pPr>
      <w:r>
        <w:rPr>
          <w:rFonts w:hint="eastAsia" w:ascii="仿宋_GB2312" w:hAnsi="仿宋_GB2312" w:eastAsia="仿宋_GB2312" w:cs="仿宋_GB2312"/>
          <w:b/>
          <w:bCs/>
          <w:color w:val="000000"/>
          <w:kern w:val="2"/>
          <w:sz w:val="28"/>
          <w:szCs w:val="28"/>
          <w:highlight w:val="none"/>
          <w:lang w:val="en-US" w:eastAsia="zh-CN" w:bidi="ar-SA"/>
        </w:rPr>
        <w:t>三、地价的确定</w:t>
      </w:r>
      <w:bookmarkEnd w:id="26"/>
      <w:bookmarkEnd w:id="27"/>
    </w:p>
    <w:p w14:paraId="44F099AA">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1、地价的确定</w:t>
      </w:r>
    </w:p>
    <w:p w14:paraId="45A108AB">
      <w:pPr>
        <w:keepNext w:val="0"/>
        <w:keepLines w:val="0"/>
        <w:pageBreakBefore w:val="0"/>
        <w:widowControl w:val="0"/>
        <w:kinsoku/>
        <w:wordWrap/>
        <w:overflowPunct/>
        <w:topLinePunct w:val="0"/>
        <w:autoSpaceDE w:val="0"/>
        <w:autoSpaceDN w:val="0"/>
        <w:bidi w:val="0"/>
        <w:adjustRightInd w:val="0"/>
        <w:snapToGrid w:val="0"/>
        <w:spacing w:line="480" w:lineRule="exact"/>
        <w:ind w:firstLine="560" w:firstLineChars="200"/>
        <w:textAlignment w:val="auto"/>
        <w:outlineLvl w:val="9"/>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是以开发土地所耗费的各项客观费用之和为主要依据，再加上一定的利润、利息、应缴纳的税金和土地增值收益来确定土地价格的方法，尤其对新开发土地，可采用成本逼近法进行评估。考虑到估价对象所在区域有类似征地案例，能够通过征地案例的调查分析，对各项土地取得成本进行量化得出土地价格。</w:t>
      </w:r>
    </w:p>
    <w:p w14:paraId="7FCAA58B">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bCs/>
          <w:sz w:val="28"/>
          <w:szCs w:val="28"/>
          <w:highlight w:val="none"/>
          <w:lang w:val="en-US" w:eastAsia="zh-CN"/>
        </w:rPr>
      </w:pPr>
      <w:r>
        <w:rPr>
          <w:rFonts w:hint="eastAsia" w:ascii="仿宋_GB2312" w:hAnsi="仿宋_GB2312" w:eastAsia="仿宋_GB2312" w:cs="仿宋_GB2312"/>
          <w:sz w:val="28"/>
          <w:szCs w:val="28"/>
        </w:rPr>
        <w:t>收益还原法是在估算估价对象在未来每年预期纯收益（正常年纯收益）的基础上，以一定的土地还原率，将评估对象在未来每年的纯收益折算为估价期日收益总和的一种方法。因此该方法的测算结果能够比较真实的反映待估宗地的客观合理的市场价格</w:t>
      </w:r>
      <w:r>
        <w:rPr>
          <w:rFonts w:hint="eastAsia" w:ascii="仿宋_GB2312" w:hAnsi="仿宋_GB2312" w:eastAsia="仿宋_GB2312" w:cs="仿宋_GB2312"/>
          <w:snapToGrid w:val="0"/>
          <w:color w:val="000000"/>
          <w:kern w:val="0"/>
          <w:sz w:val="28"/>
          <w:szCs w:val="28"/>
          <w:highlight w:val="none"/>
        </w:rPr>
        <w:t>。</w:t>
      </w:r>
    </w:p>
    <w:p w14:paraId="1D0B73D3">
      <w:pPr>
        <w:pStyle w:val="6"/>
        <w:keepNext w:val="0"/>
        <w:keepLines w:val="0"/>
        <w:pageBreakBefore w:val="0"/>
        <w:widowControl w:val="0"/>
        <w:kinsoku/>
        <w:wordWrap/>
        <w:overflowPunct w:val="0"/>
        <w:topLinePunct w:val="0"/>
        <w:autoSpaceDE w:val="0"/>
        <w:autoSpaceDN w:val="0"/>
        <w:bidi w:val="0"/>
        <w:adjustRightInd w:val="0"/>
        <w:snapToGrid w:val="0"/>
        <w:spacing w:line="480" w:lineRule="exact"/>
        <w:ind w:left="0" w:leftChars="0" w:firstLine="560" w:firstLineChars="200"/>
        <w:textAlignment w:val="auto"/>
        <w:rPr>
          <w:rFonts w:hint="eastAsia" w:ascii="仿宋_GB2312" w:hAnsi="仿宋_GB2312" w:eastAsia="仿宋_GB2312" w:cs="仿宋_GB2312"/>
          <w:snapToGrid w:val="0"/>
          <w:color w:val="000000"/>
          <w:kern w:val="0"/>
          <w:sz w:val="28"/>
          <w:szCs w:val="28"/>
          <w:highlight w:val="none"/>
          <w:lang w:val="en-US" w:eastAsia="zh-CN"/>
        </w:rPr>
      </w:pPr>
      <w:r>
        <w:rPr>
          <w:rFonts w:hint="eastAsia" w:ascii="仿宋_GB2312" w:hAnsi="仿宋_GB2312" w:eastAsia="仿宋_GB2312" w:cs="仿宋_GB2312"/>
          <w:snapToGrid w:val="0"/>
          <w:color w:val="000000"/>
          <w:kern w:val="0"/>
          <w:sz w:val="28"/>
          <w:szCs w:val="28"/>
          <w:highlight w:val="none"/>
        </w:rPr>
        <w:t>通过对当地土地市场和土地价格的分析和两种方法的可靠性综合分析，根据项目特点，综合考虑宗地所在区域的地价水平，确定以剩余法的评估结果作为本次评估的最终结果。</w:t>
      </w:r>
    </w:p>
    <w:p w14:paraId="0CF2A8F9">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w:t>
      </w:r>
      <w:r>
        <w:rPr>
          <w:rFonts w:hint="eastAsia" w:ascii="仿宋_GB2312" w:hAnsi="仿宋_GB2312" w:cs="仿宋_GB2312"/>
          <w:b w:val="0"/>
          <w:bCs/>
          <w:color w:val="auto"/>
          <w:kern w:val="2"/>
          <w:sz w:val="28"/>
          <w:szCs w:val="28"/>
          <w:highlight w:val="none"/>
          <w:lang w:val="en-US" w:eastAsia="zh-CN" w:bidi="ar-SA"/>
        </w:rPr>
        <w:t>3</w:t>
      </w:r>
      <w:r>
        <w:rPr>
          <w:rFonts w:hint="eastAsia" w:ascii="仿宋_GB2312" w:hAnsi="仿宋_GB2312" w:eastAsia="仿宋_GB2312" w:cs="仿宋_GB2312"/>
          <w:b w:val="0"/>
          <w:bCs/>
          <w:color w:val="auto"/>
          <w:kern w:val="2"/>
          <w:sz w:val="28"/>
          <w:szCs w:val="28"/>
          <w:highlight w:val="none"/>
          <w:lang w:val="en-US" w:eastAsia="zh-CN" w:bidi="ar-SA"/>
        </w:rPr>
        <w:t xml:space="preserve">-1  </w:t>
      </w:r>
      <w:r>
        <w:rPr>
          <w:rFonts w:hint="eastAsia" w:ascii="仿宋_GB2312" w:hAnsi="仿宋_GB2312" w:cs="仿宋_GB2312"/>
          <w:b w:val="0"/>
          <w:bCs/>
          <w:color w:val="auto"/>
          <w:kern w:val="2"/>
          <w:sz w:val="28"/>
          <w:szCs w:val="28"/>
          <w:highlight w:val="none"/>
          <w:lang w:val="en-US" w:eastAsia="zh-CN" w:bidi="ar-SA"/>
        </w:rPr>
        <w:t>估价对象地价</w:t>
      </w:r>
      <w:r>
        <w:rPr>
          <w:rFonts w:hint="eastAsia" w:ascii="仿宋_GB2312" w:hAnsi="仿宋_GB2312" w:eastAsia="仿宋_GB2312" w:cs="仿宋_GB2312"/>
          <w:b w:val="0"/>
          <w:bCs/>
          <w:color w:val="auto"/>
          <w:kern w:val="2"/>
          <w:sz w:val="28"/>
          <w:szCs w:val="28"/>
          <w:highlight w:val="none"/>
          <w:lang w:val="en-US" w:eastAsia="zh-CN" w:bidi="ar-SA"/>
        </w:rPr>
        <w:t>表</w:t>
      </w:r>
    </w:p>
    <w:tbl>
      <w:tblPr>
        <w:tblStyle w:val="12"/>
        <w:tblW w:w="545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90"/>
        <w:gridCol w:w="663"/>
        <w:gridCol w:w="900"/>
        <w:gridCol w:w="525"/>
        <w:gridCol w:w="1050"/>
        <w:gridCol w:w="660"/>
        <w:gridCol w:w="1120"/>
        <w:gridCol w:w="984"/>
        <w:gridCol w:w="1035"/>
        <w:gridCol w:w="967"/>
      </w:tblGrid>
      <w:tr w14:paraId="6F308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restart"/>
            <w:noWrap w:val="0"/>
            <w:vAlign w:val="center"/>
          </w:tcPr>
          <w:p w14:paraId="1E81C3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评估项目</w:t>
            </w:r>
          </w:p>
        </w:tc>
        <w:tc>
          <w:tcPr>
            <w:tcW w:w="356" w:type="pct"/>
            <w:vMerge w:val="restart"/>
            <w:noWrap w:val="0"/>
            <w:vAlign w:val="center"/>
          </w:tcPr>
          <w:p w14:paraId="23ECC26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用途</w:t>
            </w:r>
          </w:p>
        </w:tc>
        <w:tc>
          <w:tcPr>
            <w:tcW w:w="766" w:type="pct"/>
            <w:gridSpan w:val="2"/>
            <w:noWrap w:val="0"/>
            <w:vAlign w:val="center"/>
          </w:tcPr>
          <w:p w14:paraId="38787FA7">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成本逼近法</w:t>
            </w:r>
          </w:p>
        </w:tc>
        <w:tc>
          <w:tcPr>
            <w:tcW w:w="919" w:type="pct"/>
            <w:gridSpan w:val="2"/>
            <w:noWrap w:val="0"/>
            <w:vAlign w:val="center"/>
          </w:tcPr>
          <w:p w14:paraId="09FDB7E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剩余法</w:t>
            </w:r>
          </w:p>
        </w:tc>
        <w:tc>
          <w:tcPr>
            <w:tcW w:w="602" w:type="pct"/>
            <w:vMerge w:val="restart"/>
            <w:noWrap w:val="0"/>
            <w:vAlign w:val="center"/>
          </w:tcPr>
          <w:p w14:paraId="0926344B">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确定土地单价（元/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29" w:type="pct"/>
            <w:vMerge w:val="restart"/>
            <w:noWrap w:val="0"/>
            <w:vAlign w:val="center"/>
          </w:tcPr>
          <w:p w14:paraId="5D9A7927">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土地面积（m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556" w:type="pct"/>
            <w:vMerge w:val="restart"/>
            <w:noWrap w:val="0"/>
            <w:vAlign w:val="center"/>
          </w:tcPr>
          <w:p w14:paraId="709BC544">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土地总价（万元）</w:t>
            </w:r>
          </w:p>
        </w:tc>
        <w:tc>
          <w:tcPr>
            <w:tcW w:w="520" w:type="pct"/>
            <w:vMerge w:val="restart"/>
            <w:noWrap w:val="0"/>
            <w:vAlign w:val="center"/>
          </w:tcPr>
          <w:p w14:paraId="60D609F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lang w:val="en-US" w:eastAsia="zh-CN"/>
              </w:rPr>
              <w:t>楼面</w:t>
            </w:r>
            <w:r>
              <w:rPr>
                <w:rFonts w:hint="eastAsia" w:ascii="仿宋_GB2312" w:hAnsi="仿宋_GB2312" w:eastAsia="仿宋_GB2312" w:cs="仿宋_GB2312"/>
                <w:snapToGrid w:val="0"/>
                <w:sz w:val="21"/>
                <w:szCs w:val="21"/>
                <w:highlight w:val="none"/>
              </w:rPr>
              <w:t>地价（元/m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r>
      <w:tr w14:paraId="0C6B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8" w:hRule="atLeast"/>
          <w:jc w:val="center"/>
        </w:trPr>
        <w:tc>
          <w:tcPr>
            <w:tcW w:w="747" w:type="pct"/>
            <w:vMerge w:val="continue"/>
            <w:noWrap w:val="0"/>
            <w:vAlign w:val="center"/>
          </w:tcPr>
          <w:p w14:paraId="160D65BB">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356" w:type="pct"/>
            <w:vMerge w:val="continue"/>
            <w:noWrap w:val="0"/>
            <w:vAlign w:val="center"/>
          </w:tcPr>
          <w:p w14:paraId="245C66D4">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484" w:type="pct"/>
            <w:noWrap w:val="0"/>
            <w:vAlign w:val="center"/>
          </w:tcPr>
          <w:p w14:paraId="52C4574E">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282" w:type="pct"/>
            <w:noWrap w:val="0"/>
            <w:vAlign w:val="center"/>
          </w:tcPr>
          <w:p w14:paraId="79704C6C">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564" w:type="pct"/>
            <w:noWrap w:val="0"/>
            <w:vAlign w:val="center"/>
          </w:tcPr>
          <w:p w14:paraId="48742B25">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土地单价（元/ m</w:t>
            </w:r>
            <w:r>
              <w:rPr>
                <w:rFonts w:hint="eastAsia" w:ascii="仿宋_GB2312" w:hAnsi="仿宋_GB2312" w:eastAsia="仿宋_GB2312" w:cs="仿宋_GB2312"/>
                <w:snapToGrid w:val="0"/>
                <w:sz w:val="21"/>
                <w:szCs w:val="21"/>
                <w:highlight w:val="none"/>
                <w:vertAlign w:val="superscript"/>
              </w:rPr>
              <w:t>2</w:t>
            </w:r>
            <w:r>
              <w:rPr>
                <w:rFonts w:hint="eastAsia" w:ascii="仿宋_GB2312" w:hAnsi="仿宋_GB2312" w:eastAsia="仿宋_GB2312" w:cs="仿宋_GB2312"/>
                <w:snapToGrid w:val="0"/>
                <w:sz w:val="21"/>
                <w:szCs w:val="21"/>
                <w:highlight w:val="none"/>
              </w:rPr>
              <w:t>）</w:t>
            </w:r>
          </w:p>
        </w:tc>
        <w:tc>
          <w:tcPr>
            <w:tcW w:w="355" w:type="pct"/>
            <w:noWrap w:val="0"/>
            <w:vAlign w:val="center"/>
          </w:tcPr>
          <w:p w14:paraId="2D465058">
            <w:pPr>
              <w:adjustRightInd w:val="0"/>
              <w:snapToGrid w:val="0"/>
              <w:spacing w:line="240" w:lineRule="exact"/>
              <w:jc w:val="center"/>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权重</w:t>
            </w:r>
          </w:p>
        </w:tc>
        <w:tc>
          <w:tcPr>
            <w:tcW w:w="602" w:type="pct"/>
            <w:vMerge w:val="continue"/>
            <w:noWrap w:val="0"/>
            <w:vAlign w:val="center"/>
          </w:tcPr>
          <w:p w14:paraId="53ABD2F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9" w:type="pct"/>
            <w:vMerge w:val="continue"/>
            <w:noWrap w:val="0"/>
            <w:vAlign w:val="center"/>
          </w:tcPr>
          <w:p w14:paraId="47755CC5">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56" w:type="pct"/>
            <w:vMerge w:val="continue"/>
            <w:noWrap w:val="0"/>
            <w:vAlign w:val="center"/>
          </w:tcPr>
          <w:p w14:paraId="5FEF09E8">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c>
          <w:tcPr>
            <w:tcW w:w="520" w:type="pct"/>
            <w:vMerge w:val="continue"/>
            <w:noWrap w:val="0"/>
            <w:vAlign w:val="center"/>
          </w:tcPr>
          <w:p w14:paraId="592C2DBE">
            <w:pPr>
              <w:adjustRightInd w:val="0"/>
              <w:snapToGrid w:val="0"/>
              <w:spacing w:line="240" w:lineRule="exact"/>
              <w:jc w:val="center"/>
              <w:rPr>
                <w:rFonts w:hint="eastAsia" w:ascii="仿宋_GB2312" w:hAnsi="仿宋_GB2312" w:eastAsia="仿宋_GB2312" w:cs="仿宋_GB2312"/>
                <w:snapToGrid w:val="0"/>
                <w:sz w:val="21"/>
                <w:szCs w:val="21"/>
                <w:highlight w:val="none"/>
              </w:rPr>
            </w:pPr>
          </w:p>
        </w:tc>
      </w:tr>
      <w:tr w14:paraId="1FC3D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6" w:hRule="atLeast"/>
          <w:jc w:val="center"/>
        </w:trPr>
        <w:tc>
          <w:tcPr>
            <w:tcW w:w="747" w:type="pct"/>
            <w:noWrap w:val="0"/>
            <w:vAlign w:val="center"/>
          </w:tcPr>
          <w:p w14:paraId="6F3D2796">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道县月岩西路宗地</w:t>
            </w:r>
          </w:p>
        </w:tc>
        <w:tc>
          <w:tcPr>
            <w:tcW w:w="356" w:type="pct"/>
            <w:noWrap w:val="0"/>
            <w:vAlign w:val="center"/>
          </w:tcPr>
          <w:p w14:paraId="4B7CB0FF">
            <w:pPr>
              <w:adjustRightInd w:val="0"/>
              <w:snapToGrid w:val="0"/>
              <w:spacing w:line="240" w:lineRule="exact"/>
              <w:jc w:val="both"/>
              <w:rPr>
                <w:rFonts w:hint="eastAsia" w:ascii="仿宋_GB2312" w:hAnsi="仿宋_GB2312" w:eastAsia="仿宋_GB2312" w:cs="仿宋_GB2312"/>
                <w:snapToGrid w:val="0"/>
                <w:sz w:val="21"/>
                <w:szCs w:val="21"/>
                <w:highlight w:val="none"/>
              </w:rPr>
            </w:pPr>
            <w:r>
              <w:rPr>
                <w:rFonts w:hint="eastAsia" w:ascii="仿宋_GB2312" w:hAnsi="仿宋_GB2312" w:eastAsia="仿宋_GB2312" w:cs="仿宋_GB2312"/>
                <w:snapToGrid w:val="0"/>
                <w:sz w:val="21"/>
                <w:szCs w:val="21"/>
                <w:highlight w:val="none"/>
              </w:rPr>
              <w:t>住宅用地</w:t>
            </w:r>
          </w:p>
        </w:tc>
        <w:tc>
          <w:tcPr>
            <w:tcW w:w="484" w:type="pct"/>
            <w:noWrap w:val="0"/>
            <w:vAlign w:val="center"/>
          </w:tcPr>
          <w:p w14:paraId="042D249F">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856.8</w:t>
            </w:r>
          </w:p>
        </w:tc>
        <w:tc>
          <w:tcPr>
            <w:tcW w:w="282" w:type="pct"/>
            <w:noWrap w:val="0"/>
            <w:vAlign w:val="center"/>
          </w:tcPr>
          <w:p w14:paraId="23F813C9">
            <w:pPr>
              <w:adjustRightInd w:val="0"/>
              <w:snapToGrid w:val="0"/>
              <w:spacing w:line="240" w:lineRule="exact"/>
              <w:jc w:val="center"/>
              <w:rPr>
                <w:rFonts w:hint="eastAsia"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0</w:t>
            </w:r>
          </w:p>
        </w:tc>
        <w:tc>
          <w:tcPr>
            <w:tcW w:w="564" w:type="pct"/>
            <w:noWrap w:val="0"/>
            <w:vAlign w:val="center"/>
          </w:tcPr>
          <w:p w14:paraId="3775F73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2510.5</w:t>
            </w:r>
          </w:p>
        </w:tc>
        <w:tc>
          <w:tcPr>
            <w:tcW w:w="355" w:type="pct"/>
            <w:noWrap w:val="0"/>
            <w:vAlign w:val="center"/>
          </w:tcPr>
          <w:p w14:paraId="751F29EE">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w:t>
            </w:r>
          </w:p>
        </w:tc>
        <w:tc>
          <w:tcPr>
            <w:tcW w:w="602" w:type="pct"/>
            <w:noWrap w:val="0"/>
            <w:vAlign w:val="center"/>
          </w:tcPr>
          <w:p w14:paraId="3598F22B">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2511</w:t>
            </w:r>
          </w:p>
        </w:tc>
        <w:tc>
          <w:tcPr>
            <w:tcW w:w="529" w:type="pct"/>
            <w:noWrap w:val="0"/>
            <w:vAlign w:val="center"/>
          </w:tcPr>
          <w:p w14:paraId="3957488C">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15.2</w:t>
            </w:r>
          </w:p>
        </w:tc>
        <w:tc>
          <w:tcPr>
            <w:tcW w:w="556" w:type="pct"/>
            <w:noWrap w:val="0"/>
            <w:vAlign w:val="center"/>
          </w:tcPr>
          <w:p w14:paraId="355517E2">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default" w:ascii="仿宋_GB2312" w:hAnsi="仿宋_GB2312" w:eastAsia="仿宋_GB2312" w:cs="仿宋_GB2312"/>
                <w:snapToGrid w:val="0"/>
                <w:sz w:val="21"/>
                <w:szCs w:val="21"/>
                <w:highlight w:val="none"/>
                <w:lang w:val="en-US" w:eastAsia="zh-CN"/>
              </w:rPr>
              <w:t>3.82</w:t>
            </w:r>
          </w:p>
        </w:tc>
        <w:tc>
          <w:tcPr>
            <w:tcW w:w="520" w:type="pct"/>
            <w:noWrap w:val="0"/>
            <w:vAlign w:val="center"/>
          </w:tcPr>
          <w:p w14:paraId="45F53943">
            <w:pPr>
              <w:adjustRightInd w:val="0"/>
              <w:snapToGrid w:val="0"/>
              <w:spacing w:line="240" w:lineRule="exact"/>
              <w:jc w:val="center"/>
              <w:rPr>
                <w:rFonts w:hint="default" w:ascii="仿宋_GB2312" w:hAnsi="仿宋_GB2312" w:eastAsia="仿宋_GB2312" w:cs="仿宋_GB2312"/>
                <w:snapToGrid w:val="0"/>
                <w:sz w:val="21"/>
                <w:szCs w:val="21"/>
                <w:highlight w:val="none"/>
                <w:lang w:val="en-US" w:eastAsia="zh-CN"/>
              </w:rPr>
            </w:pPr>
            <w:r>
              <w:rPr>
                <w:rFonts w:hint="eastAsia" w:ascii="仿宋_GB2312" w:hAnsi="仿宋_GB2312" w:eastAsia="仿宋_GB2312" w:cs="仿宋_GB2312"/>
                <w:snapToGrid w:val="0"/>
                <w:sz w:val="21"/>
                <w:szCs w:val="21"/>
                <w:highlight w:val="none"/>
                <w:lang w:val="en-US" w:eastAsia="zh-CN"/>
              </w:rPr>
              <w:t>519.88</w:t>
            </w:r>
          </w:p>
        </w:tc>
      </w:tr>
    </w:tbl>
    <w:p w14:paraId="5F21307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3"/>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2、估价结果</w:t>
      </w:r>
    </w:p>
    <w:p w14:paraId="5EE0C19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自然资源</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委托评估的，位于</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道县月岩西路</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的一宗国有土地，土地面积</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15.2平方米</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，于估价期日2026年5月18日，评估设定土地用途为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住宅用地</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auto"/>
          <w:sz w:val="28"/>
          <w:szCs w:val="30"/>
          <w:highlight w:val="none"/>
          <w:lang w:val="en-US" w:eastAsia="zh-CN"/>
        </w:rPr>
        <w:t>土地使用权出让年期为住宅用地70年</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，容积率为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4.83，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设定土地开发程度为宗地红线外“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”（即通路、通电、供水、排水、通讯）及红线内场地平整，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现状</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利用条件下的土地使用权出让价格如下（币种：人民币）：</w:t>
      </w:r>
    </w:p>
    <w:p w14:paraId="0CC54389">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宗地数量：共一宗</w:t>
      </w:r>
    </w:p>
    <w:p w14:paraId="0C4DAA15">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w:t>
      </w:r>
      <w:r>
        <w:rPr>
          <w:rFonts w:hint="eastAsia" w:ascii="仿宋_GB2312" w:eastAsia="仿宋_GB2312"/>
          <w:b/>
          <w:bCs/>
          <w:color w:val="000000" w:themeColor="text1"/>
          <w:sz w:val="28"/>
          <w:szCs w:val="22"/>
          <w:highlight w:val="none"/>
          <w14:textFill>
            <w14:solidFill>
              <w14:schemeClr w14:val="tx1"/>
            </w14:solidFill>
          </w14:textFill>
        </w:rPr>
        <w:t>土地</w:t>
      </w:r>
      <w:r>
        <w:rPr>
          <w:rFonts w:hint="eastAsia" w:ascii="仿宋_GB2312" w:eastAsia="仿宋_GB2312"/>
          <w:b/>
          <w:bCs/>
          <w:color w:val="000000" w:themeColor="text1"/>
          <w:sz w:val="28"/>
          <w:szCs w:val="22"/>
          <w:highlight w:val="none"/>
          <w:lang w:val="en-US" w:eastAsia="zh-CN"/>
          <w14:textFill>
            <w14:solidFill>
              <w14:schemeClr w14:val="tx1"/>
            </w14:solidFill>
          </w14:textFill>
        </w:rPr>
        <w:t>总</w:t>
      </w:r>
      <w:r>
        <w:rPr>
          <w:rFonts w:hint="eastAsia" w:ascii="仿宋_GB2312" w:eastAsia="仿宋_GB2312"/>
          <w:b/>
          <w:bCs/>
          <w:color w:val="000000" w:themeColor="text1"/>
          <w:sz w:val="28"/>
          <w:szCs w:val="22"/>
          <w:highlight w:val="none"/>
          <w14:textFill>
            <w14:solidFill>
              <w14:schemeClr w14:val="tx1"/>
            </w14:solidFill>
          </w14:textFill>
        </w:rPr>
        <w:t>面积：</w:t>
      </w:r>
      <w:r>
        <w:rPr>
          <w:rFonts w:hint="eastAsia" w:ascii="仿宋_GB2312" w:eastAsia="仿宋_GB2312"/>
          <w:b/>
          <w:bCs/>
          <w:color w:val="000000" w:themeColor="text1"/>
          <w:sz w:val="28"/>
          <w:szCs w:val="22"/>
          <w:highlight w:val="none"/>
          <w:lang w:val="en-US" w:eastAsia="zh-CN"/>
          <w14:textFill>
            <w14:solidFill>
              <w14:schemeClr w14:val="tx1"/>
            </w14:solidFill>
          </w14:textFill>
        </w:rPr>
        <w:t>15.2平方米</w:t>
      </w:r>
    </w:p>
    <w:p w14:paraId="7C54F7FB">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lang w:val="en-US"/>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估价对象土地单价：2511.0元/平方米</w:t>
      </w:r>
      <w:r>
        <w:rPr>
          <w:rFonts w:hint="eastAsia" w:ascii="仿宋" w:hAnsi="仿宋" w:eastAsia="仿宋"/>
          <w:b/>
          <w:bCs/>
          <w:sz w:val="28"/>
          <w:szCs w:val="28"/>
          <w:highlight w:val="none"/>
        </w:rPr>
        <w:t>（折合</w:t>
      </w:r>
      <w:r>
        <w:rPr>
          <w:rFonts w:hint="eastAsia" w:ascii="仿宋" w:hAnsi="仿宋" w:eastAsia="仿宋"/>
          <w:b/>
          <w:bCs/>
          <w:sz w:val="28"/>
          <w:szCs w:val="28"/>
          <w:highlight w:val="none"/>
          <w:lang w:val="en-US" w:eastAsia="zh-CN"/>
        </w:rPr>
        <w:t>167.4</w:t>
      </w:r>
      <w:r>
        <w:rPr>
          <w:rFonts w:hint="eastAsia" w:ascii="仿宋" w:hAnsi="仿宋" w:eastAsia="仿宋"/>
          <w:b/>
          <w:bCs/>
          <w:sz w:val="28"/>
          <w:szCs w:val="28"/>
          <w:highlight w:val="none"/>
        </w:rPr>
        <w:t>万元/亩）</w:t>
      </w:r>
    </w:p>
    <w:p w14:paraId="24AE12E7">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default" w:ascii="仿宋_GB2312" w:eastAsia="仿宋_GB2312"/>
          <w:b/>
          <w:bCs/>
          <w:color w:val="000000" w:themeColor="text1"/>
          <w:sz w:val="28"/>
          <w:szCs w:val="22"/>
          <w:highlight w:val="none"/>
          <w:lang w:val="en-US" w:eastAsia="zh-CN"/>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估价对象楼面地价：519.88元/平方米</w:t>
      </w:r>
    </w:p>
    <w:p w14:paraId="7353C065">
      <w:pPr>
        <w:keepNext w:val="0"/>
        <w:keepLines w:val="0"/>
        <w:pageBreakBefore w:val="0"/>
        <w:widowControl w:val="0"/>
        <w:kinsoku/>
        <w:wordWrap/>
        <w:overflowPunct/>
        <w:topLinePunct w:val="0"/>
        <w:autoSpaceDE w:val="0"/>
        <w:autoSpaceDN w:val="0"/>
        <w:bidi w:val="0"/>
        <w:adjustRightInd w:val="0"/>
        <w:snapToGrid w:val="0"/>
        <w:spacing w:line="480" w:lineRule="exact"/>
        <w:ind w:left="0" w:leftChars="0"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lang w:val="en-US" w:eastAsia="zh-CN"/>
          <w14:textFill>
            <w14:solidFill>
              <w14:schemeClr w14:val="tx1"/>
            </w14:solidFill>
          </w14:textFill>
        </w:rPr>
        <w:t>估计对象土地</w:t>
      </w:r>
      <w:r>
        <w:rPr>
          <w:rFonts w:hint="eastAsia" w:ascii="仿宋_GB2312" w:eastAsia="仿宋_GB2312"/>
          <w:b/>
          <w:bCs/>
          <w:color w:val="000000" w:themeColor="text1"/>
          <w:sz w:val="28"/>
          <w:szCs w:val="22"/>
          <w:highlight w:val="none"/>
          <w14:textFill>
            <w14:solidFill>
              <w14:schemeClr w14:val="tx1"/>
            </w14:solidFill>
          </w14:textFill>
        </w:rPr>
        <w:t>总价：</w:t>
      </w:r>
      <w:r>
        <w:rPr>
          <w:rFonts w:hint="eastAsia" w:ascii="仿宋_GB2312" w:eastAsia="仿宋_GB2312"/>
          <w:b/>
          <w:bCs/>
          <w:color w:val="000000" w:themeColor="text1"/>
          <w:sz w:val="28"/>
          <w:szCs w:val="22"/>
          <w:highlight w:val="none"/>
          <w:lang w:val="en-US" w:eastAsia="zh-CN"/>
          <w14:textFill>
            <w14:solidFill>
              <w14:schemeClr w14:val="tx1"/>
            </w14:solidFill>
          </w14:textFill>
        </w:rPr>
        <w:t>3.82</w:t>
      </w:r>
      <w:r>
        <w:rPr>
          <w:rFonts w:hint="eastAsia" w:ascii="仿宋_GB2312" w:eastAsia="仿宋_GB2312"/>
          <w:b/>
          <w:bCs/>
          <w:color w:val="000000" w:themeColor="text1"/>
          <w:sz w:val="28"/>
          <w:szCs w:val="22"/>
          <w:highlight w:val="none"/>
          <w14:textFill>
            <w14:solidFill>
              <w14:schemeClr w14:val="tx1"/>
            </w14:solidFill>
          </w14:textFill>
        </w:rPr>
        <w:t>万元</w:t>
      </w:r>
    </w:p>
    <w:p w14:paraId="15D97A50">
      <w:pPr>
        <w:keepNext w:val="0"/>
        <w:keepLines w:val="0"/>
        <w:pageBreakBefore w:val="0"/>
        <w:widowControl w:val="0"/>
        <w:kinsoku/>
        <w:wordWrap/>
        <w:overflowPunct/>
        <w:topLinePunct w:val="0"/>
        <w:autoSpaceDE w:val="0"/>
        <w:autoSpaceDN w:val="0"/>
        <w:bidi w:val="0"/>
        <w:adjustRightInd w:val="0"/>
        <w:snapToGrid w:val="0"/>
        <w:spacing w:line="480" w:lineRule="exact"/>
        <w:ind w:firstLine="562" w:firstLineChars="200"/>
        <w:textAlignment w:val="auto"/>
        <w:rPr>
          <w:rFonts w:hint="eastAsia" w:ascii="仿宋_GB2312" w:eastAsia="仿宋_GB2312"/>
          <w:b/>
          <w:bCs/>
          <w:color w:val="000000" w:themeColor="text1"/>
          <w:sz w:val="28"/>
          <w:szCs w:val="22"/>
          <w:highlight w:val="none"/>
          <w14:textFill>
            <w14:solidFill>
              <w14:schemeClr w14:val="tx1"/>
            </w14:solidFill>
          </w14:textFill>
        </w:rPr>
      </w:pPr>
      <w:r>
        <w:rPr>
          <w:rFonts w:hint="eastAsia" w:ascii="仿宋_GB2312" w:eastAsia="仿宋_GB2312"/>
          <w:b/>
          <w:bCs/>
          <w:color w:val="000000" w:themeColor="text1"/>
          <w:sz w:val="28"/>
          <w:szCs w:val="22"/>
          <w:highlight w:val="none"/>
          <w14:textFill>
            <w14:solidFill>
              <w14:schemeClr w14:val="tx1"/>
            </w14:solidFill>
          </w14:textFill>
        </w:rPr>
        <w:t>大写：人民币</w:t>
      </w:r>
      <w:r>
        <w:rPr>
          <w:rFonts w:hint="eastAsia" w:ascii="仿宋_GB2312" w:eastAsia="仿宋_GB2312"/>
          <w:b/>
          <w:bCs/>
          <w:color w:val="000000" w:themeColor="text1"/>
          <w:sz w:val="28"/>
          <w:szCs w:val="22"/>
          <w:highlight w:val="none"/>
          <w:lang w:val="en-US" w:eastAsia="zh-CN"/>
          <w14:textFill>
            <w14:solidFill>
              <w14:schemeClr w14:val="tx1"/>
            </w14:solidFill>
          </w14:textFill>
        </w:rPr>
        <w:t>叁万捌仟贰佰</w:t>
      </w:r>
      <w:r>
        <w:rPr>
          <w:rFonts w:hint="eastAsia" w:ascii="仿宋_GB2312" w:eastAsia="仿宋_GB2312"/>
          <w:b/>
          <w:bCs/>
          <w:color w:val="000000" w:themeColor="text1"/>
          <w:sz w:val="28"/>
          <w:szCs w:val="22"/>
          <w:highlight w:val="none"/>
          <w14:textFill>
            <w14:solidFill>
              <w14:schemeClr w14:val="tx1"/>
            </w14:solidFill>
          </w14:textFill>
        </w:rPr>
        <w:t>元整</w:t>
      </w:r>
    </w:p>
    <w:p w14:paraId="5F6D7EAE">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t>详见《土地估价结果一览表》。</w:t>
      </w:r>
    </w:p>
    <w:p w14:paraId="623EA900">
      <w:pP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r>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br w:type="page"/>
      </w:r>
    </w:p>
    <w:p w14:paraId="37F1DCA7">
      <w:pPr>
        <w:keepNext w:val="0"/>
        <w:keepLines w:val="0"/>
        <w:pageBreakBefore w:val="0"/>
        <w:widowControl w:val="0"/>
        <w:kinsoku/>
        <w:wordWrap/>
        <w:overflowPunct/>
        <w:topLinePunct w:val="0"/>
        <w:autoSpaceDE/>
        <w:autoSpaceDN/>
        <w:bidi w:val="0"/>
        <w:adjustRightInd w:val="0"/>
        <w:snapToGrid w:val="0"/>
        <w:spacing w:line="480" w:lineRule="exact"/>
        <w:ind w:firstLine="562" w:firstLineChars="200"/>
        <w:textAlignment w:val="auto"/>
        <w:rPr>
          <w:rFonts w:hint="eastAsia" w:ascii="仿宋_GB2312" w:hAnsi="Times New Roman" w:eastAsia="仿宋_GB2312" w:cs="Times New Roman"/>
          <w:b/>
          <w:bCs/>
          <w:color w:val="000000" w:themeColor="text1"/>
          <w:sz w:val="28"/>
          <w:szCs w:val="22"/>
          <w:highlight w:val="none"/>
          <w:lang w:val="en-US" w:eastAsia="zh-CN"/>
          <w14:textFill>
            <w14:solidFill>
              <w14:schemeClr w14:val="tx1"/>
            </w14:solidFill>
          </w14:textFill>
        </w:rPr>
      </w:pPr>
    </w:p>
    <w:p w14:paraId="0781E94D">
      <w:pPr>
        <w:pStyle w:val="2"/>
        <w:ind w:firstLine="0"/>
        <w:jc w:val="center"/>
        <w:rPr>
          <w:rFonts w:hint="eastAsia" w:asciiTheme="majorEastAsia" w:hAnsiTheme="majorEastAsia" w:eastAsiaTheme="majorEastAsia" w:cstheme="majorEastAsia"/>
          <w:b/>
          <w:bCs/>
          <w:sz w:val="32"/>
          <w:highlight w:val="none"/>
        </w:rPr>
      </w:pPr>
      <w:r>
        <w:rPr>
          <w:rFonts w:hint="eastAsia" w:asciiTheme="majorEastAsia" w:hAnsiTheme="majorEastAsia" w:eastAsiaTheme="majorEastAsia" w:cstheme="majorEastAsia"/>
          <w:b/>
          <w:bCs/>
          <w:sz w:val="32"/>
          <w:highlight w:val="none"/>
          <w:lang w:val="en-US" w:eastAsia="zh-CN"/>
        </w:rPr>
        <w:t xml:space="preserve">第四部分  </w:t>
      </w:r>
      <w:r>
        <w:rPr>
          <w:rFonts w:hint="eastAsia" w:asciiTheme="majorEastAsia" w:hAnsiTheme="majorEastAsia" w:eastAsiaTheme="majorEastAsia" w:cstheme="majorEastAsia"/>
          <w:b/>
          <w:bCs/>
          <w:sz w:val="32"/>
          <w:highlight w:val="none"/>
        </w:rPr>
        <w:t>附件</w:t>
      </w:r>
    </w:p>
    <w:p w14:paraId="49A37027">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BCF7E1B">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59B8A49">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3.估价对象《房屋所有权证》（道房权证字第713000590号）；</w:t>
      </w:r>
    </w:p>
    <w:p w14:paraId="4431F61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4.估价对象《户室面积对照表》；</w:t>
      </w:r>
    </w:p>
    <w:p w14:paraId="575EB89A">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5.估价对象《土地分摊表》；</w:t>
      </w:r>
    </w:p>
    <w:p w14:paraId="2053C986">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6.估价对象《土地权属及性质证明》（2026年5月19日）；</w:t>
      </w:r>
    </w:p>
    <w:p w14:paraId="7A1284C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7.估价对象《关于县科工局及所属破产企业单位房改房集资房办理不动产登记有关事项的会议纪要》（道科工字〔2020〕114号）；</w:t>
      </w:r>
    </w:p>
    <w:p w14:paraId="5A8C112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8.估价对象《关于原县皮革厂属县二轻集体企业的说明》（2025年5月6日）；</w:t>
      </w:r>
    </w:p>
    <w:p w14:paraId="0D46A96E">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9.估价对象宗地区域位置示意图；</w:t>
      </w:r>
    </w:p>
    <w:p w14:paraId="75304640">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10.现场勘查照片；</w:t>
      </w:r>
    </w:p>
    <w:p w14:paraId="3066B8F4">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11.现场勘查记录表；</w:t>
      </w:r>
    </w:p>
    <w:p w14:paraId="452A90A2">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12.收益还原法案例位置和现场照片；</w:t>
      </w:r>
    </w:p>
    <w:p w14:paraId="59C4C8AD">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13.土地评估中介机构企业营业执照；</w:t>
      </w:r>
    </w:p>
    <w:p w14:paraId="2374EEEF">
      <w:pPr>
        <w:keepNext w:val="0"/>
        <w:keepLines w:val="0"/>
        <w:pageBreakBefore w:val="0"/>
        <w:widowControl w:val="0"/>
        <w:kinsoku/>
        <w:wordWrap/>
        <w:overflowPunct/>
        <w:topLinePunct w:val="0"/>
        <w:autoSpaceDE w:val="0"/>
        <w:autoSpaceDN w:val="0"/>
        <w:bidi w:val="0"/>
        <w:adjustRightInd w:val="0"/>
        <w:snapToGrid w:val="0"/>
        <w:spacing w:line="360" w:lineRule="auto"/>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14.土地评估中介机构备案证明；</w:t>
      </w:r>
    </w:p>
    <w:p w14:paraId="2EE6B14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15.土地估价师资质证书。</w:t>
      </w:r>
    </w:p>
    <w:p w14:paraId="14795C38">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p>
    <w:p w14:paraId="11E1C5AE">
      <w:pPr>
        <w:keepNext w:val="0"/>
        <w:keepLines w:val="0"/>
        <w:pageBreakBefore w:val="0"/>
        <w:widowControl w:val="0"/>
        <w:kinsoku/>
        <w:wordWrap/>
        <w:overflowPunct/>
        <w:topLinePunct w:val="0"/>
        <w:bidi w:val="0"/>
        <w:spacing w:line="360" w:lineRule="auto"/>
        <w:jc w:val="right"/>
        <w:textAlignment w:val="auto"/>
        <w:rPr>
          <w:rFonts w:hint="eastAsia" w:ascii="仿宋_GB2312" w:eastAsia="仿宋_GB2312"/>
          <w:sz w:val="28"/>
          <w:szCs w:val="28"/>
          <w:highlight w:val="none"/>
        </w:rPr>
      </w:pPr>
      <w:r>
        <w:rPr>
          <w:rFonts w:hint="eastAsia" w:ascii="仿宋_GB2312" w:eastAsia="仿宋_GB2312"/>
          <w:sz w:val="28"/>
          <w:szCs w:val="28"/>
          <w:highlight w:val="none"/>
        </w:rPr>
        <w:t>（以上资料均为复印件）</w:t>
      </w:r>
    </w:p>
    <w:p w14:paraId="7511B465">
      <w:pPr>
        <w:rPr>
          <w:highlight w:val="none"/>
        </w:rPr>
      </w:pPr>
    </w:p>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体">
    <w:altName w:val="宋体"/>
    <w:panose1 w:val="00000000000000000000"/>
    <w:charset w:val="86"/>
    <w:family w:val="roman"/>
    <w:pitch w:val="default"/>
    <w:sig w:usb0="00000000" w:usb1="00000000" w:usb2="00000010" w:usb3="00000000" w:csb0="00040000" w:csb1="00000000"/>
  </w:font>
  <w:font w:name="仿宋_GB2312">
    <w:panose1 w:val="02010609030101010101"/>
    <w:charset w:val="86"/>
    <w:family w:val="modern"/>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 w:name="昆仑仿宋">
    <w:altName w:val="黑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C4F21D">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DA5265">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53DA5265">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4B8ED5">
    <w:pPr>
      <w:pStyle w:val="9"/>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026771F">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026771F">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9"/>
      <w:pBdr>
        <w:bottom w:val="single" w:color="auto" w:sz="6" w:space="1"/>
      </w:pBdr>
      <w:rPr>
        <w:rFonts w:ascii="仿宋_GB2312" w:eastAsia="仿宋_GB2312"/>
        <w:sz w:val="21"/>
        <w:szCs w:val="21"/>
      </w:rPr>
    </w:pPr>
  </w:p>
  <w:p w14:paraId="21E1C8DA">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1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MQjOkm+AQAAcw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9B4678">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7775171">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OrREyAgAAY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f46tETICAABhBAAADgAAAAAAAAABACAAAAAfAQAAZHJzL2Uyb0RvYy54bWxQSwUG&#10;AAAAAAYABgBZAQAAwwUAAAAA&#10;">
              <v:fill on="f" focussize="0,0"/>
              <v:stroke on="f" weight="0.5pt"/>
              <v:imagedata o:title=""/>
              <o:lock v:ext="edit" aspectratio="f"/>
              <v:textbox inset="0mm,0mm,0mm,0mm" style="mso-fit-shape-to-text:t;">
                <w:txbxContent>
                  <w:p w14:paraId="57775171">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8B2">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3360" behindDoc="0" locked="0" layoutInCell="1" allowOverlap="1">
              <wp:simplePos x="0" y="0"/>
              <wp:positionH relativeFrom="margin">
                <wp:posOffset>5210810</wp:posOffset>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AA90816">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410.3pt;margin-top:0pt;height:144pt;width:144pt;mso-position-horizontal-relative:margin;mso-wrap-style:none;z-index:251663360;mso-width-relative:page;mso-height-relative:page;" filled="f" stroked="f" coordsize="21600,21600" o:gfxdata="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AwEyhNQAAAAJAQAADwAAAAAAAAABACAAAAAiAAAAZHJzL2Rvd25yZXYueG1sUEsB&#10;AhQAFAAAAAgAh07iQKT72nYyAgAAYwQAAA4AAAAAAAAAAQAgAAAAIwEAAGRycy9lMm9Eb2MueG1s&#10;UEsFBgAAAAAGAAYAWQEAAMcFAAAAAA==&#10;">
              <v:fill on="f" focussize="0,0"/>
              <v:stroke on="f" weight="0.5pt"/>
              <v:imagedata o:title=""/>
              <o:lock v:ext="edit" aspectratio="f"/>
              <v:textbox inset="0mm,0mm,0mm,0mm" style="mso-fit-shape-to-text:t;">
                <w:txbxContent>
                  <w:p w14:paraId="7AA90816">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p w14:paraId="58D6942B">
    <w:pPr>
      <w:pStyle w:val="9"/>
    </w:pPr>
    <w:r>
      <w:rPr>
        <w:sz w:val="18"/>
      </w:rP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CE6744D">
                          <w:pPr>
                            <w:pStyle w:val="9"/>
                          </w:pP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4CE6744D">
                    <w:pPr>
                      <w:pStyle w:val="9"/>
                    </w:pP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EC37DB">
    <w:pPr>
      <w:pStyle w:val="9"/>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7D2F87">
    <w:pPr>
      <w:pStyle w:val="9"/>
      <w:pBdr>
        <w:top w:val="single" w:color="auto" w:sz="4" w:space="1"/>
        <w:left w:val="none" w:color="auto" w:sz="0" w:space="0"/>
        <w:bottom w:val="none" w:color="auto" w:sz="0" w:space="0"/>
        <w:right w:val="none" w:color="auto" w:sz="0" w:space="0"/>
        <w:between w:val="none" w:color="auto" w:sz="0" w:space="0"/>
      </w:pBdr>
    </w:pPr>
    <w:r>
      <w:rPr>
        <w:sz w:val="21"/>
      </w:rPr>
      <mc:AlternateContent>
        <mc:Choice Requires="wps">
          <w:drawing>
            <wp:anchor distT="0" distB="0" distL="114300" distR="114300" simplePos="0" relativeHeight="251665408" behindDoc="0" locked="0" layoutInCell="1" allowOverlap="1">
              <wp:simplePos x="0" y="0"/>
              <wp:positionH relativeFrom="margin">
                <wp:align>right</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791E069">
                          <w:pPr>
                            <w:pStyle w:val="9"/>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540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9bQWsyAgAAYwQAAA4AAABkcnMvZTJvRG9jLnhtbK1UzY7TMBC+I/EO&#10;lu80aRGrUj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tBazICAABjBAAADgAAAAAAAAABACAAAAAfAQAAZHJzL2Uyb0RvYy54bWxQSwUG&#10;AAAAAAYABgBZAQAAwwUAAAAA&#10;">
              <v:fill on="f" focussize="0,0"/>
              <v:stroke on="f" weight="0.5pt"/>
              <v:imagedata o:title=""/>
              <o:lock v:ext="edit" aspectratio="f"/>
              <v:textbox inset="0mm,0mm,0mm,0mm" style="mso-fit-shape-to-text:t;">
                <w:txbxContent>
                  <w:p w14:paraId="4791E069">
                    <w:pPr>
                      <w:pStyle w:val="9"/>
                    </w:pPr>
                    <w:r>
                      <w:fldChar w:fldCharType="begin"/>
                    </w:r>
                    <w:r>
                      <w:instrText xml:space="preserve"> PAGE  \* MERGEFORMAT </w:instrText>
                    </w:r>
                    <w:r>
                      <w:fldChar w:fldCharType="separate"/>
                    </w:r>
                    <w:r>
                      <w:t>2</w:t>
                    </w:r>
                    <w:r>
                      <w:fldChar w:fldCharType="end"/>
                    </w:r>
                  </w:p>
                </w:txbxContent>
              </v:textbox>
            </v:shape>
          </w:pict>
        </mc:Fallback>
      </mc:AlternateContent>
    </w:r>
    <w:r>
      <w:rPr>
        <w:rFonts w:hint="eastAsia" w:ascii="仿宋_GB2312" w:hAnsi="仿宋_GB2312" w:eastAsia="仿宋_GB2312" w:cs="仿宋_GB2312"/>
        <w:spacing w:val="14"/>
        <w:sz w:val="21"/>
        <w:szCs w:val="21"/>
        <w:lang w:eastAsia="zh-CN"/>
      </w:rPr>
      <w:t>湖南兆财不动产规划评估有限公司</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8DC9C9">
    <w:pPr>
      <w:pStyle w:val="9"/>
      <w:pBdr>
        <w:bottom w:val="single" w:color="auto" w:sz="6" w:space="1"/>
      </w:pBdr>
      <w:rPr>
        <w:rFonts w:ascii="仿宋_GB2312" w:eastAsia="仿宋_GB2312"/>
        <w:sz w:val="21"/>
        <w:szCs w:val="21"/>
      </w:rPr>
    </w:pPr>
  </w:p>
  <w:p w14:paraId="5BD50AF7">
    <w:pPr>
      <w:pStyle w:val="9"/>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57785" cy="131445"/>
              <wp:effectExtent l="0" t="0" r="0" b="0"/>
              <wp:wrapNone/>
              <wp:docPr id="3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4384;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NWXcQe+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XJWdOWJr48fu3449f&#10;x59f2a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NWXcQe+AQAAcwMAAA4AAAAAAAAAAQAgAAAAIgEAAGRycy9lMm9Eb2MueG1sUEsF&#10;BgAAAAAGAAYAWQEAAFIFAAAAAA==&#10;">
              <v:fill on="f" focussize="0,0"/>
              <v:stroke on="f"/>
              <v:imagedata o:title=""/>
              <o:lock v:ext="edit" aspectratio="f"/>
              <v:textbox inset="0mm,0mm,0mm,0mm">
                <w:txbxContent>
                  <w:p w14:paraId="3EE86E11">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D6DE2E">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27A76571">
    <w:pPr>
      <w:pStyle w:val="10"/>
      <w:pBdr>
        <w:bottom w:val="none" w:color="auto" w:sz="0" w:space="1"/>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A24931">
    <w:pPr>
      <w:pStyle w:val="10"/>
      <w:pBdr>
        <w:bottom w:val="none" w:color="auto" w:sz="0" w:space="1"/>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177782">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pPr>
    <w:r>
      <w:rPr>
        <w:rFonts w:hint="eastAsia"/>
      </w:rPr>
      <w:t xml:space="preserve"> </w:t>
    </w: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36</w:t>
    </w:r>
    <w:r>
      <w:rPr>
        <w:rFonts w:hint="eastAsia" w:ascii="仿宋_GB2312" w:hAnsi="仿宋_GB2312" w:eastAsia="仿宋_GB2312" w:cs="仿宋_GB2312"/>
        <w:sz w:val="21"/>
        <w:szCs w:val="21"/>
      </w:rPr>
      <w:t>号</w:t>
    </w:r>
  </w:p>
  <w:p w14:paraId="1C619443">
    <w:pPr>
      <w:pStyle w:val="10"/>
      <w:pBdr>
        <w:top w:val="none" w:color="auto" w:sz="0" w:space="0"/>
        <w:left w:val="none" w:color="auto" w:sz="0" w:space="0"/>
        <w:bottom w:val="none" w:color="auto" w:sz="0" w:space="1"/>
        <w:right w:val="none" w:color="auto" w:sz="0" w:space="0"/>
        <w:between w:val="none" w:color="auto" w:sz="0" w:space="0"/>
      </w:pBdr>
      <w:jc w:val="both"/>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21CC5F">
    <w:pPr>
      <w:pStyle w:val="10"/>
      <w:pBdr>
        <w:bottom w:val="none" w:color="auto" w:sz="0" w:space="1"/>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A91C2D">
    <w:pPr>
      <w:pStyle w:val="10"/>
      <w:keepNext w:val="0"/>
      <w:keepLines w:val="0"/>
      <w:pageBreakBefore w:val="0"/>
      <w:widowControl w:val="0"/>
      <w:pBdr>
        <w:bottom w:val="single" w:color="auto" w:sz="4" w:space="1"/>
      </w:pBdr>
      <w:kinsoku/>
      <w:wordWrap/>
      <w:overflowPunct/>
      <w:topLinePunct w:val="0"/>
      <w:bidi w:val="0"/>
      <w:adjustRightInd/>
      <w:snapToGrid w:val="0"/>
      <w:spacing w:before="0" w:beforeLines="50"/>
      <w:jc w:val="center"/>
      <w:textAlignment w:val="auto"/>
      <w:rPr>
        <w:rFonts w:hint="eastAsia" w:eastAsia="仿宋_GB2312"/>
        <w:lang w:eastAsia="zh-CN"/>
      </w:rPr>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w:t>
    </w:r>
    <w:r>
      <w:rPr>
        <w:rFonts w:hint="eastAsia" w:ascii="仿宋_GB2312" w:hAnsi="仿宋_GB2312" w:eastAsia="仿宋_GB2312" w:cs="仿宋_GB2312"/>
        <w:sz w:val="21"/>
        <w:szCs w:val="21"/>
        <w:lang w:val="en-US" w:eastAsia="zh-CN"/>
      </w:rPr>
      <w:t>6</w:t>
    </w:r>
    <w:r>
      <w:rPr>
        <w:rFonts w:hint="eastAsia" w:ascii="仿宋_GB2312" w:hAnsi="仿宋_GB2312" w:eastAsia="仿宋_GB2312" w:cs="仿宋_GB2312"/>
        <w:sz w:val="21"/>
        <w:szCs w:val="21"/>
      </w:rPr>
      <w:t>]（</w:t>
    </w:r>
    <w:r>
      <w:rPr>
        <w:rFonts w:hint="eastAsia" w:ascii="仿宋_GB2312" w:hAnsi="仿宋_GB2312" w:eastAsia="仿宋_GB2312" w:cs="仿宋_GB2312"/>
        <w:sz w:val="21"/>
        <w:szCs w:val="21"/>
        <w:lang w:val="en-US" w:eastAsia="zh-CN"/>
      </w:rPr>
      <w:t>技</w:t>
    </w:r>
    <w:r>
      <w:rPr>
        <w:rFonts w:hint="eastAsia" w:ascii="仿宋_GB2312" w:hAnsi="仿宋_GB2312" w:eastAsia="仿宋_GB2312" w:cs="仿宋_GB2312"/>
        <w:sz w:val="21"/>
        <w:szCs w:val="21"/>
      </w:rPr>
      <w:t>）字第</w:t>
    </w:r>
    <w:r>
      <w:rPr>
        <w:rFonts w:hint="eastAsia" w:ascii="仿宋_GB2312" w:hAnsi="仿宋_GB2312" w:eastAsia="仿宋_GB2312" w:cs="仿宋_GB2312"/>
        <w:sz w:val="21"/>
        <w:szCs w:val="21"/>
        <w:lang w:eastAsia="zh-CN"/>
      </w:rPr>
      <w:t>ZC0007号</w:t>
    </w:r>
  </w:p>
  <w:p w14:paraId="05AA1E90">
    <w:pPr>
      <w:pStyle w:val="10"/>
      <w:pBdr>
        <w:bottom w:val="none" w:color="auto" w:sz="0" w:space="1"/>
      </w:pBd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B2521B">
    <w:pPr>
      <w:pStyle w:val="10"/>
      <w:jc w:val="both"/>
    </w:pP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D60BDE"/>
    <w:multiLevelType w:val="singleLevel"/>
    <w:tmpl w:val="DBD60BDE"/>
    <w:lvl w:ilvl="0" w:tentative="0">
      <w:start w:val="2"/>
      <w:numFmt w:val="chineseCounting"/>
      <w:suff w:val="nothing"/>
      <w:lvlText w:val="%1、"/>
      <w:lvlJc w:val="left"/>
      <w:rPr>
        <w:rFonts w:hint="eastAsia"/>
      </w:rPr>
    </w:lvl>
  </w:abstractNum>
  <w:abstractNum w:abstractNumId="1">
    <w:nsid w:val="E6C9BDCA"/>
    <w:multiLevelType w:val="singleLevel"/>
    <w:tmpl w:val="E6C9BDCA"/>
    <w:lvl w:ilvl="0" w:tentative="0">
      <w:start w:val="2"/>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050C37"/>
    <w:rsid w:val="0050638A"/>
    <w:rsid w:val="00A65FA9"/>
    <w:rsid w:val="00CB77BE"/>
    <w:rsid w:val="01685CBB"/>
    <w:rsid w:val="02A97FD3"/>
    <w:rsid w:val="02F474AE"/>
    <w:rsid w:val="02F573B1"/>
    <w:rsid w:val="031B668D"/>
    <w:rsid w:val="040556DD"/>
    <w:rsid w:val="04073203"/>
    <w:rsid w:val="0495202A"/>
    <w:rsid w:val="04E538B9"/>
    <w:rsid w:val="053C4D34"/>
    <w:rsid w:val="06BB4318"/>
    <w:rsid w:val="071F3380"/>
    <w:rsid w:val="07A43F8C"/>
    <w:rsid w:val="0911242E"/>
    <w:rsid w:val="0A2D56D2"/>
    <w:rsid w:val="0A580BC0"/>
    <w:rsid w:val="0AA7385B"/>
    <w:rsid w:val="0B26152B"/>
    <w:rsid w:val="0B685FD4"/>
    <w:rsid w:val="0BCF567D"/>
    <w:rsid w:val="0BD2614F"/>
    <w:rsid w:val="0D024545"/>
    <w:rsid w:val="0D3916C5"/>
    <w:rsid w:val="0D745238"/>
    <w:rsid w:val="0EC95C85"/>
    <w:rsid w:val="0EE57B2C"/>
    <w:rsid w:val="0F6F7D85"/>
    <w:rsid w:val="0FCB723E"/>
    <w:rsid w:val="100B7BDD"/>
    <w:rsid w:val="102869DB"/>
    <w:rsid w:val="11036C22"/>
    <w:rsid w:val="11841B42"/>
    <w:rsid w:val="11BA012C"/>
    <w:rsid w:val="11D02E86"/>
    <w:rsid w:val="12EB4609"/>
    <w:rsid w:val="1303728B"/>
    <w:rsid w:val="142764E5"/>
    <w:rsid w:val="14D42C8D"/>
    <w:rsid w:val="16691109"/>
    <w:rsid w:val="16A92BBA"/>
    <w:rsid w:val="16BC7E7D"/>
    <w:rsid w:val="17CE7E68"/>
    <w:rsid w:val="17FF3FCB"/>
    <w:rsid w:val="19227B8E"/>
    <w:rsid w:val="194B373A"/>
    <w:rsid w:val="1A116D99"/>
    <w:rsid w:val="1A2D6C30"/>
    <w:rsid w:val="1A6920CA"/>
    <w:rsid w:val="1A8769F4"/>
    <w:rsid w:val="1A8D2345"/>
    <w:rsid w:val="1ADE1860"/>
    <w:rsid w:val="1B6539E2"/>
    <w:rsid w:val="1B852C38"/>
    <w:rsid w:val="1BB90E2F"/>
    <w:rsid w:val="1BDC68CC"/>
    <w:rsid w:val="1D584C60"/>
    <w:rsid w:val="1D6A7EEF"/>
    <w:rsid w:val="1D9B5D99"/>
    <w:rsid w:val="1E0513AA"/>
    <w:rsid w:val="1E256308"/>
    <w:rsid w:val="1E8E0A96"/>
    <w:rsid w:val="1EFA3C38"/>
    <w:rsid w:val="1F5A2534"/>
    <w:rsid w:val="1F6D7F66"/>
    <w:rsid w:val="201B5A3A"/>
    <w:rsid w:val="2031368A"/>
    <w:rsid w:val="207177E8"/>
    <w:rsid w:val="20784E15"/>
    <w:rsid w:val="207D68CF"/>
    <w:rsid w:val="2189080C"/>
    <w:rsid w:val="21983295"/>
    <w:rsid w:val="22572D6D"/>
    <w:rsid w:val="22701C93"/>
    <w:rsid w:val="23130E25"/>
    <w:rsid w:val="237D2742"/>
    <w:rsid w:val="23A52A71"/>
    <w:rsid w:val="24B46637"/>
    <w:rsid w:val="252E1F46"/>
    <w:rsid w:val="25F50CB6"/>
    <w:rsid w:val="271401A9"/>
    <w:rsid w:val="274972F1"/>
    <w:rsid w:val="274E02E3"/>
    <w:rsid w:val="27D22E3F"/>
    <w:rsid w:val="2992630E"/>
    <w:rsid w:val="29D26541"/>
    <w:rsid w:val="2A173A58"/>
    <w:rsid w:val="2ABE1FBE"/>
    <w:rsid w:val="2D0F414A"/>
    <w:rsid w:val="2D1C2018"/>
    <w:rsid w:val="2D232E96"/>
    <w:rsid w:val="2E301933"/>
    <w:rsid w:val="2E677E28"/>
    <w:rsid w:val="2E764129"/>
    <w:rsid w:val="2E8157DC"/>
    <w:rsid w:val="2E9A689E"/>
    <w:rsid w:val="2FBE079E"/>
    <w:rsid w:val="30006BD5"/>
    <w:rsid w:val="30050C37"/>
    <w:rsid w:val="307373A7"/>
    <w:rsid w:val="30F35BEE"/>
    <w:rsid w:val="314259D7"/>
    <w:rsid w:val="31DA6AF7"/>
    <w:rsid w:val="31FA2CB1"/>
    <w:rsid w:val="321A1456"/>
    <w:rsid w:val="325251FF"/>
    <w:rsid w:val="333E1EB5"/>
    <w:rsid w:val="336932CF"/>
    <w:rsid w:val="33F311AB"/>
    <w:rsid w:val="36080591"/>
    <w:rsid w:val="36205584"/>
    <w:rsid w:val="36213401"/>
    <w:rsid w:val="367E46F6"/>
    <w:rsid w:val="36DB5CA6"/>
    <w:rsid w:val="37763DFC"/>
    <w:rsid w:val="377A2070"/>
    <w:rsid w:val="37970C53"/>
    <w:rsid w:val="37AC4521"/>
    <w:rsid w:val="38085800"/>
    <w:rsid w:val="389122A4"/>
    <w:rsid w:val="398B187A"/>
    <w:rsid w:val="399B3B29"/>
    <w:rsid w:val="39CE6B7E"/>
    <w:rsid w:val="3A306341"/>
    <w:rsid w:val="3AB605BC"/>
    <w:rsid w:val="3AFA4934"/>
    <w:rsid w:val="3B985CFD"/>
    <w:rsid w:val="3BCC4052"/>
    <w:rsid w:val="3CBE4263"/>
    <w:rsid w:val="3D92499B"/>
    <w:rsid w:val="3DBB413B"/>
    <w:rsid w:val="3E095C8C"/>
    <w:rsid w:val="3E3826A5"/>
    <w:rsid w:val="3F484871"/>
    <w:rsid w:val="3FBE5FE6"/>
    <w:rsid w:val="401150BE"/>
    <w:rsid w:val="40176647"/>
    <w:rsid w:val="40786313"/>
    <w:rsid w:val="40A13ABC"/>
    <w:rsid w:val="41236C02"/>
    <w:rsid w:val="413D180C"/>
    <w:rsid w:val="43390BE3"/>
    <w:rsid w:val="43AB62F8"/>
    <w:rsid w:val="44CD1324"/>
    <w:rsid w:val="4506156C"/>
    <w:rsid w:val="45333E46"/>
    <w:rsid w:val="46024DBE"/>
    <w:rsid w:val="47F70466"/>
    <w:rsid w:val="49C23DE4"/>
    <w:rsid w:val="4A004451"/>
    <w:rsid w:val="4A7C384F"/>
    <w:rsid w:val="4ABF1A3A"/>
    <w:rsid w:val="4B9C1A50"/>
    <w:rsid w:val="4BBE277F"/>
    <w:rsid w:val="4C3A381B"/>
    <w:rsid w:val="4C517170"/>
    <w:rsid w:val="4C5D11DF"/>
    <w:rsid w:val="4CA72A99"/>
    <w:rsid w:val="4D0F1C63"/>
    <w:rsid w:val="4D1F6494"/>
    <w:rsid w:val="4D3866EA"/>
    <w:rsid w:val="4D5F2FC1"/>
    <w:rsid w:val="4DA27FF9"/>
    <w:rsid w:val="4E7B6FE2"/>
    <w:rsid w:val="504E47AC"/>
    <w:rsid w:val="506369BC"/>
    <w:rsid w:val="510A55DB"/>
    <w:rsid w:val="51143E36"/>
    <w:rsid w:val="530F4D20"/>
    <w:rsid w:val="531A725B"/>
    <w:rsid w:val="53433B89"/>
    <w:rsid w:val="53935CD0"/>
    <w:rsid w:val="53BD1699"/>
    <w:rsid w:val="53E42A17"/>
    <w:rsid w:val="5412080D"/>
    <w:rsid w:val="54150FD4"/>
    <w:rsid w:val="547F16B0"/>
    <w:rsid w:val="55195A82"/>
    <w:rsid w:val="55393E05"/>
    <w:rsid w:val="56024BA5"/>
    <w:rsid w:val="56115CEB"/>
    <w:rsid w:val="56D13F4F"/>
    <w:rsid w:val="573174F0"/>
    <w:rsid w:val="582C415B"/>
    <w:rsid w:val="59FF44AD"/>
    <w:rsid w:val="5A513A05"/>
    <w:rsid w:val="5BFE196B"/>
    <w:rsid w:val="5C163158"/>
    <w:rsid w:val="5C4E46A0"/>
    <w:rsid w:val="5D1551BE"/>
    <w:rsid w:val="5E6A778C"/>
    <w:rsid w:val="5F2004B7"/>
    <w:rsid w:val="5F63348B"/>
    <w:rsid w:val="5FAE348C"/>
    <w:rsid w:val="603040BD"/>
    <w:rsid w:val="60CE7B5E"/>
    <w:rsid w:val="61566291"/>
    <w:rsid w:val="618D7A19"/>
    <w:rsid w:val="61FC4B9F"/>
    <w:rsid w:val="629D3584"/>
    <w:rsid w:val="62E056E2"/>
    <w:rsid w:val="638B43E1"/>
    <w:rsid w:val="63A20BAE"/>
    <w:rsid w:val="63FF54EA"/>
    <w:rsid w:val="64507CAB"/>
    <w:rsid w:val="646564E6"/>
    <w:rsid w:val="64771F77"/>
    <w:rsid w:val="64CD45D0"/>
    <w:rsid w:val="64F14763"/>
    <w:rsid w:val="65364186"/>
    <w:rsid w:val="664550B7"/>
    <w:rsid w:val="67452EF2"/>
    <w:rsid w:val="67E67187"/>
    <w:rsid w:val="68062ABB"/>
    <w:rsid w:val="6A6A7556"/>
    <w:rsid w:val="6AC22965"/>
    <w:rsid w:val="6BE96194"/>
    <w:rsid w:val="6C4433CA"/>
    <w:rsid w:val="6C877877"/>
    <w:rsid w:val="6CB84CCD"/>
    <w:rsid w:val="6F9E54E7"/>
    <w:rsid w:val="6FC447D3"/>
    <w:rsid w:val="70AE32E4"/>
    <w:rsid w:val="70F452EC"/>
    <w:rsid w:val="712D0709"/>
    <w:rsid w:val="71E73300"/>
    <w:rsid w:val="72C22916"/>
    <w:rsid w:val="73917AEE"/>
    <w:rsid w:val="741B2C62"/>
    <w:rsid w:val="741F27C9"/>
    <w:rsid w:val="750F0823"/>
    <w:rsid w:val="755307D3"/>
    <w:rsid w:val="75724890"/>
    <w:rsid w:val="75887FBF"/>
    <w:rsid w:val="75AC3360"/>
    <w:rsid w:val="76541732"/>
    <w:rsid w:val="765D1986"/>
    <w:rsid w:val="76933589"/>
    <w:rsid w:val="76A52B16"/>
    <w:rsid w:val="77CC15C1"/>
    <w:rsid w:val="78587AFF"/>
    <w:rsid w:val="799137CB"/>
    <w:rsid w:val="79A44897"/>
    <w:rsid w:val="7B0B7A4F"/>
    <w:rsid w:val="7B853E5A"/>
    <w:rsid w:val="7B937ECA"/>
    <w:rsid w:val="7BF65233"/>
    <w:rsid w:val="7C6F0028"/>
    <w:rsid w:val="7E540F3B"/>
    <w:rsid w:val="7E8F2BCB"/>
    <w:rsid w:val="7EF04D78"/>
    <w:rsid w:val="7F7E63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keepNext/>
      <w:autoSpaceDE w:val="0"/>
      <w:autoSpaceDN w:val="0"/>
      <w:adjustRightInd w:val="0"/>
      <w:spacing w:line="312" w:lineRule="atLeast"/>
      <w:ind w:right="-113" w:firstLine="525"/>
      <w:jc w:val="left"/>
      <w:textAlignment w:val="bottom"/>
      <w:outlineLvl w:val="0"/>
    </w:pPr>
    <w:rPr>
      <w:rFonts w:ascii="仿宋体" w:eastAsia="仿宋体"/>
      <w:kern w:val="0"/>
      <w:sz w:val="28"/>
      <w:szCs w:val="20"/>
    </w:rPr>
  </w:style>
  <w:style w:type="paragraph" w:styleId="3">
    <w:name w:val="heading 2"/>
    <w:basedOn w:val="1"/>
    <w:next w:val="1"/>
    <w:qFormat/>
    <w:uiPriority w:val="0"/>
    <w:pPr>
      <w:keepNext/>
      <w:tabs>
        <w:tab w:val="left" w:pos="975"/>
      </w:tabs>
      <w:adjustRightInd w:val="0"/>
      <w:snapToGrid w:val="0"/>
      <w:ind w:left="975" w:hanging="420"/>
      <w:outlineLvl w:val="1"/>
    </w:pPr>
    <w:rPr>
      <w:rFonts w:ascii="仿宋_GB2312" w:hAnsi="仿宋_GB2312" w:eastAsia="仿宋_GB2312"/>
      <w:bCs/>
      <w:sz w:val="28"/>
      <w:szCs w:val="20"/>
    </w:rPr>
  </w:style>
  <w:style w:type="character" w:default="1" w:styleId="14">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rPr>
      <w:rFonts w:ascii="宋体" w:hAnsi="宋体" w:cs="宋体"/>
      <w:sz w:val="24"/>
      <w:szCs w:val="24"/>
      <w:lang w:val="zh-CN" w:bidi="zh-CN"/>
    </w:rPr>
  </w:style>
  <w:style w:type="paragraph" w:styleId="6">
    <w:name w:val="Body Text Indent"/>
    <w:basedOn w:val="1"/>
    <w:next w:val="7"/>
    <w:qFormat/>
    <w:uiPriority w:val="0"/>
    <w:pPr>
      <w:ind w:firstLine="560" w:firstLineChars="200"/>
    </w:pPr>
    <w:rPr>
      <w:rFonts w:eastAsia="仿宋_GB2312"/>
      <w:sz w:val="28"/>
    </w:rPr>
  </w:style>
  <w:style w:type="paragraph" w:styleId="7">
    <w:name w:val="Body Text Indent 2"/>
    <w:basedOn w:val="1"/>
    <w:qFormat/>
    <w:uiPriority w:val="0"/>
    <w:pPr>
      <w:spacing w:line="320" w:lineRule="atLeast"/>
      <w:ind w:right="-22" w:firstLine="600"/>
    </w:pPr>
    <w:rPr>
      <w:rFonts w:ascii="仿宋体" w:hAnsi="Tahoma" w:eastAsia="仿宋体"/>
      <w:spacing w:val="10"/>
      <w:sz w:val="28"/>
      <w:szCs w:val="20"/>
    </w:rPr>
  </w:style>
  <w:style w:type="paragraph" w:styleId="8">
    <w:name w:val="Plain Text"/>
    <w:basedOn w:val="1"/>
    <w:qFormat/>
    <w:uiPriority w:val="0"/>
    <w:rPr>
      <w:rFonts w:ascii="宋体"/>
      <w:sz w:val="28"/>
    </w:r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bottom w:val="single" w:color="auto" w:sz="6" w:space="1"/>
      </w:pBdr>
      <w:tabs>
        <w:tab w:val="center" w:pos="4153"/>
        <w:tab w:val="right" w:pos="8306"/>
      </w:tabs>
      <w:snapToGrid w:val="0"/>
      <w:jc w:val="center"/>
    </w:pPr>
    <w:rPr>
      <w:sz w:val="18"/>
    </w:rPr>
  </w:style>
  <w:style w:type="paragraph" w:styleId="11">
    <w:name w:val="Body Text First Indent 2"/>
    <w:basedOn w:val="6"/>
    <w:next w:val="1"/>
    <w:qFormat/>
    <w:uiPriority w:val="0"/>
    <w:pPr>
      <w:ind w:firstLine="420" w:firstLineChars="200"/>
    </w:pPr>
  </w:style>
  <w:style w:type="table" w:styleId="13">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5">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customStyle="1" w:styleId="16">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7">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8">
    <w:name w:val="列出段落1"/>
    <w:basedOn w:val="19"/>
    <w:autoRedefine/>
    <w:qFormat/>
    <w:uiPriority w:val="0"/>
    <w:pPr>
      <w:ind w:firstLine="420" w:firstLineChars="200"/>
    </w:pPr>
  </w:style>
  <w:style w:type="paragraph" w:customStyle="1" w:styleId="19">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20">
    <w:name w:val="font11"/>
    <w:basedOn w:val="14"/>
    <w:qFormat/>
    <w:uiPriority w:val="0"/>
    <w:rPr>
      <w:rFonts w:hint="default" w:ascii="Times New Roman" w:hAnsi="Times New Roman" w:cs="Times New Roman"/>
      <w:color w:val="000000"/>
      <w:sz w:val="21"/>
      <w:szCs w:val="21"/>
      <w:u w:val="none"/>
    </w:rPr>
  </w:style>
  <w:style w:type="paragraph" w:customStyle="1" w:styleId="21">
    <w:name w:val="List Paragraph"/>
    <w:basedOn w:val="1"/>
    <w:qFormat/>
    <w:uiPriority w:val="0"/>
    <w:pPr>
      <w:ind w:firstLine="420" w:firstLineChars="200"/>
    </w:pPr>
  </w:style>
  <w:style w:type="paragraph" w:customStyle="1" w:styleId="22">
    <w:name w:val="图表名"/>
    <w:basedOn w:val="23"/>
    <w:qFormat/>
    <w:uiPriority w:val="0"/>
    <w:pPr>
      <w:ind w:firstLine="422"/>
      <w:jc w:val="center"/>
    </w:pPr>
    <w:rPr>
      <w:rFonts w:ascii="宋体" w:hAnsi="宋体"/>
      <w:b/>
      <w:bCs/>
      <w:sz w:val="21"/>
    </w:rPr>
  </w:style>
  <w:style w:type="paragraph" w:customStyle="1" w:styleId="23">
    <w:name w:val="正文1"/>
    <w:basedOn w:val="1"/>
    <w:qFormat/>
    <w:uiPriority w:val="0"/>
    <w:pPr>
      <w:ind w:firstLine="480" w:firstLineChars="200"/>
    </w:pPr>
    <w:rPr>
      <w:sz w:val="24"/>
      <w:szCs w:val="20"/>
    </w:rPr>
  </w:style>
  <w:style w:type="character" w:customStyle="1" w:styleId="24">
    <w:name w:val="font41"/>
    <w:basedOn w:val="14"/>
    <w:qFormat/>
    <w:uiPriority w:val="0"/>
    <w:rPr>
      <w:rFonts w:hint="eastAsia" w:ascii="宋体" w:hAnsi="宋体" w:eastAsia="宋体" w:cs="宋体"/>
      <w:color w:val="000000"/>
      <w:sz w:val="22"/>
      <w:szCs w:val="22"/>
      <w:u w:val="none"/>
    </w:rPr>
  </w:style>
  <w:style w:type="paragraph" w:customStyle="1" w:styleId="25">
    <w:name w:val="样式7"/>
    <w:basedOn w:val="1"/>
    <w:qFormat/>
    <w:uiPriority w:val="0"/>
    <w:pPr>
      <w:spacing w:line="360" w:lineRule="auto"/>
      <w:ind w:firstLine="567"/>
    </w:pPr>
    <w:rPr>
      <w:rFonts w:ascii="仿宋_GB2312" w:eastAsia="仿宋_GB2312"/>
      <w:sz w:val="28"/>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4" Type="http://schemas.openxmlformats.org/officeDocument/2006/relationships/fontTable" Target="fontTable.xml"/><Relationship Id="rId43" Type="http://schemas.openxmlformats.org/officeDocument/2006/relationships/numbering" Target="numbering.xml"/><Relationship Id="rId42" Type="http://schemas.openxmlformats.org/officeDocument/2006/relationships/customXml" Target="../customXml/item1.xml"/><Relationship Id="rId41" Type="http://schemas.openxmlformats.org/officeDocument/2006/relationships/image" Target="media/image14.png"/><Relationship Id="rId40" Type="http://schemas.openxmlformats.org/officeDocument/2006/relationships/image" Target="media/image13.jpeg"/><Relationship Id="rId4" Type="http://schemas.openxmlformats.org/officeDocument/2006/relationships/header" Target="header2.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png"/><Relationship Id="rId36" Type="http://schemas.openxmlformats.org/officeDocument/2006/relationships/image" Target="media/image9.jpeg"/><Relationship Id="rId35" Type="http://schemas.openxmlformats.org/officeDocument/2006/relationships/image" Target="media/image8.wmf"/><Relationship Id="rId34" Type="http://schemas.openxmlformats.org/officeDocument/2006/relationships/oleObject" Target="embeddings/oleObject5.bin"/><Relationship Id="rId33" Type="http://schemas.openxmlformats.org/officeDocument/2006/relationships/image" Target="media/image7.wmf"/><Relationship Id="rId32" Type="http://schemas.openxmlformats.org/officeDocument/2006/relationships/oleObject" Target="embeddings/oleObject4.bin"/><Relationship Id="rId31" Type="http://schemas.openxmlformats.org/officeDocument/2006/relationships/image" Target="media/image6.wmf"/><Relationship Id="rId30" Type="http://schemas.openxmlformats.org/officeDocument/2006/relationships/oleObject" Target="embeddings/oleObject3.bin"/><Relationship Id="rId3" Type="http://schemas.openxmlformats.org/officeDocument/2006/relationships/header" Target="header1.xml"/><Relationship Id="rId29" Type="http://schemas.openxmlformats.org/officeDocument/2006/relationships/image" Target="media/image5.wmf"/><Relationship Id="rId28" Type="http://schemas.openxmlformats.org/officeDocument/2006/relationships/oleObject" Target="embeddings/oleObject2.bin"/><Relationship Id="rId27" Type="http://schemas.openxmlformats.org/officeDocument/2006/relationships/image" Target="media/image4.wmf"/><Relationship Id="rId26" Type="http://schemas.openxmlformats.org/officeDocument/2006/relationships/oleObject" Target="embeddings/oleObject1.bin"/><Relationship Id="rId25" Type="http://schemas.openxmlformats.org/officeDocument/2006/relationships/chart" Target="charts/chart4.xml"/><Relationship Id="rId24" Type="http://schemas.openxmlformats.org/officeDocument/2006/relationships/chart" Target="charts/chart3.xml"/><Relationship Id="rId23" Type="http://schemas.openxmlformats.org/officeDocument/2006/relationships/chart" Target="charts/chart2.xml"/><Relationship Id="rId22" Type="http://schemas.openxmlformats.org/officeDocument/2006/relationships/image" Target="media/image3.emf"/><Relationship Id="rId21" Type="http://schemas.openxmlformats.org/officeDocument/2006/relationships/chart" Target="charts/chart1.xml"/><Relationship Id="rId20" Type="http://schemas.openxmlformats.org/officeDocument/2006/relationships/image" Target="media/image2.jpeg"/><Relationship Id="rId2" Type="http://schemas.openxmlformats.org/officeDocument/2006/relationships/settings" Target="settings.xml"/><Relationship Id="rId19" Type="http://schemas.openxmlformats.org/officeDocument/2006/relationships/image" Target="media/image1.jpeg"/><Relationship Id="rId18" Type="http://schemas.openxmlformats.org/officeDocument/2006/relationships/theme" Target="theme/theme1.xml"/><Relationship Id="rId17" Type="http://schemas.openxmlformats.org/officeDocument/2006/relationships/footer" Target="footer8.xml"/><Relationship Id="rId16" Type="http://schemas.openxmlformats.org/officeDocument/2006/relationships/header" Target="header7.xml"/><Relationship Id="rId15" Type="http://schemas.openxmlformats.org/officeDocument/2006/relationships/footer" Target="footer7.xml"/><Relationship Id="rId14" Type="http://schemas.openxmlformats.org/officeDocument/2006/relationships/header" Target="header6.xml"/><Relationship Id="rId13" Type="http://schemas.openxmlformats.org/officeDocument/2006/relationships/footer" Target="foot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150</Pages>
  <Words>89163</Words>
  <Characters>98510</Characters>
  <Lines>0</Lines>
  <Paragraphs>0</Paragraphs>
  <TotalTime>2</TotalTime>
  <ScaleCrop>false</ScaleCrop>
  <LinksUpToDate>false</LinksUpToDate>
  <CharactersWithSpaces>99933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2025-12-08T08:23:00Z</dcterms:created>
  <dc:creator>熙里处</dc:creator>
  <cp:lastModifiedBy>曾幼慧</cp:lastModifiedBy>
  <dcterms:modified xsi:type="dcterms:W3CDTF">2026-05-21T03:14:23Z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E605988320534AD98412834524A21F1E_11</vt:lpwstr>
  </property>
  <property fmtid="{D5CDD505-2E9C-101B-9397-08002B2CF9AE}" pid="4" name="KSOTemplateDocerSaveRecord">
    <vt:lpwstr>eyJoZGlkIjoiYzg2ZDFhZjAxODU1NmRlODQ1YThmY2VjYmViZjg0YjgiLCJ1c2VySWQiOiIyNTc4NTE1ODcifQ==</vt:lpwstr>
  </property>
</Properties>
</file>