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20" w:lineRule="exact"/>
        <w:jc w:val="center"/>
        <w:rPr>
          <w:rFonts w:ascii="宋体"/>
          <w:b/>
          <w:bCs/>
          <w:color w:val="000000" w:themeColor="text1"/>
          <w:sz w:val="44"/>
          <w:szCs w:val="44"/>
          <w:highlight w:val="none"/>
          <w14:textFill>
            <w14:solidFill>
              <w14:schemeClr w14:val="tx1"/>
            </w14:solidFill>
          </w14:textFill>
        </w:rPr>
      </w:pPr>
      <w:r>
        <w:rPr>
          <w:rFonts w:hint="eastAsia" w:ascii="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道县自然资源局</w:t>
            </w:r>
            <w:r>
              <w:rPr>
                <w:rFonts w:hint="eastAsia" w:ascii="楷体" w:hAnsi="楷体" w:eastAsia="楷体"/>
                <w:color w:val="000000" w:themeColor="text1"/>
                <w:spacing w:val="14"/>
                <w:sz w:val="32"/>
                <w:szCs w:val="32"/>
                <w:highlight w:val="none"/>
                <w:lang w:eastAsia="zh-CN"/>
                <w14:textFill>
                  <w14:solidFill>
                    <w14:schemeClr w14:val="tx1"/>
                  </w14:solidFill>
                </w14:textFill>
              </w:rPr>
              <w:t>拟挂牌出让涉及位于</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道县湖南紫金新材料产业集聚区（2025018号地块）的</w:t>
            </w:r>
            <w:r>
              <w:rPr>
                <w:rFonts w:hint="eastAsia" w:ascii="楷体" w:hAnsi="楷体" w:eastAsia="楷体"/>
                <w:color w:val="000000" w:themeColor="text1"/>
                <w:spacing w:val="14"/>
                <w:sz w:val="32"/>
                <w:szCs w:val="32"/>
                <w:highlight w:val="none"/>
                <w:lang w:eastAsia="zh-CN"/>
                <w14:textFill>
                  <w14:solidFill>
                    <w14:schemeClr w14:val="tx1"/>
                  </w14:solidFill>
                </w14:textFill>
              </w:rPr>
              <w:t>一宗</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工业用地</w:t>
            </w:r>
            <w:r>
              <w:rPr>
                <w:rFonts w:hint="eastAsia" w:ascii="楷体" w:hAnsi="楷体" w:eastAsia="楷体"/>
                <w:color w:val="000000" w:themeColor="text1"/>
                <w:spacing w:val="14"/>
                <w:sz w:val="32"/>
                <w:szCs w:val="32"/>
                <w:highlight w:val="none"/>
                <w:lang w:eastAsia="zh-CN"/>
                <w14:textFill>
                  <w14:solidFill>
                    <w14:schemeClr w14:val="tx1"/>
                  </w14:solidFill>
                </w14:textFill>
              </w:rPr>
              <w:t>国有建设用地使用权市场价格评估</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湖南兆财不动产规划评估有限公司</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（湖南）湘兆财土地[2025]（估）字第ZC00</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34</w:t>
            </w:r>
            <w:r>
              <w:rPr>
                <w:rFonts w:hint="eastAsia" w:ascii="楷体" w:hAnsi="楷体" w:eastAsia="楷体"/>
                <w:color w:val="000000" w:themeColor="text1"/>
                <w:spacing w:val="14"/>
                <w:sz w:val="32"/>
                <w:szCs w:val="32"/>
                <w:highlight w:val="none"/>
                <w:lang w:eastAsia="zh-CN"/>
                <w14:textFill>
                  <w14:solidFill>
                    <w14:schemeClr w14:val="tx1"/>
                  </w14:solidFill>
                </w14:textFill>
              </w:rPr>
              <w:t>号</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hint="eastAsia" w:ascii="楷体" w:hAnsi="楷体" w:eastAsia="楷体" w:cs="楷体"/>
                <w:color w:val="000000" w:themeColor="text1"/>
                <w:spacing w:val="-20"/>
                <w:sz w:val="32"/>
                <w:szCs w:val="32"/>
                <w:highlight w:val="none"/>
                <w:lang w:eastAsia="zh-CN"/>
                <w14:textFill>
                  <w14:solidFill>
                    <w14:schemeClr w14:val="tx1"/>
                  </w14:solidFill>
                </w14:textFill>
              </w:rPr>
              <w:t>二〇二</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五</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年</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十一</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月</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二十八</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日</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240" w:lineRule="auto"/>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b/>
          <w:bCs/>
          <w:color w:val="000000" w:themeColor="text1"/>
          <w:sz w:val="32"/>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120" w:beforeLines="50" w:after="240" w:afterLines="100" w:line="240" w:lineRule="auto"/>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道县自然资源局拟挂牌出让涉及位于道县湖南紫金新材料产业集聚区（2025018号地块）的一宗工业用地国有建设用地使用权市场价格评估</w:t>
      </w:r>
    </w:p>
    <w:p w14:paraId="0AB73EC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w:t>
      </w:r>
    </w:p>
    <w:p w14:paraId="5A8AA147">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bCs/>
          <w:color w:val="000000" w:themeColor="text1"/>
          <w:sz w:val="28"/>
          <w:szCs w:val="28"/>
          <w:highlight w:val="none"/>
          <w14:textFill>
            <w14:solidFill>
              <w14:schemeClr w14:val="tx1"/>
            </w14:solidFill>
          </w14:textFill>
        </w:rPr>
        <w:t>三、</w:t>
      </w:r>
      <w:r>
        <w:rPr>
          <w:rFonts w:hint="eastAsia" w:ascii="仿宋_GB2312" w:eastAsia="仿宋_GB2312"/>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拟按《关于国有建设用地的规划条件的函》（2025年</w:t>
      </w:r>
      <w:r>
        <w:rPr>
          <w:rFonts w:hint="eastAsia" w:ascii="仿宋_GB2312" w:eastAsia="仿宋_GB2312"/>
          <w:color w:val="000000" w:themeColor="text1"/>
          <w:sz w:val="28"/>
          <w:szCs w:val="30"/>
          <w:highlight w:val="none"/>
          <w:lang w:val="en-US" w:eastAsia="zh-CN"/>
          <w14:textFill>
            <w14:solidFill>
              <w14:schemeClr w14:val="tx1"/>
            </w14:solidFill>
          </w14:textFill>
        </w:rPr>
        <w:t>9</w:t>
      </w:r>
      <w:r>
        <w:rPr>
          <w:rFonts w:hint="eastAsia" w:ascii="仿宋_GB2312" w:eastAsia="仿宋_GB2312"/>
          <w:color w:val="000000" w:themeColor="text1"/>
          <w:sz w:val="28"/>
          <w:szCs w:val="30"/>
          <w:highlight w:val="none"/>
          <w:lang w:eastAsia="zh-CN"/>
          <w14:textFill>
            <w14:solidFill>
              <w14:schemeClr w14:val="tx1"/>
            </w14:solidFill>
          </w14:textFill>
        </w:rPr>
        <w:t>月</w:t>
      </w:r>
      <w:r>
        <w:rPr>
          <w:rFonts w:hint="eastAsia" w:ascii="仿宋_GB2312" w:eastAsia="仿宋_GB2312"/>
          <w:color w:val="000000" w:themeColor="text1"/>
          <w:sz w:val="28"/>
          <w:szCs w:val="30"/>
          <w:highlight w:val="none"/>
          <w:lang w:val="en-US" w:eastAsia="zh-CN"/>
          <w14:textFill>
            <w14:solidFill>
              <w14:schemeClr w14:val="tx1"/>
            </w14:solidFill>
          </w14:textFill>
        </w:rPr>
        <w:t>11</w:t>
      </w:r>
      <w:r>
        <w:rPr>
          <w:rFonts w:hint="eastAsia" w:ascii="仿宋_GB2312" w:eastAsia="仿宋_GB2312"/>
          <w:color w:val="000000" w:themeColor="text1"/>
          <w:sz w:val="28"/>
          <w:szCs w:val="30"/>
          <w:highlight w:val="none"/>
          <w:lang w:eastAsia="zh-CN"/>
          <w14:textFill>
            <w14:solidFill>
              <w14:schemeClr w14:val="tx1"/>
            </w14:solidFill>
          </w14:textFill>
        </w:rPr>
        <w:t>日）确定的规划条件对位于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道县湖南紫金新材料产业集聚区处</w:t>
      </w:r>
      <w:r>
        <w:rPr>
          <w:rFonts w:hint="eastAsia" w:ascii="仿宋_GB2312" w:eastAsia="仿宋_GB2312"/>
          <w:color w:val="000000" w:themeColor="text1"/>
          <w:sz w:val="28"/>
          <w:szCs w:val="30"/>
          <w:highlight w:val="none"/>
          <w:lang w:eastAsia="zh-CN"/>
          <w14:textFill>
            <w14:solidFill>
              <w14:schemeClr w14:val="tx1"/>
            </w14:solidFill>
          </w14:textFill>
        </w:rPr>
        <w:t>一宗</w:t>
      </w:r>
      <w:r>
        <w:rPr>
          <w:rFonts w:hint="eastAsia" w:ascii="仿宋_GB2312" w:eastAsia="仿宋_GB2312"/>
          <w:color w:val="000000" w:themeColor="text1"/>
          <w:sz w:val="28"/>
          <w:szCs w:val="30"/>
          <w:highlight w:val="none"/>
          <w:lang w:val="en-US" w:eastAsia="zh-CN"/>
          <w14:textFill>
            <w14:solidFill>
              <w14:schemeClr w14:val="tx1"/>
            </w14:solidFill>
          </w14:textFill>
        </w:rPr>
        <w:t>工业用地</w:t>
      </w:r>
      <w:r>
        <w:rPr>
          <w:rFonts w:hint="eastAsia" w:ascii="仿宋_GB2312" w:eastAsia="仿宋_GB2312"/>
          <w:color w:val="000000" w:themeColor="text1"/>
          <w:sz w:val="28"/>
          <w:szCs w:val="30"/>
          <w:highlight w:val="none"/>
          <w:lang w:eastAsia="zh-CN"/>
          <w14:textFill>
            <w14:solidFill>
              <w14:schemeClr w14:val="tx1"/>
            </w14:solidFill>
          </w14:textFill>
        </w:rPr>
        <w:t>国有建设用地使用权实施挂牌供应。</w:t>
      </w:r>
    </w:p>
    <w:p w14:paraId="3D67BC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hint="eastAsia" w:ascii="仿宋_GB2312" w:eastAsia="仿宋_GB2312"/>
          <w:color w:val="000000" w:themeColor="text1"/>
          <w:sz w:val="28"/>
          <w:szCs w:val="30"/>
          <w:highlight w:val="none"/>
          <w:lang w:eastAsia="zh-CN"/>
          <w14:textFill>
            <w14:solidFill>
              <w14:schemeClr w14:val="tx1"/>
            </w14:solidFill>
          </w14:textFill>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w:t>
      </w: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委托，为出让方通过集体决策确定估价对象挂牌出让底价提供国有出让建设用地使用权正常市场价格参考依据。</w:t>
      </w:r>
    </w:p>
    <w:p w14:paraId="60B2B325">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本次土地估价师现场勘查日期为2025年11月26日，结合本次估价目的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估价期日为2025年11月26日。</w:t>
      </w:r>
    </w:p>
    <w:p w14:paraId="20A7FB43">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2025年11月26日至202</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11</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28</w:t>
      </w:r>
      <w:r>
        <w:rPr>
          <w:rFonts w:hint="eastAsia" w:ascii="仿宋_GB2312" w:eastAsia="仿宋_GB2312"/>
          <w:color w:val="000000" w:themeColor="text1"/>
          <w:sz w:val="28"/>
          <w:szCs w:val="28"/>
          <w:highlight w:val="none"/>
          <w:lang w:eastAsia="zh-CN"/>
          <w14:textFill>
            <w14:solidFill>
              <w14:schemeClr w14:val="tx1"/>
            </w14:solidFill>
          </w14:textFill>
        </w:rPr>
        <w:t>日</w:t>
      </w:r>
    </w:p>
    <w:p w14:paraId="2CC98B2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出具的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总土地面积为4829.6平方米，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，至估价期日，估价对象现状为待开发建设用地，土地开发程度为宗地红线外“五通”（即通路、通电、通讯、供水、排水），宗地红线内场地平整。</w:t>
      </w:r>
    </w:p>
    <w:p w14:paraId="483DD2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本次土地估价师现场勘查日期为2025年11月26日，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估价期日为2025年11月26日。</w:t>
      </w:r>
    </w:p>
    <w:p w14:paraId="1F017B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根据土地估价师现场勘查，估价对象现状为待开发用地。根据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，根据《土地利用现状分类》(GB/T21010-2017，2017年11月01日)和估价目的，本次评估设定土地用途为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1B7B57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至估价期日止，估价对象土地使用权类型为国有储备用地，结合本次估价目的，本次评估设定土地使用权类型为国有出让建设用地使用权。</w:t>
      </w:r>
    </w:p>
    <w:p w14:paraId="2FB19EA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30年，此次评估设定土地使用权年限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6AC576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实地勘查，估价对象于估价期日2025年11月26日实际开发程度为宗地红线外“五通”（即通路、通电、通讯、供水、排水），宗地红线内场地平整。结合估价目的及实际情况，本次评估设定土地开发程度为宗地红线外“五通”（即通路、通电、通讯、供水、排水），宗地红线内场地平整。</w:t>
      </w:r>
    </w:p>
    <w:p w14:paraId="4BACEB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估价对象规划建筑密度35%-55%，容积率0.7-1.5，绿地率≤15%，建筑限高24米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，估价对象在估价期日土地利用现状为待开发建设用地，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地上无建筑物，根据土地最有效利用原则，本次评估设定容积率为1.5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0C2DE8B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综上所述，此次评估的地价内涵是指：估价对象在公开市场条件下，于估价期日2025年11月26日，土地使用权面积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，土地用途设定为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土地使用权</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类型设定为国有出让建设用地使用权，</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出让年期为30年，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土地开发程度设定为宗地红线外“五通”（即通路、通电、通讯、供水、排水），宗地红线内场地平整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下的土地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14:paraId="1E764E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道县湖南紫金新材料产业集聚区（2025006号地块）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”（即通路、通电、通讯、供水、排水）及红线内场地平整，规划利用条件下的土地使用权出让价格如下（币种：人民币）：</w:t>
      </w:r>
    </w:p>
    <w:p w14:paraId="35F9A0ED">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7958C84D">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4829.6平方米</w:t>
      </w:r>
    </w:p>
    <w:p w14:paraId="34045D9F">
      <w:pPr>
        <w:spacing w:line="480" w:lineRule="exact"/>
        <w:ind w:firstLine="562" w:firstLineChars="200"/>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估价对象土地单价：159元/平方米</w:t>
      </w:r>
    </w:p>
    <w:p w14:paraId="659ED78B">
      <w:pPr>
        <w:keepNext w:val="0"/>
        <w:keepLines w:val="0"/>
        <w:pageBreakBefore w:val="0"/>
        <w:widowControl w:val="0"/>
        <w:kinsoku/>
        <w:wordWrap/>
        <w:overflowPunct/>
        <w:topLinePunct w:val="0"/>
        <w:autoSpaceDE/>
        <w:autoSpaceDN/>
        <w:bidi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76.79</w:t>
      </w:r>
      <w:r>
        <w:rPr>
          <w:rFonts w:hint="eastAsia" w:ascii="仿宋_GB2312" w:eastAsia="仿宋_GB2312"/>
          <w:b/>
          <w:bCs/>
          <w:color w:val="000000" w:themeColor="text1"/>
          <w:sz w:val="28"/>
          <w:szCs w:val="22"/>
          <w:highlight w:val="none"/>
          <w14:textFill>
            <w14:solidFill>
              <w14:schemeClr w14:val="tx1"/>
            </w14:solidFill>
          </w14:textFill>
        </w:rPr>
        <w:t>万元</w:t>
      </w:r>
    </w:p>
    <w:p w14:paraId="4C32D361">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p>
    <w:p w14:paraId="72E7188B">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5E5DA2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p>
    <w:p w14:paraId="0283DC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5B77391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60" w:lineRule="exact"/>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40" w:lineRule="exact"/>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九、土地估价机构</w:t>
      </w:r>
    </w:p>
    <w:p w14:paraId="53022D82">
      <w:pPr>
        <w:tabs>
          <w:tab w:val="left" w:pos="3780"/>
        </w:tabs>
        <w:spacing w:before="240" w:beforeLines="100" w:line="440" w:lineRule="exact"/>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湖南兆财不动产规划评估有限公司</w:t>
      </w:r>
    </w:p>
    <w:p w14:paraId="1B0F9F6C">
      <w:pPr>
        <w:pStyle w:val="13"/>
        <w:keepNext w:val="0"/>
        <w:keepLines w:val="0"/>
        <w:pageBreakBefore w:val="0"/>
        <w:widowControl w:val="0"/>
        <w:kinsoku/>
        <w:wordWrap/>
        <w:overflowPunct/>
        <w:topLinePunct w:val="0"/>
        <w:autoSpaceDE/>
        <w:autoSpaceDN/>
        <w:bidi w:val="0"/>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hint="eastAsia"/>
          <w:color w:val="000000" w:themeColor="text1"/>
          <w:highlight w:val="none"/>
          <w14:textFill>
            <w14:solidFill>
              <w14:schemeClr w14:val="tx1"/>
            </w14:solidFill>
          </w14:textFill>
        </w:rPr>
        <w:t xml:space="preserve">                            </w:t>
      </w:r>
      <w:r>
        <w:rPr>
          <w:rFonts w:hint="eastAsia"/>
          <w:color w:val="000000" w:themeColor="text1"/>
          <w:highlight w:val="none"/>
          <w:lang w:val="en-US" w:eastAsia="zh-CN"/>
          <w14:textFill>
            <w14:solidFill>
              <w14:schemeClr w14:val="tx1"/>
            </w14:solidFill>
          </w14:textFill>
        </w:rPr>
        <w:t xml:space="preserve">  </w:t>
      </w:r>
      <w:r>
        <w:rPr>
          <w:rFonts w:hint="eastAsia"/>
          <w:color w:val="000000" w:themeColor="text1"/>
          <w:highlight w:val="none"/>
          <w:lang w:eastAsia="zh-CN"/>
          <w14:textFill>
            <w14:solidFill>
              <w14:schemeClr w14:val="tx1"/>
            </w14:solidFill>
          </w14:textFill>
        </w:rPr>
        <w:t>202</w:t>
      </w:r>
      <w:r>
        <w:rPr>
          <w:rFonts w:hint="eastAsia"/>
          <w:color w:val="000000" w:themeColor="text1"/>
          <w:highlight w:val="none"/>
          <w:lang w:val="en-US" w:eastAsia="zh-CN"/>
          <w14:textFill>
            <w14:solidFill>
              <w14:schemeClr w14:val="tx1"/>
            </w14:solidFill>
          </w14:textFill>
        </w:rPr>
        <w:t>5年11</w:t>
      </w:r>
      <w:r>
        <w:rPr>
          <w:rFonts w:hint="eastAsia"/>
          <w:color w:val="000000" w:themeColor="text1"/>
          <w:highlight w:val="none"/>
          <w:lang w:eastAsia="zh-CN"/>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28</w:t>
      </w:r>
      <w:r>
        <w:rPr>
          <w:rFonts w:hint="eastAsia"/>
          <w:color w:val="000000" w:themeColor="text1"/>
          <w:highlight w:val="none"/>
          <w:lang w:eastAsia="zh-CN"/>
          <w14:textFill>
            <w14:solidFill>
              <w14:schemeClr w14:val="tx1"/>
            </w14:solidFill>
          </w14:textFill>
        </w:rPr>
        <w:t>日</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520" w:lineRule="exact"/>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p>
    <w:p w14:paraId="170F58C6">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估价机构：湖南兆财不动产规划评估有限公司                                                          估价期日：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2025年11月26日</w:t>
      </w:r>
    </w:p>
    <w:p w14:paraId="44C42AC6">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估价报告编号：</w:t>
      </w:r>
      <w:r>
        <w:rPr>
          <w:rFonts w:hint="eastAsia" w:ascii="仿宋_GB2312" w:eastAsia="仿宋_GB2312"/>
          <w:color w:val="000000" w:themeColor="text1"/>
          <w:spacing w:val="-6"/>
          <w:highlight w:val="none"/>
          <w:lang w:eastAsia="zh-CN"/>
          <w14:textFill>
            <w14:solidFill>
              <w14:schemeClr w14:val="tx1"/>
            </w14:solidFill>
          </w14:textFill>
        </w:rPr>
        <w:t>（湖南）湘兆财土地[2025]（估）字第ZC00</w:t>
      </w:r>
      <w:r>
        <w:rPr>
          <w:rFonts w:hint="eastAsia" w:ascii="仿宋_GB2312" w:eastAsia="仿宋_GB2312"/>
          <w:color w:val="000000" w:themeColor="text1"/>
          <w:spacing w:val="-6"/>
          <w:highlight w:val="none"/>
          <w:lang w:val="en-US" w:eastAsia="zh-CN"/>
          <w14:textFill>
            <w14:solidFill>
              <w14:schemeClr w14:val="tx1"/>
            </w14:solidFill>
          </w14:textFill>
        </w:rPr>
        <w:t>34</w:t>
      </w:r>
      <w:r>
        <w:rPr>
          <w:rFonts w:hint="eastAsia" w:ascii="仿宋_GB2312" w:eastAsia="仿宋_GB2312"/>
          <w:color w:val="000000" w:themeColor="text1"/>
          <w:spacing w:val="-6"/>
          <w:highlight w:val="none"/>
          <w:lang w:eastAsia="zh-CN"/>
          <w14:textFill>
            <w14:solidFill>
              <w14:schemeClr w14:val="tx1"/>
            </w14:solidFill>
          </w14:textFill>
        </w:rPr>
        <w:t>号</w:t>
      </w:r>
      <w:r>
        <w:rPr>
          <w:rFonts w:hint="eastAsia" w:ascii="仿宋_GB2312" w:eastAsia="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估价目的：</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出让</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估价期日土地使用者</w:t>
            </w:r>
          </w:p>
        </w:tc>
        <w:tc>
          <w:tcPr>
            <w:tcW w:w="315" w:type="pct"/>
            <w:vMerge w:val="restart"/>
            <w:vAlign w:val="cente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编号</w:t>
            </w:r>
          </w:p>
        </w:tc>
        <w:tc>
          <w:tcPr>
            <w:tcW w:w="363" w:type="pct"/>
            <w:vMerge w:val="restart"/>
            <w:vAlign w:val="cente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宗地名称</w:t>
            </w:r>
          </w:p>
        </w:tc>
        <w:tc>
          <w:tcPr>
            <w:tcW w:w="267" w:type="pct"/>
            <w:vMerge w:val="restart"/>
            <w:vAlign w:val="cente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土地使用证编号</w:t>
            </w:r>
          </w:p>
        </w:tc>
        <w:tc>
          <w:tcPr>
            <w:tcW w:w="641" w:type="pct"/>
            <w:gridSpan w:val="3"/>
            <w:vAlign w:val="cente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估价期日的用途</w:t>
            </w:r>
          </w:p>
        </w:tc>
        <w:tc>
          <w:tcPr>
            <w:tcW w:w="628" w:type="pct"/>
            <w:gridSpan w:val="3"/>
            <w:vAlign w:val="cente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容积率</w:t>
            </w:r>
          </w:p>
        </w:tc>
        <w:tc>
          <w:tcPr>
            <w:tcW w:w="435" w:type="pct"/>
            <w:vMerge w:val="restart"/>
            <w:vAlign w:val="cente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估价期日实际土地开发程度</w:t>
            </w:r>
          </w:p>
        </w:tc>
        <w:tc>
          <w:tcPr>
            <w:tcW w:w="518" w:type="pct"/>
            <w:vMerge w:val="restart"/>
            <w:vAlign w:val="cente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估价设定土地开发程度</w:t>
            </w:r>
          </w:p>
        </w:tc>
        <w:tc>
          <w:tcPr>
            <w:tcW w:w="272" w:type="pct"/>
            <w:vMerge w:val="restart"/>
            <w:vAlign w:val="cente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剩余土地使用权年期（年）</w:t>
            </w:r>
          </w:p>
        </w:tc>
        <w:tc>
          <w:tcPr>
            <w:tcW w:w="325" w:type="pct"/>
            <w:vMerge w:val="restart"/>
            <w:vAlign w:val="cente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面积(㎡)</w:t>
            </w:r>
          </w:p>
        </w:tc>
        <w:tc>
          <w:tcPr>
            <w:tcW w:w="224" w:type="pct"/>
            <w:vMerge w:val="restart"/>
            <w:vAlign w:val="cente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地面地价(元/㎡)</w:t>
            </w:r>
          </w:p>
        </w:tc>
        <w:tc>
          <w:tcPr>
            <w:tcW w:w="235" w:type="pct"/>
            <w:vMerge w:val="restart"/>
            <w:vAlign w:val="cente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楼面地价(元/㎡)</w:t>
            </w:r>
          </w:p>
        </w:tc>
        <w:tc>
          <w:tcPr>
            <w:tcW w:w="288" w:type="pct"/>
            <w:vMerge w:val="restart"/>
            <w:vAlign w:val="cente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(万元)</w:t>
            </w:r>
          </w:p>
        </w:tc>
        <w:tc>
          <w:tcPr>
            <w:tcW w:w="222" w:type="pct"/>
            <w:vMerge w:val="restart"/>
            <w:vAlign w:val="cente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证载（或批准）</w:t>
            </w:r>
          </w:p>
        </w:tc>
        <w:tc>
          <w:tcPr>
            <w:tcW w:w="181" w:type="pct"/>
            <w:vAlign w:val="cente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197" w:type="pct"/>
            <w:vAlign w:val="cente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171" w:type="pct"/>
            <w:vAlign w:val="cente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规划</w:t>
            </w:r>
          </w:p>
        </w:tc>
        <w:tc>
          <w:tcPr>
            <w:tcW w:w="153" w:type="pct"/>
            <w:vAlign w:val="cente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303" w:type="pct"/>
            <w:vAlign w:val="cente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通过出让方式确定</w:t>
            </w:r>
          </w:p>
        </w:tc>
        <w:tc>
          <w:tcPr>
            <w:tcW w:w="315" w:type="pct"/>
            <w:vAlign w:val="cente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2025018</w:t>
            </w:r>
          </w:p>
        </w:tc>
        <w:tc>
          <w:tcPr>
            <w:tcW w:w="363" w:type="pct"/>
            <w:vAlign w:val="cente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道县</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湖南紫金新材料产业集聚区（2025018号地块）</w:t>
            </w:r>
          </w:p>
        </w:tc>
        <w:tc>
          <w:tcPr>
            <w:tcW w:w="267" w:type="pct"/>
            <w:vAlign w:val="cente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待办</w:t>
            </w:r>
          </w:p>
        </w:tc>
        <w:tc>
          <w:tcPr>
            <w:tcW w:w="262" w:type="pct"/>
            <w:vAlign w:val="cente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181" w:type="pct"/>
            <w:vAlign w:val="cente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197" w:type="pct"/>
            <w:vAlign w:val="cente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171" w:type="pct"/>
            <w:vAlign w:val="cente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0.7-1.5</w:t>
            </w:r>
          </w:p>
        </w:tc>
        <w:tc>
          <w:tcPr>
            <w:tcW w:w="153" w:type="pct"/>
            <w:vAlign w:val="cente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303" w:type="pct"/>
            <w:vAlign w:val="cente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w:t>
            </w:r>
          </w:p>
        </w:tc>
        <w:tc>
          <w:tcPr>
            <w:tcW w:w="435" w:type="pct"/>
            <w:vAlign w:val="cente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518" w:type="pct"/>
            <w:vAlign w:val="cente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272" w:type="pct"/>
            <w:vAlign w:val="cente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30</w:t>
            </w:r>
          </w:p>
        </w:tc>
        <w:tc>
          <w:tcPr>
            <w:tcW w:w="325" w:type="pct"/>
            <w:vAlign w:val="cente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4829.6</w:t>
            </w:r>
          </w:p>
        </w:tc>
        <w:tc>
          <w:tcPr>
            <w:tcW w:w="224" w:type="pct"/>
            <w:vAlign w:val="cente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159</w:t>
            </w:r>
          </w:p>
        </w:tc>
        <w:tc>
          <w:tcPr>
            <w:tcW w:w="235" w:type="pct"/>
            <w:vAlign w:val="cente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w:t>
            </w:r>
          </w:p>
        </w:tc>
        <w:tc>
          <w:tcPr>
            <w:tcW w:w="288" w:type="pct"/>
            <w:shd w:val="clear" w:color="auto" w:fill="auto"/>
            <w:vAlign w:val="cente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76.79</w:t>
            </w:r>
          </w:p>
        </w:tc>
        <w:tc>
          <w:tcPr>
            <w:tcW w:w="222" w:type="pct"/>
            <w:vAlign w:val="cente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合</w:t>
            </w:r>
            <w:r>
              <w:rPr>
                <w:rFonts w:hint="eastAsia" w:ascii="仿宋_GB2312" w:hAnsi="仿宋_GB2312" w:eastAsia="仿宋_GB2312" w:cs="仿宋_GB2312"/>
                <w:color w:val="000000" w:themeColor="text1"/>
                <w:spacing w:val="0"/>
                <w:sz w:val="21"/>
                <w:szCs w:val="21"/>
                <w:highlight w:val="none"/>
                <w:lang w:val="en-US" w:eastAsia="zh-CN"/>
                <w14:textFill>
                  <w14:solidFill>
                    <w14:schemeClr w14:val="tx1"/>
                  </w14:solidFill>
                </w14:textFill>
              </w:rPr>
              <w:t>10.7</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1.根据《关于国有建设用地的规划条件的函》（2025年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14:textFill>
            <w14:solidFill>
              <w14:schemeClr w14:val="tx1"/>
            </w14:solidFill>
          </w14:textFill>
        </w:rPr>
        <w:t>日），估价对象位于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估价对象土地所有权为国有，土地使用权性质为</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拟出让</w:t>
      </w:r>
      <w:r>
        <w:rPr>
          <w:rFonts w:hint="eastAsia" w:ascii="仿宋_GB2312" w:hAnsi="仿宋_GB2312" w:eastAsia="仿宋_GB2312" w:cs="仿宋_GB2312"/>
          <w:color w:val="000000" w:themeColor="text1"/>
          <w:szCs w:val="21"/>
          <w:highlight w:val="none"/>
          <w14:textFill>
            <w14:solidFill>
              <w14:schemeClr w14:val="tx1"/>
            </w14:solidFill>
          </w14:textFill>
        </w:rPr>
        <w:t>，土地使用者拟通过挂牌出让确定。根据委托方提供相关资料和估价人员调查结果，截至估价期日估价对象未有抵押权、地役权、租赁权等他项权利登记，本次评估设定估价对象地上无抵押权、地役权、租赁权等他项权利登记；</w:t>
      </w:r>
    </w:p>
    <w:p w14:paraId="7785B2A9">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2.基础设施条件：估价对象土地实际开发程度为宗地红线外</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红线内场地平整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无</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建筑物</w:t>
      </w:r>
      <w:r>
        <w:rPr>
          <w:rFonts w:hint="eastAsia" w:ascii="仿宋_GB2312" w:hAnsi="仿宋_GB2312" w:eastAsia="仿宋_GB2312" w:cs="仿宋_GB2312"/>
          <w:color w:val="000000" w:themeColor="text1"/>
          <w:szCs w:val="21"/>
          <w:highlight w:val="none"/>
          <w14:textFill>
            <w14:solidFill>
              <w14:schemeClr w14:val="tx1"/>
            </w14:solidFill>
          </w14:textFill>
        </w:rPr>
        <w:t>，详见下表。</w:t>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3.规划限制条件：根据</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，估价对象为位于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2DFE86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2.本估价报告有效期自提交估价报告日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5年11月28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至</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27</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一年内有效。</w:t>
      </w:r>
    </w:p>
    <w:p w14:paraId="459F75B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本评估报告中涉及的土地面积、土地权属、土地用途、规划利用指标以委托方提供的</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和《道县2025018号地块建设用地规划红线图》为依据，本报告估价结果是在满足地价定义所设定条件下的使用权价格，若估价期日、土地利用方式、土地开发状况、土地面积等影响地价的任一因素发生变化，则该估价结果应作相应调整。</w:t>
      </w:r>
    </w:p>
    <w:p w14:paraId="329D4C3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14:textFill>
            <w14:solidFill>
              <w14:schemeClr w14:val="tx1"/>
            </w14:solidFill>
          </w14:textFill>
        </w:rPr>
        <w:t>依据</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道县自然资源局</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本次评估面积以拟出让地块</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红线</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图的供应面积为准</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C2B4B6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湖南兆财不动产规划评估有限公司</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p>
    <w:p w14:paraId="2B90C41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120" w:beforeLines="50" w:after="240" w:afterLines="100" w:line="44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5210314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10EAE0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0EA4EA1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023DBD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0507BE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556188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441D6F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5639949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委托方为土地挂牌出让实施单位，土地使用者拟通过挂牌出让确定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772789BC">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拟挂牌出让涉及的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位于道县湖南紫金新材料产业集聚区</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一宗</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国有建设用地使用权，根据《评估委托书》、《关于国有建设用地的规划条件的函》（2025年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《道县2025018号地块建设用地规划红线图》</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等资料，</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土地开发程度为宗地红线外“五通”（即通路、通电、通讯、供水、排水），宗地红线内场地平整。由于该宗土地为拟出让土地，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土地使用者待出让后确定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650E2D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6DE1A26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1E1564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.土地权利性质：国有储备用地，现拟办理出让手续；</w:t>
      </w:r>
    </w:p>
    <w:p w14:paraId="2E15DD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《关于道县2025年第七批次建设用地农用地转用和土地征收的批复》（湘政地〔2025〕1205号，2025年9月5日），</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四马桥镇立山村第六、七组共有农用地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，于20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日经湖南省人民政府办理了农用地转用手续后，转变为国有新增建设用地。宗地范围内土地征收安置补偿已全部落实到位，土地权利清晰，现为国有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储备</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0EF129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p>
    <w:p w14:paraId="63C5612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9A1F6B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临林地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，北</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临支路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2453CB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FF4238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lang w:val="en-US" w:eastAsia="zh-CN"/>
          <w14:textFill>
            <w14:solidFill>
              <w14:schemeClr w14:val="tx1"/>
            </w14:solidFill>
          </w14:textFill>
        </w:rPr>
        <w:t>8</w:t>
      </w:r>
      <w:r>
        <w:rPr>
          <w:rFonts w:hint="eastAsia" w:ascii="仿宋_GB2312" w:eastAsia="仿宋_GB2312"/>
          <w:color w:val="000000" w:themeColor="text1"/>
          <w:sz w:val="28"/>
          <w:highlight w:val="none"/>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eastAsia="仿宋_GB2312"/>
          <w:color w:val="000000" w:themeColor="text1"/>
          <w:sz w:val="28"/>
          <w:highlight w:val="none"/>
          <w14:textFill>
            <w14:solidFill>
              <w14:schemeClr w14:val="tx1"/>
            </w14:solidFill>
          </w14:textFill>
        </w:rPr>
        <w:t>；</w:t>
      </w:r>
    </w:p>
    <w:p w14:paraId="759C167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工业用地30年，此次评估设定土地使用权年限为工业用地30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CFF2C4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A1724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21FF13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369A5E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833755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06B2375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4FF9CF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5A0519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估价对象为拟出让用地，未办理登记手续，故暂无土地使用权人、土地权利证书编号、登记时间、地籍图号、宗地号、终止日期等相关信息。</w:t>
      </w:r>
    </w:p>
    <w:p w14:paraId="3A3D5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57A89F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1.土地所有权状况：于估价期日，估价对象的土地所有权属国家所有；</w:t>
      </w:r>
    </w:p>
    <w:p w14:paraId="77BA8D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2.土地使用权状况：根据此次估价目的，估价对象土地使用权人拟通过挂牌出让方式确定。</w:t>
      </w:r>
    </w:p>
    <w:p w14:paraId="4261C2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2A9E881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6EC8BC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4F93D3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估价方提供的资料和土地估价师现场勘查结果，估价对象至估价期日已完成征地拆迁手续，达到净地出让条件，宗地现状开发程度为土地开发程度为宗地红线外“五通”（即通路、通电、通讯、供水、排水），宗地红线内场地平整，利用现状为待开发建设用地。</w:t>
      </w:r>
    </w:p>
    <w:p w14:paraId="1972E2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29FE9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20E86172">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29" name="图片 29" descr="6370f888bb35fb58c249f13c827f9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370f888bb35fb58c249f13c827f9b50"/>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B41D26">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7620" b="13970"/>
                  <wp:docPr id="6" name="图片 6"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3892FF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《关于国有建设用地的规划条件的函》（2025年</w:t>
      </w:r>
      <w:r>
        <w:rPr>
          <w:rFonts w:hint="eastAsia" w:ascii="仿宋_GB2312" w:eastAsia="仿宋_GB2312"/>
          <w:color w:val="000000" w:themeColor="text1"/>
          <w:sz w:val="28"/>
          <w:szCs w:val="30"/>
          <w:highlight w:val="none"/>
          <w:lang w:val="en-US" w:eastAsia="zh-CN"/>
          <w14:textFill>
            <w14:solidFill>
              <w14:schemeClr w14:val="tx1"/>
            </w14:solidFill>
          </w14:textFill>
        </w:rPr>
        <w:t>9</w:t>
      </w:r>
      <w:r>
        <w:rPr>
          <w:rFonts w:hint="eastAsia" w:ascii="仿宋_GB2312" w:eastAsia="仿宋_GB2312"/>
          <w:color w:val="000000" w:themeColor="text1"/>
          <w:sz w:val="28"/>
          <w:szCs w:val="30"/>
          <w:highlight w:val="none"/>
          <w:lang w:eastAsia="zh-CN"/>
          <w14:textFill>
            <w14:solidFill>
              <w14:schemeClr w14:val="tx1"/>
            </w14:solidFill>
          </w14:textFill>
        </w:rPr>
        <w:t>月</w:t>
      </w:r>
      <w:r>
        <w:rPr>
          <w:rFonts w:hint="eastAsia" w:ascii="仿宋_GB2312" w:eastAsia="仿宋_GB2312"/>
          <w:color w:val="000000" w:themeColor="text1"/>
          <w:sz w:val="28"/>
          <w:szCs w:val="30"/>
          <w:highlight w:val="none"/>
          <w:lang w:val="en-US" w:eastAsia="zh-CN"/>
          <w14:textFill>
            <w14:solidFill>
              <w14:schemeClr w14:val="tx1"/>
            </w14:solidFill>
          </w14:textFill>
        </w:rPr>
        <w:t>11</w:t>
      </w:r>
      <w:r>
        <w:rPr>
          <w:rFonts w:hint="eastAsia" w:ascii="仿宋_GB2312" w:eastAsia="仿宋_GB2312"/>
          <w:color w:val="000000" w:themeColor="text1"/>
          <w:sz w:val="28"/>
          <w:szCs w:val="30"/>
          <w:highlight w:val="none"/>
          <w:lang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6FB5FD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4D8F55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60" w:lineRule="exact"/>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1D4F5A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估价对象位于道县四马桥镇。</w:t>
      </w:r>
    </w:p>
    <w:p w14:paraId="6544F15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w:t>
      </w:r>
      <w:r>
        <w:rPr>
          <w:rFonts w:hint="eastAsia" w:ascii="仿宋_GB2312" w:eastAsia="仿宋_GB2312"/>
          <w:color w:val="000000" w:themeColor="text1"/>
          <w:sz w:val="28"/>
          <w:highlight w:val="none"/>
          <w14:textFill>
            <w14:solidFill>
              <w14:schemeClr w14:val="tx1"/>
            </w14:solidFill>
          </w14:textFill>
        </w:rPr>
        <w:t>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6CB68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044D550C">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089F9922">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1BB2278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估价对象位于道县湖南紫金新材料产业集聚区，</w:t>
      </w:r>
      <w:r>
        <w:rPr>
          <w:rFonts w:hint="eastAsia" w:ascii="仿宋_GB2312" w:eastAsia="仿宋_GB2312"/>
          <w:color w:val="000000" w:themeColor="text1"/>
          <w:sz w:val="28"/>
          <w:highlight w:val="none"/>
          <w14:textFill>
            <w14:solidFill>
              <w14:schemeClr w14:val="tx1"/>
            </w14:solidFill>
          </w14:textFill>
        </w:rPr>
        <w:t>估价对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价对象交通由支路构成，区域交通条件差。距离最近火车站（江华火车站）约12km，距火车站距离差；区域基础设施状况一般，</w:t>
      </w:r>
      <w:r>
        <w:rPr>
          <w:rFonts w:hint="eastAsia" w:ascii="仿宋_GB2312" w:eastAsia="仿宋_GB2312"/>
          <w:color w:val="000000" w:themeColor="text1"/>
          <w:sz w:val="28"/>
          <w:szCs w:val="30"/>
          <w:highlight w:val="none"/>
          <w:lang w:val="en-US" w:eastAsia="zh-CN"/>
          <w14:textFill>
            <w14:solidFill>
              <w14:schemeClr w14:val="tx1"/>
            </w14:solidFill>
          </w14:textFill>
        </w:rPr>
        <w:t>区域内</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产业集聚度差。</w:t>
      </w:r>
    </w:p>
    <w:p w14:paraId="145F5F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估价对象位于道县湖南紫金新材料聚集区。</w:t>
      </w:r>
    </w:p>
    <w:p w14:paraId="05C1304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根据委托估价方提供的《关于国有建设用地的规划条件的函》（2025年9月11日），估价对象土地面积为4829.6平方米，面积适中，对土地利用有利。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根据委托估价方提供的《道县2025018号地块建设用地规划红线图》，宗地形状基本规则，对利用无影响。</w:t>
      </w:r>
    </w:p>
    <w:p w14:paraId="0FCC2F77">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日）及现场勘查状况，估价对象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6849B2D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本次评估根据最有效利用原则，估价对象在规划利用下价值利用状况为最有效利用。故设定估价对象为工业用地，设定容积率为1.5，其余指标均取规划值为最佳利用方式。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120" w:beforeLines="50" w:after="240" w:afterLines="100" w:line="44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60" w:lineRule="exact"/>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19</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.湖南省人民政府、永州市人民政府、道县人民政府及有关部门颁布的其他有关政策、规定、实施办法、通知等法规文件</w:t>
      </w:r>
      <w:r>
        <w:rPr>
          <w:rFonts w:hint="eastAsia"/>
          <w:color w:val="000000" w:themeColor="text1"/>
          <w:highlight w:val="none"/>
          <w:lang w:eastAsia="zh-CN"/>
          <w14:textFill>
            <w14:solidFill>
              <w14:schemeClr w14:val="tx1"/>
            </w14:solidFill>
          </w14:textFill>
        </w:rPr>
        <w:t>。</w:t>
      </w:r>
    </w:p>
    <w:p w14:paraId="2EB04C7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4.《道县2025018号地块建设用地规划红线图》；</w:t>
      </w:r>
    </w:p>
    <w:p w14:paraId="079C58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5、《关于道县2025年第七批次建设用地农用地转用和土地征收的批复》（湘政地〔2025〕1205号，2025年9月5日）；</w:t>
      </w:r>
    </w:p>
    <w:p w14:paraId="7A0635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60" w:lineRule="exact"/>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14:paraId="5EE490E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（1）采用的估价方法及理由</w:t>
      </w:r>
    </w:p>
    <w:p w14:paraId="676E56D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①成本逼近法</w:t>
      </w:r>
    </w:p>
    <w:p w14:paraId="078509A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eastAsia="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根据道县自然资源和规划局土地利用科提出的意见，本次评估采用成本逼近法作为评估方法之一。</w:t>
      </w:r>
    </w:p>
    <w:p w14:paraId="3345E37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②市场比较法</w:t>
      </w:r>
    </w:p>
    <w:p w14:paraId="72986D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集聚区，土地规划用途为工业用地，宗地所在区域周边有同类型土地市场成交案例，可以选择到与估价对象相类似的近期已经发生交易的纯土地市场交易案例，通过对比较案例考虑期日、用途、年期、交易方式、区域因素、个别因素等影响因素的修正，得出估价对象的土地价格，适宜选用市场比较法进行评估。</w:t>
      </w:r>
    </w:p>
    <w:p w14:paraId="7A6EF1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（2）不采用的估价方法及理由</w:t>
      </w:r>
    </w:p>
    <w:p w14:paraId="47D807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①收益还原法</w:t>
      </w:r>
    </w:p>
    <w:p w14:paraId="2E484F6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估价对象利用现状为待开发建设用地，理论上可模拟租赁方式获取估价对象不动产总价，但考虑到建筑物租金收益难以准确剥离，因而土地收益难以有效确定，故不选用收益还原法。</w:t>
      </w:r>
    </w:p>
    <w:p w14:paraId="740A179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②剩余法</w:t>
      </w:r>
    </w:p>
    <w:p w14:paraId="48678C0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为工业用地，虽然为待开发项目用地，但区域内工业用地大多开发完成后自用，难以找到与估价对象现状利用条件相似的建成后房屋市场交易案例，不能通过市场比较法合理确定房地产总价、扣除开发项目整体的开发成本、客观开发利润来求取单位面积地价，故不采用剩余法进行评估。</w:t>
      </w:r>
    </w:p>
    <w:p w14:paraId="0F2F8CC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③公示地价系数修正法</w:t>
      </w:r>
    </w:p>
    <w:p w14:paraId="294DEE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的颁布实施时间为2019年11月22日，城区基准地价估价期日为2019年5月1日，批准文号为道政函〔2019〕85号,文件名称为《关于更新城区基准地价和制订11个建制镇基准地价的通告》（道政函〔2019〕85号，2019年11月22日），批准机关为道县人民政府，本次估价期日为2025年11月26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358778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综上，本次评估采用成本逼近法与市场比较法。</w:t>
      </w:r>
    </w:p>
    <w:p w14:paraId="2D9A1B3A">
      <w:pPr>
        <w:keepNext w:val="0"/>
        <w:keepLines w:val="0"/>
        <w:pageBreakBefore w:val="0"/>
        <w:widowControl w:val="0"/>
        <w:kinsoku/>
        <w:wordWrap/>
        <w:overflowPunct w:val="0"/>
        <w:topLinePunct w:val="0"/>
        <w:autoSpaceDE w:val="0"/>
        <w:autoSpaceDN w:val="0"/>
        <w:bidi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14:paraId="7B1063D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成本逼近法测算的测算结果为189.9元/平方米。  </w:t>
      </w:r>
    </w:p>
    <w:p w14:paraId="2015F66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是根据替代原理，将待估宗地与具有替代性的，且在估价期日近期市场上交易的类似地产进行比较，对类似地产成交价格作适当修正，以此得到待估宗地比准价格的一种方法，由于该方法选择的比较案例是市场搜集的比较客观的真实交易，修正体系是根据估价师多年实践经验编制而成，市场比较法测算的测算结果为127.7元/平方米，该方法的测算结果能够真实的反映估价对象的客观合理市场价格。</w:t>
      </w:r>
    </w:p>
    <w:p w14:paraId="5CFA5A78">
      <w:pPr>
        <w:pStyle w:val="3"/>
        <w:keepNext w:val="0"/>
        <w:keepLines w:val="0"/>
        <w:pageBreakBefore w:val="0"/>
        <w:widowControl w:val="0"/>
        <w:kinsoku/>
        <w:wordWrap/>
        <w:overflowPunct w:val="0"/>
        <w:topLinePunct w:val="0"/>
        <w:autoSpaceDE w:val="0"/>
        <w:autoSpaceDN w:val="0"/>
        <w:bidi w:val="0"/>
        <w:adjustRightInd w:val="0"/>
        <w:spacing w:line="460" w:lineRule="exact"/>
        <w:ind w:left="0" w:leftChars="0" w:firstLine="560" w:firstLineChars="200"/>
        <w:textAlignment w:val="auto"/>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综上所述，</w:t>
      </w:r>
      <w:r>
        <w:rPr>
          <w:rFonts w:hint="eastAsia" w:ascii="仿宋_GB2312" w:hAnsi="仿宋_GB2312" w:eastAsia="仿宋_GB2312" w:cs="仿宋_GB2312"/>
          <w:b w:val="0"/>
          <w:bCs w:val="0"/>
          <w:color w:val="000000" w:themeColor="text1"/>
          <w:kern w:val="2"/>
          <w:sz w:val="28"/>
          <w:szCs w:val="28"/>
          <w:highlight w:val="none"/>
          <w:lang w:val="en-US" w:eastAsia="zh-CN" w:bidi="ar-SA"/>
          <w14:textFill>
            <w14:solidFill>
              <w14:schemeClr w14:val="tx1"/>
            </w14:solidFill>
          </w14:textFill>
        </w:rPr>
        <w:t>对当地土地市场和土地价格的分析和两种方法的可靠性综合分析，根据项目特点，综合考虑宗地所在区域的地价水平，</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确定以</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和</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的评估结果的</w:t>
      </w:r>
      <w:r>
        <w:rPr>
          <w:rFonts w:hint="eastAsia" w:ascii="仿宋_GB2312" w:hAnsi="仿宋_GB2312" w:eastAsia="仿宋_GB2312" w:cs="仿宋_GB2312"/>
          <w:snapToGrid w:val="0"/>
          <w:color w:val="000000" w:themeColor="text1"/>
          <w:kern w:val="0"/>
          <w:szCs w:val="28"/>
          <w:highlight w:val="none"/>
          <w:lang w:eastAsia="zh-CN"/>
          <w14:textFill>
            <w14:solidFill>
              <w14:schemeClr w14:val="tx1"/>
            </w14:solidFill>
          </w14:textFill>
        </w:rPr>
        <w:t>简单算数平均数</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作为本次评估的最终结果。</w:t>
      </w:r>
    </w:p>
    <w:p w14:paraId="32C9FBCE">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olor w:val="000000" w:themeColor="text1"/>
                <w:spacing w:val="-20"/>
                <w:szCs w:val="21"/>
                <w:highlight w:val="none"/>
                <w:lang w:val="en-US" w:eastAsia="zh-CN"/>
                <w14:textFill>
                  <w14:solidFill>
                    <w14:schemeClr w14:val="tx1"/>
                  </w14:solidFill>
                </w14:textFill>
              </w:rPr>
              <w:t>道县湖南紫金新材料产业集聚区</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189.9</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127.7</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159</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76.79</w:t>
            </w:r>
          </w:p>
        </w:tc>
      </w:tr>
    </w:tbl>
    <w:p w14:paraId="2789BB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14:paraId="23EA7D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”（通路、通电、通讯）及红线内场地平整，规划利用条件下的土地使用权出让价格如下（币种：人民币）：</w:t>
      </w:r>
    </w:p>
    <w:p w14:paraId="2B291BAE">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0D92A67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面积：</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4829.6平方米</w:t>
      </w:r>
    </w:p>
    <w:p w14:paraId="77A0FDA4">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估价对象土地单价：159元/平方米</w:t>
      </w:r>
    </w:p>
    <w:p w14:paraId="5890616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万元</w:t>
      </w:r>
    </w:p>
    <w:p w14:paraId="55F551C6">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大写：</w:t>
      </w:r>
      <w:r>
        <w:rPr>
          <w:rFonts w:hint="eastAsia" w:ascii="仿宋_GB2312" w:eastAsia="仿宋_GB2312"/>
          <w:b/>
          <w:bCs/>
          <w:color w:val="000000" w:themeColor="text1"/>
          <w:sz w:val="28"/>
          <w:szCs w:val="22"/>
          <w:highlight w:val="none"/>
          <w14:textFill>
            <w14:solidFill>
              <w14:schemeClr w14:val="tx1"/>
            </w14:solidFill>
          </w14:textFill>
        </w:rPr>
        <w:t>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w:t>
      </w:r>
    </w:p>
    <w:p w14:paraId="1ECBAE32">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详见《土地估价结果一览表》。</w:t>
      </w:r>
    </w:p>
    <w:p w14:paraId="0477BC23">
      <w:pPr>
        <w:keepNext w:val="0"/>
        <w:keepLines w:val="0"/>
        <w:pageBreakBefore w:val="0"/>
        <w:widowControl w:val="0"/>
        <w:kinsoku/>
        <w:wordWrap/>
        <w:overflowPunct/>
        <w:topLinePunct w:val="0"/>
        <w:autoSpaceDE/>
        <w:autoSpaceDN/>
        <w:bidi w:val="0"/>
        <w:spacing w:line="460" w:lineRule="exact"/>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中估价对象的土地权属、土地用途、使用权类型、土地面积、土地利用条件等以《关于国有建设用地的规划条件的函》（2025年9月11日）、《关于道县2025年第七批次建设用地农用地转用和土地征收的批复》（湘政地〔2025〕1205号，2025年9月5日）、《道县2025018号地块建设用地规划红线图》等有关资料为重要依据，并以以上资料合法、真实、有效为前提条件；</w:t>
      </w:r>
    </w:p>
    <w:p w14:paraId="403084A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次评估的价格是指估价对象在公开市场条件下，于估价期日2025年11月26日，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6.任何有关估价对象的运作方式及程序符合国家、湖南省、永州市和道县于估价期日2025年11月26日的有关法律法规规章和技术性规范。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3.本估价报告和估价结果的有效使用期为一年，即2025年11月28日至2026年11月27日；</w:t>
      </w:r>
    </w:p>
    <w:p w14:paraId="4EF999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本估价报告和估价结果的使用权归委托估价方所有，湖南兆财不动产规划评估有限公司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（3）区域经济发展状况、统计数据、城市规划资料、基准地价资料、估价中的相关参数资料等由湖南兆财不动产规划评估有限公司土地估价师通过查阅政府部门相关文件及公开媒体资讯等途径获取。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（4）湖南兆财不动产规划评估有限公司土地估价师结合执业经验，对上述相关评估资料的真实性、合法性、有效性、适用性进行了尽职核实和专业判断。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tabs>
          <w:tab w:val="left" w:pos="-105"/>
          <w:tab w:val="left" w:pos="735"/>
          <w:tab w:val="left" w:pos="1785"/>
        </w:tabs>
        <w:adjustRightInd w:val="0"/>
        <w:snapToGrid w:val="0"/>
        <w:spacing w:line="400" w:lineRule="exact"/>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3.《关于道县2025年第七批次建设用地农用地转用和土地征收的批复》（湘政地〔2025〕1205号，2025年9月5日）；</w:t>
      </w:r>
    </w:p>
    <w:p w14:paraId="2B5069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5.《道县2025018号地块建设用地规划红线图》；</w:t>
      </w:r>
    </w:p>
    <w:p w14:paraId="529FDBD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ind w:left="0" w:leftChars="0" w:firstLine="5320" w:firstLineChars="1900"/>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20" w:lineRule="exact"/>
        <w:jc w:val="center"/>
        <w:rPr>
          <w:rFonts w:ascii="宋体" w:hAnsi="宋体"/>
          <w:b/>
          <w:color w:val="000000" w:themeColor="text1"/>
          <w:sz w:val="44"/>
          <w:szCs w:val="44"/>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土地估价技术报告</w:t>
      </w:r>
    </w:p>
    <w:p w14:paraId="11F8E308">
      <w:pPr>
        <w:spacing w:line="520" w:lineRule="exact"/>
        <w:jc w:val="center"/>
        <w:rPr>
          <w:rFonts w:ascii="仿宋_GB2312" w:eastAsia="仿宋_GB2312"/>
          <w:color w:val="000000" w:themeColor="text1"/>
          <w:sz w:val="32"/>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道县自然资源局</w:t>
            </w:r>
            <w:r>
              <w:rPr>
                <w:rFonts w:hint="eastAsia" w:ascii="楷体" w:hAnsi="楷体" w:eastAsia="楷体"/>
                <w:color w:val="000000" w:themeColor="text1"/>
                <w:spacing w:val="14"/>
                <w:sz w:val="32"/>
                <w:szCs w:val="32"/>
                <w:highlight w:val="none"/>
                <w:lang w:eastAsia="zh-CN"/>
                <w14:textFill>
                  <w14:solidFill>
                    <w14:schemeClr w14:val="tx1"/>
                  </w14:solidFill>
                </w14:textFill>
              </w:rPr>
              <w:t>拟挂牌出让涉及位于</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道县湖南紫金新材料产业集聚区（2025018号地块）的</w:t>
            </w:r>
            <w:r>
              <w:rPr>
                <w:rFonts w:hint="eastAsia" w:ascii="楷体" w:hAnsi="楷体" w:eastAsia="楷体"/>
                <w:color w:val="000000" w:themeColor="text1"/>
                <w:spacing w:val="14"/>
                <w:sz w:val="32"/>
                <w:szCs w:val="32"/>
                <w:highlight w:val="none"/>
                <w:lang w:eastAsia="zh-CN"/>
                <w14:textFill>
                  <w14:solidFill>
                    <w14:schemeClr w14:val="tx1"/>
                  </w14:solidFill>
                </w14:textFill>
              </w:rPr>
              <w:t>一宗</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工业用地</w:t>
            </w:r>
            <w:r>
              <w:rPr>
                <w:rFonts w:hint="eastAsia" w:ascii="楷体" w:hAnsi="楷体" w:eastAsia="楷体"/>
                <w:color w:val="000000" w:themeColor="text1"/>
                <w:spacing w:val="14"/>
                <w:sz w:val="32"/>
                <w:szCs w:val="32"/>
                <w:highlight w:val="none"/>
                <w:lang w:eastAsia="zh-CN"/>
                <w14:textFill>
                  <w14:solidFill>
                    <w14:schemeClr w14:val="tx1"/>
                  </w14:solidFill>
                </w14:textFill>
              </w:rPr>
              <w:t>国有建设用地使用权市场价格评估</w:t>
            </w:r>
            <w:r>
              <w:rPr>
                <w:rFonts w:hint="eastAsia" w:ascii="楷体" w:hAnsi="楷体" w:eastAsia="楷体"/>
                <w:color w:val="000000" w:themeColor="text1"/>
                <w:sz w:val="32"/>
                <w:szCs w:val="32"/>
                <w:highlight w:val="none"/>
                <w14:textFill>
                  <w14:solidFill>
                    <w14:schemeClr w14:val="tx1"/>
                  </w14:solidFill>
                </w14:textFill>
              </w:rPr>
              <w:t>(</w:t>
            </w:r>
            <w:r>
              <w:rPr>
                <w:rFonts w:hint="eastAsia" w:ascii="楷体" w:hAnsi="楷体" w:eastAsia="楷体"/>
                <w:color w:val="000000" w:themeColor="text1"/>
                <w:sz w:val="32"/>
                <w:szCs w:val="32"/>
                <w:highlight w:val="none"/>
                <w:lang w:val="en-US" w:eastAsia="zh-CN"/>
                <w14:textFill>
                  <w14:solidFill>
                    <w14:schemeClr w14:val="tx1"/>
                  </w14:solidFill>
                </w14:textFill>
              </w:rPr>
              <w:t>永州</w:t>
            </w:r>
            <w:r>
              <w:rPr>
                <w:rFonts w:hint="eastAsia" w:ascii="楷体" w:hAnsi="楷体" w:eastAsia="楷体"/>
                <w:color w:val="000000" w:themeColor="text1"/>
                <w:sz w:val="32"/>
                <w:szCs w:val="32"/>
                <w:highlight w:val="none"/>
                <w14:textFill>
                  <w14:solidFill>
                    <w14:schemeClr w14:val="tx1"/>
                  </w14:solidFill>
                </w14:textFill>
              </w:rPr>
              <w:t>市</w:t>
            </w:r>
            <w:r>
              <w:rPr>
                <w:rFonts w:hint="eastAsia" w:ascii="楷体" w:hAnsi="楷体" w:eastAsia="楷体"/>
                <w:color w:val="000000" w:themeColor="text1"/>
                <w:sz w:val="32"/>
                <w:szCs w:val="32"/>
                <w:highlight w:val="none"/>
                <w:lang w:val="en-US" w:eastAsia="zh-CN"/>
                <w14:textFill>
                  <w14:solidFill>
                    <w14:schemeClr w14:val="tx1"/>
                  </w14:solidFill>
                </w14:textFill>
              </w:rPr>
              <w:t>道县</w:t>
            </w:r>
            <w:r>
              <w:rPr>
                <w:rFonts w:hint="eastAsia" w:ascii="楷体" w:hAnsi="楷体" w:eastAsia="楷体"/>
                <w:color w:val="000000" w:themeColor="text1"/>
                <w:sz w:val="32"/>
                <w:szCs w:val="32"/>
                <w:highlight w:val="none"/>
                <w14:textFill>
                  <w14:solidFill>
                    <w14:schemeClr w14:val="tx1"/>
                  </w14:solidFill>
                </w14:textFill>
              </w:rPr>
              <w:t>）</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湖南兆财不动产规划评估有限公司</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（湖南）湘兆财土地[2025]（估）字第ZC00</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34</w:t>
            </w:r>
            <w:r>
              <w:rPr>
                <w:rFonts w:hint="eastAsia" w:ascii="楷体" w:hAnsi="楷体" w:eastAsia="楷体"/>
                <w:color w:val="000000" w:themeColor="text1"/>
                <w:spacing w:val="14"/>
                <w:sz w:val="32"/>
                <w:szCs w:val="32"/>
                <w:highlight w:val="none"/>
                <w:lang w:eastAsia="zh-CN"/>
                <w14:textFill>
                  <w14:solidFill>
                    <w14:schemeClr w14:val="tx1"/>
                  </w14:solidFill>
                </w14:textFill>
              </w:rPr>
              <w:t>号</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（湖南）湘兆财土地[2025]（</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技</w:t>
            </w:r>
            <w:r>
              <w:rPr>
                <w:rFonts w:hint="eastAsia" w:ascii="楷体" w:hAnsi="楷体" w:eastAsia="楷体"/>
                <w:color w:val="000000" w:themeColor="text1"/>
                <w:spacing w:val="14"/>
                <w:sz w:val="32"/>
                <w:szCs w:val="32"/>
                <w:highlight w:val="none"/>
                <w:lang w:eastAsia="zh-CN"/>
                <w14:textFill>
                  <w14:solidFill>
                    <w14:schemeClr w14:val="tx1"/>
                  </w14:solidFill>
                </w14:textFill>
              </w:rPr>
              <w:t>）字第ZC00</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34</w:t>
            </w:r>
            <w:r>
              <w:rPr>
                <w:rFonts w:hint="eastAsia" w:ascii="楷体" w:hAnsi="楷体" w:eastAsia="楷体"/>
                <w:color w:val="000000" w:themeColor="text1"/>
                <w:spacing w:val="14"/>
                <w:sz w:val="32"/>
                <w:szCs w:val="32"/>
                <w:highlight w:val="none"/>
                <w:lang w:eastAsia="zh-CN"/>
                <w14:textFill>
                  <w14:solidFill>
                    <w14:schemeClr w14:val="tx1"/>
                  </w14:solidFill>
                </w14:textFill>
              </w:rPr>
              <w:t>号</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s="楷体"/>
                <w:color w:val="000000" w:themeColor="text1"/>
                <w:spacing w:val="-20"/>
                <w:sz w:val="32"/>
                <w:szCs w:val="32"/>
                <w:highlight w:val="none"/>
                <w:lang w:eastAsia="zh-CN"/>
                <w14:textFill>
                  <w14:solidFill>
                    <w14:schemeClr w14:val="tx1"/>
                  </w14:solidFill>
                </w14:textFill>
              </w:rPr>
              <w:t>二〇二</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五</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年</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十一</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月</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二十八</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日</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永州</w:t>
            </w:r>
            <w:r>
              <w:rPr>
                <w:rFonts w:hint="eastAsia" w:ascii="楷体" w:hAnsi="楷体" w:eastAsia="楷体"/>
                <w:color w:val="000000" w:themeColor="text1"/>
                <w:sz w:val="32"/>
                <w:szCs w:val="32"/>
                <w:highlight w:val="none"/>
                <w14:textFill>
                  <w14:solidFill>
                    <w14:schemeClr w14:val="tx1"/>
                  </w14:solidFill>
                </w14:textFill>
              </w:rPr>
              <w:t>市</w:t>
            </w:r>
            <w:r>
              <w:rPr>
                <w:rFonts w:hint="eastAsia" w:ascii="楷体" w:hAnsi="楷体" w:eastAsia="楷体"/>
                <w:color w:val="000000" w:themeColor="text1"/>
                <w:sz w:val="32"/>
                <w:szCs w:val="32"/>
                <w:highlight w:val="none"/>
                <w:lang w:val="en-US" w:eastAsia="zh-CN"/>
                <w14:textFill>
                  <w14:solidFill>
                    <w14:schemeClr w14:val="tx1"/>
                  </w14:solidFill>
                </w14:textFill>
              </w:rPr>
              <w:t>道县</w:t>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湖南兆财不动产规划评估有限公司</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s="楷体"/>
                <w:color w:val="000000" w:themeColor="text1"/>
                <w:spacing w:val="-20"/>
                <w:sz w:val="32"/>
                <w:szCs w:val="32"/>
                <w:highlight w:val="none"/>
                <w:lang w:eastAsia="zh-CN"/>
                <w14:textFill>
                  <w14:solidFill>
                    <w14:schemeClr w14:val="tx1"/>
                  </w14:solidFill>
                </w14:textFill>
              </w:rPr>
              <w:t>二〇二</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五</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年</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道县自然资源局拟挂牌出让涉及位于道县湖南紫金新材料产业集聚区（2025018号地块）的一宗工业用地国有建设用地使用权市场价格评估(永州市道县）</w:t>
      </w:r>
    </w:p>
    <w:p w14:paraId="5CC112C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5A3202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37FE95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061C797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257F81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1F8602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175360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24D255A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0ACFDDA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委托方为土地挂牌出让实施单位，土地使用者拟通过挂牌出让确定。</w:t>
      </w:r>
    </w:p>
    <w:p w14:paraId="030F9BDE">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名    称：湖南兆财不动产规划评估有限公司</w:t>
      </w:r>
    </w:p>
    <w:p w14:paraId="5C5120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拟按《关于国有建设用地的规划条件的函》（2025年9月11日）确定的规划条件对位于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道县湖南紫金新材料产业集聚区处</w:t>
      </w:r>
      <w:r>
        <w:rPr>
          <w:rFonts w:hint="eastAsia" w:ascii="仿宋_GB2312" w:eastAsia="仿宋_GB2312"/>
          <w:color w:val="000000" w:themeColor="text1"/>
          <w:sz w:val="28"/>
          <w:szCs w:val="30"/>
          <w:highlight w:val="none"/>
          <w:lang w:eastAsia="zh-CN"/>
          <w14:textFill>
            <w14:solidFill>
              <w14:schemeClr w14:val="tx1"/>
            </w14:solidFill>
          </w14:textFill>
        </w:rPr>
        <w:t>一宗</w:t>
      </w:r>
      <w:r>
        <w:rPr>
          <w:rFonts w:hint="eastAsia" w:ascii="仿宋_GB2312" w:eastAsia="仿宋_GB2312"/>
          <w:color w:val="000000" w:themeColor="text1"/>
          <w:sz w:val="28"/>
          <w:szCs w:val="30"/>
          <w:highlight w:val="none"/>
          <w:lang w:val="en-US" w:eastAsia="zh-CN"/>
          <w14:textFill>
            <w14:solidFill>
              <w14:schemeClr w14:val="tx1"/>
            </w14:solidFill>
          </w14:textFill>
        </w:rPr>
        <w:t>工业用地</w:t>
      </w:r>
      <w:r>
        <w:rPr>
          <w:rFonts w:hint="eastAsia" w:ascii="仿宋_GB2312" w:eastAsia="仿宋_GB2312"/>
          <w:color w:val="000000" w:themeColor="text1"/>
          <w:sz w:val="28"/>
          <w:szCs w:val="30"/>
          <w:highlight w:val="none"/>
          <w:lang w:eastAsia="zh-CN"/>
          <w14:textFill>
            <w14:solidFill>
              <w14:schemeClr w14:val="tx1"/>
            </w14:solidFill>
          </w14:textFill>
        </w:rPr>
        <w:t>国有建设用地使用权实施挂牌供应。</w:t>
      </w:r>
    </w:p>
    <w:p w14:paraId="71359E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hint="eastAsia" w:ascii="仿宋_GB2312" w:eastAsia="仿宋_GB2312"/>
          <w:color w:val="000000" w:themeColor="text1"/>
          <w:sz w:val="28"/>
          <w:szCs w:val="30"/>
          <w:highlight w:val="none"/>
          <w:lang w:eastAsia="zh-CN"/>
          <w14:textFill>
            <w14:solidFill>
              <w14:schemeClr w14:val="tx1"/>
            </w14:solidFill>
          </w14:textFill>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w:t>
      </w: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委托，为出让方通过集体决策确定估价对象挂牌出让底价提供国有出让建设用地使用权正常市场价格参考依据。</w:t>
      </w:r>
    </w:p>
    <w:p w14:paraId="26074F7F">
      <w:pPr>
        <w:keepNext w:val="0"/>
        <w:keepLines w:val="0"/>
        <w:pageBreakBefore w:val="0"/>
        <w:widowControl w:val="0"/>
        <w:kinsoku/>
        <w:wordWrap/>
        <w:topLinePunct w:val="0"/>
        <w:bidi w:val="0"/>
        <w:spacing w:line="460" w:lineRule="exact"/>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19</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.湖南省人民政府、永州市人民政府、道县人民政府及有关部门颁布的其他有关政策、规定、实施办法、通知等法规文件。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4.《道县2025018号地块建设用地规划红线图》；</w:t>
      </w:r>
    </w:p>
    <w:p w14:paraId="442BA5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5、《关于道县2025年第七批次建设用地农用地转用和土地征收的批复》（湘政地〔2025〕1205号，2025年9月5日）；</w:t>
      </w:r>
    </w:p>
    <w:p w14:paraId="1F366D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本次土地估价师现场勘查日期为2025年11月26日，结合本次估价目的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估价期日为2025年11月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74BE4A5E">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2025年11月</w:t>
      </w:r>
      <w:r>
        <w:rPr>
          <w:rFonts w:hint="eastAsia" w:ascii="仿宋_GB2312" w:eastAsia="仿宋_GB2312"/>
          <w:color w:val="000000" w:themeColor="text1"/>
          <w:sz w:val="28"/>
          <w:szCs w:val="28"/>
          <w:highlight w:val="none"/>
          <w:lang w:val="en-US" w:eastAsia="zh-CN"/>
          <w14:textFill>
            <w14:solidFill>
              <w14:schemeClr w14:val="tx1"/>
            </w14:solidFill>
          </w14:textFill>
        </w:rPr>
        <w:t>26</w:t>
      </w:r>
      <w:r>
        <w:rPr>
          <w:rFonts w:hint="eastAsia" w:ascii="仿宋_GB2312" w:eastAsia="仿宋_GB2312"/>
          <w:color w:val="000000" w:themeColor="text1"/>
          <w:sz w:val="28"/>
          <w:szCs w:val="28"/>
          <w:highlight w:val="none"/>
          <w:lang w:eastAsia="zh-CN"/>
          <w14:textFill>
            <w14:solidFill>
              <w14:schemeClr w14:val="tx1"/>
            </w14:solidFill>
          </w14:textFill>
        </w:rPr>
        <w:t>日至202</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11</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28</w:t>
      </w:r>
      <w:r>
        <w:rPr>
          <w:rFonts w:hint="eastAsia" w:ascii="仿宋_GB2312" w:eastAsia="仿宋_GB2312"/>
          <w:color w:val="000000" w:themeColor="text1"/>
          <w:sz w:val="28"/>
          <w:szCs w:val="28"/>
          <w:highlight w:val="none"/>
          <w:lang w:eastAsia="zh-CN"/>
          <w14:textFill>
            <w14:solidFill>
              <w14:schemeClr w14:val="tx1"/>
            </w14:solidFill>
          </w14:textFill>
        </w:rPr>
        <w:t>日</w:t>
      </w:r>
      <w:r>
        <w:rPr>
          <w:rFonts w:hint="eastAsia" w:ascii="仿宋_GB2312" w:eastAsia="仿宋_GB2312"/>
          <w:color w:val="000000" w:themeColor="text1"/>
          <w:sz w:val="28"/>
          <w:szCs w:val="28"/>
          <w:highlight w:val="none"/>
          <w14:textFill>
            <w14:solidFill>
              <w14:schemeClr w14:val="tx1"/>
            </w14:solidFill>
          </w14:textFill>
        </w:rPr>
        <w:t>。</w:t>
      </w:r>
    </w:p>
    <w:p w14:paraId="6A96C30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八、</w:t>
      </w:r>
      <w:r>
        <w:rPr>
          <w:rFonts w:hint="eastAsia" w:ascii="仿宋_GB2312" w:eastAsia="仿宋_GB2312"/>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出具的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总土地面积为4829.6平方米，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，至估价期日，估价对象现状为待开发建设用地，土地开发程度为宗地红线外“五通”（即通路、通电、通讯、供水、排水），宗地红线内场地平整。</w:t>
      </w:r>
    </w:p>
    <w:p w14:paraId="0DE086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本次土地估价师现场勘查日期为2025年11月26日，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估价期日为2025年11月26日。</w:t>
      </w:r>
    </w:p>
    <w:p w14:paraId="5CCE34A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根据土地估价师现场勘查，估价对象现状为待开发用地。根据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，根据《土地利用现状分类》(GB/T21010-2017，2017年11月01日)和估价目的，本次评估设定土地用途为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2DAAE98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至估价期日止，估价对象土地使用权类型为国有储备用地，结合本次估价目的，本次评估设定土地使用权类型为国有出让建设用地使用权。</w:t>
      </w:r>
    </w:p>
    <w:p w14:paraId="529115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30年，此次评估设定土地使用权年限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7CF62B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实地勘查，估价对象于估价期日2025年11月26日实际开发程度为宗地红线外“五通”（即通路、通电、通讯、供水、排水），宗地红线内场地平整。结合估价目的及实际情况，本次评估设定土地开发程度为宗地红线外“五通”（即通路、通电、通讯、供水、排水），宗地红线内场地平整。</w:t>
      </w:r>
    </w:p>
    <w:p w14:paraId="744985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估价对象规划建筑密度35%-55%，容积率0.7-1.5，绿地率≤15%，建筑限高24米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，估价对象在估价期日土地利用现状为待开发建设用地，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地上无建筑物，根据土地最有效利用原则，本次评估设定容积率为1.5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409DBE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综上所述，此次评估的地价内涵是指：估价对象在公开市场条件下，于估价期日2025年11月26日，土地使用权面积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，土地用途设定为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土地使用权</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类型设定为国有出让建设用地使用权，</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出让年期为30年，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土地开发程度设定为宗地红线外“五通”（即通路、通电、通讯、供水、排水），宗地红线内场地平整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下的土地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使用权市场价格。</w:t>
      </w:r>
    </w:p>
    <w:p w14:paraId="2075FDA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14:paraId="787CD8D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设定土地开发程度为宗地红线外“五通”（即通路、通电、通讯、供水、排水）及红线内场地平整，规划利用条件下的土地使用权出让价格如下（币种：人民币）：</w:t>
      </w:r>
    </w:p>
    <w:p w14:paraId="3A48D2B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450FFF43">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面积：</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4829.6平方米</w:t>
      </w:r>
    </w:p>
    <w:p w14:paraId="2AC72CFB">
      <w:pPr>
        <w:adjustRightInd w:val="0"/>
        <w:snapToGrid w:val="0"/>
        <w:spacing w:line="480" w:lineRule="exact"/>
        <w:ind w:firstLine="562" w:firstLineChars="200"/>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单价：159元/平方米</w:t>
      </w:r>
    </w:p>
    <w:p w14:paraId="417F433D">
      <w:pPr>
        <w:keepNext w:val="0"/>
        <w:keepLines w:val="0"/>
        <w:pageBreakBefore w:val="0"/>
        <w:widowControl w:val="0"/>
        <w:kinsoku/>
        <w:wordWrap/>
        <w:overflowPunct/>
        <w:topLinePunct w:val="0"/>
        <w:autoSpaceDE/>
        <w:autoSpaceDN/>
        <w:bidi w:val="0"/>
        <w:adjustRightInd w:val="0"/>
        <w:snapToGrid w:val="0"/>
        <w:spacing w:line="480" w:lineRule="exact"/>
        <w:ind w:left="0" w:leftChars="0" w:firstLine="562" w:firstLineChars="200"/>
        <w:textAlignment w:val="auto"/>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万元</w:t>
      </w:r>
    </w:p>
    <w:p w14:paraId="67F55FA2">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大写：</w:t>
      </w:r>
      <w:r>
        <w:rPr>
          <w:rFonts w:hint="eastAsia" w:ascii="仿宋_GB2312" w:eastAsia="仿宋_GB2312"/>
          <w:b/>
          <w:bCs/>
          <w:color w:val="000000" w:themeColor="text1"/>
          <w:sz w:val="28"/>
          <w:szCs w:val="22"/>
          <w:highlight w:val="none"/>
          <w14:textFill>
            <w14:solidFill>
              <w14:schemeClr w14:val="tx1"/>
            </w14:solidFill>
          </w14:textFill>
        </w:rPr>
        <w:t>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w:t>
      </w:r>
    </w:p>
    <w:p w14:paraId="6477F0DF">
      <w:pPr>
        <w:keepNext w:val="0"/>
        <w:keepLines w:val="0"/>
        <w:pageBreakBefore w:val="0"/>
        <w:widowControl w:val="0"/>
        <w:kinsoku/>
        <w:wordWrap/>
        <w:overflowPunct/>
        <w:topLinePunct w:val="0"/>
        <w:autoSpaceDE/>
        <w:autoSpaceDN/>
        <w:bidi w:val="0"/>
        <w:adjustRightInd w:val="0"/>
        <w:snapToGrid w:val="0"/>
        <w:spacing w:line="480" w:lineRule="exact"/>
        <w:ind w:left="0" w:leftChars="0" w:firstLine="562" w:firstLineChars="200"/>
        <w:textAlignment w:val="auto"/>
        <w:outlineLvl w:val="9"/>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详见《土地估价结果一览表》</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w:t>
      </w:r>
    </w:p>
    <w:p w14:paraId="52CF38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p>
    <w:p w14:paraId="1C791D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6F12FB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b/>
          <w:color w:val="000000" w:themeColor="text1"/>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3.区域经济发展状况、统计数据、城市规划资料、基准地价资料、估价中的相关参数资料等由湖南兆财不动产规划评估有限公司土地估价师通过查阅政府部门相关文件及公开媒体资讯等途径获取。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4.湖南兆财不动产规划评估有限公司土地估价师结合执业经验，对上述相关评估资料的真实性、合法性、有效性、适用性进行了尽职核实和专业判断。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40" w:lineRule="exact"/>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十二</w:t>
      </w:r>
      <w:r>
        <w:rPr>
          <w:rFonts w:hint="eastAsia" w:ascii="仿宋_GB2312" w:eastAsia="仿宋_GB2312"/>
          <w:b/>
          <w:color w:val="000000" w:themeColor="text1"/>
          <w:sz w:val="28"/>
          <w:szCs w:val="28"/>
          <w:highlight w:val="none"/>
          <w14:textFill>
            <w14:solidFill>
              <w14:schemeClr w14:val="tx1"/>
            </w14:solidFill>
          </w14:textFill>
        </w:rPr>
        <w:t>、土地估价机构</w:t>
      </w:r>
    </w:p>
    <w:p w14:paraId="29C8241E">
      <w:pPr>
        <w:tabs>
          <w:tab w:val="left" w:pos="3780"/>
        </w:tabs>
        <w:spacing w:before="240" w:beforeLines="100" w:line="440" w:lineRule="exact"/>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湖南兆财不动产规划评估有限公司</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 xml:space="preserve">                            </w:t>
      </w:r>
      <w:r>
        <w:rPr>
          <w:rFonts w:hint="eastAsia"/>
          <w:color w:val="000000" w:themeColor="text1"/>
          <w:highlight w:val="none"/>
          <w:lang w:val="en-US" w:eastAsia="zh-CN"/>
          <w14:textFill>
            <w14:solidFill>
              <w14:schemeClr w14:val="tx1"/>
            </w14:solidFill>
          </w14:textFill>
        </w:rPr>
        <w:t xml:space="preserve">      </w:t>
      </w:r>
      <w:r>
        <w:rPr>
          <w:rFonts w:hint="eastAsia"/>
          <w:color w:val="000000" w:themeColor="text1"/>
          <w:highlight w:val="none"/>
          <w:lang w:eastAsia="zh-CN"/>
          <w14:textFill>
            <w14:solidFill>
              <w14:schemeClr w14:val="tx1"/>
            </w14:solidFill>
          </w14:textFill>
        </w:rPr>
        <w:t>202</w:t>
      </w:r>
      <w:r>
        <w:rPr>
          <w:rFonts w:hint="eastAsia"/>
          <w:color w:val="000000" w:themeColor="text1"/>
          <w:highlight w:val="none"/>
          <w:lang w:val="en-US" w:eastAsia="zh-CN"/>
          <w14:textFill>
            <w14:solidFill>
              <w14:schemeClr w14:val="tx1"/>
            </w14:solidFill>
          </w14:textFill>
        </w:rPr>
        <w:t>5</w:t>
      </w:r>
      <w:r>
        <w:rPr>
          <w:rFonts w:hint="eastAsia"/>
          <w:color w:val="000000" w:themeColor="text1"/>
          <w:highlight w:val="none"/>
          <w:lang w:eastAsia="zh-CN"/>
          <w14:textFill>
            <w14:solidFill>
              <w14:schemeClr w14:val="tx1"/>
            </w14:solidFill>
          </w14:textFill>
        </w:rPr>
        <w:t>年</w:t>
      </w:r>
      <w:r>
        <w:rPr>
          <w:rFonts w:hint="eastAsia"/>
          <w:color w:val="000000" w:themeColor="text1"/>
          <w:highlight w:val="none"/>
          <w:lang w:val="en-US" w:eastAsia="zh-CN"/>
          <w14:textFill>
            <w14:solidFill>
              <w14:schemeClr w14:val="tx1"/>
            </w14:solidFill>
          </w14:textFill>
        </w:rPr>
        <w:t>11</w:t>
      </w:r>
      <w:r>
        <w:rPr>
          <w:rFonts w:hint="eastAsia"/>
          <w:color w:val="000000" w:themeColor="text1"/>
          <w:highlight w:val="none"/>
          <w:lang w:eastAsia="zh-CN"/>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28</w:t>
      </w:r>
      <w:r>
        <w:rPr>
          <w:rFonts w:hint="eastAsia"/>
          <w:color w:val="000000" w:themeColor="text1"/>
          <w:highlight w:val="none"/>
          <w:lang w:eastAsia="zh-CN"/>
          <w14:textFill>
            <w14:solidFill>
              <w14:schemeClr w14:val="tx1"/>
            </w14:solidFill>
          </w14:textFill>
        </w:rPr>
        <w:t>日</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520" w:lineRule="exact"/>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b/>
          <w:bCs/>
          <w:color w:val="000000" w:themeColor="text1"/>
          <w:sz w:val="28"/>
          <w:highlight w:val="none"/>
          <w:lang w:val="en-US" w:eastAsia="zh-CN"/>
          <w14:textFill>
            <w14:solidFill>
              <w14:schemeClr w14:val="tx1"/>
            </w14:solidFill>
          </w14:textFill>
        </w:rPr>
        <w:t xml:space="preserve"> </w:t>
      </w:r>
    </w:p>
    <w:p w14:paraId="2D9E7F20">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估价机构：湖南兆财不动产规划评估有限公司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估价期日：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2025年11月26日</w:t>
      </w:r>
    </w:p>
    <w:p w14:paraId="3F6401EE">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估价报告编号：</w:t>
      </w:r>
      <w:r>
        <w:rPr>
          <w:rFonts w:hint="eastAsia" w:ascii="仿宋_GB2312" w:eastAsia="仿宋_GB2312"/>
          <w:color w:val="000000" w:themeColor="text1"/>
          <w:spacing w:val="-6"/>
          <w:highlight w:val="none"/>
          <w:lang w:eastAsia="zh-CN"/>
          <w14:textFill>
            <w14:solidFill>
              <w14:schemeClr w14:val="tx1"/>
            </w14:solidFill>
          </w14:textFill>
        </w:rPr>
        <w:t>（湖南）湘兆财土地[2025]（</w:t>
      </w:r>
      <w:r>
        <w:rPr>
          <w:rFonts w:hint="eastAsia" w:ascii="仿宋_GB2312" w:eastAsia="仿宋_GB2312"/>
          <w:color w:val="000000" w:themeColor="text1"/>
          <w:spacing w:val="-6"/>
          <w:highlight w:val="none"/>
          <w:lang w:val="en-US" w:eastAsia="zh-CN"/>
          <w14:textFill>
            <w14:solidFill>
              <w14:schemeClr w14:val="tx1"/>
            </w14:solidFill>
          </w14:textFill>
        </w:rPr>
        <w:t>技</w:t>
      </w:r>
      <w:r>
        <w:rPr>
          <w:rFonts w:hint="eastAsia" w:ascii="仿宋_GB2312" w:eastAsia="仿宋_GB2312"/>
          <w:color w:val="000000" w:themeColor="text1"/>
          <w:spacing w:val="-6"/>
          <w:highlight w:val="none"/>
          <w:lang w:eastAsia="zh-CN"/>
          <w14:textFill>
            <w14:solidFill>
              <w14:schemeClr w14:val="tx1"/>
            </w14:solidFill>
          </w14:textFill>
        </w:rPr>
        <w:t>）字第ZC00</w:t>
      </w:r>
      <w:r>
        <w:rPr>
          <w:rFonts w:hint="eastAsia" w:ascii="仿宋_GB2312" w:eastAsia="仿宋_GB2312"/>
          <w:color w:val="000000" w:themeColor="text1"/>
          <w:spacing w:val="-6"/>
          <w:highlight w:val="none"/>
          <w:lang w:val="en-US" w:eastAsia="zh-CN"/>
          <w14:textFill>
            <w14:solidFill>
              <w14:schemeClr w14:val="tx1"/>
            </w14:solidFill>
          </w14:textFill>
        </w:rPr>
        <w:t>34</w:t>
      </w:r>
      <w:r>
        <w:rPr>
          <w:rFonts w:hint="eastAsia" w:ascii="仿宋_GB2312" w:eastAsia="仿宋_GB2312"/>
          <w:color w:val="000000" w:themeColor="text1"/>
          <w:spacing w:val="-6"/>
          <w:highlight w:val="none"/>
          <w:lang w:eastAsia="zh-CN"/>
          <w14:textFill>
            <w14:solidFill>
              <w14:schemeClr w14:val="tx1"/>
            </w14:solidFill>
          </w14:textFill>
        </w:rPr>
        <w:t>号</w:t>
      </w:r>
      <w:r>
        <w:rPr>
          <w:rFonts w:hint="eastAsia" w:ascii="仿宋_GB2312" w:eastAsia="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估价目的：</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出让</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估价期日土地使用者</w:t>
            </w:r>
          </w:p>
        </w:tc>
        <w:tc>
          <w:tcPr>
            <w:tcW w:w="310" w:type="pct"/>
            <w:vMerge w:val="restart"/>
            <w:vAlign w:val="cente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编号</w:t>
            </w:r>
          </w:p>
        </w:tc>
        <w:tc>
          <w:tcPr>
            <w:tcW w:w="358" w:type="pct"/>
            <w:vMerge w:val="restart"/>
            <w:vAlign w:val="cente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宗地名称</w:t>
            </w:r>
          </w:p>
        </w:tc>
        <w:tc>
          <w:tcPr>
            <w:tcW w:w="262" w:type="pct"/>
            <w:vMerge w:val="restart"/>
            <w:vAlign w:val="cente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土地使用证编号</w:t>
            </w:r>
          </w:p>
        </w:tc>
        <w:tc>
          <w:tcPr>
            <w:tcW w:w="626" w:type="pct"/>
            <w:gridSpan w:val="3"/>
            <w:vAlign w:val="cente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估价期日的用途</w:t>
            </w:r>
          </w:p>
        </w:tc>
        <w:tc>
          <w:tcPr>
            <w:tcW w:w="706" w:type="pct"/>
            <w:gridSpan w:val="3"/>
            <w:vAlign w:val="cente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容积率</w:t>
            </w:r>
          </w:p>
        </w:tc>
        <w:tc>
          <w:tcPr>
            <w:tcW w:w="431" w:type="pct"/>
            <w:vMerge w:val="restart"/>
            <w:vAlign w:val="cente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估价期日实际土地开发程度</w:t>
            </w:r>
          </w:p>
        </w:tc>
        <w:tc>
          <w:tcPr>
            <w:tcW w:w="513" w:type="pct"/>
            <w:vMerge w:val="restart"/>
            <w:vAlign w:val="cente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估价设定土地开发程度</w:t>
            </w:r>
          </w:p>
        </w:tc>
        <w:tc>
          <w:tcPr>
            <w:tcW w:w="267" w:type="pct"/>
            <w:vMerge w:val="restart"/>
            <w:vAlign w:val="cente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剩余土地使用权年期（年）</w:t>
            </w:r>
          </w:p>
        </w:tc>
        <w:tc>
          <w:tcPr>
            <w:tcW w:w="320" w:type="pct"/>
            <w:vMerge w:val="restart"/>
            <w:vAlign w:val="cente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面积(㎡)</w:t>
            </w:r>
          </w:p>
        </w:tc>
        <w:tc>
          <w:tcPr>
            <w:tcW w:w="219" w:type="pct"/>
            <w:vMerge w:val="restart"/>
            <w:vAlign w:val="cente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地面地价(元/㎡)</w:t>
            </w:r>
          </w:p>
        </w:tc>
        <w:tc>
          <w:tcPr>
            <w:tcW w:w="229" w:type="pct"/>
            <w:vMerge w:val="restart"/>
            <w:vAlign w:val="cente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楼面地价(元/㎡)</w:t>
            </w:r>
          </w:p>
        </w:tc>
        <w:tc>
          <w:tcPr>
            <w:tcW w:w="283" w:type="pct"/>
            <w:vMerge w:val="restart"/>
            <w:vAlign w:val="cente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(万元)</w:t>
            </w:r>
          </w:p>
        </w:tc>
        <w:tc>
          <w:tcPr>
            <w:tcW w:w="217" w:type="pct"/>
            <w:vMerge w:val="restart"/>
            <w:vAlign w:val="cente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证载（或批准）</w:t>
            </w:r>
          </w:p>
        </w:tc>
        <w:tc>
          <w:tcPr>
            <w:tcW w:w="175" w:type="pct"/>
            <w:vAlign w:val="cente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194" w:type="pct"/>
            <w:vAlign w:val="cente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257" w:type="pct"/>
            <w:vAlign w:val="cente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规划</w:t>
            </w:r>
          </w:p>
        </w:tc>
        <w:tc>
          <w:tcPr>
            <w:tcW w:w="147" w:type="pct"/>
            <w:vAlign w:val="cente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300" w:type="pct"/>
            <w:vAlign w:val="cente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通过出让方式确定</w:t>
            </w:r>
          </w:p>
        </w:tc>
        <w:tc>
          <w:tcPr>
            <w:tcW w:w="310" w:type="pct"/>
            <w:vAlign w:val="cente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2025018</w:t>
            </w:r>
          </w:p>
        </w:tc>
        <w:tc>
          <w:tcPr>
            <w:tcW w:w="358" w:type="pct"/>
            <w:vAlign w:val="cente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道县</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湖南紫金新材料产业集聚区（2025018号地块）</w:t>
            </w:r>
          </w:p>
        </w:tc>
        <w:tc>
          <w:tcPr>
            <w:tcW w:w="262" w:type="pct"/>
            <w:vAlign w:val="cente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待办</w:t>
            </w:r>
          </w:p>
        </w:tc>
        <w:tc>
          <w:tcPr>
            <w:tcW w:w="257" w:type="pct"/>
            <w:vAlign w:val="cente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175" w:type="pct"/>
            <w:vAlign w:val="cente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194" w:type="pct"/>
            <w:vAlign w:val="cente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257" w:type="pct"/>
            <w:vAlign w:val="cente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0.7-1.5</w:t>
            </w:r>
          </w:p>
        </w:tc>
        <w:tc>
          <w:tcPr>
            <w:tcW w:w="147" w:type="pct"/>
            <w:vAlign w:val="cente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300" w:type="pct"/>
            <w:vAlign w:val="cente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w:t>
            </w:r>
          </w:p>
        </w:tc>
        <w:tc>
          <w:tcPr>
            <w:tcW w:w="431" w:type="pct"/>
            <w:vAlign w:val="cente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513" w:type="pct"/>
            <w:vAlign w:val="cente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267" w:type="pct"/>
            <w:vAlign w:val="cente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30</w:t>
            </w:r>
          </w:p>
        </w:tc>
        <w:tc>
          <w:tcPr>
            <w:tcW w:w="320" w:type="pct"/>
            <w:vAlign w:val="cente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4829.6</w:t>
            </w:r>
          </w:p>
        </w:tc>
        <w:tc>
          <w:tcPr>
            <w:tcW w:w="219" w:type="pct"/>
            <w:vAlign w:val="cente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159</w:t>
            </w:r>
          </w:p>
        </w:tc>
        <w:tc>
          <w:tcPr>
            <w:tcW w:w="229" w:type="pct"/>
            <w:vAlign w:val="cente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w:t>
            </w:r>
          </w:p>
        </w:tc>
        <w:tc>
          <w:tcPr>
            <w:tcW w:w="283" w:type="pct"/>
            <w:shd w:val="clear" w:color="auto" w:fill="auto"/>
            <w:vAlign w:val="cente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76.79</w:t>
            </w:r>
          </w:p>
        </w:tc>
        <w:tc>
          <w:tcPr>
            <w:tcW w:w="217" w:type="pct"/>
            <w:vAlign w:val="cente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合</w:t>
            </w:r>
            <w:r>
              <w:rPr>
                <w:rFonts w:hint="eastAsia" w:ascii="仿宋_GB2312" w:hAnsi="仿宋_GB2312" w:eastAsia="仿宋_GB2312" w:cs="仿宋_GB2312"/>
                <w:color w:val="000000" w:themeColor="text1"/>
                <w:spacing w:val="0"/>
                <w:sz w:val="21"/>
                <w:szCs w:val="21"/>
                <w:highlight w:val="none"/>
                <w:lang w:val="en-US" w:eastAsia="zh-CN"/>
                <w14:textFill>
                  <w14:solidFill>
                    <w14:schemeClr w14:val="tx1"/>
                  </w14:solidFill>
                </w14:textFill>
              </w:rPr>
              <w:t>10.7</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1.根据《关于国有建设用地的规划条件的函》（</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2025年9月11日</w:t>
      </w:r>
      <w:r>
        <w:rPr>
          <w:rFonts w:hint="eastAsia" w:ascii="仿宋_GB2312" w:hAnsi="仿宋_GB2312" w:eastAsia="仿宋_GB2312" w:cs="仿宋_GB2312"/>
          <w:color w:val="000000" w:themeColor="text1"/>
          <w:szCs w:val="21"/>
          <w:highlight w:val="none"/>
          <w14:textFill>
            <w14:solidFill>
              <w14:schemeClr w14:val="tx1"/>
            </w14:solidFill>
          </w14:textFill>
        </w:rPr>
        <w:t>），估价对象位于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估价对象土地所有权为国有，土地使用权性质为</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拟出让</w:t>
      </w:r>
      <w:r>
        <w:rPr>
          <w:rFonts w:hint="eastAsia" w:ascii="仿宋_GB2312" w:hAnsi="仿宋_GB2312" w:eastAsia="仿宋_GB2312" w:cs="仿宋_GB2312"/>
          <w:color w:val="000000" w:themeColor="text1"/>
          <w:szCs w:val="21"/>
          <w:highlight w:val="none"/>
          <w14:textFill>
            <w14:solidFill>
              <w14:schemeClr w14:val="tx1"/>
            </w14:solidFill>
          </w14:textFill>
        </w:rPr>
        <w:t>，土地使用者拟通过挂牌出让确定。根据委托方提供相关资料和估价人员调查结果，截至估价期日估价对象未有抵押权、地役权、租赁权等他项权利登记，本次评估设定估价对象地上无抵押权、地役权、租赁权等他项权利登记；</w:t>
      </w:r>
    </w:p>
    <w:p w14:paraId="764C00F5">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2.基础设施条件：估价对象土地实际开发程度为宗地红线外</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红线内场地平整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无</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建筑物</w:t>
      </w:r>
      <w:r>
        <w:rPr>
          <w:rFonts w:hint="eastAsia" w:ascii="仿宋_GB2312" w:hAnsi="仿宋_GB2312" w:eastAsia="仿宋_GB2312" w:cs="仿宋_GB2312"/>
          <w:color w:val="000000" w:themeColor="text1"/>
          <w:szCs w:val="21"/>
          <w:highlight w:val="none"/>
          <w14:textFill>
            <w14:solidFill>
              <w14:schemeClr w14:val="tx1"/>
            </w14:solidFill>
          </w14:textFill>
        </w:rPr>
        <w:t>，详见下表。</w:t>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3.规划限制条件：根据</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，估价对象为位于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09B67B4D">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2.本估价报告有效期自提交估价报告日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5年11月28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至</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27</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一年内有效。</w:t>
      </w:r>
    </w:p>
    <w:p w14:paraId="0F35ED77">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本评估报告中涉及的土地面积、土地权属、土地用途、规划利用指标以委托方提供的</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和《道县2025018号地块建设用地规划红线图》为依据，本报告估价结果是在满足地价定义所设定条件下的使用权价格，若估价期日、土地利用方式、土地开发状况、土地面积等影响地价的任一因素发生变化，则该估价结果应作相应调整。</w:t>
      </w:r>
    </w:p>
    <w:p w14:paraId="3B16025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14:textFill>
            <w14:solidFill>
              <w14:schemeClr w14:val="tx1"/>
            </w14:solidFill>
          </w14:textFill>
        </w:rPr>
        <w:t>依据</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道县自然资源局</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本次评估面积以拟出让地块</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红线</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图的供应面积为准</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0A4925A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湖南兆财不动产规划评估有限公司</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p>
    <w:p w14:paraId="68903E9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120" w:beforeLines="50" w:after="240" w:afterLines="100" w:line="44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0ACA34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3BAF27C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.土地权利性质：国有储备用地，现拟办理出让手续；</w:t>
      </w:r>
    </w:p>
    <w:p w14:paraId="6F34BA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《关于道县2025年第七批次建设用地农用地转用和土地征收的批复》（湘政地〔2025〕1205号，2025年9月5日），</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四马桥镇立山村第六、七组共有农用地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，于20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日经湖南省人民政府办理了农用地转用手续后，转变为国有新增建设用地。宗地范围内土地征收安置补偿已全部落实到位，土地权利清晰，现为国有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储备</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2BC263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p>
    <w:p w14:paraId="589906E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EE1C3F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临林地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，北临支路；</w:t>
      </w:r>
    </w:p>
    <w:p w14:paraId="53AF627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AFCD0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lang w:val="en-US" w:eastAsia="zh-CN"/>
          <w14:textFill>
            <w14:solidFill>
              <w14:schemeClr w14:val="tx1"/>
            </w14:solidFill>
          </w14:textFill>
        </w:rPr>
        <w:t>8</w:t>
      </w:r>
      <w:r>
        <w:rPr>
          <w:rFonts w:hint="eastAsia" w:ascii="仿宋_GB2312" w:eastAsia="仿宋_GB2312"/>
          <w:color w:val="000000" w:themeColor="text1"/>
          <w:sz w:val="28"/>
          <w:highlight w:val="none"/>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eastAsia="仿宋_GB2312"/>
          <w:color w:val="000000" w:themeColor="text1"/>
          <w:sz w:val="28"/>
          <w:highlight w:val="none"/>
          <w14:textFill>
            <w14:solidFill>
              <w14:schemeClr w14:val="tx1"/>
            </w14:solidFill>
          </w14:textFill>
        </w:rPr>
        <w:t>；</w:t>
      </w:r>
    </w:p>
    <w:p w14:paraId="799A5D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工业用地30年，此次评估设定土地使用权年限为工业用地30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22F969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498D5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009E15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004CA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AED5A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28A2F2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3881333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4F8BBEB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估价对象为拟出让用地，未办理登记手续，故暂无土地使用权人、土地权利证书编号、登记时间、地籍图号、宗地号、终止日期等相关信息。</w:t>
      </w:r>
    </w:p>
    <w:p w14:paraId="647664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537ADF1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1.土地所有权状况：于估价期日，估价对象的土地所有权属国家所有；</w:t>
      </w:r>
    </w:p>
    <w:p w14:paraId="6D98C76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2.土地使用权状况：根据此次估价目的，估价对象土地使用权人拟通过挂牌出让方式确定。</w:t>
      </w:r>
    </w:p>
    <w:p w14:paraId="7F729A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0E3889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4A6C838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281B323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估价方提供的资料和土地估价师现场勘查结果，估价对象至估价期日已完成征地拆迁手续，达到净地出让条件，宗地现状开发程度为土地开发程度为宗地红线外“五通”（即通路、通电、通讯、供水、排水），宗地红线内场地平整，利用现状为待开发建设用地。</w:t>
      </w:r>
    </w:p>
    <w:p w14:paraId="1CAD1E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37B4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0FBA63E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21" name="图片 2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3A23E3E8">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7620" b="13970"/>
                  <wp:docPr id="2" name="图片 2"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5DBDB5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《关于国有建设用地的规划条件的函》（2025年</w:t>
      </w:r>
      <w:r>
        <w:rPr>
          <w:rFonts w:hint="eastAsia" w:ascii="仿宋_GB2312" w:eastAsia="仿宋_GB2312"/>
          <w:color w:val="000000" w:themeColor="text1"/>
          <w:sz w:val="28"/>
          <w:szCs w:val="30"/>
          <w:highlight w:val="none"/>
          <w:lang w:val="en-US" w:eastAsia="zh-CN"/>
          <w14:textFill>
            <w14:solidFill>
              <w14:schemeClr w14:val="tx1"/>
            </w14:solidFill>
          </w14:textFill>
        </w:rPr>
        <w:t>9</w:t>
      </w:r>
      <w:r>
        <w:rPr>
          <w:rFonts w:hint="eastAsia" w:ascii="仿宋_GB2312" w:eastAsia="仿宋_GB2312"/>
          <w:color w:val="000000" w:themeColor="text1"/>
          <w:sz w:val="28"/>
          <w:szCs w:val="30"/>
          <w:highlight w:val="none"/>
          <w:lang w:eastAsia="zh-CN"/>
          <w14:textFill>
            <w14:solidFill>
              <w14:schemeClr w14:val="tx1"/>
            </w14:solidFill>
          </w14:textFill>
        </w:rPr>
        <w:t>月</w:t>
      </w:r>
      <w:r>
        <w:rPr>
          <w:rFonts w:hint="eastAsia" w:ascii="仿宋_GB2312" w:eastAsia="仿宋_GB2312"/>
          <w:color w:val="000000" w:themeColor="text1"/>
          <w:sz w:val="28"/>
          <w:szCs w:val="30"/>
          <w:highlight w:val="none"/>
          <w:lang w:val="en-US" w:eastAsia="zh-CN"/>
          <w14:textFill>
            <w14:solidFill>
              <w14:schemeClr w14:val="tx1"/>
            </w14:solidFill>
          </w14:textFill>
        </w:rPr>
        <w:t>11</w:t>
      </w:r>
      <w:r>
        <w:rPr>
          <w:rFonts w:hint="eastAsia" w:ascii="仿宋_GB2312" w:eastAsia="仿宋_GB2312"/>
          <w:color w:val="000000" w:themeColor="text1"/>
          <w:sz w:val="28"/>
          <w:szCs w:val="30"/>
          <w:highlight w:val="none"/>
          <w:lang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3A8FFF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53D714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2F97057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估价对象位于道县四马桥镇。</w:t>
      </w:r>
    </w:p>
    <w:p w14:paraId="540109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w:t>
      </w:r>
      <w:r>
        <w:rPr>
          <w:rFonts w:hint="eastAsia" w:ascii="仿宋_GB2312" w:eastAsia="仿宋_GB2312"/>
          <w:color w:val="000000" w:themeColor="text1"/>
          <w:sz w:val="28"/>
          <w:highlight w:val="none"/>
          <w14:textFill>
            <w14:solidFill>
              <w14:schemeClr w14:val="tx1"/>
            </w14:solidFill>
          </w14:textFill>
        </w:rPr>
        <w:t>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4EFEB1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22A6A9A8">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3012DFB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301FE25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估价对象位于道县湖南紫金新材料产业集聚区，</w:t>
      </w:r>
      <w:r>
        <w:rPr>
          <w:rFonts w:hint="eastAsia" w:ascii="仿宋_GB2312" w:eastAsia="仿宋_GB2312"/>
          <w:color w:val="000000" w:themeColor="text1"/>
          <w:sz w:val="28"/>
          <w:highlight w:val="none"/>
          <w14:textFill>
            <w14:solidFill>
              <w14:schemeClr w14:val="tx1"/>
            </w14:solidFill>
          </w14:textFill>
        </w:rPr>
        <w:t>估价对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价对象交通由支路构成，区域交通条件差。距离最近火车站（江华火车站）约12km，距火车站距离差；区域基础设施状况一般，</w:t>
      </w:r>
      <w:r>
        <w:rPr>
          <w:rFonts w:hint="eastAsia" w:ascii="仿宋_GB2312" w:eastAsia="仿宋_GB2312"/>
          <w:color w:val="000000" w:themeColor="text1"/>
          <w:sz w:val="28"/>
          <w:szCs w:val="30"/>
          <w:highlight w:val="none"/>
          <w:lang w:val="en-US" w:eastAsia="zh-CN"/>
          <w14:textFill>
            <w14:solidFill>
              <w14:schemeClr w14:val="tx1"/>
            </w14:solidFill>
          </w14:textFill>
        </w:rPr>
        <w:t>区域内</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产业集聚度差。</w:t>
      </w:r>
    </w:p>
    <w:p w14:paraId="01D16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估价对象位于道县湖南紫金新材料聚集区。</w:t>
      </w:r>
    </w:p>
    <w:p w14:paraId="08A6E3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根据委托估价方提供的《关于国有建设用地的规划条件的函》（2025年9月11日），估价对象土地面积为4829.6平方米，面积适中，对土地利用有利。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根据委托估价方提供的《道县2025018号地块建设用地规划红线图》，宗地形状基本规则，对利用无影响。</w:t>
      </w:r>
    </w:p>
    <w:p w14:paraId="295C580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日）及现场勘查状况，估价对象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678B10F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本次评估根据最有效利用原则，估价对象在规划利用下价值利用状况为最有效利用。故设定估价对象为工业用地，设定容积率为1.5，其余指标均取规划值为最佳利用方式。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480" w:lineRule="exact"/>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14:paraId="2E94584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（1）采用的估价方法及理由</w:t>
      </w:r>
    </w:p>
    <w:p w14:paraId="0E32640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①成本逼近法</w:t>
      </w:r>
    </w:p>
    <w:p w14:paraId="6788E2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eastAsia="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案例，能够通过征地案例的调查分析，对各项土地取得成本进行量化得出土地价格。根据道县自然资源和规划局土地利用科提出的意见，本次评估采用成本逼近法作为评估方法之一。</w:t>
      </w:r>
    </w:p>
    <w:p w14:paraId="04F6BC1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②市场比较法</w:t>
      </w:r>
    </w:p>
    <w:p w14:paraId="55A3B5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土地规划用途为工业用地，宗地所在区域周边有同类型土地市场成交案例，可以选择到与估价对象相类似的近期已经发生交易的纯土地市场交易案例，通过对比较案例考虑期日、用途、年期、交易方式、区域因素、个别因素等影响因素的修正，得出估价对象的土地价格，适宜选用市场比较法进行评估。</w:t>
      </w:r>
    </w:p>
    <w:p w14:paraId="344F742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（2）不采用的估价方法及理由</w:t>
      </w:r>
    </w:p>
    <w:p w14:paraId="380CDAC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①收益还原法</w:t>
      </w:r>
    </w:p>
    <w:p w14:paraId="611290A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估价对象设定用途为工业用地，因区域内工矿仓储用房用于租赁的案例不足，且多为自用，无法收集到合适的租金案例进行价格计算，且房屋租金收益难以剥离，故本次评估不采用收益还原法。</w:t>
      </w:r>
    </w:p>
    <w:p w14:paraId="30C366F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②剩余法</w:t>
      </w:r>
    </w:p>
    <w:p w14:paraId="0EC581B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为工业用地，虽然为待开发项目用地，但区域内工业用地大多开发完成后自用，难以找到与估价对象现状利用条件相似的建成后房屋市场交易案例，不能通过市场比较法合理确定房地产总价、扣除开发项目整体的开发成本、客观开发利润来求取单位面积地价，故不采用剩余法进行评估。</w:t>
      </w:r>
    </w:p>
    <w:p w14:paraId="265FD9C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③公示地价系数修正法</w:t>
      </w:r>
    </w:p>
    <w:p w14:paraId="428D5C3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的颁布实施时间为2019年11月22日，城区基准地价估价期日为2019年5月1日，批准文号为道政函〔2019〕85号,文件名称为《关于更新城区基准地价和制订11个建制镇基准地价的通告》（道政函〔2019〕85号，2019年11月22日），批准机关为道县人民政府，本次估价期日为2025年11月26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4DB740E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综上，本次评估采用成本逼近法与市场比较法。</w:t>
      </w:r>
    </w:p>
    <w:p w14:paraId="0745FAB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（二）估价过程</w:t>
      </w:r>
    </w:p>
    <w:p w14:paraId="467CA4E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t>★</w:t>
      </w:r>
      <w:r>
        <w:rPr>
          <w:rFonts w:hint="eastAsia" w:ascii="仿宋_GB2312" w:eastAsia="仿宋_GB2312" w:cs="Times New Roman"/>
          <w:b/>
          <w:bCs/>
          <w:color w:val="000000" w:themeColor="text1"/>
          <w:sz w:val="28"/>
          <w:szCs w:val="30"/>
          <w:highlight w:val="none"/>
          <w:lang w:val="en-US" w:eastAsia="zh-CN"/>
          <w14:textFill>
            <w14:solidFill>
              <w14:schemeClr w14:val="tx1"/>
            </w14:solidFill>
          </w14:textFill>
        </w:rPr>
        <w:t>成本逼近</w:t>
      </w:r>
      <w:r>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t>法</w:t>
      </w:r>
    </w:p>
    <w:p w14:paraId="0910535E">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成本逼近法是以开发土地所耗费的各项费用之和为主要依据，再加上一定的利润、利息、应缴纳的税金和土地增值收益来确定土地价格的估价方法。成本逼近法的基本计算公式如下：</w:t>
      </w:r>
    </w:p>
    <w:p w14:paraId="5E727388">
      <w:pPr>
        <w:spacing w:line="480" w:lineRule="exact"/>
        <w:jc w:val="center"/>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p>
    <w:p w14:paraId="3E75BECF">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式中：</w:t>
      </w:r>
    </w:p>
    <w:p w14:paraId="15ED7B7F">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V—估价价格</w:t>
      </w:r>
    </w:p>
    <w:p w14:paraId="35F47356">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—土地取得费</w:t>
      </w:r>
    </w:p>
    <w:p w14:paraId="709A412C">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—土地开发费</w:t>
      </w:r>
    </w:p>
    <w:p w14:paraId="145D7F00">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T—税费</w:t>
      </w:r>
    </w:p>
    <w:p w14:paraId="3E6D47BD">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—利息</w:t>
      </w:r>
    </w:p>
    <w:p w14:paraId="483880B5">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—利润</w:t>
      </w:r>
    </w:p>
    <w:p w14:paraId="2A2431E1">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—土地增值</w:t>
      </w:r>
    </w:p>
    <w:p w14:paraId="628E7285">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—土地成本价</w:t>
      </w:r>
    </w:p>
    <w:p w14:paraId="30B9D8A1">
      <w:pPr>
        <w:snapToGrid w:val="0"/>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计算过程：</w:t>
      </w:r>
    </w:p>
    <w:p w14:paraId="7B0008FE">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w:t>
      </w:r>
      <w:r>
        <w:rPr>
          <w:rFonts w:eastAsia="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《关于道县2025年第七批次建设用地农用地转用和土地征收的批复》（湘政地〔2025〕1205号，2025年9月5日）</w:t>
      </w:r>
      <w:r>
        <w:rPr>
          <w:rFonts w:eastAsia="仿宋_GB2312"/>
          <w:color w:val="000000" w:themeColor="text1"/>
          <w:sz w:val="28"/>
          <w:szCs w:val="28"/>
          <w:highlight w:val="none"/>
          <w14:textFill>
            <w14:solidFill>
              <w14:schemeClr w14:val="tx1"/>
            </w14:solidFill>
          </w14:textFill>
        </w:rPr>
        <w:t>，评估宗地</w:t>
      </w:r>
      <w:r>
        <w:rPr>
          <w:rFonts w:hint="eastAsia" w:eastAsia="仿宋_GB2312"/>
          <w:color w:val="000000" w:themeColor="text1"/>
          <w:sz w:val="28"/>
          <w:szCs w:val="28"/>
          <w:highlight w:val="none"/>
          <w:lang w:val="en-US" w:eastAsia="zh-CN"/>
          <w14:textFill>
            <w14:solidFill>
              <w14:schemeClr w14:val="tx1"/>
            </w14:solidFill>
          </w14:textFill>
        </w:rPr>
        <w:t>征收地类为林地</w:t>
      </w:r>
      <w:r>
        <w:rPr>
          <w:rFonts w:eastAsia="仿宋_GB2312"/>
          <w:color w:val="000000" w:themeColor="text1"/>
          <w:sz w:val="28"/>
          <w:szCs w:val="28"/>
          <w:highlight w:val="none"/>
          <w14:textFill>
            <w14:solidFill>
              <w14:schemeClr w14:val="tx1"/>
            </w14:solidFill>
          </w14:textFill>
        </w:rPr>
        <w:t>，此次采用成本逼近法评估待估宗地地价时，估价期日被征用的土地为</w:t>
      </w:r>
      <w:r>
        <w:rPr>
          <w:rFonts w:hint="eastAsia" w:eastAsia="仿宋_GB2312"/>
          <w:color w:val="000000" w:themeColor="text1"/>
          <w:sz w:val="28"/>
          <w:szCs w:val="28"/>
          <w:highlight w:val="none"/>
          <w:lang w:val="en-US" w:eastAsia="zh-CN"/>
          <w14:textFill>
            <w14:solidFill>
              <w14:schemeClr w14:val="tx1"/>
            </w14:solidFill>
          </w14:textFill>
        </w:rPr>
        <w:t>林地</w:t>
      </w:r>
      <w:r>
        <w:rPr>
          <w:rFonts w:eastAsia="仿宋_GB2312"/>
          <w:color w:val="000000" w:themeColor="text1"/>
          <w:sz w:val="28"/>
          <w:szCs w:val="28"/>
          <w:highlight w:val="none"/>
          <w14:textFill>
            <w14:solidFill>
              <w14:schemeClr w14:val="tx1"/>
            </w14:solidFill>
          </w14:textFill>
        </w:rPr>
        <w:t>。</w:t>
      </w:r>
    </w:p>
    <w:p w14:paraId="12014A94">
      <w:pPr>
        <w:pStyle w:val="3"/>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估价对象的估价期日为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2025年11月26日</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，根据新土地管理法规定结合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2024年2月1日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以及湖南省、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w:t>
      </w:r>
      <w:r>
        <w:rPr>
          <w:rFonts w:hint="eastAsia" w:ascii="仿宋_GB2312" w:hAnsi="仿宋_GB2312" w:eastAsia="仿宋_GB2312" w:cs="仿宋_GB2312"/>
          <w:color w:val="000000" w:themeColor="text1"/>
          <w:sz w:val="28"/>
          <w:szCs w:val="28"/>
          <w:highlight w:val="none"/>
          <w14:textFill>
            <w14:solidFill>
              <w14:schemeClr w14:val="tx1"/>
            </w14:solidFill>
          </w14:textFill>
        </w:rPr>
        <w:t>颁布其他各项文件为依据。根据成本逼近法测算地价的步骤，其各项费用如下：</w:t>
      </w:r>
    </w:p>
    <w:p w14:paraId="7635C4C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7D86FBF2">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65BC3185">
      <w:pPr>
        <w:spacing w:line="480" w:lineRule="exact"/>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3413BDC6">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征地补偿区片</w:t>
      </w:r>
      <w:r>
        <w:rPr>
          <w:rFonts w:hint="default" w:ascii="Times New Roman" w:hAnsi="Times New Roman" w:eastAsia="仿宋_GB2312" w:cs="Times New Roman"/>
          <w:color w:val="000000" w:themeColor="text1"/>
          <w:sz w:val="28"/>
          <w:szCs w:val="28"/>
          <w:highlight w:val="none"/>
          <w14:textFill>
            <w14:solidFill>
              <w14:schemeClr w14:val="tx1"/>
            </w14:solidFill>
          </w14:textFill>
        </w:rPr>
        <w:t>Ⅱ</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61800×0.67=41406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242E0789">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1BD53A44">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29F2A19E">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color w:val="000000" w:themeColor="text1"/>
          <w:sz w:val="28"/>
          <w:highlight w:val="none"/>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的</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青苗补偿标准为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4000</w:t>
      </w:r>
      <w:r>
        <w:rPr>
          <w:rFonts w:hint="eastAsia" w:ascii="仿宋_GB2312" w:hAnsi="仿宋_GB2312" w:eastAsia="仿宋_GB2312" w:cs="仿宋_GB2312"/>
          <w:color w:val="000000" w:themeColor="text1"/>
          <w:sz w:val="28"/>
          <w:highlight w:val="none"/>
          <w14:textFill>
            <w14:solidFill>
              <w14:schemeClr w14:val="tx1"/>
            </w14:solidFill>
          </w14:textFill>
        </w:rPr>
        <w:t>元/亩，合</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元/㎡；</w:t>
      </w:r>
    </w:p>
    <w:p w14:paraId="712D0A6E">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故：土地取得费＝①＋②=</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68.11</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16C88BB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2B82684F">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61A1A959">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B81009F">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6F59EDF5">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占用林地的，耕地占用税具体适用税额在当地适用税额的基础上降低百分之二十。</w:t>
      </w:r>
    </w:p>
    <w:p w14:paraId="63B4C807">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故此次评估取</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25×0.8=20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CE7E04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7EDC0DA4">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32C700E3">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23693356">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3C617A5">
      <w:pPr>
        <w:snapToGrid w:val="0"/>
        <w:spacing w:line="440" w:lineRule="exact"/>
        <w:ind w:firstLine="560"/>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⑤新菜地开发基金或森林植被恢复费</w:t>
      </w:r>
    </w:p>
    <w:p w14:paraId="5A4263D9">
      <w:pPr>
        <w:snapToGrid w:val="0"/>
        <w:spacing w:line="440" w:lineRule="exact"/>
        <w:ind w:firstLine="560"/>
        <w:rPr>
          <w:rFonts w:hint="default" w:ascii="仿宋_GB2312" w:hAnsi="仿宋_GB2312" w:eastAsia="仿宋_GB2312" w:cs="仿宋_GB2312"/>
          <w:color w:val="000000" w:themeColor="text1"/>
          <w:sz w:val="28"/>
          <w:highlight w:val="none"/>
          <w:lang w:val="en-US" w:eastAsia="zh-CN"/>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根据</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关于印发&lt;湖南省森林植被恢复费征收使用管理实施办法&gt;的通知</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（湘财税〔2024〕10号，2024年4月12日）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郁闭度0.2以上的乔木林地(含采伐迹地、火烧迹地)、竹林地、苗圃地,每平方米10元;灌木林地、疏林地、未成林造林地,每平方米6元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14:textFill>
            <w14:solidFill>
              <w14:schemeClr w14:val="tx1"/>
            </w14:solidFill>
          </w14:textFill>
        </w:rPr>
        <w:t>（二）国家和省级公益林林地，按照（一）款规定征收标准的2倍征收</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lang w:val="en-US" w:eastAsia="zh-CN"/>
          <w14:textFill>
            <w14:solidFill>
              <w14:schemeClr w14:val="tx1"/>
            </w14:solidFill>
          </w14:textFill>
        </w:rPr>
        <w:t>三</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城市规划区外的林地,按占用征收林地建设项目性质实行不同征收标准。</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属于公共基础设施、公共事业和国防建设项目的,按照(一)、(二)款规定征收标准征收;属于经营性建设项目的,按照第(一)、(二)款规定征收标准2倍征收。</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估计对象为乔木林地，确定估价对象森林植被恢复费为20元/平方米。</w:t>
      </w:r>
    </w:p>
    <w:p w14:paraId="1DC17F85">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71.6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5D7E92F">
      <w:pPr>
        <w:snapToGrid w:val="0"/>
        <w:spacing w:line="440" w:lineRule="exact"/>
        <w:ind w:firstLine="56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8"/>
          <w:highlight w:val="none"/>
          <w14:textFill>
            <w14:solidFill>
              <w14:schemeClr w14:val="tx1"/>
            </w14:solidFill>
          </w14:textFill>
        </w:rPr>
        <w:t xml:space="preserve"> 估价对象土地取得费及相关税费一览表</w:t>
      </w:r>
    </w:p>
    <w:tbl>
      <w:tblPr>
        <w:tblStyle w:val="9"/>
        <w:tblW w:w="4998" w:type="pct"/>
        <w:jc w:val="center"/>
        <w:tblLayout w:type="autofit"/>
        <w:tblCellMar>
          <w:top w:w="0" w:type="dxa"/>
          <w:left w:w="0" w:type="dxa"/>
          <w:bottom w:w="0" w:type="dxa"/>
          <w:right w:w="0" w:type="dxa"/>
        </w:tblCellMar>
      </w:tblPr>
      <w:tblGrid>
        <w:gridCol w:w="1051"/>
        <w:gridCol w:w="1154"/>
        <w:gridCol w:w="1228"/>
        <w:gridCol w:w="1206"/>
        <w:gridCol w:w="1178"/>
        <w:gridCol w:w="1351"/>
        <w:gridCol w:w="1351"/>
      </w:tblGrid>
      <w:tr w14:paraId="166BDAB5">
        <w:tblPrEx>
          <w:tblCellMar>
            <w:top w:w="0" w:type="dxa"/>
            <w:left w:w="0" w:type="dxa"/>
            <w:bottom w:w="0" w:type="dxa"/>
            <w:right w:w="0" w:type="dxa"/>
          </w:tblCellMar>
        </w:tblPrEx>
        <w:trPr>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bl>
    <w:p w14:paraId="5D47A72E">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0DDA16D">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spacing w:before="120" w:beforeLines="50" w:after="120" w:afterLines="5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2道县</w:t>
      </w:r>
      <w:r>
        <w:rPr>
          <w:rFonts w:hint="eastAsia" w:ascii="仿宋_GB2312" w:hAnsi="仿宋_GB2312" w:eastAsia="仿宋_GB2312" w:cs="仿宋_GB2312"/>
          <w:color w:val="000000" w:themeColor="text1"/>
          <w:sz w:val="28"/>
          <w:highlight w:val="none"/>
          <w14:textFill>
            <w14:solidFill>
              <w14:schemeClr w14:val="tx1"/>
            </w14:solidFill>
          </w14:textFill>
        </w:rPr>
        <w:t>城区土地开发费用分项一览表</w:t>
      </w:r>
    </w:p>
    <w:tbl>
      <w:tblPr>
        <w:tblStyle w:val="9"/>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128"/>
        <w:gridCol w:w="1050"/>
        <w:gridCol w:w="898"/>
        <w:gridCol w:w="837"/>
        <w:gridCol w:w="895"/>
        <w:gridCol w:w="1257"/>
        <w:gridCol w:w="771"/>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bl>
    <w:p w14:paraId="753AB5B3">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639EF8B8">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根据待估宗地的开发程度和开发规模及实际调查分析，确定土地开发周期为1年，中国人民银行授权全国银行间同业拆借中心公布，2025年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269FB4AD">
      <w:pPr>
        <w:tabs>
          <w:tab w:val="left" w:pos="8520"/>
        </w:tabs>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snapToGrid w:val="0"/>
        <w:spacing w:line="440" w:lineRule="exact"/>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45</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77753B0">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04F82BA0">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06ED8042">
      <w:pPr>
        <w:keepNext w:val="0"/>
        <w:keepLines w:val="0"/>
        <w:pageBreakBefore w:val="0"/>
        <w:widowControl w:val="0"/>
        <w:kinsoku/>
        <w:wordWrap/>
        <w:overflowPunct/>
        <w:topLinePunct w:val="0"/>
        <w:autoSpaceDE/>
        <w:autoSpaceDN/>
        <w:bidi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75B35539">
      <w:pPr>
        <w:keepNext w:val="0"/>
        <w:keepLines w:val="0"/>
        <w:pageBreakBefore w:val="0"/>
        <w:widowControl w:val="0"/>
        <w:kinsoku/>
        <w:wordWrap/>
        <w:overflowPunct/>
        <w:topLinePunct w:val="0"/>
        <w:autoSpaceDE/>
        <w:autoSpaceDN/>
        <w:bidi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FC35A46">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11.09</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483BD6CE">
      <w:pPr>
        <w:adjustRightInd w:val="0"/>
        <w:snapToGrid w:val="0"/>
        <w:spacing w:line="300" w:lineRule="auto"/>
        <w:ind w:left="561"/>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0CB1562C">
      <w:pPr>
        <w:adjustRightInd w:val="0"/>
        <w:snapToGrid w:val="0"/>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土地增值是待估土地因改变用途或进行土地开发，达到建设用地的某种利用条件而发生的价值增加，是土地开发后市场价格与成本价格之间的差额。估价人员通过对</w:t>
      </w:r>
      <w:r>
        <w:rPr>
          <w:rFonts w:hint="eastAsia" w:eastAsia="仿宋_GB2312"/>
          <w:color w:val="000000" w:themeColor="text1"/>
          <w:sz w:val="28"/>
          <w:szCs w:val="28"/>
          <w:highlight w:val="none"/>
          <w:lang w:val="en-US" w:eastAsia="zh-CN"/>
          <w14:textFill>
            <w14:solidFill>
              <w14:schemeClr w14:val="tx1"/>
            </w14:solidFill>
          </w14:textFill>
        </w:rPr>
        <w:t>永州市道县工业</w:t>
      </w:r>
      <w:r>
        <w:rPr>
          <w:rFonts w:eastAsia="仿宋_GB2312"/>
          <w:color w:val="000000" w:themeColor="text1"/>
          <w:sz w:val="28"/>
          <w:szCs w:val="28"/>
          <w:highlight w:val="none"/>
          <w14:textFill>
            <w14:solidFill>
              <w14:schemeClr w14:val="tx1"/>
            </w14:solidFill>
          </w14:textFill>
        </w:rPr>
        <w:t>用地的增值收益情况的调查，</w:t>
      </w:r>
      <w:r>
        <w:rPr>
          <w:rFonts w:hint="eastAsia" w:eastAsia="仿宋_GB2312"/>
          <w:color w:val="000000" w:themeColor="text1"/>
          <w:sz w:val="28"/>
          <w:szCs w:val="28"/>
          <w:highlight w:val="none"/>
          <w:lang w:val="en-US" w:eastAsia="zh-CN"/>
          <w14:textFill>
            <w14:solidFill>
              <w14:schemeClr w14:val="tx1"/>
            </w14:solidFill>
          </w14:textFill>
        </w:rPr>
        <w:t>永州市道县</w:t>
      </w:r>
      <w:r>
        <w:rPr>
          <w:rFonts w:eastAsia="仿宋_GB2312"/>
          <w:color w:val="000000" w:themeColor="text1"/>
          <w:sz w:val="28"/>
          <w:szCs w:val="28"/>
          <w:highlight w:val="none"/>
          <w14:textFill>
            <w14:solidFill>
              <w14:schemeClr w14:val="tx1"/>
            </w14:solidFill>
          </w14:textFill>
        </w:rPr>
        <w:t>公用</w:t>
      </w:r>
      <w:r>
        <w:rPr>
          <w:rFonts w:hint="eastAsia" w:eastAsia="仿宋_GB2312"/>
          <w:color w:val="000000" w:themeColor="text1"/>
          <w:sz w:val="28"/>
          <w:szCs w:val="28"/>
          <w:highlight w:val="none"/>
          <w:lang w:val="en-US" w:eastAsia="zh-CN"/>
          <w14:textFill>
            <w14:solidFill>
              <w14:schemeClr w14:val="tx1"/>
            </w14:solidFill>
          </w14:textFill>
        </w:rPr>
        <w:t>工业用地</w:t>
      </w:r>
      <w:r>
        <w:rPr>
          <w:rFonts w:eastAsia="仿宋_GB2312"/>
          <w:color w:val="000000" w:themeColor="text1"/>
          <w:sz w:val="28"/>
          <w:szCs w:val="28"/>
          <w:highlight w:val="none"/>
          <w14:textFill>
            <w14:solidFill>
              <w14:schemeClr w14:val="tx1"/>
            </w14:solidFill>
          </w14:textFill>
        </w:rPr>
        <w:t>增值收益率为土地成本价格的</w:t>
      </w:r>
      <w:r>
        <w:rPr>
          <w:rFonts w:hint="eastAsia" w:eastAsia="仿宋_GB2312"/>
          <w:color w:val="000000" w:themeColor="text1"/>
          <w:sz w:val="28"/>
          <w:szCs w:val="28"/>
          <w:highlight w:val="none"/>
          <w:lang w:val="en-US" w:eastAsia="zh-CN"/>
          <w14:textFill>
            <w14:solidFill>
              <w14:schemeClr w14:val="tx1"/>
            </w14:solidFill>
          </w14:textFill>
        </w:rPr>
        <w:t>5</w:t>
      </w:r>
      <w:r>
        <w:rPr>
          <w:rFonts w:eastAsia="仿宋_GB2312"/>
          <w:color w:val="000000" w:themeColor="text1"/>
          <w:sz w:val="28"/>
          <w:szCs w:val="28"/>
          <w:highlight w:val="none"/>
          <w14:textFill>
            <w14:solidFill>
              <w14:schemeClr w14:val="tx1"/>
            </w14:solidFill>
          </w14:textFill>
        </w:rPr>
        <w:t>%，结合宗地所在区域土地市场行情，此次评估确定取土地成本的</w:t>
      </w:r>
      <w:r>
        <w:rPr>
          <w:rFonts w:hint="eastAsia" w:eastAsia="仿宋_GB2312"/>
          <w:color w:val="000000" w:themeColor="text1"/>
          <w:sz w:val="28"/>
          <w:szCs w:val="28"/>
          <w:highlight w:val="none"/>
          <w:lang w:val="en-US" w:eastAsia="zh-CN"/>
          <w14:textFill>
            <w14:solidFill>
              <w14:schemeClr w14:val="tx1"/>
            </w14:solidFill>
          </w14:textFill>
        </w:rPr>
        <w:t>5</w:t>
      </w:r>
      <w:r>
        <w:rPr>
          <w:rFonts w:eastAsia="仿宋_GB2312"/>
          <w:color w:val="000000" w:themeColor="text1"/>
          <w:sz w:val="28"/>
          <w:szCs w:val="28"/>
          <w:highlight w:val="none"/>
          <w14:textFill>
            <w14:solidFill>
              <w14:schemeClr w14:val="tx1"/>
            </w14:solidFill>
          </w14:textFill>
        </w:rPr>
        <w:t>%为土地增值收益率</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4D61C400">
      <w:pPr>
        <w:adjustRightInd w:val="0"/>
        <w:snapToGrid w:val="0"/>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土地增值收益=土地成本价格×土地增值收益率</w:t>
      </w:r>
    </w:p>
    <w:p w14:paraId="756FEAF2">
      <w:pPr>
        <w:adjustRightInd w:val="0"/>
        <w:snapToGrid w:val="0"/>
        <w:spacing w:line="480" w:lineRule="exact"/>
        <w:ind w:firstLine="2240" w:firstLineChars="8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67.51+71.6+82+5.42+11.09</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3150796B">
      <w:pPr>
        <w:pStyle w:val="2"/>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11.91元</w:t>
      </w: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/平方米 </w:t>
      </w:r>
    </w:p>
    <w:p w14:paraId="05745F0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highlight w:val="none"/>
          <w14:textFill>
            <w14:solidFill>
              <w14:schemeClr w14:val="tx1"/>
            </w14:solidFill>
          </w14:textFill>
        </w:rPr>
        <w:t>、土地使用年期修正系数</w:t>
      </w:r>
    </w:p>
    <w:p w14:paraId="0B56739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土地使用年期</w:t>
      </w:r>
      <w:r>
        <w:rPr>
          <w:rFonts w:hint="eastAsia" w:ascii="仿宋_GB2312" w:hAnsi="仿宋_GB2312" w:eastAsia="仿宋_GB2312" w:cs="仿宋_GB2312"/>
          <w:bCs/>
          <w:color w:val="000000" w:themeColor="text1"/>
          <w:sz w:val="28"/>
          <w:highlight w:val="none"/>
          <w14:textFill>
            <w14:solidFill>
              <w14:schemeClr w14:val="tx1"/>
            </w14:solidFill>
          </w14:textFill>
        </w:rPr>
        <w:t>修正系数为：</w:t>
      </w:r>
    </w:p>
    <w:p w14:paraId="527D24A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年期修正系数=1－1/ (1+r)</w:t>
      </w:r>
      <w:r>
        <w:rPr>
          <w:rFonts w:hint="eastAsia" w:ascii="仿宋_GB2312" w:hAnsi="仿宋_GB2312" w:eastAsia="仿宋_GB2312" w:cs="仿宋_GB2312"/>
          <w:bCs/>
          <w:color w:val="000000" w:themeColor="text1"/>
          <w:sz w:val="28"/>
          <w:highlight w:val="none"/>
          <w:vertAlign w:val="superscript"/>
          <w14:textFill>
            <w14:solidFill>
              <w14:schemeClr w14:val="tx1"/>
            </w14:solidFill>
          </w14:textFill>
        </w:rPr>
        <w:t>n</w:t>
      </w:r>
    </w:p>
    <w:p w14:paraId="67179F0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其中: r─土地还原利率；</w:t>
      </w:r>
    </w:p>
    <w:p w14:paraId="13EB30C6">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 xml:space="preserve">     n─估价对象设定土地使用年期；</w:t>
      </w:r>
    </w:p>
    <w:p w14:paraId="2584B326">
      <w:pPr>
        <w:overflowPunct w:val="0"/>
        <w:autoSpaceDE w:val="0"/>
        <w:autoSpaceDN w:val="0"/>
        <w:snapToGrid w:val="0"/>
        <w:spacing w:line="460" w:lineRule="exact"/>
        <w:ind w:firstLine="565" w:firstLineChars="202"/>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 w:hAnsi="仿宋" w:eastAsia="仿宋"/>
          <w:snapToGrid w:val="0"/>
          <w:color w:val="000000" w:themeColor="text1"/>
          <w:kern w:val="0"/>
          <w:sz w:val="28"/>
          <w:szCs w:val="28"/>
          <w:highlight w:val="none"/>
          <w14:textFill>
            <w14:solidFill>
              <w14:schemeClr w14:val="tx1"/>
            </w14:solidFill>
          </w14:textFill>
        </w:rPr>
        <w:t>土地还原率确定</w:t>
      </w:r>
      <w:r>
        <w:rPr>
          <w:rFonts w:ascii="仿宋" w:hAnsi="仿宋" w:eastAsia="仿宋"/>
          <w:snapToGrid w:val="0"/>
          <w:color w:val="000000" w:themeColor="text1"/>
          <w:kern w:val="0"/>
          <w:sz w:val="28"/>
          <w:szCs w:val="28"/>
          <w:highlight w:val="none"/>
          <w14:textFill>
            <w14:solidFill>
              <w14:schemeClr w14:val="tx1"/>
            </w14:solidFill>
          </w14:textFill>
        </w:rPr>
        <w:t>过程</w:t>
      </w:r>
      <w:r>
        <w:rPr>
          <w:rFonts w:hint="eastAsia" w:ascii="仿宋" w:hAnsi="仿宋" w:eastAsia="仿宋"/>
          <w:snapToGrid w:val="0"/>
          <w:color w:val="000000" w:themeColor="text1"/>
          <w:kern w:val="0"/>
          <w:sz w:val="28"/>
          <w:szCs w:val="28"/>
          <w:highlight w:val="none"/>
          <w14:textFill>
            <w14:solidFill>
              <w14:schemeClr w14:val="tx1"/>
            </w14:solidFill>
          </w14:textFill>
        </w:rPr>
        <w:t>：</w:t>
      </w:r>
    </w:p>
    <w:p w14:paraId="7870B36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还原利率的确定方法是安全利率加风险调整值法，安全利率采用中国外汇交易中心（全国银行间同业拆借中心）公布的一年期国债收益率1.4453%（2025年5月19日中国外汇交易中心（全国银行间同业拆借中心）），风险调整值根据各市场风险因素对土地市场的影响程度而确定。</w:t>
      </w:r>
    </w:p>
    <w:p w14:paraId="69F9C122">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①土地市场风险程度分析</w:t>
      </w:r>
    </w:p>
    <w:p w14:paraId="0B2D182F">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40074E14">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表3-3 风险因素因子对不同土地利用类型的影响程度分析</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3892"/>
        <w:gridCol w:w="2268"/>
      </w:tblGrid>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风险因素</w:t>
            </w:r>
          </w:p>
        </w:tc>
        <w:tc>
          <w:tcPr>
            <w:tcW w:w="2284" w:type="pct"/>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风险因子</w:t>
            </w:r>
          </w:p>
        </w:tc>
        <w:tc>
          <w:tcPr>
            <w:tcW w:w="1331" w:type="pct"/>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2284" w:type="pct"/>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31" w:type="pct"/>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31" w:type="pct"/>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31" w:type="pct"/>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31" w:type="pct"/>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2284" w:type="pct"/>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31" w:type="pct"/>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31" w:type="pct"/>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31" w:type="pct"/>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31" w:type="pct"/>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2284" w:type="pct"/>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31" w:type="pct"/>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31" w:type="pct"/>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31" w:type="pct"/>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bl>
    <w:p w14:paraId="509E1C1C">
      <w:pPr>
        <w:spacing w:line="460" w:lineRule="exact"/>
        <w:ind w:firstLine="600" w:firstLineChars="250"/>
        <w:rPr>
          <w:rFonts w:hint="eastAsia"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注：A最严重；B较严重；C不严重；D无影响</w:t>
      </w:r>
    </w:p>
    <w:p w14:paraId="6AC84F1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②风险因素因子权重值的确定</w:t>
      </w:r>
    </w:p>
    <w:p w14:paraId="14A15A5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77CEFCC7">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表3-4 风险因素、因子权重值</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影响因素</w:t>
            </w:r>
          </w:p>
        </w:tc>
        <w:tc>
          <w:tcPr>
            <w:tcW w:w="949" w:type="pct"/>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c>
          <w:tcPr>
            <w:tcW w:w="1708" w:type="pct"/>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影响因子</w:t>
            </w:r>
          </w:p>
        </w:tc>
        <w:tc>
          <w:tcPr>
            <w:tcW w:w="1308" w:type="pct"/>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949" w:type="pct"/>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0.3234</w:t>
            </w:r>
          </w:p>
        </w:tc>
        <w:tc>
          <w:tcPr>
            <w:tcW w:w="1708" w:type="pct"/>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08" w:type="pct"/>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08" w:type="pct"/>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08" w:type="pct"/>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08" w:type="pct"/>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949" w:type="pct"/>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0.3922</w:t>
            </w:r>
          </w:p>
        </w:tc>
        <w:tc>
          <w:tcPr>
            <w:tcW w:w="1708" w:type="pct"/>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08" w:type="pct"/>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08" w:type="pct"/>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08" w:type="pct"/>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08" w:type="pct"/>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949" w:type="pct"/>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0.2844</w:t>
            </w:r>
          </w:p>
        </w:tc>
        <w:tc>
          <w:tcPr>
            <w:tcW w:w="1708" w:type="pct"/>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08" w:type="pct"/>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08" w:type="pct"/>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08" w:type="pct"/>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0.3125</w:t>
            </w:r>
          </w:p>
        </w:tc>
      </w:tr>
    </w:tbl>
    <w:p w14:paraId="6221BD3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③风险调整值的确定</w:t>
      </w:r>
    </w:p>
    <w:p w14:paraId="5FB3484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风险调整值的大小由市场风险因素因子对土地市场的影响程度决定，本次评估将对市场风险影响程度赋值，即：风险因素对土地市场无影响时，风险调整值为0；风险因素对土地市场影响不严重时，风险调整值为2%；风险因素对土地市场影响较严重时，风险调整值为4%；风险因素对土地市场影响最严重时，风险调整值为6%。</w:t>
      </w:r>
    </w:p>
    <w:p w14:paraId="4EBE8394">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表3-5 风险调整值赋值表</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0"/>
        <w:gridCol w:w="1611"/>
        <w:gridCol w:w="1716"/>
        <w:gridCol w:w="1717"/>
        <w:gridCol w:w="1718"/>
      </w:tblGrid>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 w:hAnsi="仿宋" w:eastAsia="仿宋"/>
                <w:color w:val="000000" w:themeColor="text1"/>
                <w:spacing w:val="-20"/>
                <w:sz w:val="18"/>
                <w:szCs w:val="18"/>
                <w:highlight w:val="none"/>
                <w14:textFill>
                  <w14:solidFill>
                    <w14:schemeClr w14:val="tx1"/>
                  </w14:solidFill>
                </w14:textFill>
              </w:rPr>
              <w:t>市场风险影响程度</w:t>
            </w:r>
          </w:p>
        </w:tc>
        <w:tc>
          <w:tcPr>
            <w:tcW w:w="1773" w:type="dxa"/>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无影响（D）</w:t>
            </w:r>
          </w:p>
        </w:tc>
        <w:tc>
          <w:tcPr>
            <w:tcW w:w="1896" w:type="dxa"/>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不严重（C）</w:t>
            </w:r>
          </w:p>
        </w:tc>
        <w:tc>
          <w:tcPr>
            <w:tcW w:w="1897" w:type="dxa"/>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较严重（B）</w:t>
            </w:r>
          </w:p>
        </w:tc>
        <w:tc>
          <w:tcPr>
            <w:tcW w:w="1897" w:type="dxa"/>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风险调整值</w:t>
            </w:r>
          </w:p>
        </w:tc>
        <w:tc>
          <w:tcPr>
            <w:tcW w:w="1773" w:type="dxa"/>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0</w:t>
            </w:r>
          </w:p>
        </w:tc>
        <w:tc>
          <w:tcPr>
            <w:tcW w:w="1896" w:type="dxa"/>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2%</w:t>
            </w:r>
          </w:p>
        </w:tc>
        <w:tc>
          <w:tcPr>
            <w:tcW w:w="1897" w:type="dxa"/>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4%</w:t>
            </w:r>
          </w:p>
        </w:tc>
        <w:tc>
          <w:tcPr>
            <w:tcW w:w="1897" w:type="dxa"/>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8%</w:t>
            </w:r>
          </w:p>
        </w:tc>
      </w:tr>
    </w:tbl>
    <w:p w14:paraId="3904894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根据风险调整值赋值与道县风险因素、因子权重值，确定的道县风险调整值结果见下表。</w:t>
      </w:r>
    </w:p>
    <w:p w14:paraId="43385650">
      <w:pPr>
        <w:spacing w:line="440" w:lineRule="exact"/>
        <w:ind w:firstLine="560" w:firstLineChars="200"/>
        <w:jc w:val="center"/>
        <w:rPr>
          <w:rFonts w:hint="eastAsia" w:ascii="仿宋" w:hAnsi="仿宋" w:eastAsia="仿宋"/>
          <w:color w:val="000000" w:themeColor="text1"/>
          <w:sz w:val="24"/>
          <w:highlight w:val="none"/>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表3-6 道县土地市场风险调整值结果</w:t>
      </w:r>
    </w:p>
    <w:tbl>
      <w:tblPr>
        <w:tblStyle w:val="9"/>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95"/>
        <w:gridCol w:w="6025"/>
      </w:tblGrid>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43" w:hRule="atLeast"/>
        </w:trPr>
        <w:tc>
          <w:tcPr>
            <w:tcW w:w="1464" w:type="pct"/>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土地市场</w:t>
            </w:r>
          </w:p>
        </w:tc>
        <w:tc>
          <w:tcPr>
            <w:tcW w:w="3535" w:type="pct"/>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64" w:type="pct"/>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风险调整值</w:t>
            </w:r>
          </w:p>
        </w:tc>
        <w:tc>
          <w:tcPr>
            <w:tcW w:w="3535" w:type="pct"/>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3234×</w:t>
            </w:r>
            <w:r>
              <w:rPr>
                <w:rFonts w:hint="eastAsia" w:ascii="仿宋" w:hAnsi="仿宋" w:eastAsia="仿宋"/>
                <w:color w:val="000000" w:themeColor="text1"/>
                <w:szCs w:val="21"/>
                <w:highlight w:val="none"/>
                <w:lang w:val="en-US" w:eastAsia="zh-CN"/>
                <w14:textFill>
                  <w14:solidFill>
                    <w14:schemeClr w14:val="tx1"/>
                  </w14:solidFill>
                </w14:textFill>
              </w:rPr>
              <w:t>3.00</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ascii="仿宋" w:hAnsi="仿宋" w:eastAsia="仿宋"/>
                <w:color w:val="000000" w:themeColor="text1"/>
                <w:szCs w:val="21"/>
                <w:highlight w:val="none"/>
                <w14:textFill>
                  <w14:solidFill>
                    <w14:schemeClr w14:val="tx1"/>
                  </w14:solidFill>
                </w14:textFill>
              </w:rPr>
              <w:t>0.3922×</w:t>
            </w:r>
            <w:r>
              <w:rPr>
                <w:rFonts w:hint="eastAsia" w:ascii="仿宋" w:hAnsi="仿宋" w:eastAsia="仿宋"/>
                <w:color w:val="000000" w:themeColor="text1"/>
                <w:szCs w:val="21"/>
                <w:highlight w:val="none"/>
                <w:lang w:val="en-US" w:eastAsia="zh-CN"/>
                <w14:textFill>
                  <w14:solidFill>
                    <w14:schemeClr w14:val="tx1"/>
                  </w14:solidFill>
                </w14:textFill>
              </w:rPr>
              <w:t>4.00%</w:t>
            </w: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2844×</w:t>
            </w:r>
            <w:r>
              <w:rPr>
                <w:rFonts w:hint="eastAsia" w:ascii="仿宋" w:hAnsi="仿宋" w:eastAsia="仿宋"/>
                <w:color w:val="000000" w:themeColor="text1"/>
                <w:szCs w:val="21"/>
                <w:highlight w:val="none"/>
                <w:lang w:val="en-US" w:eastAsia="zh-CN"/>
                <w14:textFill>
                  <w14:solidFill>
                    <w14:schemeClr w14:val="tx1"/>
                  </w14:solidFill>
                </w14:textFill>
              </w:rPr>
              <w:t>5</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lang w:val="en-US" w:eastAsia="zh-CN"/>
                <w14:textFill>
                  <w14:solidFill>
                    <w14:schemeClr w14:val="tx1"/>
                  </w14:solidFill>
                </w14:textFill>
              </w:rPr>
              <w:t>3.96</w:t>
            </w:r>
            <w:r>
              <w:rPr>
                <w:rFonts w:ascii="仿宋" w:hAnsi="仿宋" w:eastAsia="仿宋"/>
                <w:color w:val="000000" w:themeColor="text1"/>
                <w:szCs w:val="21"/>
                <w:highlight w:val="none"/>
                <w14:textFill>
                  <w14:solidFill>
                    <w14:schemeClr w14:val="tx1"/>
                  </w14:solidFill>
                </w14:textFill>
              </w:rPr>
              <w:t>%</w:t>
            </w:r>
          </w:p>
        </w:tc>
      </w:tr>
    </w:tbl>
    <w:p w14:paraId="61D6513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④还原利率的确定</w:t>
      </w:r>
    </w:p>
    <w:p w14:paraId="7BAC3A4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根据安全利率加风险调整值法确定还原利率的公式，由于前文已经确定了商业用地及住宅用地的还原利率，因此，根据还原利率=安全利率+风险调整值。</w:t>
      </w:r>
    </w:p>
    <w:p w14:paraId="57B736C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 w:hAnsi="仿宋" w:eastAsia="仿宋"/>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工业用地还原利率＝1.4453%＋3.96%≈5.4%</w:t>
      </w:r>
    </w:p>
    <w:p w14:paraId="39F2CF9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估价对象</w:t>
      </w:r>
      <w:r>
        <w:rPr>
          <w:rFonts w:hint="eastAsia" w:ascii="仿宋_GB2312" w:hAnsi="仿宋_GB2312" w:eastAsia="仿宋_GB2312" w:cs="仿宋_GB2312"/>
          <w:bCs/>
          <w:color w:val="000000" w:themeColor="text1"/>
          <w:sz w:val="28"/>
          <w:highlight w:val="none"/>
          <w:lang w:eastAsia="zh-CN"/>
          <w14:textFill>
            <w14:solidFill>
              <w14:schemeClr w14:val="tx1"/>
            </w14:solidFill>
          </w14:textFill>
        </w:rPr>
        <w:t>设定使用年期为</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工业用地30年，土地还原率为5.4%，则年期修正系数=1-（1/（1+5.4%）</w:t>
      </w:r>
      <w:r>
        <w:rPr>
          <w:rFonts w:hint="eastAsia" w:ascii="仿宋_GB2312" w:hAnsi="仿宋_GB2312" w:eastAsia="仿宋_GB2312" w:cs="仿宋_GB2312"/>
          <w:bCs/>
          <w:color w:val="000000" w:themeColor="text1"/>
          <w:sz w:val="28"/>
          <w:highlight w:val="none"/>
          <w:vertAlign w:val="superscript"/>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p>
    <w:p w14:paraId="3022FD4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CCB8F6E">
      <w:pPr>
        <w:keepNext w:val="0"/>
        <w:keepLines w:val="0"/>
        <w:pageBreakBefore w:val="0"/>
        <w:widowControl w:val="0"/>
        <w:kinsoku/>
        <w:wordWrap/>
        <w:overflowPunct/>
        <w:topLinePunct w:val="0"/>
        <w:autoSpaceDE/>
        <w:autoSpaceDN/>
        <w:bidi w:val="0"/>
        <w:adjustRightInd/>
        <w:spacing w:line="480" w:lineRule="exact"/>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3-7</w:t>
      </w: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道县工业用地</w:t>
      </w:r>
      <w:r>
        <w:rPr>
          <w:rFonts w:hint="eastAsia" w:ascii="仿宋_GB2312" w:hAnsi="仿宋_GB2312" w:eastAsia="仿宋_GB2312" w:cs="仿宋_GB2312"/>
          <w:color w:val="000000" w:themeColor="text1"/>
          <w:sz w:val="28"/>
          <w:highlight w:val="none"/>
          <w14:textFill>
            <w14:solidFill>
              <w14:schemeClr w14:val="tx1"/>
            </w14:solidFill>
          </w14:textFill>
        </w:rPr>
        <w:t>宗地地价区域因素修正系数表（%）</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5"/>
        <w:gridCol w:w="1735"/>
        <w:gridCol w:w="928"/>
        <w:gridCol w:w="953"/>
        <w:gridCol w:w="1015"/>
        <w:gridCol w:w="701"/>
        <w:gridCol w:w="1066"/>
        <w:gridCol w:w="1066"/>
      </w:tblGrid>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bl>
    <w:p w14:paraId="1B48BDC2">
      <w:pPr>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3-8道县工业用地</w:t>
      </w:r>
      <w:r>
        <w:rPr>
          <w:rFonts w:hint="eastAsia" w:ascii="仿宋_GB2312" w:hAnsi="仿宋_GB2312" w:eastAsia="仿宋_GB2312" w:cs="仿宋_GB2312"/>
          <w:color w:val="000000" w:themeColor="text1"/>
          <w:sz w:val="28"/>
          <w:highlight w:val="none"/>
          <w14:textFill>
            <w14:solidFill>
              <w14:schemeClr w14:val="tx1"/>
            </w14:solidFill>
          </w14:textFill>
        </w:rPr>
        <w:t>宗地地价区域因素修正系数指标说明表</w:t>
      </w:r>
    </w:p>
    <w:tbl>
      <w:tblPr>
        <w:tblStyle w:val="9"/>
        <w:tblW w:w="4985" w:type="pct"/>
        <w:tblInd w:w="0" w:type="dxa"/>
        <w:tblLayout w:type="fixed"/>
        <w:tblCellMar>
          <w:top w:w="0" w:type="dxa"/>
          <w:left w:w="108" w:type="dxa"/>
          <w:bottom w:w="0" w:type="dxa"/>
          <w:right w:w="108" w:type="dxa"/>
        </w:tblCellMar>
      </w:tblPr>
      <w:tblGrid>
        <w:gridCol w:w="850"/>
        <w:gridCol w:w="1303"/>
        <w:gridCol w:w="1247"/>
        <w:gridCol w:w="1423"/>
        <w:gridCol w:w="1658"/>
        <w:gridCol w:w="1076"/>
        <w:gridCol w:w="940"/>
      </w:tblGrid>
      <w:tr w14:paraId="5E4A0D5C">
        <w:tblPrEx>
          <w:tblCellMar>
            <w:top w:w="0" w:type="dxa"/>
            <w:left w:w="108" w:type="dxa"/>
            <w:bottom w:w="0" w:type="dxa"/>
            <w:right w:w="108" w:type="dxa"/>
          </w:tblCellMar>
        </w:tblPrEx>
        <w:trPr>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bl>
    <w:p w14:paraId="2073112B">
      <w:pPr>
        <w:pStyle w:val="5"/>
        <w:jc w:val="center"/>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表</w:t>
      </w:r>
      <w:r>
        <w:rPr>
          <w:rFonts w:hint="eastAsia" w:ascii="仿宋_GB2312" w:eastAsia="仿宋_GB2312"/>
          <w:color w:val="000000" w:themeColor="text1"/>
          <w:sz w:val="28"/>
          <w:szCs w:val="28"/>
          <w:highlight w:val="none"/>
          <w:lang w:val="en-US" w:eastAsia="zh-CN"/>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w:t>
      </w:r>
      <w:r>
        <w:rPr>
          <w:rFonts w:hint="eastAsia" w:ascii="仿宋_GB2312" w:eastAsia="仿宋_GB2312"/>
          <w:color w:val="000000" w:themeColor="text1"/>
          <w:sz w:val="28"/>
          <w:szCs w:val="28"/>
          <w:highlight w:val="none"/>
          <w:lang w:val="en-US" w:eastAsia="zh-CN"/>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 xml:space="preserve"> 宗地地价影响因素条件说明、修正系数表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1"/>
        <w:gridCol w:w="2115"/>
        <w:gridCol w:w="3028"/>
        <w:gridCol w:w="1007"/>
        <w:gridCol w:w="961"/>
      </w:tblGrid>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43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bl>
    <w:p w14:paraId="39ABDD8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根据上述修正过程，确定区位条件修正系数为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-4.3494</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D27463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highlight w:val="none"/>
          <w14:textFill>
            <w14:solidFill>
              <w14:schemeClr w14:val="tx1"/>
            </w14:solidFill>
          </w14:textFill>
        </w:rPr>
        <w:t>、成本逼近法价格计算</w:t>
      </w:r>
    </w:p>
    <w:p w14:paraId="65E8E0B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color w:val="000000" w:themeColor="text1"/>
          <w:sz w:val="28"/>
          <w:highlight w:val="none"/>
          <w14:textFill>
            <w14:solidFill>
              <w14:schemeClr w14:val="tx1"/>
            </w14:solidFill>
          </w14:textFill>
        </w:rPr>
        <w:t>（土地取得费+相关税费+土地开发费+投资利息+投资利润</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+土地增值收益</w:t>
      </w:r>
      <w:r>
        <w:rPr>
          <w:rFonts w:hint="eastAsia" w:ascii="仿宋_GB2312" w:hAnsi="仿宋_GB2312" w:eastAsia="仿宋_GB2312" w:cs="仿宋_GB2312"/>
          <w:color w:val="000000" w:themeColor="text1"/>
          <w:sz w:val="28"/>
          <w:highlight w:val="none"/>
          <w14:textFill>
            <w14:solidFill>
              <w14:schemeClr w14:val="tx1"/>
            </w14:solidFill>
          </w14:textFill>
        </w:rPr>
        <w:t>）×土地使用年期修正系数×区位修正系数</w:t>
      </w:r>
    </w:p>
    <w:p w14:paraId="0E378DA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67.51+71.6+82+5.42+11.09+11.91</w:t>
      </w:r>
      <w:r>
        <w:rPr>
          <w:rFonts w:hint="eastAsia" w:ascii="仿宋_GB2312" w:hAnsi="仿宋_GB2312" w:eastAsia="仿宋_GB2312" w:cs="仿宋_GB2312"/>
          <w:bCs/>
          <w:color w:val="000000" w:themeColor="text1"/>
          <w:sz w:val="28"/>
          <w:highlight w:val="none"/>
          <w14:textFill>
            <w14:solidFill>
              <w14:schemeClr w14:val="tx1"/>
            </w14:solidFill>
          </w14:textFill>
        </w:rPr>
        <w:t>）</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1-4.3494%）</w:t>
      </w:r>
      <w:r>
        <w:rPr>
          <w:rFonts w:hint="eastAsia" w:ascii="仿宋_GB2312" w:hAnsi="仿宋_GB2312" w:eastAsia="仿宋_GB2312" w:cs="仿宋_GB2312"/>
          <w:bCs/>
          <w:color w:val="000000" w:themeColor="text1"/>
          <w:sz w:val="28"/>
          <w:highlight w:val="none"/>
          <w14:textFill>
            <w14:solidFill>
              <w14:schemeClr w14:val="tx1"/>
            </w14:solidFill>
          </w14:textFill>
        </w:rPr>
        <w:t>＝</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189.9</w:t>
      </w:r>
      <w:r>
        <w:rPr>
          <w:rFonts w:hint="eastAsia" w:ascii="仿宋_GB2312" w:hAnsi="仿宋_GB2312" w:eastAsia="仿宋_GB2312" w:cs="仿宋_GB2312"/>
          <w:bCs/>
          <w:color w:val="000000" w:themeColor="text1"/>
          <w:sz w:val="28"/>
          <w:highlight w:val="none"/>
          <w14:textFill>
            <w14:solidFill>
              <w14:schemeClr w14:val="tx1"/>
            </w14:solidFill>
          </w14:textFill>
        </w:rPr>
        <w:t>（元／平方米）</w:t>
      </w:r>
    </w:p>
    <w:p w14:paraId="12F594D5">
      <w:pPr>
        <w:pStyle w:val="3"/>
        <w:adjustRightInd w:val="0"/>
        <w:snapToGrid w:val="0"/>
        <w:spacing w:line="480" w:lineRule="exact"/>
        <w:ind w:left="0" w:firstLine="560" w:firstLineChars="200"/>
        <w:outlineLvl w:val="9"/>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0"/>
          <w:highlight w:val="none"/>
          <w14:textFill>
            <w14:solidFill>
              <w14:schemeClr w14:val="tx1"/>
            </w14:solidFill>
          </w14:textFill>
        </w:rPr>
        <w:t>成本逼近法</w:t>
      </w:r>
      <w:r>
        <w:rPr>
          <w:rFonts w:hint="eastAsia" w:ascii="仿宋_GB2312" w:hAnsi="仿宋_GB2312" w:eastAsia="仿宋_GB2312" w:cs="仿宋_GB2312"/>
          <w:color w:val="000000" w:themeColor="text1"/>
          <w:sz w:val="28"/>
          <w:highlight w:val="none"/>
          <w14:textFill>
            <w14:solidFill>
              <w14:schemeClr w14:val="tx1"/>
            </w14:solidFill>
          </w14:textFill>
        </w:rPr>
        <w:t>测算地价的结果为：估价对象于估价期日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2025年11月26日</w:t>
      </w:r>
      <w:r>
        <w:rPr>
          <w:rFonts w:hint="eastAsia" w:ascii="仿宋_GB2312" w:hAnsi="仿宋_GB2312" w:eastAsia="仿宋_GB2312" w:cs="仿宋_GB2312"/>
          <w:color w:val="000000" w:themeColor="text1"/>
          <w:sz w:val="28"/>
          <w:highlight w:val="none"/>
          <w14:textFill>
            <w14:solidFill>
              <w14:schemeClr w14:val="tx1"/>
            </w14:solidFill>
          </w14:textFill>
        </w:rPr>
        <w:t>，在设定土地用途，设定土地使用年限，设定土地开发程度，规划利用条件下的国有土地</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出让</w:t>
      </w:r>
      <w:r>
        <w:rPr>
          <w:rFonts w:hint="eastAsia" w:ascii="仿宋_GB2312" w:hAnsi="仿宋_GB2312" w:eastAsia="仿宋_GB2312" w:cs="仿宋_GB2312"/>
          <w:color w:val="000000" w:themeColor="text1"/>
          <w:sz w:val="28"/>
          <w:highlight w:val="none"/>
          <w14:textFill>
            <w14:solidFill>
              <w14:schemeClr w14:val="tx1"/>
            </w14:solidFill>
          </w14:textFill>
        </w:rPr>
        <w:t>使用权价格为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189.9元/平方米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67948662">
      <w:pPr>
        <w:pStyle w:val="3"/>
        <w:keepNext w:val="0"/>
        <w:keepLines w:val="0"/>
        <w:pageBreakBefore w:val="0"/>
        <w:widowControl w:val="0"/>
        <w:kinsoku/>
        <w:wordWrap/>
        <w:overflowPunct/>
        <w:topLinePunct w:val="0"/>
        <w:autoSpaceDE/>
        <w:autoSpaceDN/>
        <w:bidi w:val="0"/>
        <w:adjustRightInd w:val="0"/>
        <w:snapToGrid w:val="0"/>
        <w:spacing w:line="460" w:lineRule="exact"/>
        <w:ind w:left="0" w:firstLine="562" w:firstLineChars="200"/>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1.市场比较法定义及公式</w:t>
      </w:r>
    </w:p>
    <w:p w14:paraId="00E04CF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市场比较法是以根据替代原理，将估价对象与在较近时期内已发生交易的类似土地交易实例进行对照比较，并依据后者已知的价格，参照该土地的交易情况、估价期日、区域以及个别因素等差别修正得出估价对象在估价期日的地价。</w:t>
      </w:r>
    </w:p>
    <w:p w14:paraId="2CB7E79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运用市场比较法进行土地评估，程序如下：①选取比较实例→②建立价格可比基础→③进行交易情况修正→④进行估价期日修正→⑤进行土地使用年期等其他因素修正→⑥进行区域因素修正→⑦进行个别因素修正→⑧测算比准价格</w:t>
      </w:r>
    </w:p>
    <w:p w14:paraId="6096A75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市场比较法计算公式：P=PB×A×B×C×D×E×F</w:t>
      </w:r>
    </w:p>
    <w:p w14:paraId="0130008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式中：P—估价对象价格</w:t>
      </w:r>
    </w:p>
    <w:p w14:paraId="341BF17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 xml:space="preserve">      PB—交易案例价格</w:t>
      </w:r>
    </w:p>
    <w:p w14:paraId="7BDF323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A—估价对象交易情况指数/比较实例交易情况指数</w:t>
      </w:r>
    </w:p>
    <w:p w14:paraId="2D437F3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B—估价对象交易方式指数/比较实例交易方式指数</w:t>
      </w:r>
    </w:p>
    <w:p w14:paraId="735E7E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C—估价对象估价期日地价指数/比较实例交易日期地价指数</w:t>
      </w:r>
    </w:p>
    <w:p w14:paraId="12D60F7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D—估价对象区域因素条件指数/比较实例区域因素条件指数</w:t>
      </w:r>
    </w:p>
    <w:p w14:paraId="10B7771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E—估价对象个别因素条件指数/比较实例个别因素条件指数</w:t>
      </w:r>
    </w:p>
    <w:p w14:paraId="079F92E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F—估价对象年期修正指数/比较实例年期修正指数</w:t>
      </w:r>
    </w:p>
    <w:p w14:paraId="068C25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2.比较实例选择</w:t>
      </w:r>
    </w:p>
    <w:p w14:paraId="4BC66B8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根据中华人民共和国国家标准《城镇土地估价规程》[GB/T18508-2014，2014年7月24日]规定，选择比较实例应符合下列要求：</w:t>
      </w:r>
    </w:p>
    <w:p w14:paraId="46EF0DB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①选择比较实例数量应达到3个以上（含3个），且估价期日距比较实例的交易时间原则上不超过3年；</w:t>
      </w:r>
    </w:p>
    <w:p w14:paraId="149E638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②比较实例与估价对象条件的相似性大于差异性；</w:t>
      </w:r>
    </w:p>
    <w:p w14:paraId="3B967BB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③比较实例应为用途与估价对象用途相同，土地条件基本一致；属同一供需圈内相邻地区或类似地区的正常（或可修正为正常）交易案例。</w:t>
      </w:r>
    </w:p>
    <w:p w14:paraId="7949A56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估价人员通过对估价对象类似区域地产比较实例的调查与分析，选择符合以上条件的三个交易案例作为比较实例，确定的各比较实例具体情况如下：</w:t>
      </w:r>
    </w:p>
    <w:p w14:paraId="521ABFC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比较实例</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A</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：该实例为湖南雁晟农业科技有限公司以挂牌出让方式取得（电子监管号为4311242024B000055），位于道县乌家山路以南、东环一路以西</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土地用途为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二类</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工业用地，土地面积为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10772.50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平方米，</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土地使用年限为30年，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土地级别为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道县城</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区</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Ⅳ级工矿仓储用地，区域内路网由乌家山路、东环一路构成道路网，交通顺畅，水电综合保证率大于95%。宗地临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干道，形状基本规则，不影响宗地利用，地势平坦，对建筑物无影响，地质条件优，土地承载力大于</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T/㎡，自然灾害发生频率100年一遇，实例交易时间为202</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8</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月</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日，交易正常，成交总价为人民币</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156</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万元，交易时宗地基础设施状况为红线外“五通”（即通路、通电、供水、通讯、排水）及宗地红线内“</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场地平整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”的土地使用权挂牌出让价格为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145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元/平方米。</w:t>
      </w:r>
    </w:p>
    <w:p w14:paraId="3235341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比较实例B：该实例为永州道县国源食品有限责任公司以挂牌出让方式取得（电子监管号为4311242024B000016），位于道县庙塘路以北、富园四路以东，土地用途为工业用地，土地面积为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54307.30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平方米，</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土地使用年限为30年，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土地级别为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道县城</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区</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Ⅳ级工矿仓储用地，区域内路网由庙塘路</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富园四路构成道路网，交通</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通畅</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，水电综合保证率大于95%。宗地临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次干道</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形状基本规则，不影响宗地利用，地势平坦，对建筑物无影响</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土地承载力大于25T/㎡，自然灾害发生频率100年一遇，实例交易时间为202</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月</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日，交易正常，成交总价为人民币</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816</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万元，交易时宗地基础设施状况为红线外“五通”（即通路、通电、供水、通讯、排水）及宗地红线内“</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场地平整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”的土地使用权挂牌出让价格为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150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元/平方米。</w:t>
      </w:r>
    </w:p>
    <w:p w14:paraId="0C1C7C3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比较实例C：该实例为湖南万众制药有限公司以挂牌出让方式取得（电子监管号为4311242024B000071），位于道县张家路以南，土地用途为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二类</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工业用地，土地面积为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6769.20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平方米，</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土地使用年限为30年，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土地级别为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道县城</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区</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Ⅳ级工矿仓储用地，区域内路网由张家路构成道路网，交通顺畅，水电综合保证率大于95%。宗地临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干道，形状基本规则，不影响宗地利用，地势平坦，对建筑物无影响，地质条件优，土地承载力大于</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T/㎡，自然灾害发生频率100年一遇，实例交易时间为202</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8</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月</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26</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日，交易正常，成交总价为人民币</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101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万元，交易时宗地基础设施状况为红线外“五通”（即通路、通电、供水、通讯、排水）及宗地红线内“</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场地平整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”的土地使用权挂牌出让价格为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149</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元/平方米。</w:t>
      </w:r>
    </w:p>
    <w:p w14:paraId="0AC229D4">
      <w:pPr>
        <w:overflowPunct w:val="0"/>
        <w:autoSpaceDE w:val="0"/>
        <w:autoSpaceDN w:val="0"/>
        <w:snapToGrid w:val="0"/>
        <w:spacing w:line="480" w:lineRule="exact"/>
        <w:ind w:firstLine="555"/>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69B366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案例来源</w:t>
            </w:r>
          </w:p>
        </w:tc>
        <w:tc>
          <w:tcPr>
            <w:tcW w:w="2044" w:type="dxa"/>
            <w:tcBorders>
              <w:top w:val="single" w:color="000000" w:sz="4" w:space="0"/>
              <w:left w:val="single" w:color="000000" w:sz="4" w:space="0"/>
              <w:bottom w:val="single" w:color="000000" w:sz="4" w:space="0"/>
              <w:right w:val="single" w:color="000000" w:sz="4" w:space="0"/>
            </w:tcBorders>
            <w:vAlign w:val="center"/>
          </w:tcPr>
          <w:p w14:paraId="12C6243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c>
          <w:tcPr>
            <w:tcW w:w="2746" w:type="dxa"/>
            <w:tcBorders>
              <w:top w:val="single" w:color="000000" w:sz="4" w:space="0"/>
              <w:left w:val="single" w:color="000000" w:sz="4" w:space="0"/>
              <w:bottom w:val="single" w:color="000000" w:sz="4" w:space="0"/>
              <w:right w:val="single" w:color="000000" w:sz="4" w:space="0"/>
            </w:tcBorders>
            <w:vAlign w:val="center"/>
          </w:tcPr>
          <w:p w14:paraId="720B2CD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c>
          <w:tcPr>
            <w:tcW w:w="2456" w:type="dxa"/>
            <w:tcBorders>
              <w:top w:val="single" w:color="000000" w:sz="4" w:space="0"/>
              <w:left w:val="single" w:color="000000" w:sz="4" w:space="0"/>
              <w:bottom w:val="single" w:color="000000" w:sz="4" w:space="0"/>
              <w:right w:val="single" w:color="000000" w:sz="4" w:space="0"/>
            </w:tcBorders>
            <w:vAlign w:val="center"/>
          </w:tcPr>
          <w:p w14:paraId="6A895D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0A5663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电子监管号</w:t>
            </w:r>
          </w:p>
        </w:tc>
        <w:tc>
          <w:tcPr>
            <w:tcW w:w="2044" w:type="dxa"/>
            <w:tcBorders>
              <w:top w:val="single" w:color="000000" w:sz="4" w:space="0"/>
              <w:left w:val="single" w:color="000000" w:sz="4" w:space="0"/>
              <w:bottom w:val="single" w:color="000000" w:sz="4" w:space="0"/>
              <w:right w:val="single" w:color="000000" w:sz="4" w:space="0"/>
            </w:tcBorders>
            <w:vAlign w:val="center"/>
          </w:tcPr>
          <w:p w14:paraId="44C2017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4311242024B000055</w:t>
            </w:r>
          </w:p>
        </w:tc>
        <w:tc>
          <w:tcPr>
            <w:tcW w:w="2746" w:type="dxa"/>
            <w:tcBorders>
              <w:top w:val="single" w:color="000000" w:sz="4" w:space="0"/>
              <w:left w:val="single" w:color="000000" w:sz="4" w:space="0"/>
              <w:bottom w:val="single" w:color="000000" w:sz="4" w:space="0"/>
              <w:right w:val="single" w:color="000000" w:sz="4" w:space="0"/>
            </w:tcBorders>
            <w:vAlign w:val="center"/>
          </w:tcPr>
          <w:p w14:paraId="35E98B3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4311242024B000016</w:t>
            </w:r>
          </w:p>
        </w:tc>
        <w:tc>
          <w:tcPr>
            <w:tcW w:w="2456" w:type="dxa"/>
            <w:tcBorders>
              <w:top w:val="single" w:color="000000" w:sz="4" w:space="0"/>
              <w:left w:val="single" w:color="000000" w:sz="4" w:space="0"/>
              <w:bottom w:val="single" w:color="000000" w:sz="4" w:space="0"/>
              <w:right w:val="single" w:color="000000" w:sz="4" w:space="0"/>
            </w:tcBorders>
            <w:vAlign w:val="center"/>
          </w:tcPr>
          <w:p w14:paraId="20E7911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4311242024B000071</w:t>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145535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土地使用权人</w:t>
            </w:r>
          </w:p>
        </w:tc>
        <w:tc>
          <w:tcPr>
            <w:tcW w:w="2044" w:type="dxa"/>
            <w:tcBorders>
              <w:top w:val="single" w:color="000000" w:sz="4" w:space="0"/>
              <w:left w:val="single" w:color="000000" w:sz="4" w:space="0"/>
              <w:bottom w:val="single" w:color="000000" w:sz="4" w:space="0"/>
              <w:right w:val="single" w:color="000000" w:sz="4" w:space="0"/>
            </w:tcBorders>
            <w:vAlign w:val="center"/>
          </w:tcPr>
          <w:p w14:paraId="7E41B19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湖南雁晟农业科技有限公司</w:t>
            </w:r>
          </w:p>
        </w:tc>
        <w:tc>
          <w:tcPr>
            <w:tcW w:w="2746" w:type="dxa"/>
            <w:tcBorders>
              <w:top w:val="single" w:color="000000" w:sz="4" w:space="0"/>
              <w:left w:val="single" w:color="000000" w:sz="4" w:space="0"/>
              <w:bottom w:val="single" w:color="000000" w:sz="4" w:space="0"/>
              <w:right w:val="single" w:color="000000" w:sz="4" w:space="0"/>
            </w:tcBorders>
            <w:vAlign w:val="center"/>
          </w:tcPr>
          <w:p w14:paraId="343493CE">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永州道县国源食品有限责任公司</w:t>
            </w:r>
          </w:p>
        </w:tc>
        <w:tc>
          <w:tcPr>
            <w:tcW w:w="2456" w:type="dxa"/>
            <w:tcBorders>
              <w:top w:val="single" w:color="000000" w:sz="4" w:space="0"/>
              <w:left w:val="single" w:color="000000" w:sz="4" w:space="0"/>
              <w:bottom w:val="single" w:color="000000" w:sz="4" w:space="0"/>
              <w:right w:val="single" w:color="000000" w:sz="4" w:space="0"/>
            </w:tcBorders>
            <w:vAlign w:val="center"/>
          </w:tcPr>
          <w:p w14:paraId="1EA7A2D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湖南万众制药有限公司</w:t>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361AE15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土地级别</w:t>
            </w:r>
          </w:p>
        </w:tc>
        <w:tc>
          <w:tcPr>
            <w:tcW w:w="2044" w:type="dxa"/>
            <w:tcBorders>
              <w:top w:val="single" w:color="000000" w:sz="4" w:space="0"/>
              <w:left w:val="single" w:color="000000" w:sz="4" w:space="0"/>
              <w:bottom w:val="single" w:color="000000" w:sz="4" w:space="0"/>
              <w:right w:val="single" w:color="000000" w:sz="4" w:space="0"/>
            </w:tcBorders>
            <w:vAlign w:val="center"/>
          </w:tcPr>
          <w:p w14:paraId="5D31CDC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c>
          <w:tcPr>
            <w:tcW w:w="2746" w:type="dxa"/>
            <w:tcBorders>
              <w:top w:val="single" w:color="000000" w:sz="4" w:space="0"/>
              <w:left w:val="single" w:color="000000" w:sz="4" w:space="0"/>
              <w:bottom w:val="single" w:color="000000" w:sz="4" w:space="0"/>
              <w:right w:val="single" w:color="000000" w:sz="4" w:space="0"/>
            </w:tcBorders>
            <w:vAlign w:val="center"/>
          </w:tcPr>
          <w:p w14:paraId="61DE6F4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c>
          <w:tcPr>
            <w:tcW w:w="2456" w:type="dxa"/>
            <w:tcBorders>
              <w:top w:val="single" w:color="000000" w:sz="4" w:space="0"/>
              <w:left w:val="single" w:color="000000" w:sz="4" w:space="0"/>
              <w:bottom w:val="single" w:color="000000" w:sz="4" w:space="0"/>
              <w:right w:val="single" w:color="000000" w:sz="4" w:space="0"/>
            </w:tcBorders>
            <w:vAlign w:val="center"/>
          </w:tcPr>
          <w:p w14:paraId="667F229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5FAB8EA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位置</w:t>
            </w:r>
          </w:p>
        </w:tc>
        <w:tc>
          <w:tcPr>
            <w:tcW w:w="2044" w:type="dxa"/>
            <w:tcBorders>
              <w:top w:val="single" w:color="000000" w:sz="4" w:space="0"/>
              <w:left w:val="single" w:color="000000" w:sz="4" w:space="0"/>
              <w:bottom w:val="single" w:color="000000" w:sz="4" w:space="0"/>
              <w:right w:val="single" w:color="000000" w:sz="4" w:space="0"/>
            </w:tcBorders>
            <w:vAlign w:val="center"/>
          </w:tcPr>
          <w:p w14:paraId="06E2AB02">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道县乌家山路以南、东环一路以西</w:t>
            </w:r>
          </w:p>
        </w:tc>
        <w:tc>
          <w:tcPr>
            <w:tcW w:w="2746" w:type="dxa"/>
            <w:tcBorders>
              <w:top w:val="single" w:color="000000" w:sz="4" w:space="0"/>
              <w:left w:val="single" w:color="000000" w:sz="4" w:space="0"/>
              <w:bottom w:val="single" w:color="000000" w:sz="4" w:space="0"/>
              <w:right w:val="single" w:color="000000" w:sz="4" w:space="0"/>
            </w:tcBorders>
            <w:vAlign w:val="center"/>
          </w:tcPr>
          <w:p w14:paraId="07F6D31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道县庙塘路以北、富园四路以东</w:t>
            </w:r>
          </w:p>
        </w:tc>
        <w:tc>
          <w:tcPr>
            <w:tcW w:w="2456" w:type="dxa"/>
            <w:tcBorders>
              <w:top w:val="single" w:color="000000" w:sz="4" w:space="0"/>
              <w:left w:val="single" w:color="000000" w:sz="4" w:space="0"/>
              <w:bottom w:val="single" w:color="000000" w:sz="4" w:space="0"/>
              <w:right w:val="single" w:color="000000" w:sz="4" w:space="0"/>
            </w:tcBorders>
            <w:vAlign w:val="center"/>
          </w:tcPr>
          <w:p w14:paraId="57EFAE3E">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道县张家街路以南</w:t>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717EC96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成交总价（万元）</w:t>
            </w:r>
          </w:p>
        </w:tc>
        <w:tc>
          <w:tcPr>
            <w:tcW w:w="2044" w:type="dxa"/>
            <w:tcBorders>
              <w:top w:val="single" w:color="000000" w:sz="4" w:space="0"/>
              <w:left w:val="single" w:color="000000" w:sz="4" w:space="0"/>
              <w:bottom w:val="single" w:color="000000" w:sz="4" w:space="0"/>
              <w:right w:val="single" w:color="000000" w:sz="4" w:space="0"/>
            </w:tcBorders>
            <w:vAlign w:val="center"/>
          </w:tcPr>
          <w:p w14:paraId="3910979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156</w:t>
            </w:r>
          </w:p>
        </w:tc>
        <w:tc>
          <w:tcPr>
            <w:tcW w:w="2746" w:type="dxa"/>
            <w:tcBorders>
              <w:top w:val="single" w:color="000000" w:sz="4" w:space="0"/>
              <w:left w:val="single" w:color="000000" w:sz="4" w:space="0"/>
              <w:bottom w:val="single" w:color="000000" w:sz="4" w:space="0"/>
              <w:right w:val="single" w:color="000000" w:sz="4" w:space="0"/>
            </w:tcBorders>
            <w:vAlign w:val="center"/>
          </w:tcPr>
          <w:p w14:paraId="3E4A98C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816</w:t>
            </w:r>
          </w:p>
        </w:tc>
        <w:tc>
          <w:tcPr>
            <w:tcW w:w="2456" w:type="dxa"/>
            <w:tcBorders>
              <w:top w:val="single" w:color="000000" w:sz="4" w:space="0"/>
              <w:left w:val="single" w:color="000000" w:sz="4" w:space="0"/>
              <w:bottom w:val="single" w:color="000000" w:sz="4" w:space="0"/>
              <w:right w:val="single" w:color="000000" w:sz="4" w:space="0"/>
            </w:tcBorders>
            <w:vAlign w:val="center"/>
          </w:tcPr>
          <w:p w14:paraId="2DEA2052">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101</w:t>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2A9CDA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成交地面地价（元/㎡）</w:t>
            </w:r>
          </w:p>
        </w:tc>
        <w:tc>
          <w:tcPr>
            <w:tcW w:w="2044" w:type="dxa"/>
            <w:tcBorders>
              <w:top w:val="single" w:color="000000" w:sz="4" w:space="0"/>
              <w:left w:val="single" w:color="000000" w:sz="4" w:space="0"/>
              <w:bottom w:val="single" w:color="000000" w:sz="4" w:space="0"/>
              <w:right w:val="single" w:color="000000" w:sz="4" w:space="0"/>
            </w:tcBorders>
            <w:vAlign w:val="center"/>
          </w:tcPr>
          <w:p w14:paraId="63D162FA">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145</w:t>
            </w:r>
          </w:p>
        </w:tc>
        <w:tc>
          <w:tcPr>
            <w:tcW w:w="2746" w:type="dxa"/>
            <w:tcBorders>
              <w:top w:val="single" w:color="000000" w:sz="4" w:space="0"/>
              <w:left w:val="single" w:color="000000" w:sz="4" w:space="0"/>
              <w:bottom w:val="single" w:color="000000" w:sz="4" w:space="0"/>
              <w:right w:val="single" w:color="000000" w:sz="4" w:space="0"/>
            </w:tcBorders>
            <w:vAlign w:val="center"/>
          </w:tcPr>
          <w:p w14:paraId="1D3F56B9">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150</w:t>
            </w:r>
          </w:p>
        </w:tc>
        <w:tc>
          <w:tcPr>
            <w:tcW w:w="2456" w:type="dxa"/>
            <w:tcBorders>
              <w:top w:val="single" w:color="000000" w:sz="4" w:space="0"/>
              <w:left w:val="single" w:color="000000" w:sz="4" w:space="0"/>
              <w:bottom w:val="single" w:color="000000" w:sz="4" w:space="0"/>
              <w:right w:val="single" w:color="000000" w:sz="4" w:space="0"/>
            </w:tcBorders>
            <w:vAlign w:val="center"/>
          </w:tcPr>
          <w:p w14:paraId="529DD8AF">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149</w:t>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1E6D66E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土地用途</w:t>
            </w:r>
          </w:p>
        </w:tc>
        <w:tc>
          <w:tcPr>
            <w:tcW w:w="2044" w:type="dxa"/>
            <w:tcBorders>
              <w:top w:val="single" w:color="000000" w:sz="4" w:space="0"/>
              <w:left w:val="single" w:color="000000" w:sz="4" w:space="0"/>
              <w:bottom w:val="single" w:color="000000" w:sz="4" w:space="0"/>
              <w:right w:val="single" w:color="000000" w:sz="4" w:space="0"/>
            </w:tcBorders>
            <w:vAlign w:val="center"/>
          </w:tcPr>
          <w:p w14:paraId="3B765E1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二类工业用地</w:t>
            </w:r>
          </w:p>
        </w:tc>
        <w:tc>
          <w:tcPr>
            <w:tcW w:w="2746" w:type="dxa"/>
            <w:tcBorders>
              <w:top w:val="single" w:color="000000" w:sz="4" w:space="0"/>
              <w:left w:val="single" w:color="000000" w:sz="4" w:space="0"/>
              <w:bottom w:val="single" w:color="000000" w:sz="4" w:space="0"/>
              <w:right w:val="single" w:color="000000" w:sz="4" w:space="0"/>
            </w:tcBorders>
            <w:vAlign w:val="center"/>
          </w:tcPr>
          <w:p w14:paraId="117EFA0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工业用地</w:t>
            </w:r>
          </w:p>
        </w:tc>
        <w:tc>
          <w:tcPr>
            <w:tcW w:w="2456" w:type="dxa"/>
            <w:tcBorders>
              <w:top w:val="single" w:color="000000" w:sz="4" w:space="0"/>
              <w:left w:val="single" w:color="000000" w:sz="4" w:space="0"/>
              <w:bottom w:val="single" w:color="000000" w:sz="4" w:space="0"/>
              <w:right w:val="single" w:color="000000" w:sz="4" w:space="0"/>
            </w:tcBorders>
            <w:vAlign w:val="center"/>
          </w:tcPr>
          <w:p w14:paraId="10F29C0D">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二类工业用地</w:t>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22E73D5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土地面积（㎡）</w:t>
            </w:r>
          </w:p>
        </w:tc>
        <w:tc>
          <w:tcPr>
            <w:tcW w:w="2044" w:type="dxa"/>
            <w:tcBorders>
              <w:top w:val="single" w:color="000000" w:sz="4" w:space="0"/>
              <w:left w:val="single" w:color="000000" w:sz="4" w:space="0"/>
              <w:bottom w:val="single" w:color="000000" w:sz="4" w:space="0"/>
              <w:right w:val="single" w:color="000000" w:sz="4" w:space="0"/>
            </w:tcBorders>
            <w:vAlign w:val="center"/>
          </w:tcPr>
          <w:p w14:paraId="6DBAEAE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10772.5</w:t>
            </w:r>
          </w:p>
        </w:tc>
        <w:tc>
          <w:tcPr>
            <w:tcW w:w="2746" w:type="dxa"/>
            <w:tcBorders>
              <w:top w:val="single" w:color="000000" w:sz="4" w:space="0"/>
              <w:left w:val="single" w:color="000000" w:sz="4" w:space="0"/>
              <w:bottom w:val="single" w:color="000000" w:sz="4" w:space="0"/>
              <w:right w:val="single" w:color="000000" w:sz="4" w:space="0"/>
            </w:tcBorders>
            <w:vAlign w:val="center"/>
          </w:tcPr>
          <w:p w14:paraId="0723E3ED">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54307.3</w:t>
            </w:r>
          </w:p>
        </w:tc>
        <w:tc>
          <w:tcPr>
            <w:tcW w:w="2456" w:type="dxa"/>
            <w:tcBorders>
              <w:top w:val="single" w:color="000000" w:sz="4" w:space="0"/>
              <w:left w:val="single" w:color="000000" w:sz="4" w:space="0"/>
              <w:bottom w:val="single" w:color="000000" w:sz="4" w:space="0"/>
              <w:right w:val="single" w:color="000000" w:sz="4" w:space="0"/>
            </w:tcBorders>
            <w:vAlign w:val="center"/>
          </w:tcPr>
          <w:p w14:paraId="7A79C68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6769.2</w:t>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6EAE0D2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交易时间</w:t>
            </w:r>
          </w:p>
        </w:tc>
        <w:tc>
          <w:tcPr>
            <w:tcW w:w="2044" w:type="dxa"/>
            <w:tcBorders>
              <w:top w:val="single" w:color="000000" w:sz="4" w:space="0"/>
              <w:left w:val="single" w:color="000000" w:sz="4" w:space="0"/>
              <w:bottom w:val="single" w:color="000000" w:sz="4" w:space="0"/>
              <w:right w:val="single" w:color="000000" w:sz="4" w:space="0"/>
            </w:tcBorders>
            <w:vAlign w:val="center"/>
          </w:tcPr>
          <w:p w14:paraId="3939443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2024年8月5日</w:t>
            </w:r>
          </w:p>
        </w:tc>
        <w:tc>
          <w:tcPr>
            <w:tcW w:w="2746" w:type="dxa"/>
            <w:tcBorders>
              <w:top w:val="single" w:color="000000" w:sz="4" w:space="0"/>
              <w:left w:val="single" w:color="000000" w:sz="4" w:space="0"/>
              <w:bottom w:val="single" w:color="000000" w:sz="4" w:space="0"/>
              <w:right w:val="single" w:color="000000" w:sz="4" w:space="0"/>
            </w:tcBorders>
            <w:vAlign w:val="center"/>
          </w:tcPr>
          <w:p w14:paraId="5F4B887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2024年1月10日</w:t>
            </w:r>
          </w:p>
        </w:tc>
        <w:tc>
          <w:tcPr>
            <w:tcW w:w="2456" w:type="dxa"/>
            <w:tcBorders>
              <w:top w:val="single" w:color="000000" w:sz="4" w:space="0"/>
              <w:left w:val="single" w:color="000000" w:sz="4" w:space="0"/>
              <w:bottom w:val="single" w:color="000000" w:sz="4" w:space="0"/>
              <w:right w:val="single" w:color="000000" w:sz="4" w:space="0"/>
            </w:tcBorders>
            <w:vAlign w:val="center"/>
          </w:tcPr>
          <w:p w14:paraId="0DC9C8F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2024年8月26日</w:t>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3161185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交易情况</w:t>
            </w:r>
          </w:p>
        </w:tc>
        <w:tc>
          <w:tcPr>
            <w:tcW w:w="2044" w:type="dxa"/>
            <w:tcBorders>
              <w:top w:val="single" w:color="000000" w:sz="4" w:space="0"/>
              <w:left w:val="single" w:color="000000" w:sz="4" w:space="0"/>
              <w:bottom w:val="single" w:color="000000" w:sz="4" w:space="0"/>
              <w:right w:val="single" w:color="000000" w:sz="4" w:space="0"/>
            </w:tcBorders>
            <w:vAlign w:val="center"/>
          </w:tcPr>
          <w:p w14:paraId="53B0DBF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c>
          <w:tcPr>
            <w:tcW w:w="2746" w:type="dxa"/>
            <w:tcBorders>
              <w:top w:val="single" w:color="000000" w:sz="4" w:space="0"/>
              <w:left w:val="single" w:color="000000" w:sz="4" w:space="0"/>
              <w:bottom w:val="single" w:color="000000" w:sz="4" w:space="0"/>
              <w:right w:val="single" w:color="000000" w:sz="4" w:space="0"/>
            </w:tcBorders>
            <w:vAlign w:val="center"/>
          </w:tcPr>
          <w:p w14:paraId="3630DF8A">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c>
          <w:tcPr>
            <w:tcW w:w="2456" w:type="dxa"/>
            <w:tcBorders>
              <w:top w:val="single" w:color="000000" w:sz="4" w:space="0"/>
              <w:left w:val="single" w:color="000000" w:sz="4" w:space="0"/>
              <w:bottom w:val="single" w:color="000000" w:sz="4" w:space="0"/>
              <w:right w:val="single" w:color="000000" w:sz="4" w:space="0"/>
            </w:tcBorders>
            <w:vAlign w:val="center"/>
          </w:tcPr>
          <w:p w14:paraId="3AC324A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5FE582F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交易方式</w:t>
            </w:r>
          </w:p>
        </w:tc>
        <w:tc>
          <w:tcPr>
            <w:tcW w:w="2044" w:type="dxa"/>
            <w:tcBorders>
              <w:top w:val="single" w:color="000000" w:sz="4" w:space="0"/>
              <w:left w:val="single" w:color="000000" w:sz="4" w:space="0"/>
              <w:bottom w:val="single" w:color="000000" w:sz="4" w:space="0"/>
              <w:right w:val="single" w:color="000000" w:sz="4" w:space="0"/>
            </w:tcBorders>
            <w:vAlign w:val="center"/>
          </w:tcPr>
          <w:p w14:paraId="26E911D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c>
          <w:tcPr>
            <w:tcW w:w="2746" w:type="dxa"/>
            <w:tcBorders>
              <w:top w:val="single" w:color="000000" w:sz="4" w:space="0"/>
              <w:left w:val="single" w:color="000000" w:sz="4" w:space="0"/>
              <w:bottom w:val="single" w:color="000000" w:sz="4" w:space="0"/>
              <w:right w:val="single" w:color="000000" w:sz="4" w:space="0"/>
            </w:tcBorders>
            <w:vAlign w:val="center"/>
          </w:tcPr>
          <w:p w14:paraId="63B9D06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c>
          <w:tcPr>
            <w:tcW w:w="2456" w:type="dxa"/>
            <w:tcBorders>
              <w:top w:val="single" w:color="000000" w:sz="4" w:space="0"/>
              <w:left w:val="single" w:color="000000" w:sz="4" w:space="0"/>
              <w:bottom w:val="single" w:color="000000" w:sz="4" w:space="0"/>
              <w:right w:val="single" w:color="000000" w:sz="4" w:space="0"/>
            </w:tcBorders>
            <w:vAlign w:val="center"/>
          </w:tcPr>
          <w:p w14:paraId="1531372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BBA8FE8">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土地使用年限</w:t>
            </w:r>
          </w:p>
        </w:tc>
        <w:tc>
          <w:tcPr>
            <w:tcW w:w="2044" w:type="dxa"/>
            <w:tcBorders>
              <w:top w:val="single" w:color="000000" w:sz="4" w:space="0"/>
              <w:left w:val="single" w:color="000000" w:sz="4" w:space="0"/>
              <w:bottom w:val="single" w:color="000000" w:sz="4" w:space="0"/>
              <w:right w:val="single" w:color="000000" w:sz="4" w:space="0"/>
            </w:tcBorders>
            <w:vAlign w:val="center"/>
          </w:tcPr>
          <w:p w14:paraId="55E6A2C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30</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年</w:t>
            </w:r>
          </w:p>
        </w:tc>
        <w:tc>
          <w:tcPr>
            <w:tcW w:w="2746" w:type="dxa"/>
            <w:tcBorders>
              <w:top w:val="single" w:color="000000" w:sz="4" w:space="0"/>
              <w:left w:val="single" w:color="000000" w:sz="4" w:space="0"/>
              <w:bottom w:val="single" w:color="000000" w:sz="4" w:space="0"/>
              <w:right w:val="single" w:color="000000" w:sz="4" w:space="0"/>
            </w:tcBorders>
            <w:vAlign w:val="center"/>
          </w:tcPr>
          <w:p w14:paraId="37B6AAB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30</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年</w:t>
            </w:r>
          </w:p>
        </w:tc>
        <w:tc>
          <w:tcPr>
            <w:tcW w:w="2456" w:type="dxa"/>
            <w:tcBorders>
              <w:top w:val="single" w:color="000000" w:sz="4" w:space="0"/>
              <w:left w:val="single" w:color="000000" w:sz="4" w:space="0"/>
              <w:bottom w:val="single" w:color="000000" w:sz="4" w:space="0"/>
              <w:right w:val="single" w:color="000000" w:sz="4" w:space="0"/>
            </w:tcBorders>
            <w:vAlign w:val="center"/>
          </w:tcPr>
          <w:p w14:paraId="381E59E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30</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年</w:t>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w:t>
      </w:r>
      <w:r>
        <w:rPr>
          <w:rFonts w:eastAsia="仿宋_GB2312"/>
          <w:b/>
          <w:bCs/>
          <w:color w:val="000000" w:themeColor="text1"/>
          <w:highlight w:val="none"/>
          <w14:textFill>
            <w14:solidFill>
              <w14:schemeClr w14:val="tx1"/>
            </w14:solidFill>
          </w14:textFill>
        </w:rPr>
        <w:t>成交公告（来源：中国土地市场网）</w:t>
      </w:r>
    </w:p>
    <w:p w14:paraId="00A9363D">
      <w:pPr>
        <w:pStyle w:val="14"/>
        <w:ind w:firstLine="0" w:firstLineChars="0"/>
        <w:jc w:val="center"/>
        <w:outlineLvl w:val="9"/>
        <w:rPr>
          <w:rFonts w:eastAsia="仿宋_GB2312"/>
          <w:b/>
          <w:color w:val="000000" w:themeColor="text1"/>
          <w:szCs w:val="21"/>
          <w:highlight w:val="none"/>
          <w14:textFill>
            <w14:solidFill>
              <w14:schemeClr w14:val="tx1"/>
            </w14:solidFill>
          </w14:textFill>
        </w:rPr>
      </w:pPr>
    </w:p>
    <w:p w14:paraId="2423F9E9">
      <w:pPr>
        <w:pStyle w:val="14"/>
        <w:ind w:firstLine="422"/>
        <w:jc w:val="center"/>
        <w:outlineLvl w:val="9"/>
        <w:rPr>
          <w:rFonts w:eastAsia="仿宋_GB2312"/>
          <w:b/>
          <w:color w:val="000000" w:themeColor="text1"/>
          <w:szCs w:val="2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0500" cy="3129915"/>
            <wp:effectExtent l="0" t="0" r="2540" b="952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37"/>
                    <a:stretch>
                      <a:fillRect/>
                    </a:stretch>
                  </pic:blipFill>
                  <pic:spPr>
                    <a:xfrm>
                      <a:off x="0" y="0"/>
                      <a:ext cx="5270500" cy="3129915"/>
                    </a:xfrm>
                    <a:prstGeom prst="rect">
                      <a:avLst/>
                    </a:prstGeom>
                    <a:noFill/>
                    <a:ln>
                      <a:noFill/>
                    </a:ln>
                  </pic:spPr>
                </pic:pic>
              </a:graphicData>
            </a:graphic>
          </wp:inline>
        </w:drawing>
      </w:r>
    </w:p>
    <w:p w14:paraId="03607D26">
      <w:pPr>
        <w:pStyle w:val="14"/>
        <w:ind w:firstLine="422"/>
        <w:jc w:val="center"/>
        <w:outlineLvl w:val="9"/>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比较实例B</w:t>
      </w:r>
      <w:r>
        <w:rPr>
          <w:rFonts w:eastAsia="仿宋_GB2312"/>
          <w:b/>
          <w:bCs/>
          <w:color w:val="000000" w:themeColor="text1"/>
          <w:highlight w:val="none"/>
          <w14:textFill>
            <w14:solidFill>
              <w14:schemeClr w14:val="tx1"/>
            </w14:solidFill>
          </w14:textFill>
        </w:rPr>
        <w:t>成交公告（来源：中国土地市场网）</w:t>
      </w:r>
    </w:p>
    <w:p w14:paraId="102E8177">
      <w:pPr>
        <w:pStyle w:val="14"/>
        <w:ind w:left="0" w:leftChars="0" w:firstLine="0" w:firstLineChars="0"/>
        <w:jc w:val="center"/>
        <w:rPr>
          <w:rFonts w:eastAsia="仿宋_GB2312"/>
          <w:b/>
          <w:color w:val="000000" w:themeColor="text1"/>
          <w:szCs w:val="2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b/>
          <w:color w:val="000000" w:themeColor="text1"/>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br w:type="page"/>
      </w:r>
      <w:r>
        <w:rPr>
          <w:rFonts w:eastAsia="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ind w:firstLine="0" w:firstLineChars="0"/>
        <w:jc w:val="center"/>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w:t>
      </w:r>
      <w:r>
        <w:rPr>
          <w:rFonts w:eastAsia="仿宋_GB2312"/>
          <w:b/>
          <w:bCs/>
          <w:color w:val="000000" w:themeColor="text1"/>
          <w:highlight w:val="none"/>
          <w14:textFill>
            <w14:solidFill>
              <w14:schemeClr w14:val="tx1"/>
            </w14:solidFill>
          </w14:textFill>
        </w:rPr>
        <w:t>成交公告（来源：中国土地市场网）</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E219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562726A7">
            <w:pPr>
              <w:pStyle w:val="14"/>
              <w:keepNext w:val="0"/>
              <w:keepLines w:val="0"/>
              <w:suppressLineNumbers w:val="0"/>
              <w:spacing w:before="0" w:beforeAutospacing="0" w:after="0" w:afterAutospacing="0"/>
              <w:ind w:left="0" w:leftChars="0" w:right="0" w:firstLine="0" w:firstLineChars="0"/>
              <w:jc w:val="both"/>
              <w:rPr>
                <w:rFonts w:eastAsia="仿宋_GB2312"/>
                <w:b/>
                <w:bCs/>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67325" cy="3162300"/>
                  <wp:effectExtent l="0" t="0" r="5715" b="7620"/>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43"/>
                          <a:stretch>
                            <a:fillRect/>
                          </a:stretch>
                        </pic:blipFill>
                        <pic:spPr>
                          <a:xfrm>
                            <a:off x="0" y="0"/>
                            <a:ext cx="5267325" cy="3162300"/>
                          </a:xfrm>
                          <a:prstGeom prst="rect">
                            <a:avLst/>
                          </a:prstGeom>
                          <a:noFill/>
                          <a:ln>
                            <a:noFill/>
                          </a:ln>
                        </pic:spPr>
                      </pic:pic>
                    </a:graphicData>
                  </a:graphic>
                </wp:inline>
              </w:drawing>
            </w:r>
          </w:p>
        </w:tc>
      </w:tr>
    </w:tbl>
    <w:p w14:paraId="547187BE">
      <w:pPr>
        <w:pStyle w:val="14"/>
        <w:ind w:firstLine="422"/>
        <w:jc w:val="center"/>
        <w:rPr>
          <w:rFonts w:eastAsia="仿宋_GB2312"/>
          <w:b/>
          <w:color w:val="000000" w:themeColor="text1"/>
          <w:szCs w:val="21"/>
          <w:highlight w:val="none"/>
          <w14:textFill>
            <w14:solidFill>
              <w14:schemeClr w14:val="tx1"/>
            </w14:solidFill>
          </w14:textFill>
        </w:rPr>
      </w:pPr>
    </w:p>
    <w:p w14:paraId="4ED4690A">
      <w:pPr>
        <w:pStyle w:val="14"/>
        <w:ind w:firstLine="422"/>
        <w:jc w:val="center"/>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3.建立价格可比基础</w:t>
      </w:r>
    </w:p>
    <w:p w14:paraId="55D9ACF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4.比较因素的选择</w:t>
      </w:r>
    </w:p>
    <w:p w14:paraId="30F02594">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⑤土地级别：级别相同、相近或可修正。</w:t>
      </w:r>
    </w:p>
    <w:p w14:paraId="2AB22DC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等。</w:t>
      </w:r>
    </w:p>
    <w:p w14:paraId="326EADCC">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begin"/>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separate"/>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⑧</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end"/>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规模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、宗地形状、</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、规划限制等。</w:t>
      </w:r>
    </w:p>
    <w:p w14:paraId="61964A8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5.比较因素条件说明</w:t>
      </w:r>
    </w:p>
    <w:p w14:paraId="3B6B07B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spacing w:line="460" w:lineRule="exact"/>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5F0D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5F762B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9C243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CE6BBB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4744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D268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项目名称</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175C9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道县湖南紫金新材料产业集聚区宗地</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49360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 xml:space="preserve"> 道县灰鹅加工项目</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654CC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永州道县国源食品有限责任公司用地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24CF6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湖南万众制药有限公司用地</w:t>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DE5C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位置</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13323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道县湖南紫金新材料产业集聚区</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56414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道县乌家山路以南、东环一路以西</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35E7B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道县庙塘路以北、富园四路以东</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2704D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道县张家街路以南</w:t>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DF9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售价（元/㎡）</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085E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5B4E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145</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C24C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150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0F29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149</w:t>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41C5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用途</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1C279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工业用地</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629C3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二类工业用地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FAB31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工业用地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E18B7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二类工业用地</w:t>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6035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E142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2025年11月26日</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6079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2024年8月5日</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7B2D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2024年1月10日</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BE54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2024年8月26日</w:t>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D3B1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D740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DEE91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98FD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0D23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BB1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3672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545C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6D52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6CA9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D10C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E97F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074D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4603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B6CA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14:paraId="716C18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区域因素</w:t>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DA62811">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14:paraId="13C39208">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1CDDAA3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9.5</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CA321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7E4689">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A7BB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932397">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21E1664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16803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018A85">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C57B1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14:paraId="26240EB3">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0A4632F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DF403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A3ED4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3C18C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AC1B27A">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119290F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低</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7BD6F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较高</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7DF70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较高</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C4B7D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较高</w:t>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87B2C09">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004D35B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一般</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5333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较完善</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DED4C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较完善</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BFD28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较完善</w:t>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6A8BBAE">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5A28836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668CD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B3EC9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3CDBE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B574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14:paraId="0AB4375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14:paraId="417B3A5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4829.6</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94393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10772.5</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6F38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54307.3</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B44A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6769.2</w:t>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283A12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A928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E3F37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6DF91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13D6E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A14350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地势</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4CF38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5DBD0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0A3F5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FDD46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027DB4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A7A16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66503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46C02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E08B9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AA7D18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2CEE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0ADA0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B2D3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2876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r>
    </w:tbl>
    <w:p w14:paraId="336907F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6.编制比较因素条件指数表</w:t>
      </w:r>
    </w:p>
    <w:p w14:paraId="6D44980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为将各比较实例和估价对象间的各种差别量化，然后反映到地价水平的差别上，必须将前述的估价对象和比较实例的各种比较因素条件转化为可比的定量条件指数。</w:t>
      </w:r>
    </w:p>
    <w:p w14:paraId="4A5C903A">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以估价对象的各因素条件为基础，相应指数为100，将比较实例相应因素条件与估价对象相比较，确定相应指数。</w:t>
      </w:r>
    </w:p>
    <w:p w14:paraId="65709B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A、土地用途</w:t>
      </w:r>
    </w:p>
    <w:p w14:paraId="7BB2B1E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估价对象土地用途与比较实例一致，均为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工矿仓储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用地，不需进行用途修正。</w:t>
      </w:r>
    </w:p>
    <w:p w14:paraId="43545CD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B、交易情况</w:t>
      </w:r>
    </w:p>
    <w:p w14:paraId="19B6682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此次评估所选择的3个比较实例交易信息均为成交案例，其交易情况均正常，与估价对象的交易情况一致，故估价对象及三个比较实例交易情况因素条件指数均确定为100。</w:t>
      </w:r>
    </w:p>
    <w:p w14:paraId="7C7F2C7F">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C、交易时间</w:t>
      </w:r>
    </w:p>
    <w:p w14:paraId="33FDD180">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以案例C交易时间指数为100，确定估价对象和案例A、案例B的交易时间修正指数。</w:t>
      </w:r>
    </w:p>
    <w:p w14:paraId="5C0E2315">
      <w:pPr>
        <w:pStyle w:val="2"/>
        <w:ind w:left="0" w:leftChars="0" w:firstLine="560"/>
        <w:rPr>
          <w:rFonts w:hint="default" w:eastAsia="仿宋_GB2312"/>
          <w:color w:val="000000" w:themeColor="text1"/>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近年来，</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道县</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工矿仓储用地</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价格水平涨幅较小，因</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工矿仓储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用途存在差异，不宜直接进行价格推算。土地的稀缺性和不可再生性使房地产具有保值增值的功能。土地的保值功能体现在随物价上涨而提高。根据</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道县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统计数据，2019年全县居民消费价格总指数（CPI）增长率为3.5%、2020年CPI增长率为2.8%、2021年CPI增长率为0.1%、2022年CPI增长率为2.4%、2023年CPI增长率为0.4%，</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2024年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CPI增长率为0.4%</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区域土地价格增长幅度与CPI指数相当，年土地价格增长幅度为</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1.</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6</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%，则月平均增长率为0.</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1</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3</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则估计对象与各比较实例交易期日修正系数如下：</w:t>
      </w:r>
    </w:p>
    <w:p w14:paraId="42BA1FE2">
      <w:pPr>
        <w:spacing w:line="460" w:lineRule="exact"/>
        <w:jc w:val="center"/>
        <w:outlineLvl w:val="9"/>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12 </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估价对象与比较案例交易期日指数表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14:paraId="744B2D7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成交日期</w:t>
            </w:r>
          </w:p>
        </w:tc>
        <w:tc>
          <w:tcPr>
            <w:tcW w:w="987" w:type="pct"/>
            <w:noWrap w:val="0"/>
            <w:vAlign w:val="center"/>
          </w:tcPr>
          <w:p w14:paraId="6E1E8024">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2025年11月26日</w:t>
            </w:r>
          </w:p>
        </w:tc>
        <w:tc>
          <w:tcPr>
            <w:tcW w:w="938" w:type="pct"/>
            <w:noWrap w:val="0"/>
            <w:vAlign w:val="center"/>
          </w:tcPr>
          <w:p w14:paraId="0FB1AD4B">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2024年8月5日</w:t>
            </w:r>
          </w:p>
        </w:tc>
        <w:tc>
          <w:tcPr>
            <w:tcW w:w="930" w:type="pct"/>
            <w:noWrap w:val="0"/>
            <w:vAlign w:val="center"/>
          </w:tcPr>
          <w:p w14:paraId="0686C195">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2024年1月10日</w:t>
            </w:r>
          </w:p>
        </w:tc>
        <w:tc>
          <w:tcPr>
            <w:tcW w:w="1015" w:type="pct"/>
            <w:noWrap w:val="0"/>
            <w:vAlign w:val="center"/>
          </w:tcPr>
          <w:p w14:paraId="0EE9E52C">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2024年8月26日</w:t>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450FA9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综合修正系数</w:t>
            </w:r>
          </w:p>
        </w:tc>
        <w:tc>
          <w:tcPr>
            <w:tcW w:w="987" w:type="pct"/>
            <w:noWrap w:val="0"/>
            <w:vAlign w:val="center"/>
          </w:tcPr>
          <w:p w14:paraId="1CF247B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1.0000</w:t>
            </w:r>
          </w:p>
        </w:tc>
        <w:tc>
          <w:tcPr>
            <w:tcW w:w="938" w:type="pct"/>
            <w:noWrap w:val="0"/>
            <w:vAlign w:val="center"/>
          </w:tcPr>
          <w:p w14:paraId="2CEB1946">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2.04</w:t>
            </w:r>
          </w:p>
        </w:tc>
        <w:tc>
          <w:tcPr>
            <w:tcW w:w="930" w:type="pct"/>
            <w:noWrap w:val="0"/>
            <w:vAlign w:val="center"/>
          </w:tcPr>
          <w:p w14:paraId="4E342633">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2.93</w:t>
            </w:r>
          </w:p>
        </w:tc>
        <w:tc>
          <w:tcPr>
            <w:tcW w:w="1015" w:type="pct"/>
            <w:noWrap w:val="0"/>
            <w:vAlign w:val="center"/>
          </w:tcPr>
          <w:p w14:paraId="64C4697F">
            <w:pPr>
              <w:keepNext w:val="0"/>
              <w:keepLines w:val="0"/>
              <w:widowControl/>
              <w:suppressLineNumbers w:val="0"/>
              <w:spacing w:before="0" w:beforeAutospacing="0" w:after="0" w:afterAutospacing="0"/>
              <w:ind w:left="0" w:right="0" w:firstLine="600" w:firstLineChars="300"/>
              <w:jc w:val="both"/>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1.95</w:t>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14:paraId="41120A5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交易期日指数</w:t>
            </w:r>
          </w:p>
        </w:tc>
        <w:tc>
          <w:tcPr>
            <w:tcW w:w="1828" w:type="dxa"/>
            <w:noWrap w:val="0"/>
            <w:vAlign w:val="center"/>
          </w:tcPr>
          <w:p w14:paraId="38DB9F2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738" w:type="dxa"/>
            <w:noWrap w:val="0"/>
            <w:vAlign w:val="center"/>
          </w:tcPr>
          <w:p w14:paraId="652775F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102.04</w:t>
            </w:r>
          </w:p>
        </w:tc>
        <w:tc>
          <w:tcPr>
            <w:tcW w:w="1723" w:type="dxa"/>
            <w:noWrap w:val="0"/>
            <w:vAlign w:val="center"/>
          </w:tcPr>
          <w:p w14:paraId="4A520F9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102.93</w:t>
            </w:r>
          </w:p>
        </w:tc>
        <w:tc>
          <w:tcPr>
            <w:tcW w:w="1880" w:type="dxa"/>
            <w:noWrap w:val="0"/>
            <w:vAlign w:val="center"/>
          </w:tcPr>
          <w:p w14:paraId="59D8DCB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101.95</w:t>
            </w:r>
          </w:p>
        </w:tc>
      </w:tr>
    </w:tbl>
    <w:p w14:paraId="3235DD50">
      <w:pPr>
        <w:keepNext w:val="0"/>
        <w:keepLines w:val="0"/>
        <w:widowControl/>
        <w:suppressLineNumbers w:val="0"/>
        <w:jc w:val="left"/>
        <w:textAlignment w:val="center"/>
        <w:rPr>
          <w:rFonts w:eastAsia="仿宋_GB2312"/>
          <w:color w:val="000000" w:themeColor="text1"/>
          <w:sz w:val="18"/>
          <w:szCs w:val="18"/>
          <w:highlight w:val="none"/>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备注：期日修正精确到天数。</w:t>
      </w:r>
    </w:p>
    <w:p w14:paraId="53F7B51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D、交易方式修正</w:t>
      </w:r>
    </w:p>
    <w:p w14:paraId="483D5A0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估价对象的交易方式为招拍挂出让，比较案例的交易方式为招拍挂出让，二者交易方式一致，均为公开竞争的市场条件交易价格，因此不需要进行交易方式修正。</w:t>
      </w:r>
    </w:p>
    <w:p w14:paraId="28E7FC3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E、土地使用年限</w:t>
      </w:r>
    </w:p>
    <w:p w14:paraId="1CA87E6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当比较实例与估价对象的土地使用年期不一致时，需进行年期修正。</w:t>
      </w:r>
    </w:p>
    <w:p w14:paraId="6E70F94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估价对象与可比实例土地使用年期一致均为30年，无需进行修正，土地使用年限修正系数均为100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752CA04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 xml:space="preserve">F、区域因素    </w:t>
      </w:r>
    </w:p>
    <w:p w14:paraId="4CDFA56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a</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、交通条件</w:t>
      </w:r>
    </w:p>
    <w:p w14:paraId="62780D4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default"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临近道路状况</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，将所临道路类型分为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繁华主干道、主干道、繁华次干道、次干道、支路五</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w:t>
      </w:r>
    </w:p>
    <w:p w14:paraId="2F4888A0">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距高速出入口距离，以估价对象距</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高速出入口</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距离因素条件指数为100，每增加或减少1000，距</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高速出入口距</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离因素条件指数相应向上或向下修正</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10A24CB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距货运</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火车站</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距离，以估价对象距货运</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火车站</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距离因素条件指数为100，每增加或减少1000，距货运</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火车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站距离因素条件指数相应向上或向下修正</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5A886FD8">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b</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.产业集聚</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程</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度</w:t>
      </w:r>
    </w:p>
    <w:p w14:paraId="5EABCEC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将产业集聚</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程</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度分为高、较高、一般、较低、低五个等级，以估价对象指数定为100，每上升或降低一个级别，地价指数增加或减少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28F569FA">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公共配套设施完善度，将公共配套设施完善度分为公共配套设施齐全、完备、等级高，公共配套设施较齐全、完备、等级较高，公共配套设施基本齐全、完备、等级一般，公共配套设施较不齐全、完备、等级较低，公共配套设施不齐全，级别低五个级别</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五个级别，以估价对象指数定为100，每上升或降低一个级别，地价增加或减少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65C45D1D">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d</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、环境质量</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优劣度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，估价对象及案例A、案例B、案例C均为基本无污染，故估价对象及案例A、案例B、案例C环境质量修正指数均为100</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p>
    <w:p w14:paraId="4DEBBFE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Ⅱ、个别因素</w:t>
      </w:r>
    </w:p>
    <w:p w14:paraId="4D369FA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a、宗地</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规模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（m</w:t>
      </w:r>
      <w:r>
        <w:rPr>
          <w:rFonts w:hint="eastAsia" w:ascii="仿宋_GB2312" w:hAnsi="Times New Roman" w:eastAsia="仿宋_GB2312" w:cs="Times New Roman"/>
          <w:color w:val="000000" w:themeColor="text1"/>
          <w:sz w:val="28"/>
          <w:szCs w:val="30"/>
          <w:highlight w:val="none"/>
          <w:vertAlign w:val="superscript"/>
          <w:lang w:val="en-GB"/>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），将宗地面积（m</w:t>
      </w:r>
      <w:r>
        <w:rPr>
          <w:rFonts w:hint="eastAsia" w:ascii="仿宋_GB2312" w:hAnsi="Times New Roman" w:eastAsia="仿宋_GB2312" w:cs="Times New Roman"/>
          <w:color w:val="000000" w:themeColor="text1"/>
          <w:sz w:val="28"/>
          <w:szCs w:val="30"/>
          <w:highlight w:val="none"/>
          <w:vertAlign w:val="superscript"/>
          <w:lang w:val="en-GB"/>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）分为＞</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000平方米及其以下五个级别，以估价对象指数定为100，每上升或降低一个级别地价增加或减少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w:t>
      </w:r>
    </w:p>
    <w:p w14:paraId="00675B7A">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b</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、宗地形状，将宗地形状状况分为规则，较规则，基本规则，较不规则，不规则5个级别，以估价对象指数定为100，每上升或降低一个级别地价增加或减少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30BA55A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c</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、地</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，将地</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状况分为地势平坦，地势较平坦，地势基本平</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坦、地势较不平坦、地势较平坦5个级别，以估价对象指数定为100，每上升或降低一个级别地价增加或减少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w:t>
      </w:r>
    </w:p>
    <w:p w14:paraId="68447BA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d</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地质</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，将</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地质状况</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分为大于25吨/平方米，大于20吨/平方米，大于15吨/平方米，大于10吨/平方米四个级别，以估价对象指数定为100，每上升或降低一个级别地价增加或减少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7EACEFB9">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e</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规划限制</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，根据</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《关于国有建设用地的规划条件的函》（2025年9月11日）</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估价对象无特殊规划限制，</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与比较实例A、B、C一致，故比较实例A、B、C开发程度水平修正系数均为100</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3A4A0D99">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Times New Roman" w:hAnsi="Times New Roman" w:eastAsia="仿宋" w:cs="Times New Roman"/>
          <w:color w:val="000000" w:themeColor="text1"/>
          <w:sz w:val="28"/>
          <w:highlight w:val="none"/>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根据以上比较因素指数的说明，编制比较因素条件指数表</w:t>
      </w:r>
      <w:r>
        <w:rPr>
          <w:rFonts w:hint="eastAsia" w:ascii="Times New Roman" w:hAnsi="Times New Roman" w:eastAsia="仿宋" w:cs="Times New Roman"/>
          <w:color w:val="000000" w:themeColor="text1"/>
          <w:sz w:val="28"/>
          <w:highlight w:val="none"/>
          <w14:textFill>
            <w14:solidFill>
              <w14:schemeClr w14:val="tx1"/>
            </w14:solidFill>
          </w14:textFill>
        </w:rPr>
        <w:t>。</w:t>
      </w:r>
    </w:p>
    <w:p w14:paraId="642DF68B">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14:paraId="1E1B48C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座落</w:t>
            </w:r>
          </w:p>
        </w:tc>
        <w:tc>
          <w:tcPr>
            <w:tcW w:w="1509" w:type="dxa"/>
            <w:shd w:val="clear" w:color="000000" w:fill="FFFFFF"/>
            <w:noWrap w:val="0"/>
            <w:vAlign w:val="center"/>
          </w:tcPr>
          <w:p w14:paraId="7EC79DE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道县湖南紫金新材料产业集聚区</w:t>
            </w:r>
          </w:p>
        </w:tc>
        <w:tc>
          <w:tcPr>
            <w:tcW w:w="1464" w:type="dxa"/>
            <w:shd w:val="clear" w:color="000000" w:fill="FFFFFF"/>
            <w:noWrap w:val="0"/>
            <w:vAlign w:val="center"/>
          </w:tcPr>
          <w:p w14:paraId="61F0285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道县乌家山路以南、东环一路以西</w:t>
            </w:r>
          </w:p>
        </w:tc>
        <w:tc>
          <w:tcPr>
            <w:tcW w:w="1464" w:type="dxa"/>
            <w:shd w:val="clear" w:color="000000" w:fill="FFFFFF"/>
            <w:noWrap w:val="0"/>
            <w:vAlign w:val="center"/>
          </w:tcPr>
          <w:p w14:paraId="69642E0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道县庙塘路以北、富园四路以东</w:t>
            </w:r>
          </w:p>
        </w:tc>
        <w:tc>
          <w:tcPr>
            <w:tcW w:w="1464" w:type="dxa"/>
            <w:shd w:val="clear" w:color="000000" w:fill="FFFFFF"/>
            <w:noWrap w:val="0"/>
            <w:vAlign w:val="center"/>
          </w:tcPr>
          <w:p w14:paraId="1E7DA26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道县张家街路以南</w:t>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A0DAC7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交易价格（元/平方米）</w:t>
            </w:r>
          </w:p>
        </w:tc>
        <w:tc>
          <w:tcPr>
            <w:tcW w:w="881" w:type="pct"/>
            <w:shd w:val="clear" w:color="000000" w:fill="FFFFFF"/>
            <w:noWrap w:val="0"/>
            <w:vAlign w:val="center"/>
          </w:tcPr>
          <w:p w14:paraId="0AC4FBE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w:t>
            </w:r>
          </w:p>
        </w:tc>
        <w:tc>
          <w:tcPr>
            <w:tcW w:w="1464" w:type="dxa"/>
            <w:shd w:val="clear" w:color="000000" w:fill="FFFFFF"/>
            <w:noWrap w:val="0"/>
            <w:vAlign w:val="center"/>
          </w:tcPr>
          <w:p w14:paraId="193F79B0">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145</w:t>
            </w:r>
          </w:p>
        </w:tc>
        <w:tc>
          <w:tcPr>
            <w:tcW w:w="1464" w:type="dxa"/>
            <w:shd w:val="clear" w:color="000000" w:fill="FFFFFF"/>
            <w:noWrap w:val="0"/>
            <w:vAlign w:val="center"/>
          </w:tcPr>
          <w:p w14:paraId="5305612F">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150</w:t>
            </w:r>
          </w:p>
        </w:tc>
        <w:tc>
          <w:tcPr>
            <w:tcW w:w="1464" w:type="dxa"/>
            <w:shd w:val="clear" w:color="000000" w:fill="FFFFFF"/>
            <w:noWrap w:val="0"/>
            <w:vAlign w:val="center"/>
          </w:tcPr>
          <w:p w14:paraId="47A56456">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149</w:t>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585283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土地用途</w:t>
            </w:r>
          </w:p>
        </w:tc>
        <w:tc>
          <w:tcPr>
            <w:tcW w:w="1509" w:type="dxa"/>
            <w:shd w:val="clear" w:color="000000" w:fill="FFFFFF"/>
            <w:noWrap w:val="0"/>
            <w:vAlign w:val="center"/>
          </w:tcPr>
          <w:p w14:paraId="447FAF9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0BEECE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3056A5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649035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44E5AF5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1509" w:type="dxa"/>
            <w:shd w:val="clear" w:color="000000" w:fill="FFFFFF"/>
            <w:noWrap w:val="0"/>
            <w:vAlign w:val="center"/>
          </w:tcPr>
          <w:p w14:paraId="02A58CA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177118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102.04</w:t>
            </w:r>
          </w:p>
        </w:tc>
        <w:tc>
          <w:tcPr>
            <w:tcW w:w="1464" w:type="dxa"/>
            <w:shd w:val="clear" w:color="000000" w:fill="FFFFFF"/>
            <w:noWrap w:val="0"/>
            <w:vAlign w:val="center"/>
          </w:tcPr>
          <w:p w14:paraId="692CCD0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102.93</w:t>
            </w:r>
          </w:p>
        </w:tc>
        <w:tc>
          <w:tcPr>
            <w:tcW w:w="1464" w:type="dxa"/>
            <w:shd w:val="clear" w:color="000000" w:fill="FFFFFF"/>
            <w:noWrap w:val="0"/>
            <w:vAlign w:val="center"/>
          </w:tcPr>
          <w:p w14:paraId="51624D98">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101.95</w:t>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09E6D1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1509" w:type="dxa"/>
            <w:shd w:val="clear" w:color="000000" w:fill="FFFFFF"/>
            <w:noWrap w:val="0"/>
            <w:vAlign w:val="center"/>
          </w:tcPr>
          <w:p w14:paraId="07F58AE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FD56245">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D77B9F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02ECE2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1AA9B2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1509" w:type="dxa"/>
            <w:shd w:val="clear" w:color="000000" w:fill="FFFFFF"/>
            <w:noWrap w:val="0"/>
            <w:vAlign w:val="center"/>
          </w:tcPr>
          <w:p w14:paraId="35DD476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5DCD87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D4476D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E62DAA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3FC6554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1509" w:type="dxa"/>
            <w:shd w:val="clear" w:color="000000" w:fill="FFFFFF"/>
            <w:noWrap w:val="0"/>
            <w:vAlign w:val="center"/>
          </w:tcPr>
          <w:p w14:paraId="5FCB5A4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59F8A7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9F841C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DB0396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14:paraId="1BDF217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restart"/>
            <w:shd w:val="clear" w:color="auto" w:fill="auto"/>
            <w:noWrap w:val="0"/>
            <w:vAlign w:val="center"/>
          </w:tcPr>
          <w:p w14:paraId="2A139F90">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923" w:type="pct"/>
            <w:shd w:val="clear" w:color="000000" w:fill="FFFFFF"/>
            <w:noWrap w:val="0"/>
            <w:vAlign w:val="center"/>
          </w:tcPr>
          <w:p w14:paraId="53A4E72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1509" w:type="dxa"/>
            <w:shd w:val="clear" w:color="000000" w:fill="FFFFFF"/>
            <w:noWrap w:val="0"/>
            <w:vAlign w:val="center"/>
          </w:tcPr>
          <w:p w14:paraId="35E4A31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61A02D3">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1787EFE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018A72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14:paraId="2AD995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1509" w:type="dxa"/>
            <w:noWrap w:val="0"/>
            <w:vAlign w:val="center"/>
          </w:tcPr>
          <w:p w14:paraId="02185FD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036E7FC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108</w:t>
            </w:r>
          </w:p>
        </w:tc>
        <w:tc>
          <w:tcPr>
            <w:tcW w:w="1464" w:type="dxa"/>
            <w:noWrap w:val="0"/>
            <w:vAlign w:val="center"/>
          </w:tcPr>
          <w:p w14:paraId="228D0B08">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108</w:t>
            </w:r>
          </w:p>
        </w:tc>
        <w:tc>
          <w:tcPr>
            <w:tcW w:w="1464" w:type="dxa"/>
            <w:noWrap w:val="0"/>
            <w:vAlign w:val="center"/>
          </w:tcPr>
          <w:p w14:paraId="3A0D28E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108</w:t>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14:paraId="7684888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1509" w:type="dxa"/>
            <w:noWrap w:val="0"/>
            <w:vAlign w:val="center"/>
          </w:tcPr>
          <w:p w14:paraId="1606072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069219E9">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780F93D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7227CC6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36C5014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1509" w:type="dxa"/>
            <w:shd w:val="clear" w:color="000000" w:fill="FFFFFF"/>
            <w:noWrap w:val="0"/>
            <w:vAlign w:val="center"/>
          </w:tcPr>
          <w:p w14:paraId="146B126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753C63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588BA99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39F3389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75026A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1509" w:type="dxa"/>
            <w:shd w:val="clear" w:color="000000" w:fill="FFFFFF"/>
            <w:noWrap w:val="0"/>
            <w:vAlign w:val="center"/>
          </w:tcPr>
          <w:p w14:paraId="698567F5">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57035A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c>
          <w:tcPr>
            <w:tcW w:w="1464" w:type="dxa"/>
            <w:shd w:val="clear" w:color="000000" w:fill="FFFFFF"/>
            <w:noWrap w:val="0"/>
            <w:vAlign w:val="center"/>
          </w:tcPr>
          <w:p w14:paraId="2831A73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c>
          <w:tcPr>
            <w:tcW w:w="1464" w:type="dxa"/>
            <w:shd w:val="clear" w:color="000000" w:fill="FFFFFF"/>
            <w:noWrap w:val="0"/>
            <w:vAlign w:val="center"/>
          </w:tcPr>
          <w:p w14:paraId="2524B5A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575C8D3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1509" w:type="dxa"/>
            <w:shd w:val="clear" w:color="000000" w:fill="FFFFFF"/>
            <w:noWrap w:val="0"/>
            <w:vAlign w:val="center"/>
          </w:tcPr>
          <w:p w14:paraId="7685777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29A7AB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30955D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6FE51B3">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14:paraId="327E3D5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261" w:type="pct"/>
            <w:gridSpan w:val="2"/>
            <w:shd w:val="clear" w:color="000000" w:fill="FFFFFF"/>
            <w:noWrap w:val="0"/>
            <w:vAlign w:val="center"/>
          </w:tcPr>
          <w:p w14:paraId="7259693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p>
        </w:tc>
        <w:tc>
          <w:tcPr>
            <w:tcW w:w="1509" w:type="dxa"/>
            <w:shd w:val="clear" w:color="000000" w:fill="FFFFFF"/>
            <w:noWrap w:val="0"/>
            <w:vAlign w:val="center"/>
          </w:tcPr>
          <w:p w14:paraId="571925B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E2C65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w:t>
            </w:r>
          </w:p>
        </w:tc>
        <w:tc>
          <w:tcPr>
            <w:tcW w:w="1464" w:type="dxa"/>
            <w:shd w:val="clear" w:color="000000" w:fill="FFFFFF"/>
            <w:noWrap w:val="0"/>
            <w:vAlign w:val="center"/>
          </w:tcPr>
          <w:p w14:paraId="24B3E4D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2416572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5B05CD0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1509" w:type="dxa"/>
            <w:shd w:val="clear" w:color="000000" w:fill="FFFFFF"/>
            <w:noWrap w:val="0"/>
            <w:vAlign w:val="center"/>
          </w:tcPr>
          <w:p w14:paraId="2207C5B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7CC1A8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6134FE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57C0CE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757AF85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地势</w:t>
            </w:r>
          </w:p>
        </w:tc>
        <w:tc>
          <w:tcPr>
            <w:tcW w:w="1509" w:type="dxa"/>
            <w:shd w:val="clear" w:color="000000" w:fill="FFFFFF"/>
            <w:noWrap w:val="0"/>
            <w:vAlign w:val="center"/>
          </w:tcPr>
          <w:p w14:paraId="67CCDAF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63EB8B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F5DB05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A9809B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0646F6D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1509" w:type="dxa"/>
            <w:shd w:val="clear" w:color="000000" w:fill="FFFFFF"/>
            <w:noWrap w:val="0"/>
            <w:vAlign w:val="center"/>
          </w:tcPr>
          <w:p w14:paraId="2B2D2BC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BC6747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8ECEA1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77C512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673527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1509" w:type="dxa"/>
            <w:shd w:val="clear" w:color="000000" w:fill="FFFFFF"/>
            <w:noWrap w:val="0"/>
            <w:vAlign w:val="center"/>
          </w:tcPr>
          <w:p w14:paraId="10F992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50DFBE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3B2F8D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B18D19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bl>
    <w:p w14:paraId="22F5FFFA">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635B87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交易价格（元/平方米）</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05C0F68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145</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F8775B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150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2ED8251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149</w:t>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624AC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土地用途</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7946B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1E1B2D8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046A499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B6D95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F5C4135">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102.04/100</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11DC3EE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102.93/100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09BD6E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101.95/100</w:t>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9B70C1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890" w:type="pct"/>
            <w:tcBorders>
              <w:top w:val="single" w:color="auto" w:sz="4" w:space="0"/>
              <w:left w:val="nil"/>
              <w:bottom w:val="single" w:color="auto" w:sz="4" w:space="0"/>
              <w:right w:val="single" w:color="auto" w:sz="4" w:space="0"/>
            </w:tcBorders>
            <w:noWrap w:val="0"/>
            <w:vAlign w:val="center"/>
          </w:tcPr>
          <w:p w14:paraId="63DEA9F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2991D61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51DF05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1107DC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890" w:type="pct"/>
            <w:tcBorders>
              <w:top w:val="single" w:color="auto" w:sz="4" w:space="0"/>
              <w:left w:val="nil"/>
              <w:bottom w:val="single" w:color="auto" w:sz="4" w:space="0"/>
              <w:right w:val="single" w:color="auto" w:sz="4" w:space="0"/>
            </w:tcBorders>
            <w:noWrap w:val="0"/>
            <w:vAlign w:val="center"/>
          </w:tcPr>
          <w:p w14:paraId="4D9D8A0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4773CFB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72C7CE1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0CCF0AD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890" w:type="pct"/>
            <w:tcBorders>
              <w:top w:val="single" w:color="auto" w:sz="4" w:space="0"/>
              <w:left w:val="nil"/>
              <w:bottom w:val="single" w:color="auto" w:sz="4" w:space="0"/>
              <w:right w:val="single" w:color="auto" w:sz="4" w:space="0"/>
            </w:tcBorders>
            <w:noWrap w:val="0"/>
            <w:vAlign w:val="center"/>
          </w:tcPr>
          <w:p w14:paraId="5BD153B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2C93DAD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200EB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14:paraId="590C493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区域因素</w:t>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78C2E2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440BFCA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890" w:type="pct"/>
            <w:tcBorders>
              <w:top w:val="single" w:color="auto" w:sz="4" w:space="0"/>
              <w:left w:val="nil"/>
              <w:bottom w:val="single" w:color="auto" w:sz="4" w:space="0"/>
              <w:right w:val="single" w:color="auto" w:sz="4" w:space="0"/>
            </w:tcBorders>
            <w:noWrap w:val="0"/>
            <w:vAlign w:val="center"/>
          </w:tcPr>
          <w:p w14:paraId="585C9DD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890" w:type="pct"/>
            <w:tcBorders>
              <w:top w:val="single" w:color="auto" w:sz="4" w:space="0"/>
              <w:left w:val="nil"/>
              <w:bottom w:val="single" w:color="auto" w:sz="4" w:space="0"/>
              <w:right w:val="single" w:color="auto" w:sz="4" w:space="0"/>
            </w:tcBorders>
            <w:noWrap w:val="0"/>
            <w:vAlign w:val="center"/>
          </w:tcPr>
          <w:p w14:paraId="79C9AC9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0920DF6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69F14AC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890" w:type="pct"/>
            <w:tcBorders>
              <w:top w:val="single" w:color="auto" w:sz="4" w:space="0"/>
              <w:left w:val="nil"/>
              <w:bottom w:val="single" w:color="auto" w:sz="4" w:space="0"/>
              <w:right w:val="single" w:color="auto" w:sz="4" w:space="0"/>
            </w:tcBorders>
            <w:noWrap w:val="0"/>
            <w:vAlign w:val="center"/>
          </w:tcPr>
          <w:p w14:paraId="6A618F4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100/108</w:t>
            </w:r>
          </w:p>
        </w:tc>
        <w:tc>
          <w:tcPr>
            <w:tcW w:w="890" w:type="pct"/>
            <w:tcBorders>
              <w:top w:val="single" w:color="auto" w:sz="4" w:space="0"/>
              <w:left w:val="nil"/>
              <w:bottom w:val="single" w:color="auto" w:sz="4" w:space="0"/>
              <w:right w:val="single" w:color="auto" w:sz="4" w:space="0"/>
            </w:tcBorders>
            <w:noWrap w:val="0"/>
            <w:vAlign w:val="center"/>
          </w:tcPr>
          <w:p w14:paraId="5146160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100/108</w:t>
            </w:r>
          </w:p>
        </w:tc>
        <w:tc>
          <w:tcPr>
            <w:tcW w:w="717" w:type="pct"/>
            <w:tcBorders>
              <w:top w:val="single" w:color="auto" w:sz="4" w:space="0"/>
              <w:left w:val="nil"/>
              <w:bottom w:val="single" w:color="auto" w:sz="4" w:space="0"/>
              <w:right w:val="single" w:color="auto" w:sz="4" w:space="0"/>
            </w:tcBorders>
            <w:noWrap w:val="0"/>
            <w:vAlign w:val="center"/>
          </w:tcPr>
          <w:p w14:paraId="23BB88D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100/108</w:t>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00B269C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890" w:type="pct"/>
            <w:tcBorders>
              <w:top w:val="single" w:color="auto" w:sz="4" w:space="0"/>
              <w:left w:val="nil"/>
              <w:bottom w:val="single" w:color="auto" w:sz="4" w:space="0"/>
              <w:right w:val="single" w:color="auto" w:sz="4" w:space="0"/>
            </w:tcBorders>
            <w:noWrap w:val="0"/>
            <w:vAlign w:val="center"/>
          </w:tcPr>
          <w:p w14:paraId="6A24DBE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114505B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74E54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13D7252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890" w:type="pct"/>
            <w:tcBorders>
              <w:top w:val="single" w:color="auto" w:sz="4" w:space="0"/>
              <w:left w:val="nil"/>
              <w:bottom w:val="single" w:color="auto" w:sz="4" w:space="0"/>
              <w:right w:val="single" w:color="auto" w:sz="4" w:space="0"/>
            </w:tcBorders>
            <w:noWrap w:val="0"/>
            <w:vAlign w:val="center"/>
          </w:tcPr>
          <w:p w14:paraId="3E3B4F3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890" w:type="pct"/>
            <w:tcBorders>
              <w:top w:val="single" w:color="auto" w:sz="4" w:space="0"/>
              <w:left w:val="nil"/>
              <w:bottom w:val="single" w:color="auto" w:sz="4" w:space="0"/>
              <w:right w:val="single" w:color="auto" w:sz="4" w:space="0"/>
            </w:tcBorders>
            <w:noWrap w:val="0"/>
            <w:vAlign w:val="center"/>
          </w:tcPr>
          <w:p w14:paraId="7E657FD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4AD22BB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1210E3C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890" w:type="pct"/>
            <w:tcBorders>
              <w:top w:val="single" w:color="auto" w:sz="4" w:space="0"/>
              <w:left w:val="nil"/>
              <w:bottom w:val="single" w:color="auto" w:sz="4" w:space="0"/>
              <w:right w:val="single" w:color="auto" w:sz="4" w:space="0"/>
            </w:tcBorders>
            <w:noWrap w:val="0"/>
            <w:vAlign w:val="center"/>
          </w:tcPr>
          <w:p w14:paraId="450D3C3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890" w:type="pct"/>
            <w:tcBorders>
              <w:top w:val="single" w:color="auto" w:sz="4" w:space="0"/>
              <w:left w:val="nil"/>
              <w:bottom w:val="single" w:color="auto" w:sz="4" w:space="0"/>
              <w:right w:val="single" w:color="auto" w:sz="4" w:space="0"/>
            </w:tcBorders>
            <w:noWrap w:val="0"/>
            <w:vAlign w:val="center"/>
          </w:tcPr>
          <w:p w14:paraId="432BD89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717" w:type="pct"/>
            <w:tcBorders>
              <w:top w:val="single" w:color="auto" w:sz="4" w:space="0"/>
              <w:left w:val="nil"/>
              <w:bottom w:val="single" w:color="auto" w:sz="4" w:space="0"/>
              <w:right w:val="single" w:color="auto" w:sz="4" w:space="0"/>
            </w:tcBorders>
            <w:noWrap w:val="0"/>
            <w:vAlign w:val="center"/>
          </w:tcPr>
          <w:p w14:paraId="7E3B251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3C574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890" w:type="pct"/>
            <w:tcBorders>
              <w:top w:val="single" w:color="auto" w:sz="4" w:space="0"/>
              <w:left w:val="nil"/>
              <w:bottom w:val="single" w:color="auto" w:sz="4" w:space="0"/>
              <w:right w:val="single" w:color="auto" w:sz="4" w:space="0"/>
            </w:tcBorders>
            <w:noWrap w:val="0"/>
            <w:vAlign w:val="center"/>
          </w:tcPr>
          <w:p w14:paraId="73FD645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52322F5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88871C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D6D5E4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30432D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p>
        </w:tc>
        <w:tc>
          <w:tcPr>
            <w:tcW w:w="890" w:type="pct"/>
            <w:tcBorders>
              <w:top w:val="single" w:color="auto" w:sz="4" w:space="0"/>
              <w:left w:val="nil"/>
              <w:bottom w:val="single" w:color="auto" w:sz="4" w:space="0"/>
              <w:right w:val="single" w:color="auto" w:sz="4" w:space="0"/>
            </w:tcBorders>
            <w:noWrap w:val="0"/>
            <w:vAlign w:val="center"/>
          </w:tcPr>
          <w:p w14:paraId="6469D9F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100/102</w:t>
            </w:r>
          </w:p>
        </w:tc>
        <w:tc>
          <w:tcPr>
            <w:tcW w:w="890" w:type="pct"/>
            <w:tcBorders>
              <w:top w:val="single" w:color="auto" w:sz="4" w:space="0"/>
              <w:left w:val="nil"/>
              <w:bottom w:val="single" w:color="auto" w:sz="4" w:space="0"/>
              <w:right w:val="single" w:color="auto" w:sz="4" w:space="0"/>
            </w:tcBorders>
            <w:noWrap w:val="0"/>
            <w:vAlign w:val="center"/>
          </w:tcPr>
          <w:p w14:paraId="6119A43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027ED2C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D29A46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890" w:type="pct"/>
            <w:tcBorders>
              <w:top w:val="single" w:color="auto" w:sz="4" w:space="0"/>
              <w:left w:val="nil"/>
              <w:bottom w:val="single" w:color="auto" w:sz="4" w:space="0"/>
              <w:right w:val="single" w:color="auto" w:sz="4" w:space="0"/>
            </w:tcBorders>
            <w:noWrap w:val="0"/>
            <w:vAlign w:val="center"/>
          </w:tcPr>
          <w:p w14:paraId="4B54C36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890" w:type="pct"/>
            <w:tcBorders>
              <w:top w:val="single" w:color="auto" w:sz="4" w:space="0"/>
              <w:left w:val="nil"/>
              <w:bottom w:val="single" w:color="auto" w:sz="4" w:space="0"/>
              <w:right w:val="single" w:color="auto" w:sz="4" w:space="0"/>
            </w:tcBorders>
            <w:noWrap w:val="0"/>
            <w:vAlign w:val="center"/>
          </w:tcPr>
          <w:p w14:paraId="0046DA2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717" w:type="pct"/>
            <w:tcBorders>
              <w:top w:val="single" w:color="auto" w:sz="4" w:space="0"/>
              <w:left w:val="nil"/>
              <w:bottom w:val="single" w:color="auto" w:sz="4" w:space="0"/>
              <w:right w:val="single" w:color="auto" w:sz="4" w:space="0"/>
            </w:tcBorders>
            <w:noWrap w:val="0"/>
            <w:vAlign w:val="center"/>
          </w:tcPr>
          <w:p w14:paraId="2B7A8A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0D21E92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地势</w:t>
            </w:r>
          </w:p>
        </w:tc>
        <w:tc>
          <w:tcPr>
            <w:tcW w:w="890" w:type="pct"/>
            <w:tcBorders>
              <w:top w:val="single" w:color="auto" w:sz="4" w:space="0"/>
              <w:left w:val="nil"/>
              <w:bottom w:val="single" w:color="auto" w:sz="4" w:space="0"/>
              <w:right w:val="single" w:color="auto" w:sz="4" w:space="0"/>
            </w:tcBorders>
            <w:noWrap w:val="0"/>
            <w:vAlign w:val="center"/>
          </w:tcPr>
          <w:p w14:paraId="2A1EC55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46EA27E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24180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58D3245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890" w:type="pct"/>
            <w:tcBorders>
              <w:top w:val="single" w:color="auto" w:sz="4" w:space="0"/>
              <w:left w:val="nil"/>
              <w:bottom w:val="single" w:color="auto" w:sz="4" w:space="0"/>
              <w:right w:val="single" w:color="auto" w:sz="4" w:space="0"/>
            </w:tcBorders>
            <w:noWrap w:val="0"/>
            <w:vAlign w:val="center"/>
          </w:tcPr>
          <w:p w14:paraId="4FB4549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364BC28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1FC3C1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9F377C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890" w:type="pct"/>
            <w:tcBorders>
              <w:top w:val="single" w:color="auto" w:sz="4" w:space="0"/>
              <w:left w:val="nil"/>
              <w:bottom w:val="single" w:color="auto" w:sz="4" w:space="0"/>
              <w:right w:val="single" w:color="auto" w:sz="4" w:space="0"/>
            </w:tcBorders>
            <w:noWrap w:val="0"/>
            <w:vAlign w:val="center"/>
          </w:tcPr>
          <w:p w14:paraId="600E0B3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1E6370F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544C29E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5FC85D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综合因素修正系数</w:t>
            </w:r>
          </w:p>
        </w:tc>
        <w:tc>
          <w:tcPr>
            <w:tcW w:w="890" w:type="pct"/>
            <w:tcBorders>
              <w:top w:val="single" w:color="auto" w:sz="4" w:space="0"/>
              <w:left w:val="nil"/>
              <w:bottom w:val="single" w:color="auto" w:sz="4" w:space="0"/>
              <w:right w:val="single" w:color="auto" w:sz="4" w:space="0"/>
            </w:tcBorders>
            <w:noWrap w:val="0"/>
            <w:vAlign w:val="center"/>
          </w:tcPr>
          <w:p w14:paraId="40E46E9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0.645</w:t>
            </w:r>
          </w:p>
        </w:tc>
        <w:tc>
          <w:tcPr>
            <w:tcW w:w="890" w:type="pct"/>
            <w:tcBorders>
              <w:top w:val="single" w:color="auto" w:sz="4" w:space="0"/>
              <w:left w:val="nil"/>
              <w:bottom w:val="single" w:color="auto" w:sz="4" w:space="0"/>
              <w:right w:val="single" w:color="auto" w:sz="4" w:space="0"/>
            </w:tcBorders>
            <w:noWrap w:val="0"/>
            <w:vAlign w:val="center"/>
          </w:tcPr>
          <w:p w14:paraId="6776907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0.8635</w:t>
            </w:r>
          </w:p>
        </w:tc>
        <w:tc>
          <w:tcPr>
            <w:tcW w:w="717" w:type="pct"/>
            <w:tcBorders>
              <w:top w:val="single" w:color="auto" w:sz="4" w:space="0"/>
              <w:left w:val="nil"/>
              <w:bottom w:val="single" w:color="auto" w:sz="4" w:space="0"/>
              <w:right w:val="single" w:color="auto" w:sz="4" w:space="0"/>
            </w:tcBorders>
            <w:noWrap w:val="0"/>
            <w:vAlign w:val="center"/>
          </w:tcPr>
          <w:p w14:paraId="792C53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0.8723</w:t>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0D48675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比准价格（元/㎡）</w:t>
            </w:r>
          </w:p>
        </w:tc>
        <w:tc>
          <w:tcPr>
            <w:tcW w:w="890" w:type="pct"/>
            <w:tcBorders>
              <w:top w:val="single" w:color="auto" w:sz="4" w:space="0"/>
              <w:left w:val="nil"/>
              <w:bottom w:val="single" w:color="auto" w:sz="4" w:space="0"/>
              <w:right w:val="single" w:color="auto" w:sz="4" w:space="0"/>
            </w:tcBorders>
            <w:noWrap w:val="0"/>
            <w:vAlign w:val="center"/>
          </w:tcPr>
          <w:p w14:paraId="2E34555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125.35</w:t>
            </w:r>
          </w:p>
        </w:tc>
        <w:tc>
          <w:tcPr>
            <w:tcW w:w="890" w:type="pct"/>
            <w:tcBorders>
              <w:top w:val="single" w:color="auto" w:sz="4" w:space="0"/>
              <w:left w:val="nil"/>
              <w:bottom w:val="single" w:color="auto" w:sz="4" w:space="0"/>
              <w:right w:val="single" w:color="auto" w:sz="4" w:space="0"/>
            </w:tcBorders>
            <w:noWrap w:val="0"/>
            <w:vAlign w:val="center"/>
          </w:tcPr>
          <w:p w14:paraId="12E5089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129.53</w:t>
            </w:r>
          </w:p>
        </w:tc>
        <w:tc>
          <w:tcPr>
            <w:tcW w:w="717" w:type="pct"/>
            <w:tcBorders>
              <w:top w:val="single" w:color="auto" w:sz="4" w:space="0"/>
              <w:left w:val="nil"/>
              <w:bottom w:val="single" w:color="auto" w:sz="4" w:space="0"/>
              <w:right w:val="single" w:color="auto" w:sz="4" w:space="0"/>
            </w:tcBorders>
            <w:noWrap w:val="0"/>
            <w:vAlign w:val="center"/>
          </w:tcPr>
          <w:p w14:paraId="7F10867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129.97</w:t>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056FFE0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土地单价（元/㎡）</w:t>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14:paraId="73E4F66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128.3</w:t>
            </w:r>
          </w:p>
        </w:tc>
      </w:tr>
    </w:tbl>
    <w:p w14:paraId="67574E8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过比较分析，采用各因素修正系数连乘法，求算各比较实例经因素修正后达到估价对象条件时的比准价格。经过比较分析，三个比准价格中价格相近。故取三个比准价格的简单算术平均值作为市场比较法的评估结果，即：（</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125.35+129.53+129.97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÷3≈128.3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元/平方米。</w:t>
      </w:r>
    </w:p>
    <w:p w14:paraId="5AFC7AAE">
      <w:pPr>
        <w:pStyle w:val="2"/>
        <w:ind w:left="0" w:leftChars="0" w:firstLine="560" w:firstLineChars="200"/>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根据检验核算，比较实例的修正幅度≤30%，各比较实例修正后的比准价格之间相差幅度≤40%，故最终确定市场比较法测算结果为128.3元/平方米。</w:t>
      </w:r>
    </w:p>
    <w:p w14:paraId="4A47F4FD">
      <w:pPr>
        <w:widowControl/>
        <w:spacing w:line="500" w:lineRule="exact"/>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14:paraId="65B68B1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成本逼近法测算的测算结果为189.9元/平方米。  </w:t>
      </w:r>
    </w:p>
    <w:p w14:paraId="7BBE272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是根据替代原理，将待估宗地与具有替代性的，且在估价期日近期市场上交易的类似地产进行比较，对类似地产成交价格作适当修正，以此得到待估宗地比准价格的一种方法，由于该方法选择的比较案例是市场搜集的比较客观的真实交易，修正体系是根据估价师多年实践经验编制而成，市场比较法测算的测算结果为127.7元/平方米，该方法的测算结果能够真实的反映估价对象的客观合理市场价格。</w:t>
      </w:r>
    </w:p>
    <w:p w14:paraId="116195A0">
      <w:pPr>
        <w:pStyle w:val="3"/>
        <w:keepNext w:val="0"/>
        <w:keepLines w:val="0"/>
        <w:pageBreakBefore w:val="0"/>
        <w:widowControl w:val="0"/>
        <w:kinsoku/>
        <w:wordWrap/>
        <w:overflowPunct w:val="0"/>
        <w:topLinePunct w:val="0"/>
        <w:autoSpaceDE w:val="0"/>
        <w:autoSpaceDN w:val="0"/>
        <w:bidi w:val="0"/>
        <w:adjustRightInd w:val="0"/>
        <w:spacing w:line="460" w:lineRule="exact"/>
        <w:ind w:left="0" w:leftChars="0" w:firstLine="560" w:firstLineChars="200"/>
        <w:textAlignment w:val="auto"/>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综上所述，</w:t>
      </w:r>
      <w:r>
        <w:rPr>
          <w:rFonts w:hint="eastAsia" w:ascii="仿宋_GB2312" w:hAnsi="仿宋_GB2312" w:eastAsia="仿宋_GB2312" w:cs="仿宋_GB2312"/>
          <w:b w:val="0"/>
          <w:bCs w:val="0"/>
          <w:color w:val="000000" w:themeColor="text1"/>
          <w:kern w:val="2"/>
          <w:sz w:val="28"/>
          <w:szCs w:val="28"/>
          <w:highlight w:val="none"/>
          <w:lang w:val="en-US" w:eastAsia="zh-CN" w:bidi="ar-SA"/>
          <w14:textFill>
            <w14:solidFill>
              <w14:schemeClr w14:val="tx1"/>
            </w14:solidFill>
          </w14:textFill>
        </w:rPr>
        <w:t>对当地土地市场和土地价格的分析和两种方法的可靠性综合分析，根据项目特点，综合考虑宗地所在区域的地价水平，</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确定以</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和</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的评估结果的</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简单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算</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术</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平均值</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作为本次评估的最终结果。</w:t>
      </w:r>
    </w:p>
    <w:p w14:paraId="11DF4AFC">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olor w:val="000000" w:themeColor="text1"/>
                <w:spacing w:val="-20"/>
                <w:szCs w:val="21"/>
                <w:highlight w:val="none"/>
                <w:lang w:val="en-US" w:eastAsia="zh-CN"/>
                <w14:textFill>
                  <w14:solidFill>
                    <w14:schemeClr w14:val="tx1"/>
                  </w14:solidFill>
                </w14:textFill>
              </w:rPr>
              <w:t>道县湖南紫金新材料产业集聚区</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189.9</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127.7</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159</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76.79</w:t>
            </w:r>
          </w:p>
        </w:tc>
      </w:tr>
    </w:tbl>
    <w:p w14:paraId="196F8A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14:paraId="0BC4855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”（通路、通电、通讯）及红线内场地平整，规划利用条件下的土地使用权出让价格如下（币种：人民币）：</w:t>
      </w:r>
    </w:p>
    <w:p w14:paraId="0816B658">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64FF2632">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面积：</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4829.6平方米</w:t>
      </w:r>
    </w:p>
    <w:p w14:paraId="4E841106">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估价对象土地单价：159元/平方米</w:t>
      </w:r>
    </w:p>
    <w:p w14:paraId="79907F5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万元</w:t>
      </w:r>
    </w:p>
    <w:p w14:paraId="144C91A7">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大写：</w:t>
      </w:r>
      <w:r>
        <w:rPr>
          <w:rFonts w:hint="eastAsia" w:ascii="仿宋_GB2312" w:eastAsia="仿宋_GB2312"/>
          <w:b/>
          <w:bCs/>
          <w:color w:val="000000" w:themeColor="text1"/>
          <w:sz w:val="28"/>
          <w:szCs w:val="22"/>
          <w:highlight w:val="none"/>
          <w14:textFill>
            <w14:solidFill>
              <w14:schemeClr w14:val="tx1"/>
            </w14:solidFill>
          </w14:textFill>
        </w:rPr>
        <w:t>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w:t>
      </w:r>
    </w:p>
    <w:p w14:paraId="035DDF0E">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详见《土地估价结果一览表》。</w:t>
      </w:r>
    </w:p>
    <w:p w14:paraId="1169F41C">
      <w:pPr>
        <w:bidi w:val="0"/>
        <w:jc w:val="left"/>
        <w:rPr>
          <w:rFonts w:ascii="Times New Roman" w:hAnsi="Times New Roman" w:eastAsia="宋体" w:cs="Times New Roman"/>
          <w:color w:val="000000" w:themeColor="text1"/>
          <w:kern w:val="2"/>
          <w:sz w:val="21"/>
          <w:highlight w:val="none"/>
          <w:lang w:val="en-US" w:eastAsia="zh-CN" w:bidi="ar-SA"/>
          <w14:textFill>
            <w14:solidFill>
              <w14:schemeClr w14:val="tx1"/>
            </w14:solidFill>
          </w14:textFill>
        </w:rPr>
      </w:pPr>
    </w:p>
    <w:p w14:paraId="774AC345">
      <w:pPr>
        <w:adjustRightInd/>
        <w:snapToGrid/>
        <w:spacing w:line="240" w:lineRule="auto"/>
        <w:jc w:val="left"/>
        <w:outlineLvl w:val="9"/>
        <w:rPr>
          <w:rFonts w:hint="eastAsia"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br w:type="page"/>
      </w:r>
    </w:p>
    <w:p w14:paraId="414F5B82">
      <w:pPr>
        <w:tabs>
          <w:tab w:val="left" w:pos="-105"/>
          <w:tab w:val="left" w:pos="735"/>
          <w:tab w:val="left" w:pos="1785"/>
        </w:tabs>
        <w:adjustRightInd w:val="0"/>
        <w:snapToGrid w:val="0"/>
        <w:spacing w:line="400" w:lineRule="exact"/>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3.《关于道县2025年第七批次建设用地农用地转用和土地征收的批复》（湘政地〔2025〕1205号，2025年9月5日）；</w:t>
      </w:r>
    </w:p>
    <w:p w14:paraId="2B0E6F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5.《道县2025018号地块建设用地规划红线图》；</w:t>
      </w:r>
    </w:p>
    <w:p w14:paraId="1ABF9B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jc w:val="right"/>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Pr>
        <w:sz w:val="21"/>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EDD1FF">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3CEDD1FF">
                    <w:pPr>
                      <w:pStyle w:val="7"/>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eastAsia="仿宋_GB2312"/>
        <w:sz w:val="21"/>
        <w:szCs w:val="21"/>
      </w:rPr>
      <w:t xml:space="preserve"> </w: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rFonts w:hint="eastAsia" w:ascii="仿宋_GB2312" w:eastAsia="仿宋_GB2312"/>
        <w:sz w:val="21"/>
        <w:szCs w:val="21"/>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Pr>
        <w:rFonts w:hint="eastAsia" w:ascii="仿宋_GB2312" w:eastAsia="仿宋_GB2312"/>
        <w:sz w:val="21"/>
        <w:szCs w:val="21"/>
      </w:rPr>
      <w:t xml:space="preserve"> </w: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rFonts w:hint="eastAsia" w:ascii="仿宋_GB2312" w:eastAsia="仿宋_GB2312"/>
        <w:sz w:val="21"/>
        <w:szCs w:val="21"/>
      </w:rPr>
      <w:t>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Pr>
        <w:sz w:val="18"/>
      </w:rPr>
      <mc:AlternateContent>
        <mc:Choice Requires="wps">
          <w:drawing>
            <wp:anchor distT="0" distB="0" distL="114300" distR="114300" simplePos="0" relativeHeight="251676672" behindDoc="0" locked="0" layoutInCell="1" allowOverlap="1">
              <wp:simplePos x="0" y="0"/>
              <wp:positionH relativeFrom="column">
                <wp:posOffset>-5080</wp:posOffset>
              </wp:positionH>
              <wp:positionV relativeFrom="paragraph">
                <wp:posOffset>-135890</wp:posOffset>
              </wp:positionV>
              <wp:extent cx="5285105" cy="0"/>
              <wp:effectExtent l="0" t="6350" r="0" b="6350"/>
              <wp:wrapNone/>
              <wp:docPr id="46" name="直接连接符 46"/>
              <wp:cNvGraphicFramePr/>
              <a:graphic xmlns:a="http://schemas.openxmlformats.org/drawingml/2006/main">
                <a:graphicData uri="http://schemas.microsoft.com/office/word/2010/wordprocessingShape">
                  <wps:wsp>
                    <wps:cNvCnPr/>
                    <wps:spPr>
                      <a:xfrm>
                        <a:off x="1137920" y="9776460"/>
                        <a:ext cx="52851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10.7pt;height:0pt;width:416.15pt;z-index:251676672;mso-width-relative:page;mso-height-relative:page;" filled="f" stroked="t" coordsize="21600,21600" o:gfxdata="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0hfuqNgAAAAJAQAADwAAAAAAAAABACAAAAAiAAAAZHJzL2Rvd25yZXYueG1sUEsBAhQA&#10;FAAAAAgAh07iQDnUrenyAQAAwAMAAA4AAAAAAAAAAQAgAAAAJwEAAGRycy9lMm9Eb2MueG1sUEsF&#10;BgAAAAAGAAYAWQEAAIsFAAAAAA==&#10;">
              <v:fill on="f" focussize="0,0"/>
              <v:stroke weight="1pt" color="#000000 [3213]" miterlimit="8" joinstyle="miter"/>
              <v:imagedata o:title=""/>
              <o:lock v:ext="edit" aspectratio="f"/>
            </v:line>
          </w:pict>
        </mc:Fallback>
      </mc:AlternateContent>
    </w:r>
    <w:r>
      <w:rPr>
        <w:rFonts w:hint="eastAsia" w:ascii="仿宋_GB2312" w:eastAsia="仿宋_GB2312"/>
        <w:sz w:val="21"/>
        <w:szCs w:val="21"/>
      </w:rPr>
      <w:t xml:space="preserve"> </w: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sz w:val="21"/>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1BF884">
                          <w:pPr>
                            <w:pStyle w:val="7"/>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091BF884">
                    <w:pPr>
                      <w:pStyle w:val="7"/>
                    </w:pPr>
                    <w:r>
                      <w:fldChar w:fldCharType="begin"/>
                    </w:r>
                    <w:r>
                      <w:instrText xml:space="preserve"> PAGE  \* MERGEFORMAT </w:instrText>
                    </w:r>
                    <w:r>
                      <w:fldChar w:fldCharType="separate"/>
                    </w:r>
                    <w:r>
                      <w:t>59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Pr>
        <w:sz w:val="18"/>
      </w:rPr>
      <mc:AlternateContent>
        <mc:Choice Requires="wps">
          <w:drawing>
            <wp:anchor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5DBBC">
                          <w:pPr>
                            <w:pStyle w:val="7"/>
                          </w:pPr>
                          <w:r>
                            <w:fldChar w:fldCharType="begin"/>
                          </w:r>
                          <w:r>
                            <w:instrText xml:space="preserve"> PAGE  \* MERGEFORMAT </w:instrText>
                          </w:r>
                          <w:r>
                            <w:fldChar w:fldCharType="separate"/>
                          </w:r>
                          <w:r>
                            <w:t>61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1735DBBC">
                    <w:pPr>
                      <w:pStyle w:val="7"/>
                    </w:pPr>
                    <w:r>
                      <w:fldChar w:fldCharType="begin"/>
                    </w:r>
                    <w:r>
                      <w:instrText xml:space="preserve"> PAGE  \* MERGEFORMAT </w:instrText>
                    </w:r>
                    <w:r>
                      <w:fldChar w:fldCharType="separate"/>
                    </w:r>
                    <w:r>
                      <w:t>61</w:t>
                    </w:r>
                    <w:r>
                      <w:fldChar w:fldCharType="end"/>
                    </w:r>
                  </w:p>
                </w:txbxContent>
              </v:textbox>
            </v:shape>
          </w:pict>
        </mc:Fallback>
      </mc:AlternateContent>
    </w:r>
    <w:r>
      <w:rPr>
        <w:sz w:val="18"/>
      </w:rPr>
      <mc:AlternateContent>
        <mc:Choice Requires="wps">
          <w:drawing>
            <wp:anchor distT="0" distB="0" distL="114300" distR="114300" simplePos="0" relativeHeight="251677696" behindDoc="0" locked="0" layoutInCell="1" allowOverlap="1">
              <wp:simplePos x="0" y="0"/>
              <wp:positionH relativeFrom="column">
                <wp:posOffset>-5080</wp:posOffset>
              </wp:positionH>
              <wp:positionV relativeFrom="paragraph">
                <wp:posOffset>-135890</wp:posOffset>
              </wp:positionV>
              <wp:extent cx="5285105" cy="0"/>
              <wp:effectExtent l="0" t="6350" r="0" b="6350"/>
              <wp:wrapNone/>
              <wp:docPr id="47" name="直接连接符 47"/>
              <wp:cNvGraphicFramePr/>
              <a:graphic xmlns:a="http://schemas.openxmlformats.org/drawingml/2006/main">
                <a:graphicData uri="http://schemas.microsoft.com/office/word/2010/wordprocessingShape">
                  <wps:wsp>
                    <wps:cNvCnPr/>
                    <wps:spPr>
                      <a:xfrm>
                        <a:off x="1137920" y="9776460"/>
                        <a:ext cx="52851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10.7pt;height:0pt;width:416.15pt;z-index:251677696;mso-width-relative:page;mso-height-relative:page;" filled="f" stroked="t" coordsize="21600,21600" o:gfxdata="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IX7qjYAAAACQEAAA8AAAAAAAAAAQAgAAAAIgAAAGRycy9kb3ducmV2LnhtbFBLAQIU&#10;ABQAAAAIAIdO4kC3Cjjb8wEAAMADAAAOAAAAAAAAAAEAIAAAACcBAABkcnMvZTJvRG9jLnhtbFBL&#10;BQYAAAAABgAGAFkBAACMBQAAAAA=&#10;">
              <v:fill on="f" focussize="0,0"/>
              <v:stroke weight="1pt" color="#000000 [3213]" miterlimit="8" joinstyle="miter"/>
              <v:imagedata o:title=""/>
              <o:lock v:ext="edit" aspectratio="f"/>
            </v:line>
          </w:pict>
        </mc:Fallback>
      </mc:AlternateConten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Pr>
        <w:sz w:val="21"/>
      </w:rPr>
      <mc:AlternateContent>
        <mc:Choice Requires="wps">
          <w:drawing>
            <wp:anchor distT="0" distB="0" distL="114300" distR="114300" simplePos="0" relativeHeight="251663360" behindDoc="0" locked="0" layoutInCell="1" allowOverlap="1">
              <wp:simplePos x="0" y="0"/>
              <wp:positionH relativeFrom="margin">
                <wp:posOffset>4983480</wp:posOffset>
              </wp:positionH>
              <wp:positionV relativeFrom="paragraph">
                <wp:posOffset>14605</wp:posOffset>
              </wp:positionV>
              <wp:extent cx="281305" cy="214630"/>
              <wp:effectExtent l="0" t="0" r="0" b="0"/>
              <wp:wrapNone/>
              <wp:docPr id="28"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74581AE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145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left:392.4pt;margin-top:1.15pt;height:16.9pt;width:22.15pt;mso-position-horizontal-relative:margin;z-index:251663360;mso-width-relative:page;mso-height-relative:page;" filled="f" stroked="f" coordsize="21600,21600" o:gfxdata="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nUd0HdgAAAAIAQAADwAAAAAAAAABACAAAAAiAAAAZHJzL2Rvd25yZXYueG1s&#10;UEsBAhQAFAAAAAgAh07iQJMjrAu/AQAAdAMAAA4AAAAAAAAAAQAgAAAAJwEAAGRycy9lMm9Eb2Mu&#10;eG1sUEsFBgAAAAAGAAYAWQEAAFgFAAAAAA==&#10;">
              <v:fill on="f" focussize="0,0"/>
              <v:stroke on="f"/>
              <v:imagedata o:title=""/>
              <o:lock v:ext="edit" aspectratio="f"/>
              <v:textbox inset="0mm,0mm,0mm,0mm">
                <w:txbxContent>
                  <w:p w14:paraId="74581AE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145</w:t>
                    </w:r>
                    <w:r>
                      <w:rPr>
                        <w:rFonts w:hint="eastAsia"/>
                        <w:sz w:val="18"/>
                      </w:rPr>
                      <w:fldChar w:fldCharType="end"/>
                    </w:r>
                  </w:p>
                </w:txbxContent>
              </v:textbox>
            </v:shape>
          </w:pict>
        </mc:Fallback>
      </mc:AlternateConten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rFonts w:hint="eastAsia" w:ascii="仿宋_GB2312" w:eastAsia="仿宋_GB2312"/>
        <w:sz w:val="21"/>
        <w:szCs w:val="21"/>
      </w:rPr>
      <w:t>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技</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