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50B0F">
      <w:pPr>
        <w:spacing w:line="520" w:lineRule="exact"/>
        <w:jc w:val="center"/>
        <w:rPr>
          <w:rFonts w:hint="eastAsia" w:asciiTheme="majorEastAsia" w:hAnsiTheme="majorEastAsia" w:eastAsiaTheme="majorEastAsia" w:cstheme="majorEastAsia"/>
          <w:b w:val="0"/>
          <w:bCs w:val="0"/>
          <w:sz w:val="44"/>
          <w:szCs w:val="44"/>
          <w:highlight w:val="none"/>
        </w:rPr>
      </w:pPr>
    </w:p>
    <w:p w14:paraId="77C3EE53">
      <w:pPr>
        <w:spacing w:line="520" w:lineRule="exact"/>
        <w:jc w:val="center"/>
        <w:rPr>
          <w:rFonts w:hint="eastAsia" w:asciiTheme="majorEastAsia" w:hAnsiTheme="majorEastAsia" w:eastAsiaTheme="majorEastAsia" w:cstheme="majorEastAsia"/>
          <w:b w:val="0"/>
          <w:bCs w:val="0"/>
          <w:sz w:val="44"/>
          <w:szCs w:val="44"/>
          <w:highlight w:val="none"/>
        </w:rPr>
      </w:pPr>
    </w:p>
    <w:p w14:paraId="4BC5F4C2">
      <w:pPr>
        <w:spacing w:line="520" w:lineRule="exact"/>
        <w:jc w:val="center"/>
        <w:rPr>
          <w:rFonts w:hint="eastAsia" w:asciiTheme="majorEastAsia" w:hAnsiTheme="majorEastAsia" w:eastAsiaTheme="majorEastAsia" w:cstheme="majorEastAsia"/>
          <w:b w:val="0"/>
          <w:bCs w:val="0"/>
          <w:sz w:val="44"/>
          <w:szCs w:val="44"/>
          <w:highlight w:val="none"/>
        </w:rPr>
      </w:pPr>
    </w:p>
    <w:p w14:paraId="24F9D0B3">
      <w:pPr>
        <w:spacing w:line="520" w:lineRule="exact"/>
        <w:jc w:val="center"/>
        <w:rPr>
          <w:rFonts w:hint="eastAsia" w:asciiTheme="majorEastAsia" w:hAnsiTheme="majorEastAsia" w:eastAsiaTheme="majorEastAsia" w:cstheme="majorEastAsia"/>
          <w:b w:val="0"/>
          <w:bCs w:val="0"/>
          <w:sz w:val="44"/>
          <w:szCs w:val="44"/>
          <w:highlight w:val="none"/>
        </w:rPr>
      </w:pPr>
      <w:r>
        <w:rPr>
          <w:rFonts w:hint="eastAsia" w:asciiTheme="majorEastAsia" w:hAnsiTheme="majorEastAsia" w:eastAsiaTheme="majorEastAsia" w:cstheme="majorEastAsia"/>
          <w:b w:val="0"/>
          <w:bCs w:val="0"/>
          <w:sz w:val="44"/>
          <w:szCs w:val="44"/>
          <w:highlight w:val="none"/>
        </w:rPr>
        <w:t>土 地 估 价 报 告</w:t>
      </w:r>
    </w:p>
    <w:p w14:paraId="2E50EE65">
      <w:pPr>
        <w:spacing w:line="520" w:lineRule="exact"/>
        <w:jc w:val="center"/>
        <w:rPr>
          <w:rFonts w:hint="eastAsia" w:asciiTheme="majorEastAsia" w:hAnsiTheme="majorEastAsia" w:eastAsiaTheme="majorEastAsia" w:cstheme="majorEastAsia"/>
          <w:b w:val="0"/>
          <w:bCs w:val="0"/>
          <w:sz w:val="44"/>
          <w:szCs w:val="44"/>
          <w:highlight w:val="none"/>
        </w:rPr>
      </w:pPr>
    </w:p>
    <w:p w14:paraId="467E9F4E">
      <w:pPr>
        <w:spacing w:line="520" w:lineRule="exact"/>
        <w:rPr>
          <w:b w:val="0"/>
          <w:bCs w:val="0"/>
          <w:sz w:val="32"/>
          <w:highlight w:val="none"/>
        </w:rPr>
      </w:pPr>
    </w:p>
    <w:tbl>
      <w:tblPr>
        <w:tblStyle w:val="14"/>
        <w:tblpPr w:leftFromText="180" w:rightFromText="180" w:vertAnchor="text" w:horzAnchor="page" w:tblpX="1303" w:tblpY="1108"/>
        <w:tblOverlap w:val="never"/>
        <w:tblW w:w="9741" w:type="dxa"/>
        <w:tblInd w:w="0" w:type="dxa"/>
        <w:tblLayout w:type="fixed"/>
        <w:tblCellMar>
          <w:top w:w="0" w:type="dxa"/>
          <w:left w:w="108" w:type="dxa"/>
          <w:bottom w:w="0" w:type="dxa"/>
          <w:right w:w="108" w:type="dxa"/>
        </w:tblCellMar>
      </w:tblPr>
      <w:tblGrid>
        <w:gridCol w:w="3364"/>
        <w:gridCol w:w="6377"/>
      </w:tblGrid>
      <w:tr w14:paraId="2AECAE1C">
        <w:tblPrEx>
          <w:tblCellMar>
            <w:top w:w="0" w:type="dxa"/>
            <w:left w:w="108" w:type="dxa"/>
            <w:bottom w:w="0" w:type="dxa"/>
            <w:right w:w="108" w:type="dxa"/>
          </w:tblCellMar>
        </w:tblPrEx>
        <w:trPr>
          <w:trHeight w:val="1820" w:hRule="atLeast"/>
        </w:trPr>
        <w:tc>
          <w:tcPr>
            <w:tcW w:w="3364" w:type="dxa"/>
            <w:vAlign w:val="center"/>
          </w:tcPr>
          <w:p w14:paraId="62EE682C">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b w:val="0"/>
                <w:bCs w:val="0"/>
                <w:spacing w:val="14"/>
                <w:sz w:val="32"/>
                <w:szCs w:val="32"/>
                <w:highlight w:val="none"/>
              </w:rPr>
            </w:pPr>
            <w:r>
              <w:rPr>
                <w:rFonts w:hint="eastAsia" w:ascii="楷体" w:hAnsi="楷体" w:eastAsia="楷体"/>
                <w:b w:val="0"/>
                <w:bCs w:val="0"/>
                <w:spacing w:val="32"/>
                <w:kern w:val="0"/>
                <w:sz w:val="32"/>
                <w:szCs w:val="32"/>
                <w:highlight w:val="none"/>
                <w:fitText w:val="3200" w:id="764625149"/>
              </w:rPr>
              <w:t>项  目  名  称</w:t>
            </w:r>
            <w:r>
              <w:rPr>
                <w:rFonts w:hint="eastAsia" w:ascii="楷体" w:hAnsi="楷体" w:eastAsia="楷体"/>
                <w:b w:val="0"/>
                <w:bCs w:val="0"/>
                <w:spacing w:val="0"/>
                <w:kern w:val="0"/>
                <w:sz w:val="32"/>
                <w:szCs w:val="32"/>
                <w:highlight w:val="none"/>
                <w:fitText w:val="3200" w:id="764625149"/>
              </w:rPr>
              <w:t>：</w:t>
            </w:r>
          </w:p>
        </w:tc>
        <w:tc>
          <w:tcPr>
            <w:tcW w:w="6377" w:type="dxa"/>
            <w:vAlign w:val="center"/>
          </w:tcPr>
          <w:p w14:paraId="42CCF805">
            <w:pPr>
              <w:pStyle w:val="8"/>
              <w:keepNext w:val="0"/>
              <w:keepLines w:val="0"/>
              <w:pageBreakBefore w:val="0"/>
              <w:widowControl w:val="0"/>
              <w:suppressLineNumbers w:val="0"/>
              <w:tabs>
                <w:tab w:val="left" w:pos="0"/>
              </w:tabs>
              <w:kinsoku/>
              <w:wordWrap/>
              <w:overflowPunct/>
              <w:topLinePunct w:val="0"/>
              <w:autoSpaceDE/>
              <w:autoSpaceDN/>
              <w:bidi w:val="0"/>
              <w:adjustRightInd w:val="0"/>
              <w:snapToGrid w:val="0"/>
              <w:spacing w:before="0" w:beforeAutospacing="0" w:after="0" w:afterAutospacing="0" w:line="480" w:lineRule="exact"/>
              <w:ind w:right="0" w:rightChars="0"/>
              <w:jc w:val="both"/>
              <w:textAlignment w:val="auto"/>
              <w:rPr>
                <w:rFonts w:hint="default" w:ascii="楷体" w:hAnsi="楷体" w:eastAsia="楷体"/>
                <w:b w:val="0"/>
                <w:bCs w:val="0"/>
                <w:spacing w:val="14"/>
                <w:sz w:val="32"/>
                <w:szCs w:val="32"/>
                <w:highlight w:val="none"/>
                <w:lang w:val="en-US" w:eastAsia="zh-CN"/>
              </w:rPr>
            </w:pPr>
            <w:r>
              <w:rPr>
                <w:rFonts w:hint="eastAsia" w:ascii="楷体" w:hAnsi="楷体" w:eastAsia="楷体" w:cs="Times New Roman"/>
                <w:b w:val="0"/>
                <w:bCs w:val="0"/>
                <w:spacing w:val="14"/>
                <w:sz w:val="32"/>
                <w:szCs w:val="32"/>
                <w:highlight w:val="none"/>
                <w:lang w:val="en-US" w:eastAsia="zh-CN"/>
              </w:rPr>
              <w:t>道县自然资源局办理土地使用权出让手续涉及的位于道县西洲街道宝珍街六栋九号的一宗住宅用途国有建设用地使用权市场价格评估</w:t>
            </w:r>
          </w:p>
        </w:tc>
      </w:tr>
      <w:tr w14:paraId="1BDC1475">
        <w:tblPrEx>
          <w:tblCellMar>
            <w:top w:w="0" w:type="dxa"/>
            <w:left w:w="108" w:type="dxa"/>
            <w:bottom w:w="0" w:type="dxa"/>
            <w:right w:w="108" w:type="dxa"/>
          </w:tblCellMar>
        </w:tblPrEx>
        <w:trPr>
          <w:trHeight w:val="1134" w:hRule="atLeast"/>
        </w:trPr>
        <w:tc>
          <w:tcPr>
            <w:tcW w:w="3364" w:type="dxa"/>
            <w:vAlign w:val="center"/>
          </w:tcPr>
          <w:p w14:paraId="522D9DA5">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val="0"/>
                <w:bCs w:val="0"/>
                <w:spacing w:val="14"/>
                <w:sz w:val="32"/>
                <w:szCs w:val="32"/>
                <w:highlight w:val="none"/>
              </w:rPr>
            </w:pPr>
            <w:r>
              <w:rPr>
                <w:rFonts w:ascii="楷体" w:hAnsi="楷体" w:eastAsia="楷体"/>
                <w:b w:val="0"/>
                <w:bCs w:val="0"/>
                <w:spacing w:val="80"/>
                <w:kern w:val="0"/>
                <w:sz w:val="32"/>
                <w:szCs w:val="32"/>
                <w:highlight w:val="none"/>
                <w:fitText w:val="3200" w:id="173879373"/>
              </w:rPr>
              <w:t>受托估价单位</w:t>
            </w:r>
            <w:r>
              <w:rPr>
                <w:rFonts w:ascii="楷体" w:hAnsi="楷体" w:eastAsia="楷体"/>
                <w:b w:val="0"/>
                <w:bCs w:val="0"/>
                <w:spacing w:val="0"/>
                <w:kern w:val="0"/>
                <w:sz w:val="32"/>
                <w:szCs w:val="32"/>
                <w:highlight w:val="none"/>
                <w:fitText w:val="3200" w:id="173879373"/>
              </w:rPr>
              <w:t>：</w:t>
            </w:r>
          </w:p>
        </w:tc>
        <w:tc>
          <w:tcPr>
            <w:tcW w:w="6377" w:type="dxa"/>
            <w:vAlign w:val="center"/>
          </w:tcPr>
          <w:p w14:paraId="212B9C1F">
            <w:pPr>
              <w:pStyle w:val="8"/>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ascii="楷体" w:hAnsi="楷体" w:eastAsia="楷体"/>
                <w:b w:val="0"/>
                <w:bCs w:val="0"/>
                <w:spacing w:val="14"/>
                <w:sz w:val="32"/>
                <w:szCs w:val="32"/>
                <w:highlight w:val="none"/>
              </w:rPr>
            </w:pPr>
            <w:r>
              <w:rPr>
                <w:rFonts w:hint="eastAsia" w:ascii="楷体" w:hAnsi="楷体" w:eastAsia="楷体"/>
                <w:b w:val="0"/>
                <w:bCs w:val="0"/>
                <w:spacing w:val="14"/>
                <w:sz w:val="32"/>
                <w:szCs w:val="32"/>
                <w:highlight w:val="none"/>
                <w:lang w:eastAsia="zh-CN"/>
              </w:rPr>
              <w:t>湖南兆财不动产规划评估有限公司</w:t>
            </w:r>
          </w:p>
        </w:tc>
      </w:tr>
      <w:tr w14:paraId="2DB607AD">
        <w:tblPrEx>
          <w:tblCellMar>
            <w:top w:w="0" w:type="dxa"/>
            <w:left w:w="108" w:type="dxa"/>
            <w:bottom w:w="0" w:type="dxa"/>
            <w:right w:w="108" w:type="dxa"/>
          </w:tblCellMar>
        </w:tblPrEx>
        <w:trPr>
          <w:trHeight w:val="1134" w:hRule="atLeast"/>
        </w:trPr>
        <w:tc>
          <w:tcPr>
            <w:tcW w:w="3364" w:type="dxa"/>
            <w:vAlign w:val="center"/>
          </w:tcPr>
          <w:p w14:paraId="6A3C88CB">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b w:val="0"/>
                <w:bCs w:val="0"/>
                <w:highlight w:val="none"/>
              </w:rPr>
            </w:pPr>
            <w:r>
              <w:rPr>
                <w:rFonts w:ascii="楷体" w:hAnsi="楷体" w:eastAsia="楷体"/>
                <w:b w:val="0"/>
                <w:bCs w:val="0"/>
                <w:spacing w:val="20"/>
                <w:kern w:val="0"/>
                <w:sz w:val="32"/>
                <w:szCs w:val="32"/>
                <w:highlight w:val="none"/>
                <w:fitText w:val="3200" w:id="1088905826"/>
              </w:rPr>
              <w:t>土地估价报告编号</w:t>
            </w:r>
            <w:r>
              <w:rPr>
                <w:rFonts w:ascii="楷体" w:hAnsi="楷体" w:eastAsia="楷体"/>
                <w:b w:val="0"/>
                <w:bCs w:val="0"/>
                <w:spacing w:val="0"/>
                <w:kern w:val="0"/>
                <w:sz w:val="32"/>
                <w:szCs w:val="32"/>
                <w:highlight w:val="none"/>
                <w:fitText w:val="3200" w:id="1088905826"/>
              </w:rPr>
              <w:t>：</w:t>
            </w:r>
          </w:p>
        </w:tc>
        <w:tc>
          <w:tcPr>
            <w:tcW w:w="6377" w:type="dxa"/>
            <w:vAlign w:val="center"/>
          </w:tcPr>
          <w:p w14:paraId="10BB2AC7">
            <w:pPr>
              <w:pStyle w:val="8"/>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default" w:ascii="楷体" w:hAnsi="楷体" w:eastAsia="楷体"/>
                <w:b w:val="0"/>
                <w:bCs w:val="0"/>
                <w:spacing w:val="14"/>
                <w:sz w:val="32"/>
                <w:szCs w:val="32"/>
                <w:highlight w:val="none"/>
                <w:lang w:val="en-US" w:eastAsia="zh-CN"/>
              </w:rPr>
            </w:pPr>
            <w:r>
              <w:rPr>
                <w:rFonts w:hint="eastAsia" w:ascii="楷体" w:hAnsi="楷体" w:eastAsia="楷体"/>
                <w:b w:val="0"/>
                <w:bCs w:val="0"/>
                <w:spacing w:val="14"/>
                <w:sz w:val="32"/>
                <w:szCs w:val="32"/>
                <w:highlight w:val="none"/>
                <w:lang w:eastAsia="zh-CN"/>
              </w:rPr>
              <w:t>（</w:t>
            </w:r>
            <w:r>
              <w:rPr>
                <w:rFonts w:hint="eastAsia" w:ascii="楷体" w:hAnsi="楷体" w:eastAsia="楷体"/>
                <w:b w:val="0"/>
                <w:bCs w:val="0"/>
                <w:spacing w:val="14"/>
                <w:sz w:val="32"/>
                <w:szCs w:val="32"/>
                <w:highlight w:val="none"/>
                <w:lang w:val="en-US" w:eastAsia="zh-CN"/>
              </w:rPr>
              <w:t>湖南</w:t>
            </w:r>
            <w:r>
              <w:rPr>
                <w:rFonts w:hint="eastAsia" w:ascii="楷体" w:hAnsi="楷体" w:eastAsia="楷体"/>
                <w:b w:val="0"/>
                <w:bCs w:val="0"/>
                <w:spacing w:val="14"/>
                <w:sz w:val="32"/>
                <w:szCs w:val="32"/>
                <w:highlight w:val="none"/>
                <w:lang w:eastAsia="zh-CN"/>
              </w:rPr>
              <w:t>）</w:t>
            </w:r>
            <w:r>
              <w:rPr>
                <w:rFonts w:hint="eastAsia" w:ascii="楷体" w:hAnsi="楷体" w:eastAsia="楷体"/>
                <w:b w:val="0"/>
                <w:bCs w:val="0"/>
                <w:spacing w:val="14"/>
                <w:sz w:val="32"/>
                <w:szCs w:val="32"/>
                <w:highlight w:val="none"/>
                <w:lang w:val="en-US" w:eastAsia="zh-CN"/>
              </w:rPr>
              <w:t>湘兆财土地</w:t>
            </w:r>
            <w:r>
              <w:rPr>
                <w:rFonts w:hint="eastAsia" w:ascii="楷体" w:hAnsi="楷体" w:eastAsia="楷体"/>
                <w:b w:val="0"/>
                <w:bCs w:val="0"/>
                <w:color w:val="auto"/>
                <w:spacing w:val="-11"/>
                <w:sz w:val="32"/>
                <w:szCs w:val="32"/>
                <w:highlight w:val="none"/>
                <w:lang w:eastAsia="zh-CN"/>
              </w:rPr>
              <w:t>[202</w:t>
            </w:r>
            <w:r>
              <w:rPr>
                <w:rFonts w:hint="eastAsia" w:ascii="楷体" w:hAnsi="楷体" w:eastAsia="楷体"/>
                <w:b w:val="0"/>
                <w:bCs w:val="0"/>
                <w:color w:val="auto"/>
                <w:spacing w:val="-11"/>
                <w:sz w:val="32"/>
                <w:szCs w:val="32"/>
                <w:highlight w:val="none"/>
                <w:lang w:val="en-US" w:eastAsia="zh-CN"/>
              </w:rPr>
              <w:t>6</w:t>
            </w:r>
            <w:r>
              <w:rPr>
                <w:rFonts w:hint="eastAsia" w:ascii="楷体" w:hAnsi="楷体" w:eastAsia="楷体"/>
                <w:b w:val="0"/>
                <w:bCs w:val="0"/>
                <w:color w:val="auto"/>
                <w:spacing w:val="-11"/>
                <w:sz w:val="32"/>
                <w:szCs w:val="32"/>
                <w:highlight w:val="none"/>
                <w:lang w:eastAsia="zh-CN"/>
              </w:rPr>
              <w:t>]（</w:t>
            </w:r>
            <w:r>
              <w:rPr>
                <w:rFonts w:hint="eastAsia" w:ascii="楷体" w:hAnsi="楷体" w:eastAsia="楷体"/>
                <w:b w:val="0"/>
                <w:bCs w:val="0"/>
                <w:color w:val="auto"/>
                <w:spacing w:val="-11"/>
                <w:sz w:val="32"/>
                <w:szCs w:val="32"/>
                <w:highlight w:val="none"/>
                <w:lang w:val="en-US" w:eastAsia="zh-CN"/>
              </w:rPr>
              <w:t>估</w:t>
            </w:r>
            <w:r>
              <w:rPr>
                <w:rFonts w:hint="eastAsia" w:ascii="楷体" w:hAnsi="楷体" w:eastAsia="楷体"/>
                <w:b w:val="0"/>
                <w:bCs w:val="0"/>
                <w:color w:val="auto"/>
                <w:spacing w:val="-11"/>
                <w:sz w:val="32"/>
                <w:szCs w:val="32"/>
                <w:highlight w:val="none"/>
                <w:lang w:eastAsia="zh-CN"/>
              </w:rPr>
              <w:t>）字第</w:t>
            </w:r>
            <w:r>
              <w:rPr>
                <w:rFonts w:hint="eastAsia" w:ascii="楷体" w:hAnsi="楷体" w:eastAsia="楷体"/>
                <w:b w:val="0"/>
                <w:bCs w:val="0"/>
                <w:color w:val="auto"/>
                <w:spacing w:val="-11"/>
                <w:sz w:val="32"/>
                <w:szCs w:val="32"/>
                <w:highlight w:val="none"/>
                <w:lang w:val="en-US" w:eastAsia="zh-CN"/>
              </w:rPr>
              <w:t>ZC0025</w:t>
            </w:r>
            <w:r>
              <w:rPr>
                <w:rFonts w:hint="eastAsia" w:ascii="楷体" w:hAnsi="楷体" w:eastAsia="楷体"/>
                <w:b w:val="0"/>
                <w:bCs w:val="0"/>
                <w:color w:val="auto"/>
                <w:spacing w:val="-11"/>
                <w:sz w:val="32"/>
                <w:szCs w:val="32"/>
                <w:highlight w:val="none"/>
                <w:lang w:eastAsia="zh-CN"/>
              </w:rPr>
              <w:t>号</w:t>
            </w:r>
          </w:p>
        </w:tc>
      </w:tr>
      <w:tr w14:paraId="5FDA5F4D">
        <w:tblPrEx>
          <w:tblCellMar>
            <w:top w:w="0" w:type="dxa"/>
            <w:left w:w="108" w:type="dxa"/>
            <w:bottom w:w="0" w:type="dxa"/>
            <w:right w:w="108" w:type="dxa"/>
          </w:tblCellMar>
        </w:tblPrEx>
        <w:trPr>
          <w:trHeight w:val="1134" w:hRule="atLeast"/>
        </w:trPr>
        <w:tc>
          <w:tcPr>
            <w:tcW w:w="3364" w:type="dxa"/>
            <w:vAlign w:val="center"/>
          </w:tcPr>
          <w:p w14:paraId="79094739">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val="0"/>
                <w:bCs w:val="0"/>
                <w:spacing w:val="14"/>
                <w:sz w:val="32"/>
                <w:szCs w:val="32"/>
                <w:highlight w:val="none"/>
                <w:lang w:val="en-US" w:eastAsia="zh-CN"/>
              </w:rPr>
            </w:pPr>
            <w:r>
              <w:rPr>
                <w:rFonts w:hint="eastAsia" w:ascii="楷体" w:hAnsi="楷体" w:eastAsia="楷体"/>
                <w:b w:val="0"/>
                <w:bCs w:val="0"/>
                <w:spacing w:val="7"/>
                <w:kern w:val="0"/>
                <w:sz w:val="32"/>
                <w:szCs w:val="32"/>
                <w:highlight w:val="none"/>
                <w:fitText w:val="3200" w:id="387540496"/>
              </w:rPr>
              <w:t>电 子 备 案 编 号</w:t>
            </w:r>
            <w:r>
              <w:rPr>
                <w:rFonts w:hint="eastAsia" w:ascii="楷体" w:hAnsi="楷体" w:eastAsia="楷体"/>
                <w:b w:val="0"/>
                <w:bCs w:val="0"/>
                <w:spacing w:val="3"/>
                <w:kern w:val="0"/>
                <w:sz w:val="32"/>
                <w:szCs w:val="32"/>
                <w:highlight w:val="none"/>
                <w:fitText w:val="3200" w:id="387540496"/>
              </w:rPr>
              <w:t>：</w:t>
            </w:r>
          </w:p>
        </w:tc>
        <w:tc>
          <w:tcPr>
            <w:tcW w:w="6377" w:type="dxa"/>
            <w:vAlign w:val="center"/>
          </w:tcPr>
          <w:p w14:paraId="6090D46E">
            <w:pPr>
              <w:pStyle w:val="8"/>
              <w:keepNext w:val="0"/>
              <w:keepLines w:val="0"/>
              <w:pageBreakBefore w:val="0"/>
              <w:widowControl w:val="0"/>
              <w:suppressLineNumbers w:val="0"/>
              <w:tabs>
                <w:tab w:val="left" w:pos="0"/>
                <w:tab w:val="left" w:pos="2340"/>
                <w:tab w:val="left" w:pos="2745"/>
                <w:tab w:val="left" w:pos="3030"/>
                <w:tab w:val="left" w:pos="318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default" w:ascii="楷体" w:hAnsi="楷体" w:eastAsia="楷体" w:cs="Times New Roman"/>
                <w:b w:val="0"/>
                <w:bCs w:val="0"/>
                <w:color w:val="auto"/>
                <w:spacing w:val="14"/>
                <w:kern w:val="2"/>
                <w:sz w:val="32"/>
                <w:szCs w:val="32"/>
                <w:highlight w:val="none"/>
                <w:lang w:val="en-US" w:eastAsia="zh-CN" w:bidi="ar-SA"/>
              </w:rPr>
            </w:pPr>
            <w:r>
              <w:rPr>
                <w:rFonts w:hint="eastAsia" w:ascii="楷体" w:hAnsi="楷体" w:eastAsia="楷体" w:cs="Times New Roman"/>
                <w:b w:val="0"/>
                <w:bCs w:val="0"/>
                <w:color w:val="auto"/>
                <w:spacing w:val="14"/>
                <w:kern w:val="2"/>
                <w:sz w:val="32"/>
                <w:szCs w:val="32"/>
                <w:highlight w:val="none"/>
                <w:lang w:val="en-US" w:eastAsia="zh-CN" w:bidi="ar-SA"/>
              </w:rPr>
              <w:t>详见备案页</w:t>
            </w:r>
          </w:p>
        </w:tc>
      </w:tr>
      <w:tr w14:paraId="3D671817">
        <w:tblPrEx>
          <w:tblCellMar>
            <w:top w:w="0" w:type="dxa"/>
            <w:left w:w="108" w:type="dxa"/>
            <w:bottom w:w="0" w:type="dxa"/>
            <w:right w:w="108" w:type="dxa"/>
          </w:tblCellMar>
        </w:tblPrEx>
        <w:trPr>
          <w:trHeight w:val="1134" w:hRule="atLeast"/>
        </w:trPr>
        <w:tc>
          <w:tcPr>
            <w:tcW w:w="3364" w:type="dxa"/>
            <w:vAlign w:val="center"/>
          </w:tcPr>
          <w:p w14:paraId="43AE1BDC">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val="0"/>
                <w:bCs w:val="0"/>
                <w:spacing w:val="14"/>
                <w:sz w:val="32"/>
                <w:szCs w:val="32"/>
                <w:highlight w:val="none"/>
              </w:rPr>
            </w:pPr>
            <w:r>
              <w:rPr>
                <w:rFonts w:hint="eastAsia" w:ascii="楷体" w:hAnsi="楷体" w:eastAsia="楷体"/>
                <w:b w:val="0"/>
                <w:bCs w:val="0"/>
                <w:spacing w:val="20"/>
                <w:kern w:val="0"/>
                <w:sz w:val="32"/>
                <w:szCs w:val="32"/>
                <w:highlight w:val="none"/>
                <w:fitText w:val="3200" w:id="630930015"/>
              </w:rPr>
              <w:t>提交估价报告日期</w:t>
            </w:r>
            <w:r>
              <w:rPr>
                <w:rFonts w:hint="eastAsia" w:ascii="楷体" w:hAnsi="楷体" w:eastAsia="楷体"/>
                <w:b w:val="0"/>
                <w:bCs w:val="0"/>
                <w:spacing w:val="0"/>
                <w:kern w:val="0"/>
                <w:sz w:val="32"/>
                <w:szCs w:val="32"/>
                <w:highlight w:val="none"/>
                <w:fitText w:val="3200" w:id="630930015"/>
              </w:rPr>
              <w:t>：</w:t>
            </w:r>
          </w:p>
        </w:tc>
        <w:tc>
          <w:tcPr>
            <w:tcW w:w="6377" w:type="dxa"/>
            <w:vAlign w:val="center"/>
          </w:tcPr>
          <w:p w14:paraId="3534AD05">
            <w:pPr>
              <w:pStyle w:val="8"/>
              <w:keepNext w:val="0"/>
              <w:keepLines w:val="0"/>
              <w:pageBreakBefore w:val="0"/>
              <w:widowControl w:val="0"/>
              <w:suppressLineNumbers w:val="0"/>
              <w:tabs>
                <w:tab w:val="left" w:pos="0"/>
                <w:tab w:val="left" w:pos="2340"/>
                <w:tab w:val="left" w:pos="2745"/>
                <w:tab w:val="left" w:pos="3030"/>
                <w:tab w:val="left" w:pos="318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eastAsia" w:ascii="楷体" w:hAnsi="楷体" w:eastAsia="楷体" w:cs="楷体"/>
                <w:b w:val="0"/>
                <w:bCs w:val="0"/>
                <w:spacing w:val="-20"/>
                <w:sz w:val="32"/>
                <w:szCs w:val="32"/>
                <w:highlight w:val="none"/>
                <w:lang w:eastAsia="zh-CN"/>
              </w:rPr>
            </w:pPr>
            <w:r>
              <w:rPr>
                <w:rFonts w:hint="eastAsia" w:ascii="楷体" w:hAnsi="楷体" w:eastAsia="楷体" w:cs="楷体"/>
                <w:b w:val="0"/>
                <w:bCs w:val="0"/>
                <w:spacing w:val="-20"/>
                <w:sz w:val="32"/>
                <w:szCs w:val="32"/>
                <w:highlight w:val="none"/>
                <w:lang w:eastAsia="zh-CN"/>
              </w:rPr>
              <w:t>二〇二</w:t>
            </w:r>
            <w:r>
              <w:rPr>
                <w:rFonts w:hint="eastAsia" w:ascii="楷体" w:hAnsi="楷体" w:eastAsia="楷体" w:cs="楷体"/>
                <w:b w:val="0"/>
                <w:bCs w:val="0"/>
                <w:spacing w:val="-20"/>
                <w:sz w:val="32"/>
                <w:szCs w:val="32"/>
                <w:highlight w:val="none"/>
                <w:lang w:val="en-US" w:eastAsia="zh-CN"/>
              </w:rPr>
              <w:t>六</w:t>
            </w:r>
            <w:r>
              <w:rPr>
                <w:rFonts w:hint="eastAsia" w:ascii="楷体" w:hAnsi="楷体" w:eastAsia="楷体" w:cs="楷体"/>
                <w:b w:val="0"/>
                <w:bCs w:val="0"/>
                <w:spacing w:val="-20"/>
                <w:sz w:val="32"/>
                <w:szCs w:val="32"/>
                <w:highlight w:val="none"/>
                <w:lang w:eastAsia="zh-CN"/>
              </w:rPr>
              <w:t>年</w:t>
            </w:r>
            <w:r>
              <w:rPr>
                <w:rFonts w:hint="eastAsia" w:ascii="楷体" w:hAnsi="楷体" w:eastAsia="楷体" w:cs="楷体"/>
                <w:b w:val="0"/>
                <w:bCs w:val="0"/>
                <w:spacing w:val="-20"/>
                <w:sz w:val="32"/>
                <w:szCs w:val="32"/>
                <w:highlight w:val="none"/>
                <w:lang w:val="en-US" w:eastAsia="zh-CN"/>
              </w:rPr>
              <w:t>六</w:t>
            </w:r>
            <w:r>
              <w:rPr>
                <w:rFonts w:hint="eastAsia" w:ascii="楷体" w:hAnsi="楷体" w:eastAsia="楷体" w:cs="楷体"/>
                <w:b w:val="0"/>
                <w:bCs w:val="0"/>
                <w:spacing w:val="-20"/>
                <w:sz w:val="32"/>
                <w:szCs w:val="32"/>
                <w:highlight w:val="none"/>
                <w:lang w:eastAsia="zh-CN"/>
              </w:rPr>
              <w:t>月</w:t>
            </w:r>
            <w:r>
              <w:rPr>
                <w:rFonts w:hint="eastAsia" w:ascii="楷体" w:hAnsi="楷体" w:eastAsia="楷体" w:cs="楷体"/>
                <w:b w:val="0"/>
                <w:bCs w:val="0"/>
                <w:spacing w:val="-20"/>
                <w:sz w:val="32"/>
                <w:szCs w:val="32"/>
                <w:highlight w:val="none"/>
                <w:lang w:val="en-US" w:eastAsia="zh-CN"/>
              </w:rPr>
              <w:t>五</w:t>
            </w:r>
            <w:r>
              <w:rPr>
                <w:rFonts w:hint="eastAsia" w:ascii="楷体" w:hAnsi="楷体" w:eastAsia="楷体" w:cs="楷体"/>
                <w:b w:val="0"/>
                <w:bCs w:val="0"/>
                <w:spacing w:val="-20"/>
                <w:sz w:val="32"/>
                <w:szCs w:val="32"/>
                <w:highlight w:val="none"/>
                <w:lang w:eastAsia="zh-CN"/>
              </w:rPr>
              <w:t>日</w:t>
            </w:r>
          </w:p>
        </w:tc>
      </w:tr>
    </w:tbl>
    <w:p w14:paraId="65161FBE">
      <w:pPr>
        <w:spacing w:before="0" w:beforeLines="0" w:after="0" w:afterLines="0" w:line="240" w:lineRule="auto"/>
        <w:ind w:left="0" w:leftChars="0" w:right="0" w:rightChars="0" w:firstLine="0" w:firstLineChars="0"/>
        <w:jc w:val="center"/>
        <w:rPr>
          <w:rFonts w:ascii="宋体" w:hAnsi="宋体" w:eastAsia="宋体" w:cs="Times New Roman"/>
          <w:kern w:val="2"/>
          <w:sz w:val="21"/>
          <w:lang w:val="en-US" w:eastAsia="zh-CN" w:bidi="ar-SA"/>
        </w:rPr>
        <w:sectPr>
          <w:headerReference r:id="rId4" w:type="first"/>
          <w:footerReference r:id="rId6" w:type="first"/>
          <w:headerReference r:id="rId3" w:type="default"/>
          <w:footerReference r:id="rId5" w:type="default"/>
          <w:pgSz w:w="11906" w:h="16838"/>
          <w:pgMar w:top="1440" w:right="1800" w:bottom="1440" w:left="1800" w:header="851" w:footer="992" w:gutter="0"/>
          <w:pgNumType w:fmt="decimal"/>
          <w:cols w:space="0" w:num="1"/>
          <w:rtlGutter w:val="0"/>
          <w:docGrid w:type="lines" w:linePitch="312" w:charSpace="0"/>
        </w:sectPr>
      </w:pPr>
    </w:p>
    <w:sdt>
      <w:sdtPr>
        <w:rPr>
          <w:rFonts w:ascii="宋体" w:hAnsi="宋体" w:eastAsia="宋体" w:cs="Times New Roman"/>
          <w:kern w:val="2"/>
          <w:sz w:val="21"/>
          <w:lang w:val="en-US" w:eastAsia="zh-CN" w:bidi="ar-SA"/>
        </w:rPr>
        <w:id w:val="147478867"/>
        <w:showingPlcHdr/>
        <w15:color w:val="DBDBDB"/>
        <w:docPartObj>
          <w:docPartGallery w:val="Table of Contents"/>
          <w:docPartUnique/>
        </w:docPartObj>
      </w:sdtPr>
      <w:sdtEndPr>
        <w:rPr>
          <w:rFonts w:ascii="宋体" w:hAnsi="宋体" w:eastAsia="宋体" w:cs="Times New Roman"/>
          <w:kern w:val="2"/>
          <w:sz w:val="21"/>
          <w:lang w:val="en-US" w:eastAsia="zh-CN" w:bidi="ar-SA"/>
        </w:rPr>
      </w:sdtEndPr>
      <w:sdtContent>
        <w:p w14:paraId="5A896783">
          <w:pPr>
            <w:spacing w:before="0" w:beforeLines="0" w:after="0" w:afterLines="0" w:line="240" w:lineRule="auto"/>
            <w:ind w:left="0" w:leftChars="0" w:right="0" w:rightChars="0" w:firstLine="0" w:firstLineChars="0"/>
            <w:jc w:val="center"/>
          </w:pPr>
          <w:r>
            <w:rPr>
              <w:rFonts w:hint="eastAsia" w:ascii="宋体" w:hAnsi="宋体" w:eastAsia="宋体" w:cs="Times New Roman"/>
              <w:kern w:val="2"/>
              <w:sz w:val="21"/>
              <w:lang w:val="en-US" w:eastAsia="zh-CN" w:bidi="ar-SA"/>
            </w:rPr>
            <w:t xml:space="preserve">     </w:t>
          </w:r>
        </w:p>
      </w:sdtContent>
    </w:sdt>
    <w:p w14:paraId="7745CF90">
      <w:pPr>
        <w:pStyle w:val="20"/>
        <w:keepNext w:val="0"/>
        <w:keepLines w:val="0"/>
        <w:pageBreakBefore w:val="0"/>
        <w:kinsoku/>
        <w:wordWrap/>
        <w:overflowPunct/>
        <w:topLinePunct w:val="0"/>
        <w:autoSpaceDE/>
        <w:autoSpaceDN/>
        <w:bidi w:val="0"/>
        <w:adjustRightInd/>
        <w:snapToGrid/>
        <w:spacing w:line="460" w:lineRule="exact"/>
        <w:outlineLvl w:val="0"/>
        <w:rPr>
          <w:rFonts w:hint="eastAsia" w:asciiTheme="majorEastAsia" w:hAnsiTheme="majorEastAsia" w:eastAsiaTheme="majorEastAsia" w:cstheme="majorEastAsia"/>
          <w:b/>
          <w:bCs/>
          <w:color w:val="auto"/>
          <w:sz w:val="32"/>
          <w:szCs w:val="32"/>
          <w:highlight w:val="none"/>
        </w:rPr>
      </w:pPr>
      <w:bookmarkStart w:id="0" w:name="_Toc1449"/>
      <w:r>
        <w:rPr>
          <w:rFonts w:hint="eastAsia" w:asciiTheme="majorEastAsia" w:hAnsiTheme="majorEastAsia" w:eastAsiaTheme="majorEastAsia" w:cstheme="majorEastAsia"/>
          <w:b/>
          <w:bCs/>
          <w:color w:val="auto"/>
          <w:sz w:val="32"/>
          <w:szCs w:val="32"/>
          <w:highlight w:val="none"/>
        </w:rPr>
        <w:t>土 地 估 价 报 告</w:t>
      </w:r>
      <w:bookmarkEnd w:id="0"/>
    </w:p>
    <w:p w14:paraId="332B4298">
      <w:pPr>
        <w:pStyle w:val="21"/>
        <w:keepNext w:val="0"/>
        <w:keepLines w:val="0"/>
        <w:pageBreakBefore w:val="0"/>
        <w:widowControl w:val="0"/>
        <w:kinsoku/>
        <w:wordWrap/>
        <w:overflowPunct/>
        <w:topLinePunct w:val="0"/>
        <w:autoSpaceDE/>
        <w:autoSpaceDN/>
        <w:bidi w:val="0"/>
        <w:adjustRightInd w:val="0"/>
        <w:snapToGrid w:val="0"/>
        <w:spacing w:before="120" w:beforeLines="50" w:after="240" w:afterLines="100" w:line="480" w:lineRule="exact"/>
        <w:ind w:firstLine="0" w:firstLineChars="0"/>
        <w:jc w:val="center"/>
        <w:textAlignment w:val="auto"/>
        <w:outlineLvl w:val="0"/>
        <w:rPr>
          <w:rFonts w:ascii="宋体" w:hAnsi="宋体" w:eastAsia="宋体" w:cs="宋体"/>
          <w:b/>
          <w:bCs/>
          <w:color w:val="auto"/>
          <w:sz w:val="32"/>
          <w:szCs w:val="32"/>
          <w:highlight w:val="none"/>
        </w:rPr>
      </w:pPr>
      <w:bookmarkStart w:id="1" w:name="_Toc18223"/>
      <w:r>
        <w:rPr>
          <w:rFonts w:hint="eastAsia" w:ascii="宋体" w:hAnsi="宋体" w:eastAsia="宋体" w:cs="宋体"/>
          <w:b/>
          <w:bCs/>
          <w:color w:val="auto"/>
          <w:sz w:val="32"/>
          <w:szCs w:val="32"/>
          <w:highlight w:val="none"/>
        </w:rPr>
        <w:t>第一部分</w:t>
      </w:r>
      <w:r>
        <w:rPr>
          <w:rFonts w:hint="eastAsia" w:ascii="宋体" w:hAnsi="宋体" w:eastAsia="宋体" w:cs="宋体"/>
          <w:b/>
          <w:bCs/>
          <w:color w:val="auto"/>
          <w:sz w:val="32"/>
          <w:szCs w:val="32"/>
          <w:highlight w:val="none"/>
          <w:lang w:val="en-US" w:eastAsia="zh-CN"/>
        </w:rPr>
        <w:t xml:space="preserve">  </w:t>
      </w:r>
      <w:r>
        <w:rPr>
          <w:rFonts w:hint="eastAsia" w:ascii="宋体" w:hAnsi="宋体" w:eastAsia="宋体" w:cs="宋体"/>
          <w:b/>
          <w:bCs/>
          <w:color w:val="auto"/>
          <w:sz w:val="32"/>
          <w:szCs w:val="32"/>
          <w:highlight w:val="none"/>
        </w:rPr>
        <w:t>摘要</w:t>
      </w:r>
      <w:bookmarkEnd w:id="1"/>
    </w:p>
    <w:p w14:paraId="75208816">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color w:val="auto"/>
          <w:kern w:val="0"/>
          <w:sz w:val="28"/>
          <w:szCs w:val="28"/>
          <w:highlight w:val="none"/>
          <w:lang w:val="en-GB" w:eastAsia="zh-CN"/>
        </w:rPr>
      </w:pPr>
      <w:bookmarkStart w:id="2" w:name="_Toc16090"/>
      <w:r>
        <w:rPr>
          <w:rFonts w:hint="eastAsia" w:ascii="仿宋_GB2312" w:hAnsi="仿宋_GB2312" w:eastAsia="仿宋_GB2312" w:cs="仿宋_GB2312"/>
          <w:b/>
          <w:bCs/>
          <w:color w:val="auto"/>
          <w:kern w:val="0"/>
          <w:sz w:val="28"/>
          <w:szCs w:val="28"/>
          <w:highlight w:val="none"/>
          <w:lang w:val="en-GB" w:eastAsia="zh-CN"/>
        </w:rPr>
        <w:t>一、估价项目名称</w:t>
      </w:r>
      <w:bookmarkEnd w:id="2"/>
    </w:p>
    <w:p w14:paraId="483D3A9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道县自然资源局办理土地使用权出让手续涉及的位于道县西洲街道宝珍街六栋九号的一宗住宅用途国有建设用地使用权市场价格评估</w:t>
      </w:r>
    </w:p>
    <w:p w14:paraId="6CB2082A">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9"/>
        <w:rPr>
          <w:rFonts w:hint="eastAsia" w:ascii="仿宋_GB2312" w:hAnsi="仿宋_GB2312" w:eastAsia="仿宋_GB2312" w:cs="仿宋_GB2312"/>
          <w:b/>
          <w:bCs/>
          <w:color w:val="000000" w:themeColor="text1"/>
          <w:kern w:val="0"/>
          <w:sz w:val="28"/>
          <w:szCs w:val="28"/>
          <w:highlight w:val="none"/>
          <w:lang w:val="en-GB"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8"/>
          <w:highlight w:val="none"/>
          <w:lang w:val="en-GB" w:eastAsia="zh-CN"/>
          <w14:textFill>
            <w14:solidFill>
              <w14:schemeClr w14:val="tx1"/>
            </w14:solidFill>
          </w14:textFill>
        </w:rPr>
        <w:t>二、委托估价方</w:t>
      </w:r>
    </w:p>
    <w:p w14:paraId="537B22D5">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left="0" w:leftChars="0" w:firstLine="560" w:firstLineChars="200"/>
        <w:textAlignment w:val="auto"/>
        <w:outlineLvl w:val="9"/>
        <w:rPr>
          <w:rFonts w:hint="eastAsia" w:ascii="仿宋_GB2312" w:hAnsi="仿宋_GB2312" w:eastAsia="仿宋_GB2312" w:cs="仿宋_GB2312"/>
          <w:bCs/>
          <w:sz w:val="28"/>
          <w:szCs w:val="28"/>
          <w:lang w:val="en-US" w:eastAsia="zh-CN"/>
        </w:rPr>
      </w:pPr>
      <w:bookmarkStart w:id="3" w:name="_Toc16105"/>
      <w:r>
        <w:rPr>
          <w:rFonts w:hint="eastAsia" w:ascii="仿宋_GB2312" w:hAnsi="仿宋_GB2312" w:eastAsia="仿宋_GB2312" w:cs="仿宋_GB2312"/>
          <w:bCs/>
          <w:sz w:val="28"/>
          <w:szCs w:val="28"/>
          <w:lang w:val="en-US" w:eastAsia="zh-CN"/>
        </w:rPr>
        <w:t>道县自然资源局</w:t>
      </w:r>
    </w:p>
    <w:p w14:paraId="14029CA1">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bCs/>
          <w:color w:val="auto"/>
          <w:kern w:val="0"/>
          <w:sz w:val="28"/>
          <w:szCs w:val="28"/>
          <w:highlight w:val="none"/>
          <w:lang w:val="en-GB" w:eastAsia="zh-CN"/>
        </w:rPr>
      </w:pPr>
      <w:r>
        <w:rPr>
          <w:rFonts w:hint="eastAsia" w:ascii="仿宋_GB2312" w:hAnsi="仿宋_GB2312" w:eastAsia="仿宋_GB2312" w:cs="仿宋_GB2312"/>
          <w:b/>
          <w:bCs/>
          <w:color w:val="auto"/>
          <w:kern w:val="0"/>
          <w:sz w:val="28"/>
          <w:szCs w:val="28"/>
          <w:lang w:val="en-GB" w:eastAsia="zh-CN" w:bidi="ar-SA"/>
        </w:rPr>
        <w:t>三、</w:t>
      </w:r>
      <w:r>
        <w:rPr>
          <w:rFonts w:hint="eastAsia" w:ascii="仿宋_GB2312" w:hAnsi="仿宋_GB2312" w:eastAsia="仿宋_GB2312" w:cs="仿宋_GB2312"/>
          <w:b/>
          <w:bCs/>
          <w:color w:val="auto"/>
          <w:kern w:val="0"/>
          <w:sz w:val="28"/>
          <w:szCs w:val="28"/>
          <w:highlight w:val="none"/>
          <w:lang w:val="en-GB" w:eastAsia="zh-CN"/>
        </w:rPr>
        <w:t>估价目的</w:t>
      </w:r>
      <w:bookmarkEnd w:id="3"/>
    </w:p>
    <w:p w14:paraId="1E81270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kern w:val="0"/>
          <w:sz w:val="28"/>
          <w:szCs w:val="30"/>
          <w:highlight w:val="none"/>
          <w:lang w:val="en-GB" w:eastAsia="zh-CN"/>
          <w14:textFill>
            <w14:solidFill>
              <w14:schemeClr w14:val="tx1"/>
            </w14:solidFill>
          </w14:textFill>
        </w:rPr>
      </w:pPr>
      <w:r>
        <w:rPr>
          <w:rFonts w:hint="eastAsia" w:ascii="仿宋_GB2312" w:hAnsi="仿宋_GB2312" w:eastAsia="仿宋_GB2312" w:cs="仿宋_GB2312"/>
          <w:bCs/>
          <w:color w:val="auto"/>
          <w:kern w:val="0"/>
          <w:sz w:val="28"/>
          <w:szCs w:val="28"/>
          <w:highlight w:val="none"/>
          <w:lang w:val="en-US" w:eastAsia="zh-CN"/>
        </w:rPr>
        <w:t>根据</w:t>
      </w:r>
      <w:r>
        <w:rPr>
          <w:rFonts w:hint="eastAsia" w:ascii="仿宋_GB2312" w:hAnsi="仿宋_GB2312" w:eastAsia="仿宋_GB2312" w:cs="仿宋_GB2312"/>
          <w:bCs/>
          <w:color w:val="auto"/>
          <w:kern w:val="0"/>
          <w:sz w:val="28"/>
          <w:szCs w:val="28"/>
          <w:highlight w:val="none"/>
          <w:lang w:val="en-GB" w:eastAsia="zh-CN"/>
        </w:rPr>
        <w:t>《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w:t>
      </w:r>
      <w:r>
        <w:rPr>
          <w:rFonts w:hint="eastAsia" w:ascii="仿宋_GB2312" w:hAnsi="仿宋_GB2312" w:eastAsia="仿宋_GB2312" w:cs="仿宋_GB2312"/>
          <w:bCs/>
          <w:color w:val="auto"/>
          <w:kern w:val="0"/>
          <w:sz w:val="28"/>
          <w:szCs w:val="28"/>
          <w:highlight w:val="none"/>
          <w:lang w:val="en-US" w:eastAsia="zh-CN"/>
        </w:rPr>
        <w:t>委托方提供的《评估委托书》，</w:t>
      </w:r>
      <w:r>
        <w:rPr>
          <w:rFonts w:hint="default" w:ascii="仿宋_GB2312" w:hAnsi="仿宋_GB2312" w:eastAsia="仿宋_GB2312" w:cs="仿宋_GB2312"/>
          <w:bCs/>
          <w:color w:val="auto"/>
          <w:kern w:val="0"/>
          <w:sz w:val="28"/>
          <w:szCs w:val="28"/>
          <w:highlight w:val="none"/>
          <w:lang w:val="en-US" w:eastAsia="zh-CN"/>
        </w:rPr>
        <w:t>道县</w:t>
      </w:r>
      <w:r>
        <w:rPr>
          <w:rFonts w:hint="eastAsia" w:ascii="仿宋_GB2312" w:hAnsi="仿宋_GB2312" w:eastAsia="仿宋_GB2312" w:cs="仿宋_GB2312"/>
          <w:bCs/>
          <w:color w:val="auto"/>
          <w:kern w:val="0"/>
          <w:sz w:val="28"/>
          <w:szCs w:val="28"/>
          <w:highlight w:val="none"/>
          <w:lang w:val="en-US" w:eastAsia="zh-CN"/>
        </w:rPr>
        <w:t>自然资源局</w:t>
      </w:r>
      <w:r>
        <w:rPr>
          <w:rFonts w:hint="eastAsia" w:ascii="仿宋_GB2312" w:hAnsi="仿宋_GB2312" w:eastAsia="仿宋_GB2312" w:cs="仿宋_GB2312"/>
          <w:bCs/>
          <w:color w:val="auto"/>
          <w:kern w:val="0"/>
          <w:sz w:val="28"/>
          <w:szCs w:val="28"/>
          <w:highlight w:val="none"/>
          <w:lang w:val="en-GB" w:eastAsia="zh-CN"/>
        </w:rPr>
        <w:t>拟出让涉及的位于</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道县西洲街道宝珍街六栋九号</w:t>
      </w:r>
      <w:r>
        <w:rPr>
          <w:rFonts w:hint="eastAsia" w:ascii="仿宋_GB2312" w:hAnsi="仿宋_GB2312" w:eastAsia="仿宋_GB2312" w:cs="仿宋_GB2312"/>
          <w:bCs/>
          <w:color w:val="auto"/>
          <w:kern w:val="0"/>
          <w:sz w:val="28"/>
          <w:szCs w:val="28"/>
          <w:highlight w:val="none"/>
          <w:lang w:val="en-GB" w:eastAsia="zh-CN"/>
        </w:rPr>
        <w:t>的一宗国有土地使用权</w:t>
      </w:r>
      <w:r>
        <w:rPr>
          <w:rFonts w:hint="eastAsia" w:ascii="仿宋_GB2312" w:hAnsi="仿宋_GB2312" w:eastAsia="仿宋_GB2312" w:cs="仿宋_GB2312"/>
          <w:bCs/>
          <w:color w:val="auto"/>
          <w:kern w:val="0"/>
          <w:sz w:val="28"/>
          <w:szCs w:val="28"/>
          <w:highlight w:val="none"/>
          <w:lang w:val="en-US" w:eastAsia="zh-CN"/>
        </w:rPr>
        <w:t>，特</w:t>
      </w:r>
      <w:r>
        <w:rPr>
          <w:rFonts w:hint="eastAsia" w:ascii="仿宋_GB2312" w:hAnsi="仿宋_GB2312" w:eastAsia="仿宋_GB2312" w:cs="仿宋_GB2312"/>
          <w:bCs/>
          <w:color w:val="auto"/>
          <w:kern w:val="0"/>
          <w:sz w:val="28"/>
          <w:szCs w:val="28"/>
          <w:highlight w:val="none"/>
          <w:lang w:val="en-GB" w:eastAsia="zh-CN"/>
        </w:rPr>
        <w:t>委托湖南兆财不动产规划评估有限公司对该土地使用权市场价格进行评估，为</w:t>
      </w:r>
      <w:r>
        <w:rPr>
          <w:rFonts w:hint="eastAsia" w:ascii="仿宋_GB2312" w:hAnsi="仿宋_GB2312" w:eastAsia="仿宋_GB2312" w:cs="仿宋_GB2312"/>
          <w:bCs/>
          <w:color w:val="auto"/>
          <w:kern w:val="0"/>
          <w:sz w:val="28"/>
          <w:szCs w:val="28"/>
          <w:highlight w:val="none"/>
          <w:lang w:val="en-US" w:eastAsia="zh-CN"/>
        </w:rPr>
        <w:t>土地出让方</w:t>
      </w:r>
      <w:r>
        <w:rPr>
          <w:rFonts w:hint="eastAsia" w:ascii="仿宋_GB2312" w:hAnsi="仿宋_GB2312" w:eastAsia="仿宋_GB2312" w:cs="仿宋_GB2312"/>
          <w:bCs/>
          <w:color w:val="auto"/>
          <w:kern w:val="0"/>
          <w:sz w:val="28"/>
          <w:szCs w:val="28"/>
          <w:highlight w:val="none"/>
          <w:lang w:val="en-GB" w:eastAsia="zh-CN"/>
        </w:rPr>
        <w:t>集体决策</w:t>
      </w:r>
      <w:r>
        <w:rPr>
          <w:rFonts w:hint="eastAsia" w:ascii="仿宋_GB2312" w:hAnsi="仿宋_GB2312" w:eastAsia="仿宋_GB2312" w:cs="仿宋_GB2312"/>
          <w:bCs/>
          <w:color w:val="auto"/>
          <w:kern w:val="0"/>
          <w:sz w:val="28"/>
          <w:szCs w:val="28"/>
          <w:highlight w:val="none"/>
          <w:lang w:val="en-US" w:eastAsia="zh-CN"/>
        </w:rPr>
        <w:t>确定估价对象出让底价提供国有出让</w:t>
      </w:r>
      <w:r>
        <w:rPr>
          <w:rFonts w:hint="eastAsia" w:ascii="仿宋_GB2312" w:hAnsi="仿宋_GB2312" w:eastAsia="仿宋_GB2312" w:cs="仿宋_GB2312"/>
          <w:sz w:val="28"/>
          <w:lang w:val="en-US" w:eastAsia="zh-CN"/>
        </w:rPr>
        <w:t>建设用地使用权市场价格参考依据</w:t>
      </w:r>
      <w:r>
        <w:rPr>
          <w:rFonts w:hint="eastAsia" w:ascii="仿宋_GB2312" w:hAnsi="仿宋_GB2312" w:eastAsia="仿宋_GB2312" w:cs="仿宋_GB2312"/>
          <w:color w:val="000000" w:themeColor="text1"/>
          <w:kern w:val="0"/>
          <w:sz w:val="28"/>
          <w:szCs w:val="30"/>
          <w:highlight w:val="none"/>
          <w:lang w:eastAsia="zh-CN"/>
          <w14:textFill>
            <w14:solidFill>
              <w14:schemeClr w14:val="tx1"/>
            </w14:solidFill>
          </w14:textFill>
        </w:rPr>
        <w:t>。</w:t>
      </w:r>
    </w:p>
    <w:p w14:paraId="5B9409D7">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val="0"/>
          <w:bCs w:val="0"/>
          <w:color w:val="auto"/>
          <w:kern w:val="0"/>
          <w:sz w:val="28"/>
          <w:szCs w:val="28"/>
          <w:highlight w:val="none"/>
          <w:lang w:val="en-US" w:eastAsia="zh-CN"/>
        </w:rPr>
      </w:pPr>
      <w:bookmarkStart w:id="4" w:name="_Toc16844"/>
      <w:r>
        <w:rPr>
          <w:rFonts w:hint="eastAsia" w:ascii="仿宋_GB2312" w:hAnsi="仿宋_GB2312" w:eastAsia="仿宋_GB2312" w:cs="仿宋_GB2312"/>
          <w:b/>
          <w:bCs/>
          <w:color w:val="auto"/>
          <w:kern w:val="0"/>
          <w:sz w:val="28"/>
          <w:szCs w:val="28"/>
          <w:lang w:val="en-US" w:eastAsia="zh-CN" w:bidi="ar-SA"/>
        </w:rPr>
        <w:t>四、</w:t>
      </w:r>
      <w:r>
        <w:rPr>
          <w:rFonts w:hint="eastAsia" w:ascii="仿宋_GB2312" w:hAnsi="仿宋_GB2312" w:eastAsia="仿宋_GB2312" w:cs="仿宋_GB2312"/>
          <w:b/>
          <w:bCs/>
          <w:color w:val="auto"/>
          <w:kern w:val="0"/>
          <w:sz w:val="28"/>
          <w:szCs w:val="28"/>
          <w:highlight w:val="none"/>
          <w:lang w:val="en-US" w:eastAsia="zh-CN"/>
        </w:rPr>
        <w:t>估价期日</w:t>
      </w:r>
      <w:bookmarkEnd w:id="4"/>
    </w:p>
    <w:p w14:paraId="0AF12F2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kern w:val="0"/>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kern w:val="0"/>
          <w:sz w:val="28"/>
          <w:szCs w:val="28"/>
          <w:lang w:val="en-US" w:eastAsia="zh-CN"/>
        </w:rPr>
        <w:t>根</w:t>
      </w:r>
      <w:r>
        <w:rPr>
          <w:rFonts w:hint="eastAsia" w:ascii="仿宋_GB2312" w:hAnsi="仿宋_GB2312" w:eastAsia="仿宋_GB2312" w:cs="仿宋_GB2312"/>
          <w:b w:val="0"/>
          <w:bCs w:val="0"/>
          <w:color w:val="000000" w:themeColor="text1"/>
          <w:kern w:val="0"/>
          <w:sz w:val="28"/>
          <w:szCs w:val="28"/>
          <w:lang w:val="en-US" w:eastAsia="zh-CN"/>
          <w14:textFill>
            <w14:solidFill>
              <w14:schemeClr w14:val="tx1"/>
            </w14:solidFill>
          </w14:textFill>
        </w:rPr>
        <w:t>据</w:t>
      </w:r>
      <w:r>
        <w:rPr>
          <w:rFonts w:hint="eastAsia" w:ascii="仿宋_GB2312" w:hAnsi="仿宋_GB2312" w:eastAsia="仿宋_GB2312" w:cs="仿宋_GB2312"/>
          <w:b w:val="0"/>
          <w:bCs w:val="0"/>
          <w:color w:val="000000" w:themeColor="text1"/>
          <w:kern w:val="0"/>
          <w:sz w:val="28"/>
          <w:szCs w:val="28"/>
          <w:lang w:val="en-GB" w:eastAsia="zh-CN"/>
          <w14:textFill>
            <w14:solidFill>
              <w14:schemeClr w14:val="tx1"/>
            </w14:solidFill>
          </w14:textFill>
        </w:rPr>
        <w:t>本次估价目的</w:t>
      </w:r>
      <w:r>
        <w:rPr>
          <w:rFonts w:hint="eastAsia" w:ascii="仿宋_GB2312" w:hAnsi="仿宋_GB2312" w:eastAsia="仿宋_GB2312" w:cs="仿宋_GB2312"/>
          <w:b w:val="0"/>
          <w:bCs w:val="0"/>
          <w:color w:val="000000" w:themeColor="text1"/>
          <w:kern w:val="0"/>
          <w:sz w:val="28"/>
          <w:szCs w:val="28"/>
          <w:lang w:val="en-US" w:eastAsia="zh-CN"/>
          <w14:textFill>
            <w14:solidFill>
              <w14:schemeClr w14:val="tx1"/>
            </w14:solidFill>
          </w14:textFill>
        </w:rPr>
        <w:t>及</w:t>
      </w:r>
      <w:r>
        <w:rPr>
          <w:rFonts w:hint="eastAsia" w:ascii="仿宋_GB2312" w:hAnsi="仿宋_GB2312" w:eastAsia="仿宋_GB2312" w:cs="仿宋_GB2312"/>
          <w:b w:val="0"/>
          <w:bCs w:val="0"/>
          <w:color w:val="000000" w:themeColor="text1"/>
          <w:kern w:val="0"/>
          <w:sz w:val="28"/>
          <w:lang w:val="en-US" w:eastAsia="zh-CN"/>
          <w14:textFill>
            <w14:solidFill>
              <w14:schemeClr w14:val="tx1"/>
            </w14:solidFill>
          </w14:textFill>
        </w:rPr>
        <w:t>《评估委托书》</w:t>
      </w:r>
      <w:r>
        <w:rPr>
          <w:rFonts w:hint="eastAsia" w:ascii="仿宋_GB2312" w:hAnsi="仿宋_GB2312" w:eastAsia="仿宋_GB2312" w:cs="仿宋_GB2312"/>
          <w:b w:val="0"/>
          <w:bCs w:val="0"/>
          <w:color w:val="000000" w:themeColor="text1"/>
          <w:kern w:val="0"/>
          <w:sz w:val="28"/>
          <w:szCs w:val="28"/>
          <w:lang w:val="en-US" w:eastAsia="zh-CN"/>
          <w14:textFill>
            <w14:solidFill>
              <w14:schemeClr w14:val="tx1"/>
            </w14:solidFill>
          </w14:textFill>
        </w:rPr>
        <w:t>的约定</w:t>
      </w:r>
      <w:r>
        <w:rPr>
          <w:rFonts w:hint="eastAsia" w:ascii="仿宋_GB2312" w:hAnsi="仿宋_GB2312" w:eastAsia="仿宋_GB2312" w:cs="仿宋_GB2312"/>
          <w:b w:val="0"/>
          <w:bCs w:val="0"/>
          <w:color w:val="000000" w:themeColor="text1"/>
          <w:kern w:val="0"/>
          <w:sz w:val="28"/>
          <w:szCs w:val="28"/>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kern w:val="0"/>
          <w:sz w:val="28"/>
          <w:szCs w:val="28"/>
          <w:lang w:val="en-US" w:eastAsia="zh-CN"/>
          <w14:textFill>
            <w14:solidFill>
              <w14:schemeClr w14:val="tx1"/>
            </w14:solidFill>
          </w14:textFill>
        </w:rPr>
        <w:t>本次估价设定</w:t>
      </w:r>
      <w:r>
        <w:rPr>
          <w:rFonts w:hint="eastAsia" w:ascii="仿宋_GB2312" w:hAnsi="仿宋_GB2312" w:eastAsia="仿宋_GB2312" w:cs="仿宋_GB2312"/>
          <w:b w:val="0"/>
          <w:bCs w:val="0"/>
          <w:color w:val="000000" w:themeColor="text1"/>
          <w:kern w:val="0"/>
          <w:sz w:val="28"/>
          <w:szCs w:val="28"/>
          <w:lang w:val="en-GB" w:eastAsia="zh-CN"/>
          <w14:textFill>
            <w14:solidFill>
              <w14:schemeClr w14:val="tx1"/>
            </w14:solidFill>
          </w14:textFill>
        </w:rPr>
        <w:t>估价期日为2026年6月1日</w:t>
      </w:r>
      <w:r>
        <w:rPr>
          <w:rFonts w:hint="eastAsia" w:ascii="仿宋_GB2312" w:hAnsi="仿宋_GB2312" w:eastAsia="仿宋_GB2312" w:cs="仿宋_GB2312"/>
          <w:b w:val="0"/>
          <w:bCs w:val="0"/>
          <w:kern w:val="0"/>
          <w:sz w:val="28"/>
          <w:szCs w:val="28"/>
          <w:lang w:eastAsia="zh-CN"/>
        </w:rPr>
        <w:t>。</w:t>
      </w:r>
    </w:p>
    <w:p w14:paraId="67043E5A">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val="0"/>
          <w:bCs w:val="0"/>
          <w:color w:val="auto"/>
          <w:kern w:val="0"/>
          <w:sz w:val="28"/>
          <w:szCs w:val="28"/>
          <w:highlight w:val="none"/>
          <w:lang w:val="en-US" w:eastAsia="zh-CN"/>
        </w:rPr>
      </w:pPr>
      <w:bookmarkStart w:id="5" w:name="_Toc26155"/>
      <w:r>
        <w:rPr>
          <w:rFonts w:hint="eastAsia" w:ascii="仿宋_GB2312" w:hAnsi="仿宋_GB2312" w:eastAsia="仿宋_GB2312" w:cs="仿宋_GB2312"/>
          <w:b/>
          <w:bCs/>
          <w:color w:val="auto"/>
          <w:kern w:val="0"/>
          <w:sz w:val="28"/>
          <w:szCs w:val="28"/>
          <w:lang w:val="en-US" w:eastAsia="zh-CN" w:bidi="ar-SA"/>
        </w:rPr>
        <w:t>五、</w:t>
      </w:r>
      <w:r>
        <w:rPr>
          <w:rFonts w:hint="eastAsia" w:ascii="仿宋_GB2312" w:hAnsi="仿宋_GB2312" w:eastAsia="仿宋_GB2312" w:cs="仿宋_GB2312"/>
          <w:b/>
          <w:bCs/>
          <w:color w:val="auto"/>
          <w:kern w:val="0"/>
          <w:sz w:val="28"/>
          <w:szCs w:val="28"/>
          <w:highlight w:val="none"/>
          <w:lang w:val="en-US" w:eastAsia="zh-CN"/>
        </w:rPr>
        <w:t>估价日期</w:t>
      </w:r>
      <w:bookmarkEnd w:id="5"/>
    </w:p>
    <w:p w14:paraId="168037AD">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left="0" w:leftChars="0" w:firstLine="560" w:firstLineChars="200"/>
        <w:textAlignment w:val="auto"/>
        <w:outlineLvl w:val="9"/>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pPr>
      <w:bookmarkStart w:id="6" w:name="_Toc15273"/>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2026年6月1日至2026年6月5日</w:t>
      </w:r>
    </w:p>
    <w:p w14:paraId="0CE0776C">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bCs/>
          <w:color w:val="auto"/>
          <w:kern w:val="0"/>
          <w:sz w:val="28"/>
          <w:szCs w:val="28"/>
          <w:highlight w:val="yellow"/>
          <w:lang w:val="en-US" w:eastAsia="zh-CN"/>
        </w:rPr>
      </w:pPr>
      <w:r>
        <w:rPr>
          <w:rFonts w:hint="eastAsia" w:ascii="仿宋_GB2312" w:hAnsi="仿宋_GB2312" w:eastAsia="仿宋_GB2312" w:cs="仿宋_GB2312"/>
          <w:b/>
          <w:bCs/>
          <w:color w:val="auto"/>
          <w:kern w:val="0"/>
          <w:sz w:val="28"/>
          <w:szCs w:val="28"/>
          <w:lang w:val="en-US" w:eastAsia="zh-CN" w:bidi="ar-SA"/>
        </w:rPr>
        <w:t>六、</w:t>
      </w:r>
      <w:r>
        <w:rPr>
          <w:rFonts w:hint="eastAsia" w:ascii="仿宋_GB2312" w:hAnsi="仿宋_GB2312" w:eastAsia="仿宋_GB2312" w:cs="仿宋_GB2312"/>
          <w:b/>
          <w:bCs/>
          <w:color w:val="auto"/>
          <w:kern w:val="0"/>
          <w:sz w:val="28"/>
          <w:szCs w:val="28"/>
          <w:highlight w:val="none"/>
          <w:lang w:val="en-US" w:eastAsia="zh-CN"/>
        </w:rPr>
        <w:t>地价定义</w:t>
      </w:r>
      <w:bookmarkEnd w:id="6"/>
    </w:p>
    <w:p w14:paraId="73AEC22F">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kern w:val="0"/>
          <w:sz w:val="28"/>
          <w:highlight w:val="none"/>
          <w:lang w:val="en-US" w:eastAsia="zh-CN"/>
        </w:rPr>
      </w:pPr>
      <w:r>
        <w:rPr>
          <w:rFonts w:hint="eastAsia" w:ascii="仿宋_GB2312" w:hAnsi="仿宋_GB2312" w:eastAsia="仿宋_GB2312" w:cs="仿宋_GB2312"/>
          <w:b w:val="0"/>
          <w:bCs w:val="0"/>
          <w:kern w:val="0"/>
          <w:sz w:val="28"/>
          <w:szCs w:val="28"/>
          <w:highlight w:val="none"/>
          <w:lang w:eastAsia="zh-CN"/>
        </w:rPr>
        <w:t>根据</w:t>
      </w:r>
      <w:r>
        <w:rPr>
          <w:rFonts w:hint="eastAsia" w:ascii="仿宋_GB2312" w:hAnsi="仿宋_GB2312" w:eastAsia="仿宋_GB2312" w:cs="仿宋_GB2312"/>
          <w:b w:val="0"/>
          <w:bCs w:val="0"/>
          <w:kern w:val="0"/>
          <w:sz w:val="28"/>
          <w:szCs w:val="28"/>
          <w:highlight w:val="none"/>
          <w:lang w:val="en-US" w:eastAsia="zh-CN"/>
        </w:rPr>
        <w:t>委托方</w:t>
      </w:r>
      <w:r>
        <w:rPr>
          <w:rFonts w:hint="eastAsia" w:ascii="仿宋_GB2312" w:hAnsi="仿宋_GB2312" w:eastAsia="仿宋_GB2312" w:cs="仿宋_GB2312"/>
          <w:b w:val="0"/>
          <w:bCs w:val="0"/>
          <w:kern w:val="0"/>
          <w:sz w:val="28"/>
          <w:szCs w:val="28"/>
          <w:highlight w:val="none"/>
          <w:lang w:eastAsia="zh-CN"/>
        </w:rPr>
        <w:t>出具的</w:t>
      </w:r>
      <w:r>
        <w:rPr>
          <w:rFonts w:hint="eastAsia" w:ascii="仿宋_GB2312" w:hAnsi="仿宋_GB2312" w:eastAsia="仿宋_GB2312" w:cs="仿宋_GB2312"/>
          <w:b w:val="0"/>
          <w:bCs w:val="0"/>
          <w:kern w:val="0"/>
          <w:sz w:val="28"/>
          <w:szCs w:val="28"/>
          <w:highlight w:val="none"/>
          <w:lang w:val="en-US" w:eastAsia="zh-CN"/>
        </w:rPr>
        <w:t>《评估委托书》</w:t>
      </w:r>
      <w:r>
        <w:rPr>
          <w:rFonts w:hint="eastAsia" w:ascii="仿宋_GB2312" w:hAnsi="仿宋_GB2312" w:eastAsia="仿宋_GB2312" w:cs="仿宋_GB2312"/>
          <w:b w:val="0"/>
          <w:bCs w:val="0"/>
          <w:kern w:val="0"/>
          <w:sz w:val="28"/>
          <w:szCs w:val="28"/>
          <w:highlight w:val="none"/>
          <w:lang w:eastAsia="zh-CN"/>
        </w:rPr>
        <w:t>及现场勘查状况，估价对象</w:t>
      </w:r>
      <w:r>
        <w:rPr>
          <w:rFonts w:hint="eastAsia" w:ascii="仿宋_GB2312" w:hAnsi="仿宋_GB2312" w:eastAsia="仿宋_GB2312" w:cs="仿宋_GB2312"/>
          <w:b w:val="0"/>
          <w:bCs w:val="0"/>
          <w:kern w:val="0"/>
          <w:sz w:val="28"/>
          <w:szCs w:val="28"/>
          <w:highlight w:val="none"/>
          <w:lang w:val="en-US" w:eastAsia="zh-CN"/>
        </w:rPr>
        <w:t>土地面积为</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50平方米</w:t>
      </w:r>
      <w:r>
        <w:rPr>
          <w:rFonts w:hint="eastAsia" w:ascii="仿宋_GB2312" w:hAnsi="仿宋_GB2312" w:eastAsia="仿宋_GB2312" w:cs="仿宋_GB2312"/>
          <w:b w:val="0"/>
          <w:bCs w:val="0"/>
          <w:kern w:val="0"/>
          <w:sz w:val="28"/>
          <w:szCs w:val="28"/>
          <w:highlight w:val="none"/>
          <w:lang w:val="en-US" w:eastAsia="zh-CN"/>
        </w:rPr>
        <w:t>，设定</w:t>
      </w:r>
      <w:r>
        <w:rPr>
          <w:rFonts w:hint="eastAsia" w:ascii="仿宋_GB2312" w:hAnsi="仿宋_GB2312" w:eastAsia="仿宋_GB2312" w:cs="仿宋_GB2312"/>
          <w:b w:val="0"/>
          <w:bCs w:val="0"/>
          <w:kern w:val="0"/>
          <w:sz w:val="28"/>
          <w:szCs w:val="28"/>
          <w:highlight w:val="none"/>
          <w:lang w:eastAsia="zh-CN"/>
        </w:rPr>
        <w:t>用途为</w:t>
      </w:r>
      <w:r>
        <w:rPr>
          <w:rFonts w:hint="eastAsia" w:ascii="仿宋_GB2312" w:hAnsi="仿宋_GB2312" w:eastAsia="仿宋_GB2312" w:cs="仿宋_GB2312"/>
          <w:b w:val="0"/>
          <w:bCs w:val="0"/>
          <w:kern w:val="0"/>
          <w:sz w:val="28"/>
          <w:szCs w:val="28"/>
          <w:highlight w:val="none"/>
          <w:lang w:val="en-US" w:eastAsia="zh-CN"/>
        </w:rPr>
        <w:t>住宅用地</w:t>
      </w:r>
      <w:r>
        <w:rPr>
          <w:rFonts w:hint="eastAsia" w:ascii="仿宋_GB2312" w:hAnsi="仿宋_GB2312" w:eastAsia="仿宋_GB2312" w:cs="仿宋_GB2312"/>
          <w:b w:val="0"/>
          <w:bCs w:val="0"/>
          <w:kern w:val="0"/>
          <w:sz w:val="28"/>
          <w:szCs w:val="28"/>
          <w:highlight w:val="none"/>
          <w:lang w:eastAsia="zh-CN"/>
        </w:rPr>
        <w:t>，至估价期日，估价对象现状为</w:t>
      </w:r>
      <w:r>
        <w:rPr>
          <w:rFonts w:hint="eastAsia" w:ascii="仿宋_GB2312" w:hAnsi="仿宋_GB2312" w:eastAsia="仿宋_GB2312" w:cs="仿宋_GB2312"/>
          <w:b w:val="0"/>
          <w:bCs w:val="0"/>
          <w:kern w:val="0"/>
          <w:sz w:val="28"/>
          <w:szCs w:val="28"/>
          <w:highlight w:val="none"/>
          <w:lang w:val="en-US" w:eastAsia="zh-CN"/>
        </w:rPr>
        <w:t>已</w:t>
      </w:r>
      <w:r>
        <w:rPr>
          <w:rFonts w:hint="eastAsia" w:ascii="仿宋_GB2312" w:hAnsi="仿宋_GB2312" w:eastAsia="仿宋_GB2312" w:cs="仿宋_GB2312"/>
          <w:b w:val="0"/>
          <w:bCs w:val="0"/>
          <w:kern w:val="0"/>
          <w:sz w:val="28"/>
          <w:szCs w:val="28"/>
          <w:highlight w:val="none"/>
          <w:lang w:eastAsia="zh-CN"/>
        </w:rPr>
        <w:t>开发建设用地，土地开发程度为宗地红线外“五通”（即通路、通电、供水、排水、通讯），宗地红线内场地平整</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w:t>
      </w:r>
    </w:p>
    <w:p w14:paraId="43F4604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1.估价期日的</w:t>
      </w:r>
      <w:r>
        <w:rPr>
          <w:rFonts w:hint="eastAsia" w:ascii="仿宋_GB2312" w:hAnsi="仿宋_GB2312" w:eastAsia="仿宋_GB2312" w:cs="仿宋_GB2312"/>
          <w:b w:val="0"/>
          <w:bCs w:val="0"/>
          <w:kern w:val="0"/>
          <w:sz w:val="28"/>
          <w:szCs w:val="28"/>
          <w:highlight w:val="none"/>
          <w:lang w:eastAsia="zh-CN"/>
        </w:rPr>
        <w:t>设定</w:t>
      </w:r>
    </w:p>
    <w:p w14:paraId="0348CE3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lang w:val="en-US" w:eastAsia="zh-CN"/>
        </w:rPr>
        <w:t>根据</w:t>
      </w:r>
      <w:r>
        <w:rPr>
          <w:rFonts w:hint="eastAsia" w:ascii="仿宋_GB2312" w:hAnsi="仿宋_GB2312" w:eastAsia="仿宋_GB2312" w:cs="仿宋_GB2312"/>
          <w:b w:val="0"/>
          <w:bCs w:val="0"/>
          <w:kern w:val="0"/>
          <w:sz w:val="28"/>
          <w:szCs w:val="28"/>
          <w:lang w:val="en-GB" w:eastAsia="zh-CN"/>
        </w:rPr>
        <w:t>本次估价目的</w:t>
      </w:r>
      <w:r>
        <w:rPr>
          <w:rFonts w:hint="eastAsia" w:ascii="仿宋_GB2312" w:hAnsi="仿宋_GB2312" w:eastAsia="仿宋_GB2312" w:cs="仿宋_GB2312"/>
          <w:b w:val="0"/>
          <w:bCs w:val="0"/>
          <w:kern w:val="0"/>
          <w:sz w:val="28"/>
          <w:szCs w:val="28"/>
          <w:lang w:val="en-US" w:eastAsia="zh-CN"/>
        </w:rPr>
        <w:t>及</w:t>
      </w:r>
      <w:r>
        <w:rPr>
          <w:rFonts w:hint="eastAsia" w:ascii="仿宋_GB2312" w:hAnsi="仿宋_GB2312" w:eastAsia="仿宋_GB2312" w:cs="仿宋_GB2312"/>
          <w:b w:val="0"/>
          <w:bCs w:val="0"/>
          <w:kern w:val="0"/>
          <w:sz w:val="28"/>
          <w:lang w:val="en-US" w:eastAsia="zh-CN"/>
        </w:rPr>
        <w:t>《评估委托书》</w:t>
      </w:r>
      <w:r>
        <w:rPr>
          <w:rFonts w:hint="eastAsia" w:ascii="仿宋_GB2312" w:hAnsi="仿宋_GB2312" w:eastAsia="仿宋_GB2312" w:cs="仿宋_GB2312"/>
          <w:b w:val="0"/>
          <w:bCs w:val="0"/>
          <w:kern w:val="0"/>
          <w:sz w:val="28"/>
          <w:szCs w:val="28"/>
          <w:lang w:val="en-US" w:eastAsia="zh-CN"/>
        </w:rPr>
        <w:t>的约定</w:t>
      </w:r>
      <w:r>
        <w:rPr>
          <w:rFonts w:hint="eastAsia" w:ascii="仿宋_GB2312" w:hAnsi="仿宋_GB2312" w:eastAsia="仿宋_GB2312" w:cs="仿宋_GB2312"/>
          <w:b w:val="0"/>
          <w:bCs w:val="0"/>
          <w:kern w:val="0"/>
          <w:sz w:val="28"/>
          <w:szCs w:val="28"/>
          <w:lang w:val="en-GB" w:eastAsia="zh-CN"/>
        </w:rPr>
        <w:t>，</w:t>
      </w:r>
      <w:r>
        <w:rPr>
          <w:rFonts w:hint="eastAsia" w:ascii="仿宋_GB2312" w:hAnsi="仿宋_GB2312" w:eastAsia="仿宋_GB2312" w:cs="仿宋_GB2312"/>
          <w:b w:val="0"/>
          <w:bCs w:val="0"/>
          <w:kern w:val="0"/>
          <w:sz w:val="28"/>
          <w:szCs w:val="28"/>
          <w:lang w:val="en-US" w:eastAsia="zh-CN"/>
        </w:rPr>
        <w:t>本次估价设定</w:t>
      </w:r>
      <w:r>
        <w:rPr>
          <w:rFonts w:hint="eastAsia" w:ascii="仿宋_GB2312" w:hAnsi="仿宋_GB2312" w:eastAsia="仿宋_GB2312" w:cs="仿宋_GB2312"/>
          <w:b w:val="0"/>
          <w:bCs w:val="0"/>
          <w:kern w:val="0"/>
          <w:sz w:val="28"/>
          <w:szCs w:val="28"/>
          <w:lang w:val="en-GB" w:eastAsia="zh-CN"/>
        </w:rPr>
        <w:t>估价期日为2026年6月1日</w:t>
      </w:r>
      <w:r>
        <w:rPr>
          <w:rFonts w:hint="eastAsia" w:ascii="仿宋_GB2312" w:hAnsi="仿宋_GB2312" w:eastAsia="仿宋_GB2312" w:cs="仿宋_GB2312"/>
          <w:b w:val="0"/>
          <w:bCs w:val="0"/>
          <w:kern w:val="0"/>
          <w:sz w:val="28"/>
          <w:szCs w:val="28"/>
          <w:highlight w:val="none"/>
          <w:lang w:eastAsia="zh-CN"/>
        </w:rPr>
        <w:t>。</w:t>
      </w:r>
    </w:p>
    <w:p w14:paraId="5804656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2.土地用途的设定</w:t>
      </w:r>
    </w:p>
    <w:p w14:paraId="33E3160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根据土地估价师现场勘查，估价对象现状</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已开发建设，地上有一栋4层住宅楼</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。根据</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，估价对象</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设定土地</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用途为</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根据《土地利用现状分类》(GB/T21010-2017，2017年11月01日)和估价目的</w:t>
      </w:r>
      <w:r>
        <w:rPr>
          <w:rFonts w:hint="eastAsia" w:ascii="仿宋_GB2312" w:hAnsi="仿宋_GB2312" w:eastAsia="仿宋_GB2312" w:cs="仿宋_GB2312"/>
          <w:b w:val="0"/>
          <w:bCs w:val="0"/>
          <w:kern w:val="0"/>
          <w:sz w:val="28"/>
          <w:szCs w:val="28"/>
          <w:highlight w:val="none"/>
          <w:lang w:eastAsia="zh-CN"/>
        </w:rPr>
        <w:t>，</w:t>
      </w:r>
      <w:r>
        <w:rPr>
          <w:rFonts w:hint="eastAsia" w:ascii="仿宋_GB2312" w:hAnsi="仿宋_GB2312" w:eastAsia="仿宋_GB2312" w:cs="仿宋_GB2312"/>
          <w:b w:val="0"/>
          <w:bCs w:val="0"/>
          <w:kern w:val="0"/>
          <w:sz w:val="28"/>
          <w:szCs w:val="28"/>
          <w:highlight w:val="none"/>
          <w:lang w:val="en-US" w:eastAsia="zh-CN"/>
        </w:rPr>
        <w:t>结合《评估委托书》</w:t>
      </w:r>
      <w:r>
        <w:rPr>
          <w:rFonts w:hint="eastAsia" w:ascii="仿宋_GB2312" w:hAnsi="仿宋_GB2312" w:eastAsia="仿宋_GB2312" w:cs="仿宋_GB2312"/>
          <w:b w:val="0"/>
          <w:bCs w:val="0"/>
          <w:kern w:val="0"/>
          <w:sz w:val="28"/>
          <w:szCs w:val="28"/>
          <w:highlight w:val="none"/>
          <w:lang w:eastAsia="zh-CN"/>
        </w:rPr>
        <w:t>本次评估设定土地用途为</w:t>
      </w:r>
      <w:r>
        <w:rPr>
          <w:rFonts w:hint="eastAsia" w:ascii="仿宋_GB2312" w:hAnsi="仿宋_GB2312" w:eastAsia="仿宋_GB2312" w:cs="仿宋_GB2312"/>
          <w:b w:val="0"/>
          <w:bCs w:val="0"/>
          <w:kern w:val="0"/>
          <w:sz w:val="28"/>
          <w:szCs w:val="28"/>
          <w:highlight w:val="none"/>
          <w:lang w:val="en-US" w:eastAsia="zh-CN"/>
        </w:rPr>
        <w:t>住宅用地</w:t>
      </w:r>
      <w:r>
        <w:rPr>
          <w:rFonts w:hint="eastAsia" w:ascii="仿宋_GB2312" w:hAnsi="仿宋_GB2312" w:eastAsia="仿宋_GB2312" w:cs="仿宋_GB2312"/>
          <w:b w:val="0"/>
          <w:bCs w:val="0"/>
          <w:kern w:val="0"/>
          <w:sz w:val="28"/>
          <w:szCs w:val="28"/>
          <w:highlight w:val="none"/>
          <w:lang w:eastAsia="zh-CN"/>
        </w:rPr>
        <w:t>。</w:t>
      </w:r>
    </w:p>
    <w:p w14:paraId="7829BA3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3.土地使用权类型</w:t>
      </w:r>
      <w:r>
        <w:rPr>
          <w:rFonts w:hint="eastAsia" w:ascii="仿宋_GB2312" w:hAnsi="仿宋_GB2312" w:eastAsia="仿宋_GB2312" w:cs="仿宋_GB2312"/>
          <w:b w:val="0"/>
          <w:bCs w:val="0"/>
          <w:kern w:val="0"/>
          <w:sz w:val="28"/>
          <w:szCs w:val="28"/>
          <w:highlight w:val="none"/>
          <w:lang w:val="en-US" w:eastAsia="zh-CN"/>
        </w:rPr>
        <w:t>的</w:t>
      </w:r>
      <w:r>
        <w:rPr>
          <w:rFonts w:hint="eastAsia" w:ascii="仿宋_GB2312" w:hAnsi="仿宋_GB2312" w:eastAsia="仿宋_GB2312" w:cs="仿宋_GB2312"/>
          <w:b w:val="0"/>
          <w:bCs w:val="0"/>
          <w:kern w:val="0"/>
          <w:sz w:val="28"/>
          <w:szCs w:val="28"/>
          <w:highlight w:val="none"/>
          <w:lang w:eastAsia="zh-CN"/>
        </w:rPr>
        <w:t>设定</w:t>
      </w:r>
    </w:p>
    <w:p w14:paraId="1A331AA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估价对象于估价期日内为国有存量用地，</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自然资源局拟以现状条件出让估价对象的土地使用权，根据此次评估目的，设定估价对象土地使用权类型为出让。</w:t>
      </w:r>
    </w:p>
    <w:p w14:paraId="59E136C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4.土地使用年期的设定</w:t>
      </w:r>
    </w:p>
    <w:p w14:paraId="0949C9E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FF0000"/>
          <w:kern w:val="0"/>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本次评估根据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《评估委托书》约定和估价目的，设定土地使用权年限为住宅用地70年。</w:t>
      </w:r>
    </w:p>
    <w:p w14:paraId="4AD950F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5.土地开发程度的设定</w:t>
      </w:r>
    </w:p>
    <w:p w14:paraId="1A4664D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根据土地估价师实地勘查，估价对象于估价期日2026年6月1日实际开发程度为宗地红线外“五通”（即通路、通电、供水、排水、通讯），宗地红线内场地平整。结合估价目的及实际情况，本次评估设定土地开发程度为宗地红线外“五通”（即通路、通电、供水、排水、通讯），宗地红线内场地平整。</w:t>
      </w:r>
    </w:p>
    <w:p w14:paraId="7EED22E6">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val="en-US" w:eastAsia="zh-CN"/>
        </w:rPr>
        <w:t>6.</w:t>
      </w:r>
      <w:r>
        <w:rPr>
          <w:rFonts w:hint="eastAsia" w:ascii="仿宋_GB2312" w:hAnsi="仿宋_GB2312" w:eastAsia="仿宋_GB2312" w:cs="仿宋_GB2312"/>
          <w:b w:val="0"/>
          <w:bCs w:val="0"/>
          <w:kern w:val="0"/>
          <w:sz w:val="28"/>
          <w:szCs w:val="28"/>
          <w:highlight w:val="none"/>
          <w:lang w:eastAsia="zh-CN"/>
        </w:rPr>
        <w:t>用地利用条件的设定</w:t>
      </w:r>
    </w:p>
    <w:p w14:paraId="14F7919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highlight w:val="none"/>
          <w:lang w:eastAsia="zh-CN"/>
        </w:rPr>
      </w:pP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估价对象在估价期日土地利用现状为</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已开发建设</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地上有一栋4层住宅建筑，根据《不动产测绘报告书》，建筑面积205.45平方米，整栋为住宅，根据《宗地图》，估价对象土地面积50平方米，则容积率为4.11，本次评估设定容积率为4.11</w:t>
      </w:r>
      <w:r>
        <w:rPr>
          <w:rFonts w:hint="eastAsia" w:ascii="仿宋_GB2312" w:hAnsi="仿宋_GB2312" w:eastAsia="仿宋_GB2312" w:cs="仿宋_GB2312"/>
          <w:b w:val="0"/>
          <w:bCs w:val="0"/>
          <w:color w:val="0000FF"/>
          <w:kern w:val="0"/>
          <w:sz w:val="28"/>
          <w:szCs w:val="28"/>
          <w:highlight w:val="none"/>
          <w:lang w:eastAsia="zh-CN"/>
        </w:rPr>
        <w:t>。</w:t>
      </w:r>
    </w:p>
    <w:p w14:paraId="345A06A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7.价格类型的设定</w:t>
      </w:r>
    </w:p>
    <w:p w14:paraId="495CD95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根据委托</w:t>
      </w:r>
      <w:r>
        <w:rPr>
          <w:rFonts w:hint="eastAsia" w:ascii="仿宋_GB2312" w:hAnsi="仿宋_GB2312" w:eastAsia="仿宋_GB2312" w:cs="仿宋_GB2312"/>
          <w:b w:val="0"/>
          <w:bCs w:val="0"/>
          <w:color w:val="auto"/>
          <w:kern w:val="0"/>
          <w:sz w:val="28"/>
          <w:highlight w:val="none"/>
          <w:lang w:val="en-US" w:eastAsia="zh-CN"/>
        </w:rPr>
        <w:t>方提供的资料及</w:t>
      </w:r>
      <w:r>
        <w:rPr>
          <w:rFonts w:hint="eastAsia" w:ascii="仿宋_GB2312" w:hAnsi="仿宋_GB2312" w:eastAsia="仿宋_GB2312" w:cs="仿宋_GB2312"/>
          <w:b w:val="0"/>
          <w:bCs w:val="0"/>
          <w:kern w:val="0"/>
          <w:sz w:val="28"/>
          <w:szCs w:val="28"/>
          <w:highlight w:val="none"/>
          <w:lang w:eastAsia="zh-CN"/>
        </w:rPr>
        <w:t>估价人员调查所获取的资料，估价</w:t>
      </w:r>
      <w:bookmarkStart w:id="74" w:name="_GoBack"/>
      <w:bookmarkEnd w:id="74"/>
      <w:r>
        <w:rPr>
          <w:rFonts w:hint="eastAsia" w:ascii="仿宋_GB2312" w:hAnsi="仿宋_GB2312" w:eastAsia="仿宋_GB2312" w:cs="仿宋_GB2312"/>
          <w:b w:val="0"/>
          <w:bCs w:val="0"/>
          <w:kern w:val="0"/>
          <w:sz w:val="28"/>
          <w:szCs w:val="28"/>
          <w:highlight w:val="none"/>
          <w:lang w:eastAsia="zh-CN"/>
        </w:rPr>
        <w:t>对象为国有出让建设用地使用权，未设立抵押权、租赁权、地役权、地上权等附加权利。本次评估设定估价对象为未设立抵押权、租赁权、地役权、地上权等附加权利下的国有建设用地使用权。</w:t>
      </w:r>
    </w:p>
    <w:p w14:paraId="356927C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kern w:val="0"/>
          <w:sz w:val="28"/>
          <w:highlight w:val="none"/>
          <w:lang w:val="en-US" w:eastAsia="zh-CN"/>
        </w:rPr>
      </w:pPr>
      <w:r>
        <w:rPr>
          <w:rFonts w:hint="eastAsia" w:ascii="仿宋_GB2312" w:hAnsi="仿宋_GB2312" w:eastAsia="仿宋_GB2312" w:cs="仿宋_GB2312"/>
          <w:b w:val="0"/>
          <w:bCs w:val="0"/>
          <w:kern w:val="0"/>
          <w:sz w:val="28"/>
          <w:szCs w:val="28"/>
          <w:highlight w:val="none"/>
          <w:lang w:eastAsia="zh-CN"/>
        </w:rPr>
        <w:t>综上所述，</w:t>
      </w:r>
      <w:r>
        <w:rPr>
          <w:rFonts w:hint="eastAsia" w:ascii="仿宋_GB2312" w:hAnsi="仿宋_GB2312" w:eastAsia="仿宋_GB2312" w:cs="仿宋_GB2312"/>
          <w:b w:val="0"/>
          <w:bCs w:val="0"/>
          <w:color w:val="auto"/>
          <w:kern w:val="0"/>
          <w:sz w:val="28"/>
          <w:highlight w:val="none"/>
          <w:lang w:val="en-US" w:eastAsia="zh-CN"/>
        </w:rPr>
        <w:t>本次估价的地价内涵是指：估价对象在公开市场条件下，于估价期日2026年6月1日，土地面积50平方米，土地用途设定为住宅用地，出让使用年期为住宅用地70年，容积率为4.11，土地开发程度设定为</w:t>
      </w:r>
      <w:r>
        <w:rPr>
          <w:rFonts w:hint="eastAsia" w:ascii="仿宋_GB2312" w:hAnsi="仿宋_GB2312" w:eastAsia="仿宋_GB2312" w:cs="仿宋_GB2312"/>
          <w:b w:val="0"/>
          <w:bCs w:val="0"/>
          <w:kern w:val="0"/>
          <w:sz w:val="28"/>
          <w:szCs w:val="28"/>
          <w:highlight w:val="none"/>
          <w:lang w:eastAsia="zh-CN"/>
        </w:rPr>
        <w:t>宗地红线外“五通”（即通路、通电、供水、排水、通讯），宗地红线内场地平整</w:t>
      </w:r>
      <w:r>
        <w:rPr>
          <w:rFonts w:hint="eastAsia" w:ascii="仿宋_GB2312" w:hAnsi="仿宋_GB2312" w:eastAsia="仿宋_GB2312" w:cs="仿宋_GB2312"/>
          <w:b w:val="0"/>
          <w:bCs w:val="0"/>
          <w:color w:val="auto"/>
          <w:kern w:val="0"/>
          <w:sz w:val="28"/>
          <w:highlight w:val="none"/>
          <w:lang w:val="en-US" w:eastAsia="zh-CN"/>
        </w:rPr>
        <w:t>下的土地使用权市场价格。</w:t>
      </w:r>
    </w:p>
    <w:p w14:paraId="0C551E92">
      <w:pPr>
        <w:overflowPunct w:val="0"/>
        <w:autoSpaceDE w:val="0"/>
        <w:autoSpaceDN w:val="0"/>
        <w:snapToGrid w:val="0"/>
        <w:spacing w:line="540" w:lineRule="exact"/>
        <w:jc w:val="center"/>
        <w:rPr>
          <w:rFonts w:hint="eastAsia" w:ascii="仿宋_GB2312" w:hAnsi="仿宋_GB2312" w:eastAsia="仿宋_GB2312" w:cs="仿宋_GB2312"/>
          <w:b/>
          <w:sz w:val="24"/>
        </w:rPr>
      </w:pPr>
      <w:r>
        <w:rPr>
          <w:rFonts w:hint="eastAsia" w:ascii="仿宋_GB2312" w:hAnsi="仿宋_GB2312" w:eastAsia="仿宋_GB2312" w:cs="仿宋_GB2312"/>
          <w:b/>
          <w:sz w:val="24"/>
        </w:rPr>
        <w:t>估价对象地价定义一览表</w:t>
      </w:r>
    </w:p>
    <w:tbl>
      <w:tblPr>
        <w:tblStyle w:val="14"/>
        <w:tblW w:w="50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1"/>
        <w:gridCol w:w="641"/>
        <w:gridCol w:w="724"/>
        <w:gridCol w:w="889"/>
        <w:gridCol w:w="797"/>
        <w:gridCol w:w="733"/>
        <w:gridCol w:w="603"/>
        <w:gridCol w:w="926"/>
        <w:gridCol w:w="1042"/>
        <w:gridCol w:w="1131"/>
        <w:gridCol w:w="547"/>
      </w:tblGrid>
      <w:tr w14:paraId="7907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jc w:val="center"/>
        </w:trPr>
        <w:tc>
          <w:tcPr>
            <w:tcW w:w="369" w:type="pct"/>
            <w:noWrap w:val="0"/>
            <w:vAlign w:val="center"/>
          </w:tcPr>
          <w:p w14:paraId="3D92D94C">
            <w:pPr>
              <w:overflowPunct w:val="0"/>
              <w:autoSpaceDE w:val="0"/>
              <w:autoSpaceDN w:val="0"/>
              <w:snapToGrid w:val="0"/>
              <w:jc w:val="center"/>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宗地</w:t>
            </w:r>
          </w:p>
          <w:p w14:paraId="0ECDB725">
            <w:pPr>
              <w:overflowPunct w:val="0"/>
              <w:autoSpaceDE w:val="0"/>
              <w:autoSpaceDN w:val="0"/>
              <w:snapToGrid w:val="0"/>
              <w:jc w:val="center"/>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编号</w:t>
            </w:r>
          </w:p>
        </w:tc>
        <w:tc>
          <w:tcPr>
            <w:tcW w:w="369" w:type="pct"/>
            <w:noWrap w:val="0"/>
            <w:vAlign w:val="center"/>
          </w:tcPr>
          <w:p w14:paraId="6AF0B287">
            <w:pPr>
              <w:overflowPunct w:val="0"/>
              <w:autoSpaceDE w:val="0"/>
              <w:autoSpaceDN w:val="0"/>
              <w:snapToGrid w:val="0"/>
              <w:jc w:val="center"/>
              <w:rPr>
                <w:rFonts w:hint="eastAsia" w:ascii="仿宋_GB2312" w:hAnsi="仿宋_GB2312" w:eastAsia="仿宋_GB2312" w:cs="仿宋_GB2312"/>
                <w:b/>
                <w:snapToGrid w:val="0"/>
                <w:sz w:val="20"/>
                <w:szCs w:val="20"/>
              </w:rPr>
            </w:pPr>
            <w:r>
              <w:rPr>
                <w:rFonts w:hint="eastAsia" w:ascii="仿宋_GB2312" w:hAnsi="仿宋_GB2312" w:eastAsia="仿宋_GB2312" w:cs="仿宋_GB2312"/>
                <w:spacing w:val="-20"/>
                <w:sz w:val="20"/>
                <w:szCs w:val="20"/>
              </w:rPr>
              <w:t>土地使用证编号</w:t>
            </w:r>
          </w:p>
        </w:tc>
        <w:tc>
          <w:tcPr>
            <w:tcW w:w="417" w:type="pct"/>
            <w:noWrap w:val="0"/>
            <w:vAlign w:val="center"/>
          </w:tcPr>
          <w:p w14:paraId="35504576">
            <w:pPr>
              <w:overflowPunct w:val="0"/>
              <w:autoSpaceDE w:val="0"/>
              <w:autoSpaceDN w:val="0"/>
              <w:snapToGrid w:val="0"/>
              <w:jc w:val="center"/>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估价期日土地使用权性质</w:t>
            </w:r>
          </w:p>
        </w:tc>
        <w:tc>
          <w:tcPr>
            <w:tcW w:w="512" w:type="pct"/>
            <w:noWrap w:val="0"/>
            <w:vAlign w:val="center"/>
          </w:tcPr>
          <w:p w14:paraId="53E6A3FE">
            <w:pPr>
              <w:overflowPunct w:val="0"/>
              <w:autoSpaceDE w:val="0"/>
              <w:autoSpaceDN w:val="0"/>
              <w:snapToGrid w:val="0"/>
              <w:jc w:val="center"/>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估价设定土地使用权性质</w:t>
            </w:r>
          </w:p>
        </w:tc>
        <w:tc>
          <w:tcPr>
            <w:tcW w:w="459" w:type="pct"/>
            <w:noWrap w:val="0"/>
            <w:vAlign w:val="center"/>
          </w:tcPr>
          <w:p w14:paraId="25959B4C">
            <w:pPr>
              <w:overflowPunct w:val="0"/>
              <w:autoSpaceDE w:val="0"/>
              <w:autoSpaceDN w:val="0"/>
              <w:snapToGrid w:val="0"/>
              <w:jc w:val="center"/>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待估宗地实际用途</w:t>
            </w:r>
          </w:p>
        </w:tc>
        <w:tc>
          <w:tcPr>
            <w:tcW w:w="422" w:type="pct"/>
            <w:noWrap w:val="0"/>
            <w:vAlign w:val="center"/>
          </w:tcPr>
          <w:p w14:paraId="281385CC">
            <w:pPr>
              <w:overflowPunct w:val="0"/>
              <w:autoSpaceDE w:val="0"/>
              <w:autoSpaceDN w:val="0"/>
              <w:snapToGrid w:val="0"/>
              <w:jc w:val="center"/>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估价期日的规划用途</w:t>
            </w:r>
          </w:p>
        </w:tc>
        <w:tc>
          <w:tcPr>
            <w:tcW w:w="347" w:type="pct"/>
            <w:noWrap w:val="0"/>
            <w:vAlign w:val="center"/>
          </w:tcPr>
          <w:p w14:paraId="4A7EF584">
            <w:pPr>
              <w:overflowPunct w:val="0"/>
              <w:autoSpaceDE w:val="0"/>
              <w:autoSpaceDN w:val="0"/>
              <w:snapToGrid w:val="0"/>
              <w:jc w:val="center"/>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估价设定用途</w:t>
            </w:r>
          </w:p>
        </w:tc>
        <w:tc>
          <w:tcPr>
            <w:tcW w:w="533" w:type="pct"/>
            <w:noWrap w:val="0"/>
            <w:vAlign w:val="center"/>
          </w:tcPr>
          <w:p w14:paraId="19C0898B">
            <w:pPr>
              <w:overflowPunct w:val="0"/>
              <w:autoSpaceDE w:val="0"/>
              <w:autoSpaceDN w:val="0"/>
              <w:snapToGrid w:val="0"/>
              <w:jc w:val="center"/>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估价设定使用年限</w:t>
            </w:r>
          </w:p>
        </w:tc>
        <w:tc>
          <w:tcPr>
            <w:tcW w:w="600" w:type="pct"/>
            <w:noWrap w:val="0"/>
            <w:vAlign w:val="center"/>
          </w:tcPr>
          <w:p w14:paraId="5B2B824B">
            <w:pPr>
              <w:overflowPunct w:val="0"/>
              <w:autoSpaceDE w:val="0"/>
              <w:autoSpaceDN w:val="0"/>
              <w:snapToGrid w:val="0"/>
              <w:jc w:val="center"/>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估价期日实际土地开发程度</w:t>
            </w:r>
          </w:p>
        </w:tc>
        <w:tc>
          <w:tcPr>
            <w:tcW w:w="651" w:type="pct"/>
            <w:noWrap w:val="0"/>
            <w:vAlign w:val="center"/>
          </w:tcPr>
          <w:p w14:paraId="55B1F5E9">
            <w:pPr>
              <w:overflowPunct w:val="0"/>
              <w:autoSpaceDE w:val="0"/>
              <w:autoSpaceDN w:val="0"/>
              <w:snapToGrid w:val="0"/>
              <w:jc w:val="center"/>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估价设定土地开发程度</w:t>
            </w:r>
          </w:p>
        </w:tc>
        <w:tc>
          <w:tcPr>
            <w:tcW w:w="315" w:type="pct"/>
            <w:noWrap w:val="0"/>
            <w:vAlign w:val="center"/>
          </w:tcPr>
          <w:p w14:paraId="79728384">
            <w:pPr>
              <w:overflowPunct w:val="0"/>
              <w:autoSpaceDE w:val="0"/>
              <w:autoSpaceDN w:val="0"/>
              <w:snapToGrid w:val="0"/>
              <w:jc w:val="center"/>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设定容积率</w:t>
            </w:r>
          </w:p>
        </w:tc>
      </w:tr>
      <w:tr w14:paraId="4532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atLeast"/>
          <w:jc w:val="center"/>
        </w:trPr>
        <w:tc>
          <w:tcPr>
            <w:tcW w:w="369" w:type="pct"/>
            <w:noWrap w:val="0"/>
            <w:vAlign w:val="center"/>
          </w:tcPr>
          <w:p w14:paraId="29425412">
            <w:pPr>
              <w:overflowPunct w:val="0"/>
              <w:autoSpaceDE w:val="0"/>
              <w:autoSpaceDN w:val="0"/>
              <w:snapToGrid w:val="0"/>
              <w:jc w:val="center"/>
              <w:rPr>
                <w:rFonts w:hint="default"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w:t>
            </w:r>
          </w:p>
        </w:tc>
        <w:tc>
          <w:tcPr>
            <w:tcW w:w="369" w:type="pct"/>
            <w:noWrap w:val="0"/>
            <w:vAlign w:val="center"/>
          </w:tcPr>
          <w:p w14:paraId="3EC505B3">
            <w:pPr>
              <w:widowControl/>
              <w:overflowPunct w:val="0"/>
              <w:autoSpaceDE w:val="0"/>
              <w:autoSpaceDN w:val="0"/>
              <w:snapToGrid w:val="0"/>
              <w:jc w:val="center"/>
              <w:rPr>
                <w:rFonts w:hint="eastAsia" w:ascii="仿宋_GB2312" w:hAnsi="仿宋_GB2312" w:eastAsia="仿宋_GB2312" w:cs="仿宋_GB2312"/>
                <w:kern w:val="0"/>
                <w:sz w:val="20"/>
                <w:szCs w:val="20"/>
                <w:lang w:val="en-US" w:eastAsia="zh-CN"/>
              </w:rPr>
            </w:pPr>
            <w:r>
              <w:rPr>
                <w:rFonts w:hint="eastAsia" w:ascii="仿宋_GB2312" w:hAnsi="仿宋_GB2312" w:eastAsia="仿宋_GB2312" w:cs="仿宋_GB2312"/>
                <w:kern w:val="0"/>
                <w:sz w:val="20"/>
                <w:szCs w:val="20"/>
                <w:lang w:val="en-US" w:eastAsia="zh-CN"/>
              </w:rPr>
              <w:t>/</w:t>
            </w:r>
          </w:p>
        </w:tc>
        <w:tc>
          <w:tcPr>
            <w:tcW w:w="417" w:type="pct"/>
            <w:noWrap w:val="0"/>
            <w:vAlign w:val="center"/>
          </w:tcPr>
          <w:p w14:paraId="2EC7906B">
            <w:pPr>
              <w:overflowPunct w:val="0"/>
              <w:autoSpaceDE w:val="0"/>
              <w:autoSpaceDN w:val="0"/>
              <w:snapToGrid w:val="0"/>
              <w:jc w:val="center"/>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国有存量建设用地</w:t>
            </w:r>
          </w:p>
        </w:tc>
        <w:tc>
          <w:tcPr>
            <w:tcW w:w="512" w:type="pct"/>
            <w:noWrap w:val="0"/>
            <w:vAlign w:val="center"/>
          </w:tcPr>
          <w:p w14:paraId="1A3B5034">
            <w:pPr>
              <w:overflowPunct w:val="0"/>
              <w:autoSpaceDE w:val="0"/>
              <w:autoSpaceDN w:val="0"/>
              <w:snapToGrid w:val="0"/>
              <w:jc w:val="center"/>
              <w:rPr>
                <w:rFonts w:hint="eastAsia"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国有出让土地</w:t>
            </w:r>
          </w:p>
        </w:tc>
        <w:tc>
          <w:tcPr>
            <w:tcW w:w="459" w:type="pct"/>
            <w:noWrap w:val="0"/>
            <w:vAlign w:val="center"/>
          </w:tcPr>
          <w:p w14:paraId="0DDE75DF">
            <w:pPr>
              <w:overflowPunct w:val="0"/>
              <w:autoSpaceDE w:val="0"/>
              <w:autoSpaceDN w:val="0"/>
              <w:snapToGrid w:val="0"/>
              <w:jc w:val="center"/>
              <w:rPr>
                <w:rFonts w:hint="eastAsia"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住宅用地</w:t>
            </w:r>
          </w:p>
        </w:tc>
        <w:tc>
          <w:tcPr>
            <w:tcW w:w="422" w:type="pct"/>
            <w:noWrap w:val="0"/>
            <w:vAlign w:val="center"/>
          </w:tcPr>
          <w:p w14:paraId="3F28BE50">
            <w:pPr>
              <w:overflowPunct w:val="0"/>
              <w:autoSpaceDE w:val="0"/>
              <w:autoSpaceDN w:val="0"/>
              <w:snapToGrid w:val="0"/>
              <w:jc w:val="center"/>
              <w:rPr>
                <w:rFonts w:hint="default"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w:t>
            </w:r>
          </w:p>
        </w:tc>
        <w:tc>
          <w:tcPr>
            <w:tcW w:w="347" w:type="pct"/>
            <w:noWrap w:val="0"/>
            <w:vAlign w:val="center"/>
          </w:tcPr>
          <w:p w14:paraId="79E6200E">
            <w:pPr>
              <w:overflowPunct w:val="0"/>
              <w:autoSpaceDE w:val="0"/>
              <w:autoSpaceDN w:val="0"/>
              <w:snapToGrid w:val="0"/>
              <w:jc w:val="center"/>
              <w:rPr>
                <w:rFonts w:hint="eastAsia"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住宅用地</w:t>
            </w:r>
          </w:p>
        </w:tc>
        <w:tc>
          <w:tcPr>
            <w:tcW w:w="533" w:type="pct"/>
            <w:noWrap w:val="0"/>
            <w:vAlign w:val="center"/>
          </w:tcPr>
          <w:p w14:paraId="0F42E64D">
            <w:pPr>
              <w:overflowPunct w:val="0"/>
              <w:autoSpaceDE w:val="0"/>
              <w:autoSpaceDN w:val="0"/>
              <w:snapToGrid w:val="0"/>
              <w:jc w:val="center"/>
              <w:rPr>
                <w:rFonts w:hint="default"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住宅用地70年</w:t>
            </w:r>
          </w:p>
        </w:tc>
        <w:tc>
          <w:tcPr>
            <w:tcW w:w="600" w:type="pct"/>
            <w:noWrap w:val="0"/>
            <w:vAlign w:val="center"/>
          </w:tcPr>
          <w:p w14:paraId="33A88BCD">
            <w:pPr>
              <w:adjustRightInd w:val="0"/>
              <w:snapToGrid w:val="0"/>
              <w:jc w:val="center"/>
              <w:rPr>
                <w:rFonts w:hint="eastAsia" w:ascii="仿宋_GB2312" w:hAnsi="仿宋_GB2312" w:eastAsia="仿宋_GB2312" w:cs="仿宋_GB2312"/>
                <w:snapToGrid w:val="0"/>
                <w:sz w:val="20"/>
                <w:szCs w:val="20"/>
              </w:rPr>
            </w:pPr>
            <w:r>
              <w:rPr>
                <w:rFonts w:hint="eastAsia" w:ascii="仿宋_GB2312" w:hAnsi="仿宋_GB2312" w:eastAsia="仿宋_GB2312" w:cs="仿宋_GB2312"/>
                <w:snapToGrid w:val="0"/>
                <w:sz w:val="20"/>
                <w:szCs w:val="20"/>
              </w:rPr>
              <w:t>宗地红线外“五通”，红线内场地平整</w:t>
            </w:r>
          </w:p>
        </w:tc>
        <w:tc>
          <w:tcPr>
            <w:tcW w:w="651" w:type="pct"/>
            <w:noWrap w:val="0"/>
            <w:vAlign w:val="center"/>
          </w:tcPr>
          <w:p w14:paraId="6C960165">
            <w:pPr>
              <w:adjustRightInd w:val="0"/>
              <w:snapToGrid w:val="0"/>
              <w:jc w:val="center"/>
              <w:rPr>
                <w:rFonts w:hint="eastAsia" w:ascii="仿宋_GB2312" w:hAnsi="仿宋_GB2312" w:eastAsia="仿宋_GB2312" w:cs="仿宋_GB2312"/>
                <w:snapToGrid w:val="0"/>
                <w:sz w:val="20"/>
                <w:szCs w:val="20"/>
              </w:rPr>
            </w:pPr>
            <w:r>
              <w:rPr>
                <w:rFonts w:hint="eastAsia" w:ascii="仿宋_GB2312" w:hAnsi="仿宋_GB2312" w:eastAsia="仿宋_GB2312" w:cs="仿宋_GB2312"/>
                <w:snapToGrid w:val="0"/>
                <w:sz w:val="20"/>
                <w:szCs w:val="20"/>
              </w:rPr>
              <w:t>宗地红线外“五通”，红线内场地平整</w:t>
            </w:r>
          </w:p>
        </w:tc>
        <w:tc>
          <w:tcPr>
            <w:tcW w:w="315" w:type="pct"/>
            <w:noWrap w:val="0"/>
            <w:vAlign w:val="center"/>
          </w:tcPr>
          <w:p w14:paraId="4A571A77">
            <w:pPr>
              <w:overflowPunct w:val="0"/>
              <w:autoSpaceDE w:val="0"/>
              <w:autoSpaceDN w:val="0"/>
              <w:snapToGrid w:val="0"/>
              <w:jc w:val="center"/>
              <w:rPr>
                <w:rFonts w:hint="default"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4.11</w:t>
            </w:r>
          </w:p>
        </w:tc>
      </w:tr>
    </w:tbl>
    <w:p w14:paraId="5C2B982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kern w:val="0"/>
          <w:sz w:val="28"/>
          <w:highlight w:val="none"/>
          <w:lang w:val="en-US" w:eastAsia="zh-CN"/>
        </w:rPr>
      </w:pPr>
    </w:p>
    <w:p w14:paraId="744A05AB">
      <w:pPr>
        <w:keepNext w:val="0"/>
        <w:keepLines w:val="0"/>
        <w:pageBreakBefore w:val="0"/>
        <w:widowControl w:val="0"/>
        <w:kinsoku/>
        <w:wordWrap/>
        <w:overflowPunct/>
        <w:topLinePunct w:val="0"/>
        <w:bidi w:val="0"/>
        <w:adjustRightInd w:val="0"/>
        <w:snapToGrid w:val="0"/>
        <w:spacing w:line="480" w:lineRule="exact"/>
        <w:textAlignment w:val="auto"/>
        <w:rPr>
          <w:rFonts w:hint="eastAsia" w:ascii="仿宋_GB2312" w:hAnsi="仿宋_GB2312" w:eastAsia="仿宋_GB2312" w:cs="仿宋_GB2312"/>
          <w:b w:val="0"/>
          <w:bCs w:val="0"/>
          <w:color w:val="auto"/>
          <w:kern w:val="0"/>
          <w:sz w:val="28"/>
          <w:szCs w:val="28"/>
          <w:highlight w:val="none"/>
          <w:lang w:val="en-US" w:eastAsia="zh-CN"/>
        </w:rPr>
      </w:pPr>
      <w:bookmarkStart w:id="7" w:name="_Toc22093"/>
      <w:r>
        <w:rPr>
          <w:rFonts w:hint="eastAsia" w:ascii="仿宋_GB2312" w:hAnsi="仿宋_GB2312" w:eastAsia="仿宋_GB2312" w:cs="仿宋_GB2312"/>
          <w:b w:val="0"/>
          <w:bCs w:val="0"/>
          <w:color w:val="auto"/>
          <w:kern w:val="0"/>
          <w:sz w:val="28"/>
          <w:szCs w:val="28"/>
          <w:highlight w:val="none"/>
          <w:lang w:val="en-US" w:eastAsia="zh-CN"/>
        </w:rPr>
        <w:br w:type="page"/>
      </w:r>
    </w:p>
    <w:p w14:paraId="5EF160B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color w:val="auto"/>
          <w:kern w:val="0"/>
          <w:sz w:val="28"/>
          <w:szCs w:val="28"/>
          <w:highlight w:val="none"/>
          <w:lang w:val="en-US" w:eastAsia="zh-CN"/>
        </w:rPr>
      </w:pPr>
      <w:r>
        <w:rPr>
          <w:rFonts w:hint="eastAsia" w:ascii="仿宋_GB2312" w:hAnsi="仿宋_GB2312" w:eastAsia="仿宋_GB2312" w:cs="仿宋_GB2312"/>
          <w:b/>
          <w:bCs/>
          <w:color w:val="auto"/>
          <w:kern w:val="0"/>
          <w:sz w:val="28"/>
          <w:szCs w:val="28"/>
          <w:highlight w:val="none"/>
          <w:lang w:val="en-US" w:eastAsia="zh-CN"/>
        </w:rPr>
        <w:t>七、估价结果</w:t>
      </w:r>
      <w:bookmarkEnd w:id="7"/>
    </w:p>
    <w:p w14:paraId="29B21DC3">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3"/>
        <w:rPr>
          <w:rFonts w:hint="default"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bCs/>
          <w:sz w:val="28"/>
          <w:szCs w:val="28"/>
          <w:lang w:val="en-US" w:eastAsia="zh-CN"/>
        </w:rPr>
        <w:t>一</w:t>
      </w: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bCs/>
          <w:sz w:val="28"/>
          <w:szCs w:val="28"/>
          <w:lang w:val="en-US" w:eastAsia="zh-CN"/>
        </w:rPr>
        <w:t>估价结论</w:t>
      </w:r>
    </w:p>
    <w:p w14:paraId="1E764E5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kern w:val="2"/>
          <w:sz w:val="28"/>
          <w:highlight w:val="none"/>
          <w:lang w:val="en-US" w:eastAsia="zh-CN" w:bidi="ar-SA"/>
        </w:rPr>
        <w:t>经估价人员现场查勘和对当地不动产市场分析，按照土地估价的基本原则和估价程序，选择合适的估价方法，在公开市场条件下于估价期日2026年6月1日，满足全部地价定义条件下的国有出让土地使用权价格估价结果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（币种：人民币）</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w:t>
      </w:r>
    </w:p>
    <w:p w14:paraId="35F9A0ED">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宗地数量：共一宗</w:t>
      </w:r>
    </w:p>
    <w:p w14:paraId="7958C84D">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估价对象</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土地</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总</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面积：</w:t>
      </w:r>
      <w:r>
        <w:rPr>
          <w:rFonts w:hint="eastAsia" w:ascii="仿宋_GB2312" w:hAnsi="仿宋_GB2312" w:eastAsia="仿宋_GB2312" w:cs="仿宋_GB2312"/>
          <w:b/>
          <w:bCs/>
          <w:color w:val="000000" w:themeColor="text1"/>
          <w:kern w:val="0"/>
          <w:sz w:val="28"/>
          <w:szCs w:val="28"/>
          <w:highlight w:val="none"/>
          <w:lang w:val="en-US" w:eastAsia="zh-CN"/>
          <w14:textFill>
            <w14:solidFill>
              <w14:schemeClr w14:val="tx1"/>
            </w14:solidFill>
          </w14:textFill>
        </w:rPr>
        <w:t>50</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平方米</w:t>
      </w:r>
    </w:p>
    <w:p w14:paraId="34045D9F">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kern w:val="0"/>
          <w:sz w:val="28"/>
          <w:szCs w:val="28"/>
          <w:highlight w:val="none"/>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估价对象土地单价：2800元/平方米</w:t>
      </w:r>
      <w:r>
        <w:rPr>
          <w:rFonts w:hint="eastAsia" w:ascii="仿宋_GB2312" w:hAnsi="仿宋_GB2312" w:eastAsia="仿宋_GB2312" w:cs="仿宋_GB2312"/>
          <w:b/>
          <w:bCs/>
          <w:kern w:val="0"/>
          <w:sz w:val="28"/>
          <w:szCs w:val="28"/>
          <w:highlight w:val="none"/>
        </w:rPr>
        <w:t>（折合</w:t>
      </w:r>
      <w:r>
        <w:rPr>
          <w:rFonts w:hint="eastAsia" w:ascii="仿宋_GB2312" w:hAnsi="仿宋_GB2312" w:eastAsia="仿宋_GB2312" w:cs="仿宋_GB2312"/>
          <w:b/>
          <w:bCs/>
          <w:kern w:val="0"/>
          <w:sz w:val="28"/>
          <w:szCs w:val="28"/>
          <w:highlight w:val="none"/>
          <w:lang w:val="en-US" w:eastAsia="zh-CN"/>
        </w:rPr>
        <w:t>186.67</w:t>
      </w:r>
      <w:r>
        <w:rPr>
          <w:rFonts w:hint="eastAsia" w:ascii="仿宋_GB2312" w:hAnsi="仿宋_GB2312" w:eastAsia="仿宋_GB2312" w:cs="仿宋_GB2312"/>
          <w:b/>
          <w:bCs/>
          <w:kern w:val="0"/>
          <w:sz w:val="28"/>
          <w:szCs w:val="28"/>
          <w:highlight w:val="none"/>
        </w:rPr>
        <w:t>万元/亩）</w:t>
      </w:r>
    </w:p>
    <w:p w14:paraId="2D7AA2B9">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kern w:val="0"/>
          <w:sz w:val="28"/>
          <w:szCs w:val="28"/>
          <w:highlight w:val="none"/>
          <w:lang w:val="en-US" w:eastAsia="zh-CN"/>
        </w:rPr>
      </w:pPr>
      <w:r>
        <w:rPr>
          <w:rFonts w:hint="eastAsia" w:ascii="仿宋_GB2312" w:hAnsi="仿宋_GB2312" w:eastAsia="仿宋_GB2312" w:cs="仿宋_GB2312"/>
          <w:b/>
          <w:bCs/>
          <w:kern w:val="0"/>
          <w:sz w:val="28"/>
          <w:szCs w:val="28"/>
          <w:highlight w:val="none"/>
          <w:lang w:val="en-US" w:eastAsia="zh-CN"/>
        </w:rPr>
        <w:t>估价对象楼面地价：681.27</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元/平方米</w:t>
      </w:r>
    </w:p>
    <w:p w14:paraId="659ED78B">
      <w:pPr>
        <w:keepNext w:val="0"/>
        <w:keepLines w:val="0"/>
        <w:pageBreakBefore w:val="0"/>
        <w:widowControl w:val="0"/>
        <w:kinsoku/>
        <w:wordWrap/>
        <w:overflowPunct/>
        <w:topLinePunct w:val="0"/>
        <w:autoSpaceDE/>
        <w:autoSpaceDN/>
        <w:bidi w:val="0"/>
        <w:spacing w:line="480" w:lineRule="exact"/>
        <w:ind w:left="0" w:leftChars="0" w:firstLine="562" w:firstLineChars="200"/>
        <w:textAlignment w:val="auto"/>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估计对象土地</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总价：</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14.0</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万元</w:t>
      </w:r>
    </w:p>
    <w:p w14:paraId="4C32D361">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大写：</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人民币壹拾肆万元整</w:t>
      </w:r>
    </w:p>
    <w:p w14:paraId="2E4C9AC8">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详见《土地估价结果一览</w:t>
      </w: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表》</w:t>
      </w:r>
    </w:p>
    <w:p w14:paraId="2597D408">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（二）出让底价建议</w:t>
      </w:r>
    </w:p>
    <w:p w14:paraId="20E1CC07">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根据道县土地市场情况及有关法律法规和政策规定，该地区土地出让底价由选定的估价机构的估价结果、基准地价水平及具体宗地的实际情况综合确定。建议估价对象出让底价与本次估价结果相一致，具体由出让方根据出让土地的实际情况综合确定。</w:t>
      </w:r>
    </w:p>
    <w:p w14:paraId="5FC3F07C">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建议出让地价的理由：</w:t>
      </w:r>
    </w:p>
    <w:p w14:paraId="3568EF9F">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w:t>
      </w:r>
      <w:r>
        <w:rPr>
          <w:rFonts w:hint="eastAsia" w:ascii="仿宋_GB2312" w:hAnsi="仿宋_GB2312" w:eastAsia="仿宋_GB2312" w:cs="仿宋_GB2312"/>
          <w:color w:val="auto"/>
          <w:sz w:val="28"/>
          <w:szCs w:val="30"/>
          <w:highlight w:val="none"/>
          <w:lang w:eastAsia="zh-CN"/>
        </w:rPr>
        <w:t>本次评估采用</w:t>
      </w:r>
      <w:r>
        <w:rPr>
          <w:rFonts w:hint="eastAsia" w:ascii="仿宋_GB2312" w:hAnsi="仿宋_GB2312" w:eastAsia="仿宋_GB2312" w:cs="仿宋_GB2312"/>
          <w:color w:val="auto"/>
          <w:sz w:val="28"/>
          <w:szCs w:val="30"/>
          <w:highlight w:val="none"/>
          <w:lang w:val="en-US" w:eastAsia="zh-CN"/>
        </w:rPr>
        <w:t>成本逼近法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分别进行测算，综合考虑评估宗地所在区域的地价水平，</w:t>
      </w:r>
      <w:r>
        <w:rPr>
          <w:rFonts w:hint="default" w:ascii="仿宋_GB2312" w:hAnsi="仿宋_GB2312" w:eastAsia="仿宋_GB2312" w:cs="仿宋_GB2312"/>
          <w:color w:val="auto"/>
          <w:sz w:val="28"/>
          <w:szCs w:val="30"/>
          <w:highlight w:val="none"/>
          <w:lang w:eastAsia="zh-CN"/>
        </w:rPr>
        <w:t>成本逼近法是以土地开发所耗费的成本构成来推算土地价格的方法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sz w:val="28"/>
          <w:szCs w:val="28"/>
        </w:rPr>
        <w:t>收益还原法是在估算估价对象在未来每年预期纯收益（正常年纯收益）的基础上，以一定的土地还原率，将评估对象在未来每年的纯收益折算为估价期日收益总和的一种方法</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color w:val="auto"/>
          <w:sz w:val="28"/>
          <w:szCs w:val="30"/>
          <w:highlight w:val="none"/>
          <w:lang w:eastAsia="zh-CN"/>
        </w:rPr>
        <w:t>能够比较真实的反映估价对象的客观合理的市场价格；</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可信度高，</w:t>
      </w:r>
      <w:r>
        <w:rPr>
          <w:rFonts w:hint="eastAsia" w:ascii="仿宋_GB2312" w:hAnsi="仿宋_GB2312" w:eastAsia="仿宋_GB2312" w:cs="仿宋_GB2312"/>
          <w:color w:val="auto"/>
          <w:sz w:val="28"/>
          <w:szCs w:val="30"/>
          <w:highlight w:val="none"/>
          <w:lang w:val="en-US" w:eastAsia="zh-CN"/>
        </w:rPr>
        <w:t>因此取收益还原法</w:t>
      </w:r>
      <w:r>
        <w:rPr>
          <w:rFonts w:hint="eastAsia" w:ascii="仿宋_GB2312" w:hAnsi="仿宋_GB2312" w:eastAsia="仿宋_GB2312" w:cs="仿宋_GB2312"/>
          <w:color w:val="auto"/>
          <w:sz w:val="28"/>
          <w:szCs w:val="30"/>
          <w:highlight w:val="none"/>
          <w:lang w:eastAsia="zh-CN"/>
        </w:rPr>
        <w:t>估价结果为最终结果</w:t>
      </w: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w:t>
      </w:r>
    </w:p>
    <w:p w14:paraId="38F27E5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2.通过湖南省国土资源网上交易系统、中国土地交易市场网查询，道县近期通过“招拍挂”途径出让的估价对象周边土地单位面积地价与估价结果较为接近，估价结果符合该区域规划发展的趋势。</w:t>
      </w:r>
    </w:p>
    <w:p w14:paraId="314CB64C">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sectPr>
          <w:footerReference r:id="rId7" w:type="default"/>
          <w:pgSz w:w="11906" w:h="16838"/>
          <w:pgMar w:top="1440" w:right="1800" w:bottom="1440" w:left="1800" w:header="851" w:footer="992" w:gutter="0"/>
          <w:pgNumType w:fmt="decimal" w:start="1"/>
          <w:cols w:space="0" w:num="1"/>
          <w:rtlGutter w:val="0"/>
          <w:docGrid w:type="lines" w:linePitch="312" w:charSpace="0"/>
        </w:sectPr>
      </w:pP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根据《国土资源部办公厅关于印发&lt;国有建设用地使用权出让地价评估技术规范&gt;的通知》（国土资厅发[2018]4号，2018年4月9日施行）文件要求，“在土地估价报告的‘估价结果’部分，应有明确的底价决策建议及理由”，本次评估选用了两种估价方法分别对估价对象进行了评估，并结合宗地所处区域同类用地价变化情况确定最终评估结果，该评估结果符合宗地所处区域同类用地价客观真实水平，且目前估价对象所在区域地价水平基本平稳。因此，本次估价对象出让建议底价为人民币</w:t>
      </w:r>
      <w:r>
        <w:rPr>
          <w:rFonts w:hint="eastAsia" w:ascii="仿宋_GB2312" w:eastAsia="仿宋_GB2312" w:cs="Times New Roman"/>
          <w:b w:val="0"/>
          <w:bCs w:val="0"/>
          <w:color w:val="000000" w:themeColor="text1"/>
          <w:sz w:val="28"/>
          <w:szCs w:val="22"/>
          <w:highlight w:val="none"/>
          <w:lang w:val="en-US" w:eastAsia="zh-CN"/>
          <w14:textFill>
            <w14:solidFill>
              <w14:schemeClr w14:val="tx1"/>
            </w14:solidFill>
          </w14:textFill>
        </w:rPr>
        <w:t>壹拾肆万</w:t>
      </w: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元整[¥</w:t>
      </w:r>
      <w:r>
        <w:rPr>
          <w:rFonts w:hint="eastAsia" w:ascii="仿宋_GB2312" w:eastAsia="仿宋_GB2312" w:cs="Times New Roman"/>
          <w:b w:val="0"/>
          <w:bCs w:val="0"/>
          <w:color w:val="000000" w:themeColor="text1"/>
          <w:sz w:val="28"/>
          <w:szCs w:val="22"/>
          <w:highlight w:val="none"/>
          <w:lang w:val="en-US" w:eastAsia="zh-CN"/>
          <w14:textFill>
            <w14:solidFill>
              <w14:schemeClr w14:val="tx1"/>
            </w14:solidFill>
          </w14:textFill>
        </w:rPr>
        <w:t>14.0</w:t>
      </w: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万元整]。该建议底价不含契税、交易服务费等价外税费。</w:t>
      </w:r>
    </w:p>
    <w:p w14:paraId="51D26560">
      <w:pPr>
        <w:pStyle w:val="3"/>
        <w:keepLines w:val="0"/>
        <w:pageBreakBefore w:val="0"/>
        <w:widowControl w:val="0"/>
        <w:kinsoku/>
        <w:wordWrap/>
        <w:overflowPunct/>
        <w:topLinePunct w:val="0"/>
        <w:autoSpaceDE/>
        <w:autoSpaceDN/>
        <w:bidi w:val="0"/>
        <w:spacing w:line="480" w:lineRule="exact"/>
        <w:ind w:left="0" w:right="0" w:firstLine="562" w:firstLineChars="200"/>
        <w:jc w:val="left"/>
        <w:textAlignment w:val="auto"/>
        <w:rPr>
          <w:rFonts w:hint="default" w:ascii="仿宋_GB2312" w:hAnsi="仿宋_GB2312" w:eastAsia="仿宋_GB2312" w:cs="仿宋_GB2312"/>
          <w:b/>
          <w:bCs/>
          <w:color w:val="auto"/>
          <w:kern w:val="2"/>
          <w:sz w:val="28"/>
          <w:szCs w:val="28"/>
          <w:highlight w:val="none"/>
          <w:lang w:val="en-GB" w:eastAsia="zh-CN" w:bidi="ar-SA"/>
        </w:rPr>
      </w:pPr>
      <w:bookmarkStart w:id="8" w:name="_Toc19515"/>
      <w:r>
        <w:rPr>
          <w:rFonts w:hint="eastAsia" w:cs="仿宋_GB2312"/>
          <w:b/>
          <w:bCs/>
          <w:color w:val="auto"/>
          <w:kern w:val="2"/>
          <w:sz w:val="28"/>
          <w:szCs w:val="28"/>
          <w:highlight w:val="none"/>
          <w:lang w:val="en-US" w:eastAsia="zh-CN" w:bidi="ar-SA"/>
        </w:rPr>
        <w:t>八</w:t>
      </w:r>
      <w:r>
        <w:rPr>
          <w:rFonts w:hint="default" w:ascii="仿宋_GB2312" w:hAnsi="仿宋_GB2312" w:eastAsia="仿宋_GB2312" w:cs="仿宋_GB2312"/>
          <w:b/>
          <w:bCs/>
          <w:color w:val="auto"/>
          <w:kern w:val="2"/>
          <w:sz w:val="28"/>
          <w:szCs w:val="28"/>
          <w:highlight w:val="none"/>
          <w:lang w:val="en-GB" w:eastAsia="zh-CN" w:bidi="ar-SA"/>
        </w:rPr>
        <w:t>、土地估价师签字</w:t>
      </w:r>
      <w:bookmarkEnd w:id="8"/>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671F2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1641" w:type="pct"/>
            <w:tcBorders>
              <w:tl2br w:val="nil"/>
              <w:tr2bl w:val="nil"/>
            </w:tcBorders>
            <w:vAlign w:val="center"/>
          </w:tcPr>
          <w:p w14:paraId="29BA3D60">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b w:val="0"/>
                <w:bCs w:val="0"/>
                <w:sz w:val="28"/>
                <w:szCs w:val="18"/>
                <w:highlight w:val="none"/>
              </w:rPr>
            </w:pPr>
            <w:r>
              <w:rPr>
                <w:rFonts w:hint="eastAsia" w:ascii="仿宋_GB2312" w:hAnsi="仿宋_GB2312" w:eastAsia="仿宋_GB2312" w:cs="仿宋_GB2312"/>
                <w:b w:val="0"/>
                <w:bCs w:val="0"/>
                <w:sz w:val="28"/>
                <w:szCs w:val="18"/>
                <w:highlight w:val="none"/>
              </w:rPr>
              <w:t>估价师姓名</w:t>
            </w:r>
          </w:p>
        </w:tc>
        <w:tc>
          <w:tcPr>
            <w:tcW w:w="1716" w:type="pct"/>
            <w:tcBorders>
              <w:tl2br w:val="nil"/>
              <w:tr2bl w:val="nil"/>
            </w:tcBorders>
            <w:vAlign w:val="center"/>
          </w:tcPr>
          <w:p w14:paraId="00530503">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b w:val="0"/>
                <w:bCs w:val="0"/>
                <w:sz w:val="28"/>
                <w:szCs w:val="18"/>
                <w:highlight w:val="none"/>
              </w:rPr>
            </w:pPr>
            <w:r>
              <w:rPr>
                <w:rFonts w:hint="eastAsia" w:ascii="仿宋_GB2312" w:hAnsi="仿宋_GB2312" w:eastAsia="仿宋_GB2312" w:cs="仿宋_GB2312"/>
                <w:b w:val="0"/>
                <w:bCs w:val="0"/>
                <w:sz w:val="28"/>
                <w:szCs w:val="18"/>
                <w:highlight w:val="none"/>
              </w:rPr>
              <w:t>土地估价师资格证号</w:t>
            </w:r>
          </w:p>
        </w:tc>
        <w:tc>
          <w:tcPr>
            <w:tcW w:w="1642" w:type="pct"/>
            <w:tcBorders>
              <w:tl2br w:val="nil"/>
              <w:tr2bl w:val="nil"/>
            </w:tcBorders>
            <w:vAlign w:val="center"/>
          </w:tcPr>
          <w:p w14:paraId="75BDF0C0">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b w:val="0"/>
                <w:bCs w:val="0"/>
                <w:sz w:val="28"/>
                <w:szCs w:val="18"/>
                <w:highlight w:val="none"/>
              </w:rPr>
            </w:pPr>
            <w:r>
              <w:rPr>
                <w:rFonts w:hint="eastAsia" w:ascii="仿宋_GB2312" w:hAnsi="仿宋_GB2312" w:eastAsia="仿宋_GB2312" w:cs="仿宋_GB2312"/>
                <w:b w:val="0"/>
                <w:bCs w:val="0"/>
                <w:sz w:val="28"/>
                <w:szCs w:val="18"/>
                <w:highlight w:val="none"/>
              </w:rPr>
              <w:t>签    字</w:t>
            </w:r>
          </w:p>
        </w:tc>
      </w:tr>
      <w:tr w14:paraId="65A10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1641" w:type="pct"/>
            <w:tcBorders>
              <w:tl2br w:val="nil"/>
              <w:tr2bl w:val="nil"/>
            </w:tcBorders>
            <w:vAlign w:val="center"/>
          </w:tcPr>
          <w:p w14:paraId="0D7C2204">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b w:val="0"/>
                <w:bCs w:val="0"/>
                <w:sz w:val="28"/>
                <w:szCs w:val="18"/>
                <w:highlight w:val="none"/>
                <w:lang w:val="en-US" w:eastAsia="zh-CN"/>
              </w:rPr>
            </w:pPr>
            <w:r>
              <w:rPr>
                <w:rFonts w:hint="eastAsia" w:ascii="仿宋_GB2312" w:hAnsi="仿宋_GB2312" w:eastAsia="仿宋_GB2312" w:cs="仿宋_GB2312"/>
                <w:b w:val="0"/>
                <w:bCs w:val="0"/>
                <w:sz w:val="28"/>
                <w:szCs w:val="18"/>
                <w:highlight w:val="none"/>
                <w:lang w:val="en-US" w:eastAsia="zh-CN"/>
              </w:rPr>
              <w:t>谢良元</w:t>
            </w:r>
          </w:p>
        </w:tc>
        <w:tc>
          <w:tcPr>
            <w:tcW w:w="1716" w:type="pct"/>
            <w:tcBorders>
              <w:tl2br w:val="nil"/>
              <w:tr2bl w:val="nil"/>
            </w:tcBorders>
            <w:vAlign w:val="center"/>
          </w:tcPr>
          <w:p w14:paraId="57976F1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b w:val="0"/>
                <w:bCs w:val="0"/>
                <w:sz w:val="28"/>
                <w:szCs w:val="18"/>
                <w:highlight w:val="none"/>
                <w:lang w:eastAsia="zh-CN"/>
              </w:rPr>
            </w:pPr>
            <w:r>
              <w:rPr>
                <w:rFonts w:hint="eastAsia" w:ascii="仿宋_GB2312" w:hAnsi="仿宋_GB2312" w:eastAsia="仿宋_GB2312" w:cs="仿宋_GB2312"/>
                <w:b w:val="0"/>
                <w:bCs w:val="0"/>
                <w:sz w:val="28"/>
                <w:szCs w:val="18"/>
                <w:highlight w:val="none"/>
                <w:lang w:val="en-US" w:eastAsia="zh-CN"/>
              </w:rPr>
              <w:t>2019430003</w:t>
            </w:r>
          </w:p>
        </w:tc>
        <w:tc>
          <w:tcPr>
            <w:tcW w:w="1642" w:type="pct"/>
            <w:tcBorders>
              <w:tl2br w:val="nil"/>
              <w:tr2bl w:val="nil"/>
            </w:tcBorders>
          </w:tcPr>
          <w:p w14:paraId="50C186C9">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b w:val="0"/>
                <w:bCs w:val="0"/>
                <w:sz w:val="28"/>
                <w:szCs w:val="18"/>
                <w:highlight w:val="none"/>
              </w:rPr>
            </w:pPr>
          </w:p>
        </w:tc>
      </w:tr>
      <w:tr w14:paraId="5BF1B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1641" w:type="pct"/>
            <w:tcBorders>
              <w:tl2br w:val="nil"/>
              <w:tr2bl w:val="nil"/>
            </w:tcBorders>
            <w:vAlign w:val="center"/>
          </w:tcPr>
          <w:p w14:paraId="24DAFAA8">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b w:val="0"/>
                <w:bCs w:val="0"/>
                <w:sz w:val="28"/>
                <w:szCs w:val="18"/>
                <w:highlight w:val="none"/>
                <w:lang w:val="en-US" w:eastAsia="zh-CN"/>
              </w:rPr>
            </w:pPr>
            <w:r>
              <w:rPr>
                <w:rFonts w:hint="eastAsia" w:ascii="仿宋_GB2312" w:hAnsi="仿宋_GB2312" w:eastAsia="仿宋_GB2312" w:cs="仿宋_GB2312"/>
                <w:b w:val="0"/>
                <w:bCs w:val="0"/>
                <w:sz w:val="28"/>
                <w:szCs w:val="18"/>
                <w:highlight w:val="none"/>
                <w:lang w:val="en-US" w:eastAsia="zh-CN"/>
              </w:rPr>
              <w:t>彭翀</w:t>
            </w:r>
          </w:p>
        </w:tc>
        <w:tc>
          <w:tcPr>
            <w:tcW w:w="1716" w:type="pct"/>
            <w:tcBorders>
              <w:tl2br w:val="nil"/>
              <w:tr2bl w:val="nil"/>
            </w:tcBorders>
            <w:vAlign w:val="center"/>
          </w:tcPr>
          <w:p w14:paraId="5EEEC8D7">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b w:val="0"/>
                <w:bCs w:val="0"/>
                <w:sz w:val="28"/>
                <w:szCs w:val="18"/>
                <w:highlight w:val="none"/>
                <w:lang w:eastAsia="zh-CN"/>
              </w:rPr>
            </w:pPr>
            <w:r>
              <w:rPr>
                <w:rFonts w:hint="eastAsia" w:ascii="仿宋_GB2312" w:hAnsi="仿宋_GB2312" w:eastAsia="仿宋_GB2312" w:cs="仿宋_GB2312"/>
                <w:b w:val="0"/>
                <w:bCs w:val="0"/>
                <w:sz w:val="28"/>
                <w:szCs w:val="18"/>
                <w:highlight w:val="none"/>
                <w:lang w:val="en-US" w:eastAsia="zh-CN"/>
              </w:rPr>
              <w:t>2004450008</w:t>
            </w:r>
          </w:p>
        </w:tc>
        <w:tc>
          <w:tcPr>
            <w:tcW w:w="1642" w:type="pct"/>
            <w:tcBorders>
              <w:tl2br w:val="nil"/>
              <w:tr2bl w:val="nil"/>
            </w:tcBorders>
          </w:tcPr>
          <w:p w14:paraId="48B969D1">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b w:val="0"/>
                <w:bCs w:val="0"/>
                <w:sz w:val="28"/>
                <w:szCs w:val="18"/>
                <w:highlight w:val="none"/>
              </w:rPr>
            </w:pPr>
          </w:p>
        </w:tc>
      </w:tr>
    </w:tbl>
    <w:p w14:paraId="71CD56EB">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420" w:leftChars="0" w:right="0" w:rightChars="0" w:firstLine="0" w:firstLineChars="0"/>
        <w:textAlignment w:val="auto"/>
        <w:outlineLvl w:val="1"/>
        <w:rPr>
          <w:rFonts w:hint="default" w:ascii="仿宋_GB2312" w:hAnsi="仿宋_GB2312" w:eastAsia="仿宋_GB2312" w:cs="仿宋_GB2312"/>
          <w:b w:val="0"/>
          <w:bCs w:val="0"/>
          <w:color w:val="auto"/>
          <w:kern w:val="2"/>
          <w:sz w:val="28"/>
          <w:szCs w:val="28"/>
          <w:highlight w:val="none"/>
          <w:lang w:val="en-GB" w:eastAsia="zh-CN" w:bidi="ar-SA"/>
        </w:rPr>
      </w:pPr>
      <w:bookmarkStart w:id="9" w:name="_Toc4942"/>
      <w:r>
        <w:rPr>
          <w:rFonts w:hint="eastAsia" w:ascii="仿宋_GB2312" w:hAnsi="仿宋_GB2312" w:eastAsia="仿宋_GB2312" w:cs="仿宋_GB2312"/>
          <w:b/>
          <w:bCs/>
          <w:color w:val="auto"/>
          <w:kern w:val="2"/>
          <w:sz w:val="28"/>
          <w:szCs w:val="28"/>
          <w:highlight w:val="none"/>
          <w:lang w:val="en-GB" w:eastAsia="zh-CN" w:bidi="ar-SA"/>
        </w:rPr>
        <w:t>九、</w:t>
      </w:r>
      <w:r>
        <w:rPr>
          <w:rFonts w:hint="default" w:ascii="仿宋_GB2312" w:hAnsi="仿宋_GB2312" w:eastAsia="仿宋_GB2312" w:cs="仿宋_GB2312"/>
          <w:b/>
          <w:bCs/>
          <w:color w:val="auto"/>
          <w:kern w:val="2"/>
          <w:sz w:val="28"/>
          <w:szCs w:val="28"/>
          <w:highlight w:val="none"/>
          <w:lang w:val="en-GB" w:eastAsia="zh-CN" w:bidi="ar-SA"/>
        </w:rPr>
        <w:t>土地估价机构</w:t>
      </w:r>
      <w:bookmarkEnd w:id="9"/>
      <w:r>
        <w:rPr>
          <w:rFonts w:hint="default" w:ascii="仿宋_GB2312" w:hAnsi="仿宋_GB2312" w:eastAsia="仿宋_GB2312" w:cs="仿宋_GB2312"/>
          <w:b w:val="0"/>
          <w:bCs w:val="0"/>
          <w:color w:val="auto"/>
          <w:kern w:val="2"/>
          <w:sz w:val="28"/>
          <w:szCs w:val="28"/>
          <w:highlight w:val="none"/>
          <w:lang w:val="en-GB" w:eastAsia="zh-CN" w:bidi="ar-SA"/>
        </w:rPr>
        <w:t xml:space="preserve">                </w:t>
      </w:r>
    </w:p>
    <w:p w14:paraId="49A6D640">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right="0" w:rightChars="0"/>
        <w:textAlignment w:val="auto"/>
        <w:rPr>
          <w:rFonts w:hint="eastAsia" w:ascii="仿宋_GB2312" w:eastAsia="仿宋_GB2312"/>
          <w:b w:val="0"/>
          <w:bCs w:val="0"/>
          <w:sz w:val="28"/>
          <w:highlight w:val="none"/>
        </w:rPr>
      </w:pPr>
    </w:p>
    <w:p w14:paraId="6A92D85F">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right="0" w:rightChars="0"/>
        <w:textAlignment w:val="auto"/>
        <w:rPr>
          <w:rFonts w:ascii="仿宋_GB2312" w:eastAsia="仿宋_GB2312"/>
          <w:b w:val="0"/>
          <w:bCs w:val="0"/>
          <w:sz w:val="28"/>
          <w:highlight w:val="none"/>
        </w:rPr>
      </w:pPr>
      <w:r>
        <w:rPr>
          <w:rFonts w:hint="eastAsia" w:ascii="仿宋_GB2312" w:eastAsia="仿宋_GB2312"/>
          <w:b w:val="0"/>
          <w:bCs w:val="0"/>
          <w:sz w:val="28"/>
          <w:highlight w:val="none"/>
        </w:rPr>
        <w:t>估价机构法定代表人签字：</w:t>
      </w:r>
    </w:p>
    <w:p w14:paraId="7FFF3DE8">
      <w:pPr>
        <w:keepNext w:val="0"/>
        <w:keepLines w:val="0"/>
        <w:pageBreakBefore w:val="0"/>
        <w:widowControl w:val="0"/>
        <w:kinsoku/>
        <w:wordWrap/>
        <w:overflowPunct/>
        <w:topLinePunct w:val="0"/>
        <w:autoSpaceDE/>
        <w:autoSpaceDN/>
        <w:bidi w:val="0"/>
        <w:adjustRightInd/>
        <w:snapToGrid/>
        <w:spacing w:line="520" w:lineRule="exact"/>
        <w:ind w:right="140"/>
        <w:jc w:val="right"/>
        <w:textAlignment w:val="auto"/>
        <w:rPr>
          <w:rFonts w:ascii="仿宋_GB2312" w:eastAsia="仿宋_GB2312"/>
          <w:b w:val="0"/>
          <w:bCs w:val="0"/>
          <w:sz w:val="28"/>
          <w:highlight w:val="none"/>
        </w:rPr>
      </w:pPr>
    </w:p>
    <w:p w14:paraId="250D1A78">
      <w:pPr>
        <w:keepNext w:val="0"/>
        <w:keepLines w:val="0"/>
        <w:pageBreakBefore w:val="0"/>
        <w:widowControl w:val="0"/>
        <w:kinsoku/>
        <w:wordWrap/>
        <w:overflowPunct/>
        <w:topLinePunct w:val="0"/>
        <w:autoSpaceDE/>
        <w:autoSpaceDN/>
        <w:bidi w:val="0"/>
        <w:adjustRightInd/>
        <w:snapToGrid/>
        <w:spacing w:line="520" w:lineRule="exact"/>
        <w:ind w:right="140"/>
        <w:jc w:val="right"/>
        <w:textAlignment w:val="auto"/>
        <w:rPr>
          <w:rFonts w:ascii="仿宋_GB2312" w:eastAsia="仿宋_GB2312"/>
          <w:b w:val="0"/>
          <w:bCs w:val="0"/>
          <w:sz w:val="28"/>
          <w:highlight w:val="none"/>
        </w:rPr>
      </w:pPr>
    </w:p>
    <w:p w14:paraId="4C2F53E9">
      <w:pPr>
        <w:keepNext w:val="0"/>
        <w:keepLines w:val="0"/>
        <w:pageBreakBefore w:val="0"/>
        <w:widowControl w:val="0"/>
        <w:kinsoku/>
        <w:wordWrap/>
        <w:overflowPunct/>
        <w:topLinePunct w:val="0"/>
        <w:autoSpaceDE/>
        <w:autoSpaceDN/>
        <w:bidi w:val="0"/>
        <w:adjustRightInd/>
        <w:snapToGrid/>
        <w:spacing w:line="520" w:lineRule="exact"/>
        <w:ind w:right="140"/>
        <w:jc w:val="right"/>
        <w:textAlignment w:val="auto"/>
        <w:rPr>
          <w:rFonts w:ascii="仿宋_GB2312" w:eastAsia="仿宋_GB2312"/>
          <w:b w:val="0"/>
          <w:bCs w:val="0"/>
          <w:sz w:val="28"/>
          <w:highlight w:val="none"/>
        </w:rPr>
      </w:pPr>
    </w:p>
    <w:p w14:paraId="1AB0E3CD">
      <w:pPr>
        <w:keepNext w:val="0"/>
        <w:keepLines w:val="0"/>
        <w:pageBreakBefore w:val="0"/>
        <w:widowControl w:val="0"/>
        <w:kinsoku/>
        <w:wordWrap/>
        <w:overflowPunct/>
        <w:topLinePunct w:val="0"/>
        <w:autoSpaceDE/>
        <w:autoSpaceDN/>
        <w:bidi w:val="0"/>
        <w:adjustRightInd/>
        <w:snapToGrid/>
        <w:spacing w:line="520" w:lineRule="exact"/>
        <w:ind w:right="140"/>
        <w:jc w:val="right"/>
        <w:textAlignment w:val="auto"/>
        <w:outlineLvl w:val="9"/>
        <w:rPr>
          <w:rFonts w:hint="eastAsia" w:ascii="仿宋_GB2312" w:eastAsia="仿宋_GB2312"/>
          <w:b w:val="0"/>
          <w:bCs w:val="0"/>
          <w:sz w:val="28"/>
          <w:highlight w:val="none"/>
          <w:lang w:eastAsia="zh-CN"/>
        </w:rPr>
      </w:pPr>
      <w:r>
        <w:rPr>
          <w:rFonts w:hint="eastAsia" w:ascii="仿宋_GB2312" w:eastAsia="仿宋_GB2312"/>
          <w:b w:val="0"/>
          <w:bCs w:val="0"/>
          <w:sz w:val="28"/>
          <w:highlight w:val="none"/>
          <w:lang w:eastAsia="zh-CN"/>
        </w:rPr>
        <w:t>湖南兆财不动产规划评估有限公司</w:t>
      </w:r>
    </w:p>
    <w:p w14:paraId="1415DA4E">
      <w:pPr>
        <w:pStyle w:val="13"/>
        <w:keepNext w:val="0"/>
        <w:keepLines w:val="0"/>
        <w:pageBreakBefore w:val="0"/>
        <w:widowControl w:val="0"/>
        <w:kinsoku/>
        <w:wordWrap/>
        <w:overflowPunct/>
        <w:topLinePunct w:val="0"/>
        <w:autoSpaceDE/>
        <w:autoSpaceDN/>
        <w:bidi w:val="0"/>
        <w:adjustRightInd/>
        <w:snapToGrid/>
        <w:spacing w:line="520" w:lineRule="exact"/>
        <w:jc w:val="right"/>
        <w:textAlignment w:val="auto"/>
        <w:rPr>
          <w:b w:val="0"/>
          <w:bCs w:val="0"/>
          <w:highlight w:val="none"/>
        </w:rPr>
      </w:pPr>
      <w:r>
        <w:rPr>
          <w:rFonts w:hint="eastAsia"/>
          <w:b w:val="0"/>
          <w:bCs w:val="0"/>
          <w:highlight w:val="none"/>
        </w:rPr>
        <w:t xml:space="preserve">                              </w:t>
      </w:r>
      <w:r>
        <w:rPr>
          <w:rFonts w:hint="eastAsia"/>
          <w:b w:val="0"/>
          <w:bCs w:val="0"/>
          <w:highlight w:val="none"/>
          <w:lang w:val="en-US" w:eastAsia="zh-CN"/>
        </w:rPr>
        <w:t xml:space="preserve"> </w:t>
      </w:r>
      <w:r>
        <w:rPr>
          <w:rFonts w:hint="eastAsia"/>
          <w:highlight w:val="none"/>
          <w:lang w:val="en-US" w:eastAsia="zh-CN"/>
        </w:rPr>
        <w:t xml:space="preserve"> </w:t>
      </w:r>
      <w:r>
        <w:rPr>
          <w:rFonts w:hint="eastAsia" w:ascii="仿宋_GB2312" w:hAnsi="仿宋_GB2312" w:eastAsia="仿宋_GB2312" w:cs="仿宋_GB2312"/>
          <w:bCs/>
          <w:color w:val="auto"/>
          <w:kern w:val="2"/>
          <w:sz w:val="28"/>
          <w:szCs w:val="28"/>
          <w:highlight w:val="none"/>
          <w:lang w:val="en-US" w:eastAsia="zh-CN" w:bidi="ar-SA"/>
        </w:rPr>
        <w:t>二〇二</w:t>
      </w:r>
      <w:r>
        <w:rPr>
          <w:rFonts w:hint="eastAsia" w:ascii="仿宋_GB2312" w:hAnsi="仿宋_GB2312" w:cs="仿宋_GB2312"/>
          <w:bCs/>
          <w:color w:val="auto"/>
          <w:kern w:val="2"/>
          <w:sz w:val="28"/>
          <w:szCs w:val="28"/>
          <w:highlight w:val="none"/>
          <w:lang w:val="en-US" w:eastAsia="zh-CN" w:bidi="ar-SA"/>
        </w:rPr>
        <w:t>六</w:t>
      </w:r>
      <w:r>
        <w:rPr>
          <w:rFonts w:hint="eastAsia" w:ascii="仿宋_GB2312" w:hAnsi="仿宋_GB2312" w:eastAsia="仿宋_GB2312" w:cs="仿宋_GB2312"/>
          <w:bCs/>
          <w:color w:val="auto"/>
          <w:kern w:val="2"/>
          <w:sz w:val="28"/>
          <w:szCs w:val="28"/>
          <w:highlight w:val="none"/>
          <w:lang w:val="en-US" w:eastAsia="zh-CN" w:bidi="ar-SA"/>
        </w:rPr>
        <w:t>年</w:t>
      </w:r>
      <w:r>
        <w:rPr>
          <w:rFonts w:hint="eastAsia" w:ascii="仿宋_GB2312" w:hAnsi="仿宋_GB2312" w:cs="仿宋_GB2312"/>
          <w:bCs/>
          <w:color w:val="auto"/>
          <w:kern w:val="2"/>
          <w:sz w:val="28"/>
          <w:szCs w:val="28"/>
          <w:highlight w:val="none"/>
          <w:lang w:val="en-US" w:eastAsia="zh-CN" w:bidi="ar-SA"/>
        </w:rPr>
        <w:t>六</w:t>
      </w:r>
      <w:r>
        <w:rPr>
          <w:rFonts w:hint="eastAsia" w:ascii="仿宋_GB2312" w:hAnsi="仿宋_GB2312" w:eastAsia="仿宋_GB2312" w:cs="仿宋_GB2312"/>
          <w:bCs/>
          <w:color w:val="auto"/>
          <w:kern w:val="2"/>
          <w:sz w:val="28"/>
          <w:szCs w:val="28"/>
          <w:highlight w:val="none"/>
          <w:lang w:val="en-US" w:eastAsia="zh-CN" w:bidi="ar-SA"/>
        </w:rPr>
        <w:t>月</w:t>
      </w:r>
      <w:r>
        <w:rPr>
          <w:rFonts w:hint="eastAsia" w:ascii="仿宋_GB2312" w:hAnsi="仿宋_GB2312" w:cs="仿宋_GB2312"/>
          <w:bCs/>
          <w:color w:val="auto"/>
          <w:kern w:val="2"/>
          <w:sz w:val="28"/>
          <w:szCs w:val="28"/>
          <w:highlight w:val="none"/>
          <w:lang w:val="en-US" w:eastAsia="zh-CN" w:bidi="ar-SA"/>
        </w:rPr>
        <w:t>五</w:t>
      </w:r>
      <w:r>
        <w:rPr>
          <w:rFonts w:hint="eastAsia" w:ascii="仿宋_GB2312" w:hAnsi="仿宋_GB2312" w:eastAsia="仿宋_GB2312" w:cs="仿宋_GB2312"/>
          <w:bCs/>
          <w:color w:val="auto"/>
          <w:kern w:val="2"/>
          <w:sz w:val="28"/>
          <w:szCs w:val="28"/>
          <w:highlight w:val="none"/>
          <w:lang w:val="en-US" w:eastAsia="zh-CN" w:bidi="ar-SA"/>
        </w:rPr>
        <w:t>日</w:t>
      </w:r>
    </w:p>
    <w:p w14:paraId="1C5C89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p>
    <w:p w14:paraId="50F0D111">
      <w:pPr>
        <w:pStyle w:val="18"/>
        <w:rPr>
          <w:rFonts w:hint="eastAsia" w:ascii="仿宋_GB2312" w:hAnsi="仿宋_GB2312" w:eastAsia="仿宋_GB2312" w:cs="仿宋_GB2312"/>
          <w:b w:val="0"/>
          <w:bCs w:val="0"/>
          <w:color w:val="auto"/>
          <w:sz w:val="28"/>
          <w:szCs w:val="28"/>
          <w:highlight w:val="none"/>
          <w:lang w:val="en-GB" w:eastAsia="zh-CN"/>
        </w:rPr>
      </w:pPr>
    </w:p>
    <w:p w14:paraId="20B646EF">
      <w:pPr>
        <w:keepNext w:val="0"/>
        <w:keepLines w:val="0"/>
        <w:pageBreakBefore w:val="0"/>
        <w:widowControl w:val="0"/>
        <w:kinsoku/>
        <w:wordWrap/>
        <w:overflowPunct/>
        <w:topLinePunct w:val="0"/>
        <w:autoSpaceDE/>
        <w:autoSpaceDN/>
        <w:bidi w:val="0"/>
        <w:adjustRightInd w:val="0"/>
        <w:snapToGrid w:val="0"/>
        <w:spacing w:line="480" w:lineRule="exact"/>
        <w:jc w:val="both"/>
        <w:textAlignment w:val="auto"/>
        <w:rPr>
          <w:rFonts w:hint="eastAsia" w:ascii="仿宋_GB2312" w:hAnsi="仿宋_GB2312" w:eastAsia="仿宋_GB2312" w:cs="仿宋_GB2312"/>
          <w:b w:val="0"/>
          <w:bCs w:val="0"/>
          <w:color w:val="auto"/>
          <w:sz w:val="21"/>
          <w:szCs w:val="21"/>
          <w:highlight w:val="none"/>
          <w:lang w:val="en-US" w:eastAsia="zh-CN"/>
        </w:rPr>
      </w:pPr>
    </w:p>
    <w:p w14:paraId="1A1A35EF">
      <w:pPr>
        <w:rPr>
          <w:rFonts w:hint="eastAsia" w:ascii="仿宋_GB2312" w:hAnsi="仿宋_GB2312" w:eastAsia="仿宋_GB2312" w:cs="仿宋_GB2312"/>
          <w:b w:val="0"/>
          <w:bCs w:val="0"/>
          <w:color w:val="auto"/>
          <w:sz w:val="21"/>
          <w:szCs w:val="21"/>
          <w:highlight w:val="none"/>
          <w:lang w:val="en-US" w:eastAsia="zh-CN"/>
        </w:rPr>
        <w:sectPr>
          <w:footerReference r:id="rId9" w:type="first"/>
          <w:footerReference r:id="rId8" w:type="default"/>
          <w:pgSz w:w="11906" w:h="16838"/>
          <w:pgMar w:top="1440" w:right="1800" w:bottom="1440" w:left="1800" w:header="851" w:footer="992" w:gutter="0"/>
          <w:pgNumType w:fmt="decimal"/>
          <w:cols w:space="0" w:num="1"/>
          <w:titlePg/>
          <w:rtlGutter w:val="0"/>
          <w:docGrid w:type="lines" w:linePitch="312" w:charSpace="0"/>
        </w:sectPr>
      </w:pPr>
    </w:p>
    <w:p w14:paraId="0CF0DCC1">
      <w:pPr>
        <w:spacing w:line="520" w:lineRule="exact"/>
        <w:ind w:left="538" w:hanging="537" w:hangingChars="192"/>
        <w:jc w:val="center"/>
        <w:outlineLvl w:val="2"/>
        <w:rPr>
          <w:rFonts w:hint="default" w:ascii="仿宋_GB2312" w:eastAsia="仿宋_GB2312"/>
          <w:b w:val="0"/>
          <w:bCs w:val="0"/>
          <w:sz w:val="28"/>
          <w:highlight w:val="none"/>
          <w:lang w:val="en-US" w:eastAsia="zh-CN"/>
        </w:rPr>
      </w:pPr>
      <w:r>
        <w:rPr>
          <w:rFonts w:hint="eastAsia" w:ascii="仿宋_GB2312" w:eastAsia="仿宋_GB2312"/>
          <w:b w:val="0"/>
          <w:bCs w:val="0"/>
          <w:sz w:val="28"/>
          <w:highlight w:val="none"/>
        </w:rPr>
        <w:t xml:space="preserve">   </w:t>
      </w:r>
      <w:bookmarkStart w:id="10" w:name="_Toc5168"/>
      <w:r>
        <w:rPr>
          <w:rFonts w:hint="eastAsia" w:ascii="仿宋_GB2312" w:eastAsia="仿宋_GB2312"/>
          <w:b/>
          <w:bCs/>
          <w:sz w:val="28"/>
          <w:highlight w:val="none"/>
        </w:rPr>
        <w:t>土地估价结果一览表</w:t>
      </w:r>
      <w:bookmarkEnd w:id="10"/>
      <w:r>
        <w:rPr>
          <w:rFonts w:hint="eastAsia" w:ascii="仿宋_GB2312" w:eastAsia="仿宋_GB2312"/>
          <w:b w:val="0"/>
          <w:bCs w:val="0"/>
          <w:sz w:val="28"/>
          <w:highlight w:val="none"/>
          <w:lang w:val="en-US" w:eastAsia="zh-CN"/>
        </w:rPr>
        <w:t xml:space="preserve">  </w:t>
      </w:r>
    </w:p>
    <w:p w14:paraId="170F58C6">
      <w:pPr>
        <w:spacing w:line="240" w:lineRule="exact"/>
        <w:ind w:left="-2478" w:leftChars="-1180" w:right="-227" w:firstLine="2625" w:firstLineChars="1250"/>
        <w:rPr>
          <w:rFonts w:hint="eastAsia" w:ascii="仿宋_GB2312" w:hAnsi="仿宋_GB2312" w:eastAsia="仿宋_GB2312" w:cs="仿宋_GB2312"/>
          <w:b w:val="0"/>
          <w:bCs w:val="0"/>
          <w:szCs w:val="21"/>
          <w:highlight w:val="none"/>
          <w:lang w:eastAsia="zh-CN"/>
        </w:rPr>
      </w:pPr>
      <w:r>
        <w:rPr>
          <w:rFonts w:hint="eastAsia" w:ascii="仿宋_GB2312" w:hAnsi="仿宋_GB2312" w:eastAsia="仿宋_GB2312" w:cs="仿宋_GB2312"/>
          <w:b w:val="0"/>
          <w:bCs w:val="0"/>
          <w:szCs w:val="21"/>
          <w:highlight w:val="none"/>
        </w:rPr>
        <w:t xml:space="preserve">估价机构：湖南兆财不动产规划评估有限公司                                                         </w:t>
      </w:r>
      <w:r>
        <w:rPr>
          <w:rFonts w:hint="eastAsia" w:ascii="仿宋_GB2312" w:hAnsi="仿宋_GB2312" w:eastAsia="仿宋_GB2312" w:cs="仿宋_GB2312"/>
          <w:b w:val="0"/>
          <w:bCs w:val="0"/>
          <w:szCs w:val="21"/>
          <w:highlight w:val="none"/>
          <w:lang w:val="en-US" w:eastAsia="zh-CN"/>
        </w:rPr>
        <w:t xml:space="preserve">     </w:t>
      </w:r>
      <w:r>
        <w:rPr>
          <w:rFonts w:hint="eastAsia" w:ascii="仿宋_GB2312" w:hAnsi="仿宋_GB2312" w:eastAsia="仿宋_GB2312" w:cs="仿宋_GB2312"/>
          <w:b w:val="0"/>
          <w:bCs w:val="0"/>
          <w:szCs w:val="21"/>
          <w:highlight w:val="none"/>
        </w:rPr>
        <w:t xml:space="preserve"> 估价期日：</w:t>
      </w:r>
      <w:r>
        <w:rPr>
          <w:rFonts w:hint="eastAsia" w:ascii="仿宋_GB2312" w:hAnsi="仿宋_GB2312" w:eastAsia="仿宋_GB2312" w:cs="仿宋_GB2312"/>
          <w:b w:val="0"/>
          <w:bCs w:val="0"/>
          <w:szCs w:val="21"/>
          <w:highlight w:val="none"/>
          <w:lang w:eastAsia="zh-CN"/>
        </w:rPr>
        <w:t>2026年</w:t>
      </w:r>
      <w:r>
        <w:rPr>
          <w:rFonts w:hint="eastAsia" w:ascii="仿宋_GB2312" w:hAnsi="仿宋_GB2312" w:eastAsia="仿宋_GB2312" w:cs="仿宋_GB2312"/>
          <w:b w:val="0"/>
          <w:bCs w:val="0"/>
          <w:szCs w:val="21"/>
          <w:highlight w:val="none"/>
          <w:lang w:val="en-US" w:eastAsia="zh-CN"/>
        </w:rPr>
        <w:t>06</w:t>
      </w:r>
      <w:r>
        <w:rPr>
          <w:rFonts w:hint="eastAsia" w:ascii="仿宋_GB2312" w:hAnsi="仿宋_GB2312" w:eastAsia="仿宋_GB2312" w:cs="仿宋_GB2312"/>
          <w:b w:val="0"/>
          <w:bCs w:val="0"/>
          <w:szCs w:val="21"/>
          <w:highlight w:val="none"/>
          <w:lang w:eastAsia="zh-CN"/>
        </w:rPr>
        <w:t>月</w:t>
      </w:r>
      <w:r>
        <w:rPr>
          <w:rFonts w:hint="eastAsia" w:ascii="仿宋_GB2312" w:hAnsi="仿宋_GB2312" w:eastAsia="仿宋_GB2312" w:cs="仿宋_GB2312"/>
          <w:b w:val="0"/>
          <w:bCs w:val="0"/>
          <w:szCs w:val="21"/>
          <w:highlight w:val="none"/>
          <w:lang w:val="en-US" w:eastAsia="zh-CN"/>
        </w:rPr>
        <w:t>01</w:t>
      </w:r>
      <w:r>
        <w:rPr>
          <w:rFonts w:hint="eastAsia" w:ascii="仿宋_GB2312" w:hAnsi="仿宋_GB2312" w:eastAsia="仿宋_GB2312" w:cs="仿宋_GB2312"/>
          <w:b w:val="0"/>
          <w:bCs w:val="0"/>
          <w:szCs w:val="21"/>
          <w:highlight w:val="none"/>
          <w:lang w:eastAsia="zh-CN"/>
        </w:rPr>
        <w:t>日</w:t>
      </w:r>
    </w:p>
    <w:p w14:paraId="44C42AC6">
      <w:pPr>
        <w:spacing w:line="240" w:lineRule="exact"/>
        <w:ind w:right="-227" w:firstLine="105" w:firstLineChars="50"/>
        <w:rPr>
          <w:rFonts w:hint="default" w:ascii="仿宋_GB2312" w:hAnsi="仿宋_GB2312" w:eastAsia="仿宋_GB2312" w:cs="仿宋_GB2312"/>
          <w:b w:val="0"/>
          <w:bCs w:val="0"/>
          <w:szCs w:val="21"/>
          <w:highlight w:val="none"/>
          <w:lang w:val="en-US" w:eastAsia="zh-CN"/>
        </w:rPr>
      </w:pPr>
      <w:r>
        <w:rPr>
          <w:rFonts w:hint="eastAsia" w:ascii="仿宋_GB2312" w:hAnsi="仿宋_GB2312" w:eastAsia="仿宋_GB2312" w:cs="仿宋_GB2312"/>
          <w:b w:val="0"/>
          <w:bCs w:val="0"/>
          <w:szCs w:val="21"/>
          <w:highlight w:val="none"/>
        </w:rPr>
        <w:t>估价报告编号：</w:t>
      </w:r>
      <w:r>
        <w:rPr>
          <w:rFonts w:hint="eastAsia" w:ascii="仿宋_GB2312" w:eastAsia="仿宋_GB2312"/>
          <w:b w:val="0"/>
          <w:bCs w:val="0"/>
          <w:spacing w:val="-6"/>
          <w:highlight w:val="none"/>
          <w:lang w:eastAsia="zh-CN"/>
        </w:rPr>
        <w:t>（湖南）湘兆财土地[202</w:t>
      </w:r>
      <w:r>
        <w:rPr>
          <w:rFonts w:hint="eastAsia" w:ascii="仿宋_GB2312" w:eastAsia="仿宋_GB2312"/>
          <w:b w:val="0"/>
          <w:bCs w:val="0"/>
          <w:spacing w:val="-6"/>
          <w:highlight w:val="none"/>
          <w:lang w:val="en-US" w:eastAsia="zh-CN"/>
        </w:rPr>
        <w:t>6</w:t>
      </w:r>
      <w:r>
        <w:rPr>
          <w:rFonts w:hint="eastAsia" w:ascii="仿宋_GB2312" w:eastAsia="仿宋_GB2312"/>
          <w:b w:val="0"/>
          <w:bCs w:val="0"/>
          <w:spacing w:val="-6"/>
          <w:highlight w:val="none"/>
          <w:lang w:eastAsia="zh-CN"/>
        </w:rPr>
        <w:t>]（</w:t>
      </w:r>
      <w:r>
        <w:rPr>
          <w:rFonts w:hint="eastAsia" w:ascii="仿宋_GB2312" w:eastAsia="仿宋_GB2312"/>
          <w:b w:val="0"/>
          <w:bCs w:val="0"/>
          <w:spacing w:val="-6"/>
          <w:highlight w:val="none"/>
          <w:lang w:val="en-US" w:eastAsia="zh-CN"/>
        </w:rPr>
        <w:t>估</w:t>
      </w:r>
      <w:r>
        <w:rPr>
          <w:rFonts w:hint="eastAsia" w:ascii="仿宋_GB2312" w:eastAsia="仿宋_GB2312"/>
          <w:b w:val="0"/>
          <w:bCs w:val="0"/>
          <w:spacing w:val="-6"/>
          <w:highlight w:val="none"/>
          <w:lang w:eastAsia="zh-CN"/>
        </w:rPr>
        <w:t>）字第ZC0025号</w:t>
      </w:r>
      <w:r>
        <w:rPr>
          <w:rFonts w:hint="eastAsia" w:ascii="仿宋_GB2312" w:eastAsia="仿宋_GB2312"/>
          <w:b w:val="0"/>
          <w:bCs w:val="0"/>
          <w:szCs w:val="21"/>
          <w:highlight w:val="none"/>
        </w:rPr>
        <w:t xml:space="preserve"> </w:t>
      </w:r>
      <w:r>
        <w:rPr>
          <w:rFonts w:hint="eastAsia" w:ascii="仿宋_GB2312" w:hAnsi="仿宋_GB2312" w:eastAsia="仿宋_GB2312" w:cs="仿宋_GB2312"/>
          <w:b w:val="0"/>
          <w:bCs w:val="0"/>
          <w:szCs w:val="21"/>
          <w:highlight w:val="none"/>
        </w:rPr>
        <w:t xml:space="preserve">       </w:t>
      </w:r>
      <w:r>
        <w:rPr>
          <w:rFonts w:hint="eastAsia" w:ascii="仿宋_GB2312" w:hAnsi="仿宋_GB2312" w:eastAsia="仿宋_GB2312" w:cs="仿宋_GB2312"/>
          <w:b w:val="0"/>
          <w:bCs w:val="0"/>
          <w:szCs w:val="21"/>
          <w:highlight w:val="none"/>
          <w:lang w:val="en-US" w:eastAsia="zh-CN"/>
        </w:rPr>
        <w:t xml:space="preserve">        </w:t>
      </w:r>
      <w:r>
        <w:rPr>
          <w:rFonts w:hint="eastAsia" w:ascii="仿宋_GB2312" w:hAnsi="仿宋_GB2312" w:eastAsia="仿宋_GB2312" w:cs="仿宋_GB2312"/>
          <w:b w:val="0"/>
          <w:bCs w:val="0"/>
          <w:szCs w:val="21"/>
          <w:highlight w:val="none"/>
        </w:rPr>
        <w:t xml:space="preserve"> 估价目的：</w:t>
      </w:r>
      <w:r>
        <w:rPr>
          <w:rFonts w:hint="eastAsia" w:ascii="仿宋_GB2312" w:hAnsi="仿宋_GB2312" w:eastAsia="仿宋_GB2312" w:cs="仿宋_GB2312"/>
          <w:b w:val="0"/>
          <w:bCs w:val="0"/>
          <w:szCs w:val="21"/>
          <w:highlight w:val="none"/>
          <w:lang w:val="en-US" w:eastAsia="zh-CN"/>
        </w:rPr>
        <w:t xml:space="preserve">出让   </w:t>
      </w:r>
      <w:r>
        <w:rPr>
          <w:rFonts w:hint="eastAsia" w:ascii="仿宋_GB2312" w:hAnsi="仿宋_GB2312" w:eastAsia="仿宋_GB2312" w:cs="仿宋_GB2312"/>
          <w:b w:val="0"/>
          <w:bCs w:val="0"/>
          <w:szCs w:val="21"/>
          <w:highlight w:val="none"/>
        </w:rPr>
        <w:t xml:space="preserve">    </w:t>
      </w:r>
      <w:r>
        <w:rPr>
          <w:rFonts w:hint="eastAsia" w:ascii="仿宋_GB2312" w:hAnsi="仿宋_GB2312" w:eastAsia="仿宋_GB2312" w:cs="仿宋_GB2312"/>
          <w:b w:val="0"/>
          <w:bCs w:val="0"/>
          <w:szCs w:val="21"/>
          <w:highlight w:val="none"/>
          <w:lang w:val="en-US" w:eastAsia="zh-CN"/>
        </w:rPr>
        <w:t xml:space="preserve">    </w:t>
      </w:r>
      <w:r>
        <w:rPr>
          <w:rFonts w:hint="eastAsia" w:ascii="仿宋_GB2312" w:hAnsi="仿宋_GB2312" w:eastAsia="仿宋_GB2312" w:cs="仿宋_GB2312"/>
          <w:b w:val="0"/>
          <w:bCs w:val="0"/>
          <w:szCs w:val="21"/>
          <w:highlight w:val="none"/>
        </w:rPr>
        <w:t xml:space="preserve">     估价期日的土地使用权性质：</w:t>
      </w:r>
      <w:r>
        <w:rPr>
          <w:rFonts w:hint="eastAsia" w:ascii="仿宋_GB2312" w:hAnsi="仿宋_GB2312" w:eastAsia="仿宋_GB2312" w:cs="仿宋_GB2312"/>
          <w:b w:val="0"/>
          <w:bCs w:val="0"/>
          <w:szCs w:val="21"/>
          <w:highlight w:val="none"/>
          <w:lang w:val="en-US" w:eastAsia="zh-CN"/>
        </w:rPr>
        <w:t>拟出让</w:t>
      </w:r>
    </w:p>
    <w:tbl>
      <w:tblPr>
        <w:tblStyle w:val="14"/>
        <w:tblW w:w="508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0"/>
        <w:gridCol w:w="614"/>
        <w:gridCol w:w="941"/>
        <w:gridCol w:w="716"/>
        <w:gridCol w:w="737"/>
        <w:gridCol w:w="628"/>
        <w:gridCol w:w="659"/>
        <w:gridCol w:w="371"/>
        <w:gridCol w:w="584"/>
        <w:gridCol w:w="559"/>
        <w:gridCol w:w="1182"/>
        <w:gridCol w:w="1273"/>
        <w:gridCol w:w="853"/>
        <w:gridCol w:w="838"/>
        <w:gridCol w:w="883"/>
        <w:gridCol w:w="898"/>
        <w:gridCol w:w="734"/>
        <w:gridCol w:w="872"/>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371" w:type="pct"/>
            <w:vMerge w:val="restar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估价期日土地使用者</w:t>
            </w:r>
          </w:p>
        </w:tc>
        <w:tc>
          <w:tcPr>
            <w:tcW w:w="21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编号</w:t>
            </w:r>
          </w:p>
        </w:tc>
        <w:tc>
          <w:tcPr>
            <w:tcW w:w="326"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0E517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宗地</w:t>
            </w:r>
          </w:p>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名称</w:t>
            </w:r>
          </w:p>
        </w:tc>
        <w:tc>
          <w:tcPr>
            <w:tcW w:w="248"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土地使用证编号</w:t>
            </w:r>
          </w:p>
        </w:tc>
        <w:tc>
          <w:tcPr>
            <w:tcW w:w="702" w:type="pct"/>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估价期日的用途</w:t>
            </w:r>
          </w:p>
        </w:tc>
        <w:tc>
          <w:tcPr>
            <w:tcW w:w="525" w:type="pct"/>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容积率</w:t>
            </w:r>
          </w:p>
        </w:tc>
        <w:tc>
          <w:tcPr>
            <w:tcW w:w="410"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估价期日实际土地开发程度</w:t>
            </w:r>
          </w:p>
        </w:tc>
        <w:tc>
          <w:tcPr>
            <w:tcW w:w="44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估价设定土地开发程度</w:t>
            </w:r>
          </w:p>
        </w:tc>
        <w:tc>
          <w:tcPr>
            <w:tcW w:w="295"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剩余土地使用权年期（年）</w:t>
            </w:r>
          </w:p>
        </w:tc>
        <w:tc>
          <w:tcPr>
            <w:tcW w:w="290"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面积(㎡)</w:t>
            </w:r>
          </w:p>
        </w:tc>
        <w:tc>
          <w:tcPr>
            <w:tcW w:w="306"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地面地价(元/㎡)</w:t>
            </w:r>
          </w:p>
        </w:tc>
        <w:tc>
          <w:tcPr>
            <w:tcW w:w="31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楼面地价(元/㎡)</w:t>
            </w:r>
          </w:p>
        </w:tc>
        <w:tc>
          <w:tcPr>
            <w:tcW w:w="25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(万元)</w:t>
            </w:r>
          </w:p>
        </w:tc>
        <w:tc>
          <w:tcPr>
            <w:tcW w:w="30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37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21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326"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248"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2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证载（或批准）</w:t>
            </w:r>
          </w:p>
        </w:tc>
        <w:tc>
          <w:tcPr>
            <w:tcW w:w="2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实际</w:t>
            </w:r>
          </w:p>
        </w:tc>
        <w:tc>
          <w:tcPr>
            <w:tcW w:w="2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设定</w:t>
            </w:r>
          </w:p>
        </w:tc>
        <w:tc>
          <w:tcPr>
            <w:tcW w:w="1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规划</w:t>
            </w:r>
          </w:p>
        </w:tc>
        <w:tc>
          <w:tcPr>
            <w:tcW w:w="20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实际</w:t>
            </w:r>
          </w:p>
        </w:tc>
        <w:tc>
          <w:tcPr>
            <w:tcW w:w="19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设定</w:t>
            </w:r>
          </w:p>
        </w:tc>
        <w:tc>
          <w:tcPr>
            <w:tcW w:w="410"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44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295"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290"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306"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31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25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30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7" w:hRule="atLeast"/>
          <w:jc w:val="center"/>
        </w:trPr>
        <w:tc>
          <w:tcPr>
            <w:tcW w:w="37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snapToGrid w:val="0"/>
                <w:sz w:val="20"/>
                <w:szCs w:val="20"/>
              </w:rPr>
              <w:t>拟以出让方式确定土地使用权人</w:t>
            </w:r>
          </w:p>
        </w:tc>
        <w:tc>
          <w:tcPr>
            <w:tcW w:w="21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w:t>
            </w:r>
          </w:p>
        </w:tc>
        <w:tc>
          <w:tcPr>
            <w:tcW w:w="3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道县西洲街道宝珍街六栋九号宗地</w:t>
            </w:r>
          </w:p>
        </w:tc>
        <w:tc>
          <w:tcPr>
            <w:tcW w:w="2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auto"/>
                <w:sz w:val="20"/>
                <w:szCs w:val="20"/>
                <w:highlight w:val="none"/>
                <w:lang w:val="en-US" w:eastAsia="zh-CN"/>
              </w:rPr>
              <w:t>/</w:t>
            </w:r>
          </w:p>
        </w:tc>
        <w:tc>
          <w:tcPr>
            <w:tcW w:w="2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w:t>
            </w:r>
          </w:p>
        </w:tc>
        <w:tc>
          <w:tcPr>
            <w:tcW w:w="2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3E8E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住宅用地</w:t>
            </w:r>
          </w:p>
        </w:tc>
        <w:tc>
          <w:tcPr>
            <w:tcW w:w="228" w:type="pct"/>
            <w:tcBorders>
              <w:top w:val="single" w:color="000000" w:sz="4" w:space="0"/>
              <w:left w:val="single" w:color="000000" w:sz="4" w:space="0"/>
              <w:right w:val="single" w:color="000000" w:sz="4" w:space="0"/>
            </w:tcBorders>
            <w:shd w:val="clear" w:color="auto" w:fill="FFFFFF"/>
            <w:vAlign w:val="center"/>
          </w:tcPr>
          <w:p w14:paraId="0ADC96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住宅用地</w:t>
            </w:r>
          </w:p>
        </w:tc>
        <w:tc>
          <w:tcPr>
            <w:tcW w:w="1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w:t>
            </w:r>
          </w:p>
        </w:tc>
        <w:tc>
          <w:tcPr>
            <w:tcW w:w="20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4.11</w:t>
            </w:r>
          </w:p>
        </w:tc>
        <w:tc>
          <w:tcPr>
            <w:tcW w:w="19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4.11</w:t>
            </w:r>
          </w:p>
        </w:tc>
        <w:tc>
          <w:tcPr>
            <w:tcW w:w="4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20"/>
                <w:sz w:val="20"/>
                <w:szCs w:val="20"/>
                <w:highlight w:val="none"/>
                <w:lang w:val="en-US" w:eastAsia="zh-CN"/>
              </w:rPr>
            </w:pPr>
            <w:r>
              <w:rPr>
                <w:rFonts w:hint="default" w:ascii="仿宋_GB2312" w:hAnsi="仿宋_GB2312" w:eastAsia="仿宋_GB2312" w:cs="仿宋_GB2312"/>
                <w:b w:val="0"/>
                <w:bCs w:val="0"/>
                <w:color w:val="000000"/>
                <w:spacing w:val="-20"/>
                <w:sz w:val="20"/>
                <w:szCs w:val="20"/>
                <w:highlight w:val="none"/>
                <w:lang w:val="en-US" w:eastAsia="zh-CN"/>
              </w:rPr>
              <w:t>宗地红线外“五通”，红线内场地平整</w:t>
            </w:r>
          </w:p>
        </w:tc>
        <w:tc>
          <w:tcPr>
            <w:tcW w:w="4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20"/>
                <w:sz w:val="20"/>
                <w:szCs w:val="20"/>
                <w:highlight w:val="none"/>
                <w:lang w:val="en-US" w:eastAsia="zh-CN"/>
              </w:rPr>
            </w:pPr>
            <w:r>
              <w:rPr>
                <w:rFonts w:hint="default" w:ascii="仿宋_GB2312" w:hAnsi="仿宋_GB2312" w:eastAsia="仿宋_GB2312" w:cs="仿宋_GB2312"/>
                <w:b w:val="0"/>
                <w:bCs w:val="0"/>
                <w:color w:val="000000"/>
                <w:spacing w:val="-20"/>
                <w:sz w:val="20"/>
                <w:szCs w:val="20"/>
                <w:highlight w:val="none"/>
                <w:lang w:val="en-US" w:eastAsia="zh-CN"/>
              </w:rPr>
              <w:t>宗地红线外“五通”，红线内场地平整</w:t>
            </w:r>
          </w:p>
        </w:tc>
        <w:tc>
          <w:tcPr>
            <w:tcW w:w="295" w:type="pct"/>
            <w:tcBorders>
              <w:top w:val="single" w:color="000000" w:sz="4" w:space="0"/>
              <w:left w:val="single" w:color="000000" w:sz="4" w:space="0"/>
              <w:right w:val="single" w:color="000000" w:sz="4" w:space="0"/>
            </w:tcBorders>
            <w:shd w:val="clear" w:color="auto" w:fill="FFFFFF"/>
            <w:vAlign w:val="center"/>
          </w:tcPr>
          <w:p w14:paraId="546F27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70</w:t>
            </w:r>
          </w:p>
        </w:tc>
        <w:tc>
          <w:tcPr>
            <w:tcW w:w="290" w:type="pct"/>
            <w:tcBorders>
              <w:top w:val="single" w:color="000000" w:sz="4" w:space="0"/>
              <w:left w:val="single" w:color="000000" w:sz="4" w:space="0"/>
              <w:right w:val="single" w:color="000000" w:sz="4" w:space="0"/>
            </w:tcBorders>
            <w:shd w:val="clear" w:color="auto" w:fill="FFFFFF"/>
            <w:vAlign w:val="center"/>
          </w:tcPr>
          <w:p w14:paraId="352E6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50</w:t>
            </w:r>
          </w:p>
        </w:tc>
        <w:tc>
          <w:tcPr>
            <w:tcW w:w="306" w:type="pct"/>
            <w:tcBorders>
              <w:top w:val="single" w:color="000000" w:sz="4" w:space="0"/>
              <w:left w:val="single" w:color="000000" w:sz="4" w:space="0"/>
              <w:right w:val="single" w:color="000000" w:sz="4" w:space="0"/>
            </w:tcBorders>
            <w:shd w:val="clear" w:color="auto" w:fill="FFFFFF"/>
            <w:vAlign w:val="center"/>
          </w:tcPr>
          <w:p w14:paraId="759D08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2800</w:t>
            </w:r>
          </w:p>
        </w:tc>
        <w:tc>
          <w:tcPr>
            <w:tcW w:w="311" w:type="pct"/>
            <w:tcBorders>
              <w:top w:val="single" w:color="000000" w:sz="4" w:space="0"/>
              <w:left w:val="single" w:color="000000" w:sz="4" w:space="0"/>
              <w:right w:val="single" w:color="000000" w:sz="4" w:space="0"/>
            </w:tcBorders>
            <w:shd w:val="clear" w:color="auto" w:fill="FFFFFF"/>
            <w:vAlign w:val="cente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681.27</w:t>
            </w:r>
          </w:p>
        </w:tc>
        <w:tc>
          <w:tcPr>
            <w:tcW w:w="25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14.0</w:t>
            </w:r>
          </w:p>
        </w:tc>
        <w:tc>
          <w:tcPr>
            <w:tcW w:w="30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20"/>
                <w:sz w:val="20"/>
                <w:szCs w:val="20"/>
                <w:highlight w:val="none"/>
                <w:lang w:val="en-US" w:eastAsia="zh-CN"/>
              </w:rPr>
            </w:pPr>
            <w:r>
              <w:rPr>
                <w:rFonts w:hint="default" w:ascii="仿宋_GB2312" w:hAnsi="仿宋_GB2312" w:eastAsia="仿宋_GB2312" w:cs="仿宋_GB2312"/>
                <w:b w:val="0"/>
                <w:bCs w:val="0"/>
                <w:color w:val="000000"/>
                <w:spacing w:val="-20"/>
                <w:sz w:val="20"/>
                <w:szCs w:val="20"/>
                <w:highlight w:val="none"/>
                <w:lang w:val="en-US" w:eastAsia="zh-CN"/>
              </w:rPr>
              <w:t>折合</w:t>
            </w:r>
            <w:r>
              <w:rPr>
                <w:rFonts w:hint="eastAsia" w:ascii="仿宋_GB2312" w:hAnsi="仿宋_GB2312" w:eastAsia="仿宋_GB2312" w:cs="仿宋_GB2312"/>
                <w:b w:val="0"/>
                <w:bCs w:val="0"/>
                <w:color w:val="000000"/>
                <w:spacing w:val="-20"/>
                <w:sz w:val="20"/>
                <w:szCs w:val="20"/>
                <w:highlight w:val="none"/>
                <w:lang w:val="en-US" w:eastAsia="zh-CN"/>
              </w:rPr>
              <w:t>186.67</w:t>
            </w:r>
            <w:r>
              <w:rPr>
                <w:rFonts w:hint="default" w:ascii="仿宋_GB2312" w:hAnsi="仿宋_GB2312" w:eastAsia="仿宋_GB2312" w:cs="仿宋_GB2312"/>
                <w:b w:val="0"/>
                <w:bCs w:val="0"/>
                <w:color w:val="000000"/>
                <w:spacing w:val="-20"/>
                <w:sz w:val="20"/>
                <w:szCs w:val="20"/>
                <w:highlight w:val="none"/>
                <w:lang w:val="en-US" w:eastAsia="zh-CN"/>
              </w:rPr>
              <w:t>万元/亩</w:t>
            </w:r>
          </w:p>
        </w:tc>
      </w:tr>
    </w:tbl>
    <w:p w14:paraId="7891DF7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default" w:ascii="仿宋_GB2312" w:hAnsi="仿宋_GB2312" w:eastAsia="仿宋_GB2312" w:cs="仿宋_GB2312"/>
          <w:b w:val="0"/>
          <w:bCs w:val="0"/>
          <w:szCs w:val="21"/>
          <w:highlight w:val="none"/>
          <w:lang w:val="en-US" w:eastAsia="zh-CN"/>
        </w:rPr>
      </w:pPr>
      <w:r>
        <w:rPr>
          <w:rFonts w:hint="eastAsia" w:ascii="仿宋_GB2312" w:hAnsi="仿宋_GB2312" w:eastAsia="仿宋_GB2312" w:cs="仿宋_GB2312"/>
          <w:b w:val="0"/>
          <w:bCs w:val="0"/>
          <w:szCs w:val="21"/>
          <w:highlight w:val="none"/>
        </w:rPr>
        <w:t>注：上表中“</w:t>
      </w:r>
      <w:r>
        <w:rPr>
          <w:rFonts w:hint="eastAsia" w:ascii="仿宋_GB2312" w:hAnsi="仿宋_GB2312" w:eastAsia="仿宋_GB2312" w:cs="仿宋_GB2312"/>
          <w:b w:val="0"/>
          <w:bCs w:val="0"/>
          <w:szCs w:val="21"/>
          <w:highlight w:val="none"/>
          <w:lang w:val="en-US" w:eastAsia="zh-CN"/>
        </w:rPr>
        <w:t>五</w:t>
      </w:r>
      <w:r>
        <w:rPr>
          <w:rFonts w:hint="eastAsia" w:ascii="仿宋_GB2312" w:hAnsi="仿宋_GB2312" w:eastAsia="仿宋_GB2312" w:cs="仿宋_GB2312"/>
          <w:b w:val="0"/>
          <w:bCs w:val="0"/>
          <w:szCs w:val="21"/>
          <w:highlight w:val="none"/>
        </w:rPr>
        <w:t>通”指宗地红外围通路、通电</w:t>
      </w:r>
      <w:r>
        <w:rPr>
          <w:rFonts w:hint="eastAsia" w:ascii="仿宋_GB2312" w:hAnsi="仿宋_GB2312" w:eastAsia="仿宋_GB2312" w:cs="仿宋_GB2312"/>
          <w:b w:val="0"/>
          <w:bCs w:val="0"/>
          <w:szCs w:val="21"/>
          <w:highlight w:val="none"/>
          <w:lang w:eastAsia="zh-CN"/>
        </w:rPr>
        <w:t>、</w:t>
      </w:r>
      <w:r>
        <w:rPr>
          <w:rFonts w:hint="eastAsia" w:ascii="仿宋_GB2312" w:hAnsi="仿宋_GB2312" w:eastAsia="仿宋_GB2312" w:cs="仿宋_GB2312"/>
          <w:b w:val="0"/>
          <w:bCs w:val="0"/>
          <w:szCs w:val="21"/>
          <w:highlight w:val="none"/>
          <w:lang w:val="en-US" w:eastAsia="zh-CN"/>
        </w:rPr>
        <w:t>通讯、供水、排水。</w:t>
      </w:r>
    </w:p>
    <w:p w14:paraId="7785B2A9">
      <w:pPr>
        <w:keepNext w:val="0"/>
        <w:keepLines w:val="0"/>
        <w:pageBreakBefore w:val="0"/>
        <w:widowControl w:val="0"/>
        <w:tabs>
          <w:tab w:val="left" w:pos="560"/>
        </w:tabs>
        <w:kinsoku/>
        <w:wordWrap/>
        <w:overflowPunct/>
        <w:topLinePunct w:val="0"/>
        <w:autoSpaceDE/>
        <w:autoSpaceDN/>
        <w:bidi w:val="0"/>
        <w:adjustRightInd/>
        <w:snapToGrid/>
        <w:spacing w:line="260" w:lineRule="exact"/>
        <w:ind w:firstLine="420" w:firstLineChars="200"/>
        <w:textAlignment w:val="auto"/>
        <w:outlineLvl w:val="9"/>
        <w:rPr>
          <w:rFonts w:hint="eastAsia" w:ascii="仿宋_GB2312" w:hAnsi="仿宋_GB2312" w:eastAsia="仿宋_GB2312" w:cs="仿宋_GB2312"/>
          <w:b w:val="0"/>
          <w:bCs w:val="0"/>
          <w:szCs w:val="21"/>
          <w:highlight w:val="none"/>
        </w:rPr>
      </w:pPr>
      <w:r>
        <w:rPr>
          <w:rFonts w:hint="eastAsia" w:ascii="仿宋_GB2312" w:hAnsi="仿宋_GB2312" w:eastAsia="仿宋_GB2312" w:cs="仿宋_GB2312"/>
          <w:b w:val="0"/>
          <w:bCs w:val="0"/>
          <w:szCs w:val="21"/>
          <w:highlight w:val="none"/>
        </w:rPr>
        <w:t>一、上述土地估价结果的限定条</w:t>
      </w:r>
      <w:r>
        <w:rPr>
          <w:rFonts w:hint="eastAsia" w:ascii="仿宋_GB2312" w:hAnsi="仿宋_GB2312" w:eastAsia="仿宋_GB2312" w:cs="仿宋_GB2312"/>
          <w:b w:val="0"/>
          <w:bCs w:val="0"/>
          <w:color w:val="auto"/>
          <w:szCs w:val="21"/>
          <w:highlight w:val="none"/>
        </w:rPr>
        <w:t>件</w:t>
      </w:r>
      <w:r>
        <w:rPr>
          <w:rFonts w:hint="eastAsia" w:ascii="仿宋_GB2312" w:hAnsi="仿宋_GB2312" w:eastAsia="仿宋_GB2312" w:cs="仿宋_GB2312"/>
          <w:b w:val="0"/>
          <w:bCs w:val="0"/>
          <w:color w:val="auto"/>
          <w:szCs w:val="21"/>
          <w:highlight w:val="none"/>
          <w:lang w:eastAsia="zh-CN"/>
        </w:rPr>
        <w:t>：</w:t>
      </w:r>
      <w:r>
        <w:rPr>
          <w:rFonts w:hint="eastAsia" w:ascii="仿宋_GB2312" w:hAnsi="仿宋_GB2312" w:eastAsia="仿宋_GB2312" w:cs="仿宋_GB2312"/>
          <w:b w:val="0"/>
          <w:bCs w:val="0"/>
          <w:color w:val="auto"/>
          <w:szCs w:val="21"/>
          <w:highlight w:val="none"/>
        </w:rPr>
        <w:t>1.根据</w:t>
      </w:r>
      <w:r>
        <w:rPr>
          <w:rFonts w:hint="eastAsia" w:ascii="仿宋_GB2312" w:hAnsi="仿宋_GB2312" w:eastAsia="仿宋_GB2312" w:cs="仿宋_GB2312"/>
          <w:b w:val="0"/>
          <w:bCs w:val="0"/>
          <w:color w:val="auto"/>
          <w:szCs w:val="21"/>
          <w:highlight w:val="none"/>
          <w:lang w:eastAsia="zh-CN"/>
        </w:rPr>
        <w:t>《</w:t>
      </w:r>
      <w:r>
        <w:rPr>
          <w:rFonts w:hint="eastAsia" w:ascii="仿宋_GB2312" w:hAnsi="仿宋_GB2312" w:eastAsia="仿宋_GB2312" w:cs="仿宋_GB2312"/>
          <w:b w:val="0"/>
          <w:bCs w:val="0"/>
          <w:color w:val="auto"/>
          <w:szCs w:val="21"/>
          <w:highlight w:val="none"/>
          <w:lang w:val="en-US" w:eastAsia="zh-CN"/>
        </w:rPr>
        <w:t>评估委托书</w:t>
      </w:r>
      <w:r>
        <w:rPr>
          <w:rFonts w:hint="eastAsia" w:ascii="仿宋_GB2312" w:hAnsi="仿宋_GB2312" w:eastAsia="仿宋_GB2312" w:cs="仿宋_GB2312"/>
          <w:b w:val="0"/>
          <w:bCs w:val="0"/>
          <w:color w:val="auto"/>
          <w:szCs w:val="21"/>
          <w:highlight w:val="none"/>
          <w:lang w:eastAsia="zh-CN"/>
        </w:rPr>
        <w:t>》</w:t>
      </w:r>
      <w:r>
        <w:rPr>
          <w:rFonts w:hint="eastAsia" w:ascii="仿宋_GB2312" w:hAnsi="仿宋_GB2312" w:eastAsia="仿宋_GB2312" w:cs="仿宋_GB2312"/>
          <w:b w:val="0"/>
          <w:bCs w:val="0"/>
          <w:color w:val="auto"/>
          <w:szCs w:val="21"/>
          <w:highlight w:val="none"/>
        </w:rPr>
        <w:t>，估价对象位于</w:t>
      </w:r>
      <w:r>
        <w:rPr>
          <w:rFonts w:hint="eastAsia" w:ascii="仿宋_GB2312" w:hAnsi="仿宋_GB2312" w:eastAsia="仿宋_GB2312" w:cs="仿宋_GB2312"/>
          <w:b w:val="0"/>
          <w:bCs w:val="0"/>
          <w:color w:val="auto"/>
          <w:szCs w:val="21"/>
          <w:highlight w:val="none"/>
          <w:lang w:val="en-US" w:eastAsia="zh-CN"/>
        </w:rPr>
        <w:t>道县西洲街道宝珍街六栋九号</w:t>
      </w:r>
      <w:r>
        <w:rPr>
          <w:rFonts w:hint="eastAsia" w:ascii="仿宋_GB2312" w:hAnsi="仿宋_GB2312" w:eastAsia="仿宋_GB2312" w:cs="仿宋_GB2312"/>
          <w:b w:val="0"/>
          <w:bCs w:val="0"/>
          <w:color w:val="auto"/>
          <w:szCs w:val="21"/>
          <w:highlight w:val="none"/>
          <w:lang w:eastAsia="zh-CN"/>
        </w:rPr>
        <w:t>，</w:t>
      </w:r>
      <w:r>
        <w:rPr>
          <w:rFonts w:hint="eastAsia" w:ascii="仿宋_GB2312" w:hAnsi="仿宋_GB2312" w:eastAsia="仿宋_GB2312" w:cs="仿宋_GB2312"/>
          <w:b w:val="0"/>
          <w:bCs w:val="0"/>
          <w:color w:val="auto"/>
          <w:szCs w:val="21"/>
          <w:highlight w:val="none"/>
        </w:rPr>
        <w:t>估价对象土地所有权为国有，土地使用权性质为</w:t>
      </w:r>
      <w:r>
        <w:rPr>
          <w:rFonts w:hint="eastAsia" w:ascii="仿宋_GB2312" w:hAnsi="仿宋_GB2312" w:eastAsia="仿宋_GB2312" w:cs="仿宋_GB2312"/>
          <w:b w:val="0"/>
          <w:bCs w:val="0"/>
          <w:color w:val="auto"/>
          <w:szCs w:val="21"/>
          <w:highlight w:val="none"/>
          <w:lang w:val="en-US" w:eastAsia="zh-CN"/>
        </w:rPr>
        <w:t>拟出让</w:t>
      </w:r>
      <w:r>
        <w:rPr>
          <w:rFonts w:hint="eastAsia" w:ascii="仿宋_GB2312" w:hAnsi="仿宋_GB2312" w:eastAsia="仿宋_GB2312" w:cs="仿宋_GB2312"/>
          <w:b w:val="0"/>
          <w:bCs w:val="0"/>
          <w:color w:val="auto"/>
          <w:szCs w:val="21"/>
          <w:highlight w:val="none"/>
        </w:rPr>
        <w:t>，土地使用者</w:t>
      </w:r>
      <w:r>
        <w:rPr>
          <w:rFonts w:hint="eastAsia" w:ascii="仿宋_GB2312" w:eastAsia="仿宋_GB2312"/>
          <w:szCs w:val="21"/>
        </w:rPr>
        <w:t>拟通过出让确定</w:t>
      </w:r>
      <w:r>
        <w:rPr>
          <w:rFonts w:hint="eastAsia" w:ascii="仿宋_GB2312" w:hAnsi="仿宋_GB2312" w:eastAsia="仿宋_GB2312" w:cs="仿宋_GB2312"/>
          <w:b w:val="0"/>
          <w:bCs w:val="0"/>
          <w:color w:val="auto"/>
          <w:szCs w:val="21"/>
          <w:highlight w:val="none"/>
        </w:rPr>
        <w:t>。根据委托方提供相关资料和估价人员调查结果</w:t>
      </w:r>
      <w:r>
        <w:rPr>
          <w:rFonts w:hint="eastAsia" w:ascii="仿宋_GB2312" w:hAnsi="仿宋_GB2312" w:eastAsia="仿宋_GB2312" w:cs="仿宋_GB2312"/>
          <w:b w:val="0"/>
          <w:bCs w:val="0"/>
          <w:szCs w:val="21"/>
          <w:highlight w:val="none"/>
        </w:rPr>
        <w:t>，截至估价期日估价对象未有抵押权、地役权、租赁权等他项权利登记，本次评估设定估价对象地上无抵押权、地役权、租赁权等他项权利登记；2.基础设施条件：估价对象土地实际开发程度为宗地红线外“</w:t>
      </w:r>
      <w:r>
        <w:rPr>
          <w:rFonts w:hint="eastAsia" w:ascii="仿宋_GB2312" w:hAnsi="仿宋_GB2312" w:eastAsia="仿宋_GB2312" w:cs="仿宋_GB2312"/>
          <w:b w:val="0"/>
          <w:bCs w:val="0"/>
          <w:szCs w:val="21"/>
          <w:highlight w:val="none"/>
          <w:lang w:val="en-US" w:eastAsia="zh-CN"/>
        </w:rPr>
        <w:t>五通</w:t>
      </w:r>
      <w:r>
        <w:rPr>
          <w:rFonts w:hint="eastAsia" w:ascii="仿宋_GB2312" w:hAnsi="仿宋_GB2312" w:eastAsia="仿宋_GB2312" w:cs="仿宋_GB2312"/>
          <w:b w:val="0"/>
          <w:bCs w:val="0"/>
          <w:szCs w:val="21"/>
          <w:highlight w:val="none"/>
        </w:rPr>
        <w:t>”（即通路、通讯</w:t>
      </w:r>
      <w:r>
        <w:rPr>
          <w:rFonts w:hint="eastAsia" w:ascii="仿宋_GB2312" w:hAnsi="仿宋_GB2312" w:eastAsia="仿宋_GB2312" w:cs="仿宋_GB2312"/>
          <w:b w:val="0"/>
          <w:bCs w:val="0"/>
          <w:szCs w:val="21"/>
          <w:highlight w:val="none"/>
          <w:lang w:eastAsia="zh-CN"/>
        </w:rPr>
        <w:t>、</w:t>
      </w:r>
      <w:r>
        <w:rPr>
          <w:rFonts w:hint="eastAsia" w:ascii="仿宋_GB2312" w:hAnsi="仿宋_GB2312" w:eastAsia="仿宋_GB2312" w:cs="仿宋_GB2312"/>
          <w:b w:val="0"/>
          <w:bCs w:val="0"/>
          <w:szCs w:val="21"/>
          <w:highlight w:val="none"/>
          <w:lang w:val="en-US" w:eastAsia="zh-CN"/>
        </w:rPr>
        <w:t>供水、排水</w:t>
      </w:r>
      <w:r>
        <w:rPr>
          <w:rFonts w:hint="eastAsia" w:ascii="仿宋_GB2312" w:hAnsi="仿宋_GB2312" w:eastAsia="仿宋_GB2312" w:cs="仿宋_GB2312"/>
          <w:b w:val="0"/>
          <w:bCs w:val="0"/>
          <w:szCs w:val="21"/>
          <w:highlight w:val="none"/>
        </w:rPr>
        <w:t>、通讯），</w:t>
      </w:r>
      <w:r>
        <w:rPr>
          <w:rFonts w:hint="eastAsia" w:ascii="仿宋_GB2312" w:hAnsi="仿宋_GB2312" w:eastAsia="仿宋_GB2312" w:cs="仿宋_GB2312"/>
          <w:b w:val="0"/>
          <w:bCs w:val="0"/>
          <w:szCs w:val="21"/>
          <w:highlight w:val="none"/>
          <w:lang w:eastAsia="zh-CN"/>
        </w:rPr>
        <w:t>红线内场地平整</w:t>
      </w:r>
      <w:r>
        <w:rPr>
          <w:rFonts w:hint="eastAsia" w:ascii="仿宋_GB2312" w:hAnsi="仿宋_GB2312" w:eastAsia="仿宋_GB2312" w:cs="仿宋_GB2312"/>
          <w:b w:val="0"/>
          <w:bCs w:val="0"/>
          <w:szCs w:val="21"/>
          <w:highlight w:val="none"/>
          <w:lang w:val="en-US" w:eastAsia="zh-CN"/>
        </w:rPr>
        <w:t>无</w:t>
      </w:r>
      <w:r>
        <w:rPr>
          <w:rFonts w:hint="eastAsia" w:ascii="仿宋_GB2312" w:hAnsi="仿宋_GB2312" w:eastAsia="仿宋_GB2312" w:cs="仿宋_GB2312"/>
          <w:b w:val="0"/>
          <w:bCs w:val="0"/>
          <w:szCs w:val="21"/>
          <w:highlight w:val="none"/>
          <w:lang w:eastAsia="zh-CN"/>
        </w:rPr>
        <w:t>建筑物</w:t>
      </w:r>
      <w:r>
        <w:rPr>
          <w:rFonts w:hint="eastAsia" w:ascii="仿宋_GB2312" w:hAnsi="仿宋_GB2312" w:eastAsia="仿宋_GB2312" w:cs="仿宋_GB2312"/>
          <w:b w:val="0"/>
          <w:bCs w:val="0"/>
          <w:szCs w:val="21"/>
          <w:highlight w:val="none"/>
        </w:rPr>
        <w:t>，详见下表。</w:t>
      </w:r>
    </w:p>
    <w:tbl>
      <w:tblPr>
        <w:tblStyle w:val="14"/>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2129"/>
        <w:gridCol w:w="2429"/>
        <w:gridCol w:w="1652"/>
        <w:gridCol w:w="2191"/>
        <w:gridCol w:w="3906"/>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655"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val="0"/>
                <w:bCs w:val="0"/>
                <w:snapToGrid w:val="0"/>
                <w:color w:val="auto"/>
                <w:sz w:val="18"/>
                <w:szCs w:val="18"/>
                <w:highlight w:val="none"/>
              </w:rPr>
            </w:pP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地面平整状况</w:t>
            </w:r>
          </w:p>
        </w:tc>
        <w:tc>
          <w:tcPr>
            <w:tcW w:w="751"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周围道路状况</w:t>
            </w:r>
          </w:p>
        </w:tc>
        <w:tc>
          <w:tcPr>
            <w:tcW w:w="8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供电状况</w:t>
            </w:r>
          </w:p>
        </w:tc>
        <w:tc>
          <w:tcPr>
            <w:tcW w:w="583"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供水状况</w:t>
            </w:r>
          </w:p>
        </w:tc>
        <w:tc>
          <w:tcPr>
            <w:tcW w:w="773"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排水状况</w:t>
            </w:r>
          </w:p>
        </w:tc>
        <w:tc>
          <w:tcPr>
            <w:tcW w:w="1378"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val="0"/>
                <w:bCs w:val="0"/>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655" w:type="pct"/>
            <w:noWrap w:val="0"/>
            <w:vAlign w:val="center"/>
          </w:tcPr>
          <w:p w14:paraId="7B088A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 w:hAnsi="仿宋" w:eastAsia="仿宋" w:cs="仿宋"/>
                <w:b w:val="0"/>
                <w:bCs w:val="0"/>
                <w:snapToGrid w:val="0"/>
                <w:color w:val="000000" w:themeColor="text1"/>
                <w:sz w:val="18"/>
                <w:szCs w:val="18"/>
                <w:highlight w:val="none"/>
                <w:lang w:val="en-US" w:eastAsia="zh-CN"/>
                <w14:textFill>
                  <w14:solidFill>
                    <w14:schemeClr w14:val="tx1"/>
                  </w14:solidFill>
                </w14:textFill>
              </w:rPr>
            </w:pPr>
            <w:r>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51" w:type="pct"/>
            <w:noWrap w:val="0"/>
            <w:vAlign w:val="center"/>
          </w:tcPr>
          <w:p w14:paraId="0B559232">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b w:val="0"/>
                <w:bCs w:val="0"/>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pacing w:val="-20"/>
                <w:szCs w:val="21"/>
                <w:highlight w:val="none"/>
                <w:lang w:val="en-US" w:eastAsia="zh-CN"/>
                <w14:textFill>
                  <w14:solidFill>
                    <w14:schemeClr w14:val="tx1"/>
                  </w14:solidFill>
                </w14:textFill>
              </w:rPr>
              <w:t>临宝珍街，沥青路面，路宽约8米，通行较顺畅</w:t>
            </w:r>
          </w:p>
        </w:tc>
        <w:tc>
          <w:tcPr>
            <w:tcW w:w="857" w:type="pct"/>
            <w:noWrap w:val="0"/>
            <w:vAlign w:val="center"/>
          </w:tcPr>
          <w:p w14:paraId="107270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t>区域内接市政双回路110KV供电管网，供电保证率高</w:t>
            </w:r>
          </w:p>
        </w:tc>
        <w:tc>
          <w:tcPr>
            <w:tcW w:w="583" w:type="pct"/>
            <w:noWrap w:val="0"/>
            <w:vAlign w:val="center"/>
          </w:tcPr>
          <w:p w14:paraId="7E44F5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3" w:type="pct"/>
            <w:noWrap w:val="0"/>
            <w:vAlign w:val="center"/>
          </w:tcPr>
          <w:p w14:paraId="118088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78" w:type="pct"/>
            <w:noWrap w:val="0"/>
            <w:vAlign w:val="center"/>
          </w:tcPr>
          <w:p w14:paraId="1F929E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1CF25D2D">
      <w:pPr>
        <w:keepNext w:val="0"/>
        <w:keepLines w:val="0"/>
        <w:pageBreakBefore w:val="0"/>
        <w:widowControl w:val="0"/>
        <w:kinsoku/>
        <w:wordWrap/>
        <w:overflowPunct/>
        <w:topLinePunct w:val="0"/>
        <w:autoSpaceDE/>
        <w:autoSpaceDN/>
        <w:bidi w:val="0"/>
        <w:adjustRightInd/>
        <w:snapToGrid/>
        <w:spacing w:line="280" w:lineRule="exact"/>
        <w:ind w:left="420" w:leftChars="200" w:firstLine="0" w:firstLineChars="0"/>
        <w:textAlignment w:val="auto"/>
        <w:outlineLvl w:val="9"/>
        <w:rPr>
          <w:rFonts w:hint="eastAsia" w:ascii="仿宋_GB2312" w:hAnsi="仿宋_GB2312" w:eastAsia="仿宋_GB2312" w:cs="仿宋_GB2312"/>
          <w:b w:val="0"/>
          <w:bCs w:val="0"/>
          <w:color w:val="000000" w:themeColor="text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3.规划限制条件：根据</w:t>
      </w:r>
      <w:r>
        <w:rPr>
          <w:rFonts w:hint="eastAsia" w:ascii="仿宋_GB2312" w:hAnsi="仿宋_GB2312" w:eastAsia="仿宋_GB2312" w:cs="仿宋_GB2312"/>
          <w:b w:val="0"/>
          <w:bCs w:val="0"/>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Cs w:val="21"/>
          <w:highlight w:val="none"/>
          <w:lang w:val="en-US" w:eastAsia="zh-CN"/>
          <w14:textFill>
            <w14:solidFill>
              <w14:schemeClr w14:val="tx1"/>
            </w14:solidFill>
          </w14:textFill>
        </w:rPr>
        <w:t>评估委托书</w:t>
      </w:r>
      <w:r>
        <w:rPr>
          <w:rFonts w:hint="eastAsia" w:ascii="仿宋_GB2312" w:hAnsi="仿宋_GB2312" w:eastAsia="仿宋_GB2312" w:cs="仿宋_GB2312"/>
          <w:b w:val="0"/>
          <w:bCs w:val="0"/>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，估价对象位于</w:t>
      </w:r>
      <w:r>
        <w:rPr>
          <w:rFonts w:hint="eastAsia" w:ascii="仿宋_GB2312" w:hAnsi="仿宋_GB2312" w:eastAsia="仿宋_GB2312" w:cs="仿宋_GB2312"/>
          <w:b w:val="0"/>
          <w:bCs w:val="0"/>
          <w:color w:val="000000" w:themeColor="text1"/>
          <w:szCs w:val="21"/>
          <w:highlight w:val="none"/>
          <w:lang w:val="en-US" w:eastAsia="zh-CN"/>
          <w14:textFill>
            <w14:solidFill>
              <w14:schemeClr w14:val="tx1"/>
            </w14:solidFill>
          </w14:textFill>
        </w:rPr>
        <w:t>道县西洲街道宝珍街六栋九号</w:t>
      </w: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w:t>
      </w:r>
      <w:r>
        <w:rPr>
          <w:rFonts w:hint="eastAsia" w:ascii="仿宋_GB2312" w:hAnsi="仿宋_GB2312" w:eastAsia="仿宋_GB2312" w:cs="仿宋_GB2312"/>
          <w:b w:val="0"/>
          <w:bCs w:val="0"/>
          <w:color w:val="000000" w:themeColor="text1"/>
          <w:szCs w:val="21"/>
          <w:highlight w:val="none"/>
          <w:lang w:val="en-US" w:eastAsia="zh-CN"/>
          <w14:textFill>
            <w14:solidFill>
              <w14:schemeClr w14:val="tx1"/>
            </w14:solidFill>
          </w14:textFill>
        </w:rPr>
        <w:t>土地用途为住宅用地，</w:t>
      </w: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用地面积</w:t>
      </w:r>
      <w:r>
        <w:rPr>
          <w:rFonts w:hint="eastAsia" w:ascii="仿宋_GB2312" w:hAnsi="仿宋_GB2312" w:eastAsia="仿宋_GB2312" w:cs="仿宋_GB2312"/>
          <w:b w:val="0"/>
          <w:bCs w:val="0"/>
          <w:color w:val="000000" w:themeColor="text1"/>
          <w:szCs w:val="21"/>
          <w:highlight w:val="none"/>
          <w:lang w:val="en-US" w:eastAsia="zh-CN"/>
          <w14:textFill>
            <w14:solidFill>
              <w14:schemeClr w14:val="tx1"/>
            </w14:solidFill>
          </w14:textFill>
        </w:rPr>
        <w:t>50平方米，容积率4.11</w:t>
      </w: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w:t>
      </w:r>
    </w:p>
    <w:p w14:paraId="72DFE86F">
      <w:pPr>
        <w:keepNext w:val="0"/>
        <w:keepLines w:val="0"/>
        <w:pageBreakBefore w:val="0"/>
        <w:widowControl w:val="0"/>
        <w:kinsoku/>
        <w:wordWrap/>
        <w:overflowPunct/>
        <w:topLinePunct w:val="0"/>
        <w:autoSpaceDE/>
        <w:autoSpaceDN/>
        <w:bidi w:val="0"/>
        <w:adjustRightInd/>
        <w:snapToGrid/>
        <w:spacing w:line="280" w:lineRule="exact"/>
        <w:ind w:left="420" w:leftChars="200" w:firstLine="0" w:firstLineChars="0"/>
        <w:textAlignment w:val="auto"/>
        <w:outlineLvl w:val="9"/>
        <w:rPr>
          <w:rFonts w:hint="eastAsia" w:ascii="仿宋_GB2312" w:hAnsi="仿宋_GB2312" w:eastAsia="仿宋_GB2312" w:cs="仿宋_GB2312"/>
          <w:b w:val="0"/>
          <w:bCs w:val="0"/>
          <w:color w:val="000000" w:themeColor="text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outlineLvl w:val="9"/>
        <w:rPr>
          <w:rFonts w:hint="eastAsia" w:ascii="仿宋_GB2312" w:hAnsi="仿宋_GB2312" w:eastAsia="仿宋_GB2312" w:cs="仿宋_GB2312"/>
          <w:b w:val="0"/>
          <w:bCs w:val="0"/>
          <w:color w:val="000000" w:themeColor="text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 xml:space="preserve">二、其他需要说明的事项 </w:t>
      </w:r>
    </w:p>
    <w:p w14:paraId="46C7DBC0">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outlineLvl w:val="9"/>
        <w:rPr>
          <w:rFonts w:hint="eastAsia" w:ascii="仿宋_GB2312" w:eastAsia="仿宋_GB2312"/>
          <w:b w:val="0"/>
          <w:bCs w:val="0"/>
          <w:color w:val="000000" w:themeColor="text1"/>
          <w:szCs w:val="21"/>
          <w:highlight w:val="none"/>
          <w14:textFill>
            <w14:solidFill>
              <w14:schemeClr w14:val="tx1"/>
            </w14:solidFill>
          </w14:textFill>
        </w:rPr>
      </w:pPr>
      <w:r>
        <w:rPr>
          <w:rFonts w:hint="eastAsia" w:ascii="仿宋_GB2312" w:eastAsia="仿宋_GB2312"/>
          <w:b w:val="0"/>
          <w:bCs w:val="0"/>
          <w:color w:val="000000" w:themeColor="text1"/>
          <w:szCs w:val="21"/>
          <w:highlight w:val="none"/>
          <w14:textFill>
            <w14:solidFill>
              <w14:schemeClr w14:val="tx1"/>
            </w14:solidFill>
          </w14:textFill>
        </w:rPr>
        <w:t>1、评估价格仅</w:t>
      </w:r>
      <w:r>
        <w:rPr>
          <w:rFonts w:hint="eastAsia" w:ascii="仿宋_GB2312" w:eastAsia="仿宋_GB2312"/>
          <w:b w:val="0"/>
          <w:bCs w:val="0"/>
          <w:color w:val="000000" w:themeColor="text1"/>
          <w:szCs w:val="21"/>
          <w:highlight w:val="none"/>
          <w:lang w:val="en-US" w:eastAsia="zh-CN"/>
          <w14:textFill>
            <w14:solidFill>
              <w14:schemeClr w14:val="tx1"/>
            </w14:solidFill>
          </w14:textFill>
        </w:rPr>
        <w:t>为</w:t>
      </w:r>
      <w:r>
        <w:rPr>
          <w:rFonts w:hint="eastAsia" w:ascii="仿宋_GB2312" w:eastAsia="仿宋_GB2312"/>
          <w:szCs w:val="21"/>
        </w:rPr>
        <w:t>土地出让方通过集体决策确定估价对象出让底价提供国有建设用地使用权市场价格参考依据</w:t>
      </w:r>
      <w:r>
        <w:rPr>
          <w:rFonts w:hint="eastAsia" w:ascii="仿宋_GB2312" w:eastAsia="仿宋_GB2312"/>
          <w:b w:val="0"/>
          <w:bCs w:val="0"/>
          <w:color w:val="000000" w:themeColor="text1"/>
          <w:szCs w:val="21"/>
          <w:highlight w:val="none"/>
          <w14:textFill>
            <w14:solidFill>
              <w14:schemeClr w14:val="tx1"/>
            </w14:solidFill>
          </w14:textFill>
        </w:rPr>
        <w:t>。</w:t>
      </w:r>
    </w:p>
    <w:p w14:paraId="1BF2489F">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outlineLvl w:val="9"/>
        <w:rPr>
          <w:rFonts w:hint="eastAsia" w:ascii="仿宋_GB2312" w:eastAsia="仿宋_GB2312"/>
          <w:b w:val="0"/>
          <w:bCs w:val="0"/>
          <w:color w:val="000000" w:themeColor="text1"/>
          <w:szCs w:val="21"/>
          <w:highlight w:val="none"/>
          <w14:textFill>
            <w14:solidFill>
              <w14:schemeClr w14:val="tx1"/>
            </w14:solidFill>
          </w14:textFill>
        </w:rPr>
      </w:pPr>
      <w:r>
        <w:rPr>
          <w:rFonts w:hint="eastAsia" w:ascii="仿宋_GB2312" w:eastAsia="仿宋_GB2312"/>
          <w:b w:val="0"/>
          <w:bCs w:val="0"/>
          <w:color w:val="000000" w:themeColor="text1"/>
          <w:szCs w:val="21"/>
          <w:highlight w:val="none"/>
          <w14:textFill>
            <w14:solidFill>
              <w14:schemeClr w14:val="tx1"/>
            </w14:solidFill>
          </w14:textFill>
        </w:rPr>
        <w:t>2、本估价报告有效期自提交估价报告日</w:t>
      </w:r>
      <w:r>
        <w:rPr>
          <w:rFonts w:hint="eastAsia" w:ascii="仿宋_GB2312" w:eastAsia="仿宋_GB2312"/>
          <w:b w:val="0"/>
          <w:bCs w:val="0"/>
          <w:color w:val="000000" w:themeColor="text1"/>
          <w:szCs w:val="21"/>
          <w:highlight w:val="none"/>
          <w:lang w:eastAsia="zh-CN"/>
          <w14:textFill>
            <w14:solidFill>
              <w14:schemeClr w14:val="tx1"/>
            </w14:solidFill>
          </w14:textFill>
        </w:rPr>
        <w:t>2026年6月5日</w:t>
      </w:r>
      <w:r>
        <w:rPr>
          <w:rFonts w:hint="eastAsia" w:ascii="仿宋_GB2312" w:eastAsia="仿宋_GB2312"/>
          <w:b w:val="0"/>
          <w:bCs w:val="0"/>
          <w:color w:val="000000" w:themeColor="text1"/>
          <w:szCs w:val="21"/>
          <w:highlight w:val="none"/>
          <w14:textFill>
            <w14:solidFill>
              <w14:schemeClr w14:val="tx1"/>
            </w14:solidFill>
          </w14:textFill>
        </w:rPr>
        <w:t>至</w:t>
      </w:r>
      <w:r>
        <w:rPr>
          <w:rFonts w:hint="eastAsia" w:ascii="仿宋_GB2312" w:eastAsia="仿宋_GB2312"/>
          <w:b w:val="0"/>
          <w:bCs w:val="0"/>
          <w:color w:val="000000" w:themeColor="text1"/>
          <w:szCs w:val="21"/>
          <w:highlight w:val="none"/>
          <w:lang w:eastAsia="zh-CN"/>
          <w14:textFill>
            <w14:solidFill>
              <w14:schemeClr w14:val="tx1"/>
            </w14:solidFill>
          </w14:textFill>
        </w:rPr>
        <w:t>202</w:t>
      </w:r>
      <w:r>
        <w:rPr>
          <w:rFonts w:hint="eastAsia" w:ascii="仿宋_GB2312" w:eastAsia="仿宋_GB2312"/>
          <w:b w:val="0"/>
          <w:bCs w:val="0"/>
          <w:color w:val="000000" w:themeColor="text1"/>
          <w:szCs w:val="21"/>
          <w:highlight w:val="none"/>
          <w:lang w:val="en-US" w:eastAsia="zh-CN"/>
          <w14:textFill>
            <w14:solidFill>
              <w14:schemeClr w14:val="tx1"/>
            </w14:solidFill>
          </w14:textFill>
        </w:rPr>
        <w:t>7</w:t>
      </w:r>
      <w:r>
        <w:rPr>
          <w:rFonts w:hint="eastAsia" w:ascii="仿宋_GB2312" w:eastAsia="仿宋_GB2312"/>
          <w:b w:val="0"/>
          <w:bCs w:val="0"/>
          <w:color w:val="000000" w:themeColor="text1"/>
          <w:szCs w:val="21"/>
          <w:highlight w:val="none"/>
          <w:lang w:eastAsia="zh-CN"/>
          <w14:textFill>
            <w14:solidFill>
              <w14:schemeClr w14:val="tx1"/>
            </w14:solidFill>
          </w14:textFill>
        </w:rPr>
        <w:t>年</w:t>
      </w:r>
      <w:r>
        <w:rPr>
          <w:rFonts w:hint="eastAsia" w:ascii="仿宋_GB2312" w:eastAsia="仿宋_GB2312"/>
          <w:b w:val="0"/>
          <w:bCs w:val="0"/>
          <w:color w:val="000000" w:themeColor="text1"/>
          <w:szCs w:val="21"/>
          <w:highlight w:val="none"/>
          <w:lang w:val="en-US" w:eastAsia="zh-CN"/>
          <w14:textFill>
            <w14:solidFill>
              <w14:schemeClr w14:val="tx1"/>
            </w14:solidFill>
          </w14:textFill>
        </w:rPr>
        <w:t>6</w:t>
      </w:r>
      <w:r>
        <w:rPr>
          <w:rFonts w:hint="eastAsia" w:ascii="仿宋_GB2312" w:eastAsia="仿宋_GB2312"/>
          <w:b w:val="0"/>
          <w:bCs w:val="0"/>
          <w:color w:val="000000" w:themeColor="text1"/>
          <w:szCs w:val="21"/>
          <w:highlight w:val="none"/>
          <w:lang w:eastAsia="zh-CN"/>
          <w14:textFill>
            <w14:solidFill>
              <w14:schemeClr w14:val="tx1"/>
            </w14:solidFill>
          </w14:textFill>
        </w:rPr>
        <w:t>月</w:t>
      </w:r>
      <w:r>
        <w:rPr>
          <w:rFonts w:hint="eastAsia" w:ascii="仿宋_GB2312" w:eastAsia="仿宋_GB2312"/>
          <w:b w:val="0"/>
          <w:bCs w:val="0"/>
          <w:color w:val="000000" w:themeColor="text1"/>
          <w:szCs w:val="21"/>
          <w:highlight w:val="none"/>
          <w:lang w:val="en-US" w:eastAsia="zh-CN"/>
          <w14:textFill>
            <w14:solidFill>
              <w14:schemeClr w14:val="tx1"/>
            </w14:solidFill>
          </w14:textFill>
        </w:rPr>
        <w:t>4</w:t>
      </w:r>
      <w:r>
        <w:rPr>
          <w:rFonts w:hint="eastAsia" w:ascii="仿宋_GB2312" w:eastAsia="仿宋_GB2312"/>
          <w:b w:val="0"/>
          <w:bCs w:val="0"/>
          <w:color w:val="000000" w:themeColor="text1"/>
          <w:szCs w:val="21"/>
          <w:highlight w:val="none"/>
          <w:lang w:eastAsia="zh-CN"/>
          <w14:textFill>
            <w14:solidFill>
              <w14:schemeClr w14:val="tx1"/>
            </w14:solidFill>
          </w14:textFill>
        </w:rPr>
        <w:t>日</w:t>
      </w:r>
      <w:r>
        <w:rPr>
          <w:rFonts w:hint="eastAsia" w:ascii="仿宋_GB2312" w:eastAsia="仿宋_GB2312"/>
          <w:b w:val="0"/>
          <w:bCs w:val="0"/>
          <w:color w:val="000000" w:themeColor="text1"/>
          <w:szCs w:val="21"/>
          <w:highlight w:val="none"/>
          <w14:textFill>
            <w14:solidFill>
              <w14:schemeClr w14:val="tx1"/>
            </w14:solidFill>
          </w14:textFill>
        </w:rPr>
        <w:t>一年内有效。</w:t>
      </w:r>
    </w:p>
    <w:p w14:paraId="5894BEEC">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outlineLvl w:val="9"/>
        <w:rPr>
          <w:rFonts w:hint="eastAsia" w:ascii="仿宋_GB2312" w:eastAsia="仿宋_GB2312"/>
          <w:b w:val="0"/>
          <w:bCs w:val="0"/>
          <w:szCs w:val="21"/>
          <w:highlight w:val="none"/>
        </w:rPr>
      </w:pPr>
      <w:r>
        <w:rPr>
          <w:rFonts w:hint="eastAsia" w:ascii="仿宋_GB2312" w:eastAsia="仿宋_GB2312"/>
          <w:b w:val="0"/>
          <w:bCs w:val="0"/>
          <w:color w:val="000000" w:themeColor="text1"/>
          <w:szCs w:val="21"/>
          <w:highlight w:val="none"/>
          <w14:textFill>
            <w14:solidFill>
              <w14:schemeClr w14:val="tx1"/>
            </w14:solidFill>
          </w14:textFill>
        </w:rPr>
        <w:t>3、此次评估结果是估价对象于估价期日在设定土地用途、设定使用年期、设定容积率、设定开发程度、公开市场条件下的出让土地</w:t>
      </w:r>
      <w:r>
        <w:rPr>
          <w:rFonts w:hint="eastAsia" w:ascii="仿宋_GB2312" w:eastAsia="仿宋_GB2312"/>
          <w:b w:val="0"/>
          <w:bCs w:val="0"/>
          <w:szCs w:val="21"/>
          <w:highlight w:val="none"/>
        </w:rPr>
        <w:t>使用权价格。</w:t>
      </w:r>
    </w:p>
    <w:p w14:paraId="41E37590">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outlineLvl w:val="9"/>
        <w:rPr>
          <w:rFonts w:hint="eastAsia" w:ascii="仿宋_GB2312" w:eastAsia="仿宋_GB2312"/>
          <w:b w:val="0"/>
          <w:bCs w:val="0"/>
          <w:szCs w:val="21"/>
          <w:highlight w:val="none"/>
        </w:rPr>
      </w:pPr>
      <w:r>
        <w:rPr>
          <w:rFonts w:hint="eastAsia" w:ascii="仿宋_GB2312" w:eastAsia="仿宋_GB2312"/>
          <w:b w:val="0"/>
          <w:bCs w:val="0"/>
          <w:szCs w:val="21"/>
          <w:highlight w:val="none"/>
        </w:rPr>
        <w:t>4、根据估价对象</w:t>
      </w:r>
      <w:r>
        <w:rPr>
          <w:rFonts w:hint="eastAsia" w:ascii="仿宋_GB2312" w:hAnsi="仿宋_GB2312" w:eastAsia="仿宋_GB2312" w:cs="仿宋_GB2312"/>
          <w:b w:val="0"/>
          <w:bCs w:val="0"/>
          <w:szCs w:val="21"/>
          <w:highlight w:val="none"/>
          <w:lang w:eastAsia="zh-CN"/>
        </w:rPr>
        <w:t>《评估委托书》</w:t>
      </w:r>
      <w:r>
        <w:rPr>
          <w:rFonts w:hint="eastAsia" w:ascii="仿宋_GB2312" w:hAnsi="仿宋_GB2312" w:eastAsia="仿宋_GB2312" w:cs="仿宋_GB2312"/>
          <w:b w:val="0"/>
          <w:bCs w:val="0"/>
          <w:szCs w:val="21"/>
          <w:highlight w:val="none"/>
          <w:lang w:val="en-US" w:eastAsia="zh-CN"/>
        </w:rPr>
        <w:t>和《宗地图》</w:t>
      </w:r>
      <w:r>
        <w:rPr>
          <w:rFonts w:hint="eastAsia" w:ascii="仿宋_GB2312" w:eastAsia="仿宋_GB2312"/>
          <w:b w:val="0"/>
          <w:bCs w:val="0"/>
          <w:szCs w:val="21"/>
          <w:highlight w:val="none"/>
        </w:rPr>
        <w:t>，确定本次评估土地面积为</w:t>
      </w:r>
      <w:r>
        <w:rPr>
          <w:rFonts w:hint="eastAsia" w:ascii="仿宋_GB2312" w:eastAsia="仿宋_GB2312"/>
          <w:b w:val="0"/>
          <w:bCs w:val="0"/>
          <w:szCs w:val="21"/>
          <w:highlight w:val="none"/>
          <w:lang w:val="en-US" w:eastAsia="zh-CN"/>
        </w:rPr>
        <w:t>50平方米</w:t>
      </w:r>
      <w:r>
        <w:rPr>
          <w:rFonts w:hint="eastAsia" w:ascii="仿宋_GB2312" w:eastAsia="仿宋_GB2312"/>
          <w:b w:val="0"/>
          <w:bCs w:val="0"/>
          <w:szCs w:val="21"/>
          <w:highlight w:val="none"/>
        </w:rPr>
        <w:t>，最终出让面积以当地自然资源部门核定面积为准，如土地面积发生变化，则土地价格应做相应的调整。</w:t>
      </w:r>
    </w:p>
    <w:p w14:paraId="099D94EF">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outlineLvl w:val="9"/>
        <w:rPr>
          <w:rFonts w:hint="eastAsia" w:ascii="仿宋_GB2312" w:hAnsi="仿宋_GB2312" w:eastAsia="仿宋_GB2312" w:cs="仿宋_GB2312"/>
          <w:b w:val="0"/>
          <w:bCs w:val="0"/>
          <w:szCs w:val="21"/>
          <w:highlight w:val="none"/>
        </w:rPr>
      </w:pPr>
      <w:r>
        <w:rPr>
          <w:rFonts w:hint="eastAsia" w:ascii="仿宋_GB2312" w:eastAsia="仿宋_GB2312"/>
          <w:b w:val="0"/>
          <w:bCs w:val="0"/>
          <w:szCs w:val="21"/>
          <w:highlight w:val="none"/>
        </w:rPr>
        <w:t>5、其他特殊说明事项详见本报告第</w:t>
      </w:r>
      <w:r>
        <w:rPr>
          <w:rFonts w:hint="eastAsia" w:ascii="仿宋_GB2312" w:eastAsia="仿宋_GB2312"/>
          <w:b w:val="0"/>
          <w:bCs w:val="0"/>
          <w:szCs w:val="21"/>
          <w:highlight w:val="none"/>
          <w:lang w:val="en-US" w:eastAsia="zh-CN"/>
        </w:rPr>
        <w:t>三</w:t>
      </w:r>
      <w:r>
        <w:rPr>
          <w:rFonts w:hint="eastAsia" w:ascii="仿宋_GB2312" w:eastAsia="仿宋_GB2312"/>
          <w:b w:val="0"/>
          <w:bCs w:val="0"/>
          <w:szCs w:val="21"/>
          <w:highlight w:val="none"/>
        </w:rPr>
        <w:t>部分第</w:t>
      </w:r>
      <w:r>
        <w:rPr>
          <w:rFonts w:hint="eastAsia" w:ascii="仿宋_GB2312" w:eastAsia="仿宋_GB2312"/>
          <w:b w:val="0"/>
          <w:bCs w:val="0"/>
          <w:szCs w:val="21"/>
          <w:highlight w:val="none"/>
          <w:lang w:val="en-US" w:eastAsia="zh-CN"/>
        </w:rPr>
        <w:t>三</w:t>
      </w:r>
      <w:r>
        <w:rPr>
          <w:rFonts w:hint="eastAsia" w:ascii="仿宋_GB2312" w:eastAsia="仿宋_GB2312"/>
          <w:b w:val="0"/>
          <w:bCs w:val="0"/>
          <w:szCs w:val="21"/>
          <w:highlight w:val="none"/>
        </w:rPr>
        <w:t>项。</w:t>
      </w:r>
      <w:r>
        <w:rPr>
          <w:rFonts w:hint="eastAsia" w:ascii="仿宋_GB2312" w:hAnsi="仿宋_GB2312" w:eastAsia="仿宋_GB2312" w:cs="仿宋_GB2312"/>
          <w:b w:val="0"/>
          <w:bCs w:val="0"/>
          <w:szCs w:val="21"/>
          <w:highlight w:val="none"/>
        </w:rPr>
        <w:t xml:space="preserve"> </w:t>
      </w:r>
    </w:p>
    <w:p w14:paraId="4682344D">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b w:val="0"/>
          <w:bCs w:val="0"/>
          <w:szCs w:val="21"/>
          <w:highlight w:val="none"/>
          <w:lang w:val="en-US" w:eastAsia="zh-CN"/>
        </w:rPr>
      </w:pPr>
      <w:r>
        <w:rPr>
          <w:rFonts w:hint="eastAsia" w:ascii="仿宋_GB2312" w:hAnsi="仿宋_GB2312" w:eastAsia="仿宋_GB2312" w:cs="仿宋_GB2312"/>
          <w:b w:val="0"/>
          <w:bCs w:val="0"/>
          <w:szCs w:val="21"/>
          <w:highlight w:val="none"/>
          <w:lang w:eastAsia="zh-CN"/>
        </w:rPr>
        <w:t>湖南兆财不动产规划评估有限公司</w:t>
      </w:r>
      <w:r>
        <w:rPr>
          <w:rFonts w:hint="eastAsia" w:ascii="仿宋_GB2312" w:hAnsi="仿宋_GB2312" w:eastAsia="仿宋_GB2312" w:cs="仿宋_GB2312"/>
          <w:b w:val="0"/>
          <w:bCs w:val="0"/>
          <w:szCs w:val="21"/>
          <w:highlight w:val="none"/>
          <w:lang w:val="en-US" w:eastAsia="zh-CN"/>
        </w:rPr>
        <w:t xml:space="preserve">                                                                                                                                                                                                                    </w:t>
      </w:r>
    </w:p>
    <w:p w14:paraId="2B90C41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b w:val="0"/>
          <w:bCs w:val="0"/>
          <w:highlight w:val="none"/>
          <w:lang w:eastAsia="zh-CN"/>
        </w:rPr>
      </w:pPr>
      <w:r>
        <w:rPr>
          <w:rFonts w:hint="eastAsia" w:ascii="仿宋_GB2312" w:hAnsi="仿宋_GB2312" w:eastAsia="仿宋_GB2312" w:cs="仿宋_GB2312"/>
          <w:b w:val="0"/>
          <w:bCs w:val="0"/>
          <w:szCs w:val="21"/>
          <w:highlight w:val="none"/>
          <w:lang w:val="en-US" w:eastAsia="zh-CN"/>
        </w:rPr>
        <w:t xml:space="preserve">                                                                                                                  2026年6月5日</w:t>
      </w:r>
    </w:p>
    <w:p w14:paraId="1890A5BA">
      <w:pPr>
        <w:pStyle w:val="18"/>
        <w:keepNext w:val="0"/>
        <w:keepLines w:val="0"/>
        <w:pageBreakBefore w:val="0"/>
        <w:widowControl w:val="0"/>
        <w:kinsoku/>
        <w:wordWrap/>
        <w:overflowPunct/>
        <w:topLinePunct w:val="0"/>
        <w:autoSpaceDE/>
        <w:autoSpaceDN/>
        <w:bidi w:val="0"/>
        <w:adjustRightInd/>
        <w:snapToGrid/>
        <w:spacing w:line="220" w:lineRule="exact"/>
        <w:textAlignment w:val="auto"/>
        <w:rPr>
          <w:rFonts w:hint="eastAsia" w:ascii="仿宋_GB2312" w:hAnsi="仿宋_GB2312" w:eastAsia="仿宋_GB2312" w:cs="仿宋_GB2312"/>
          <w:b w:val="0"/>
          <w:bCs w:val="0"/>
          <w:highlight w:val="none"/>
        </w:rPr>
        <w:sectPr>
          <w:footerReference r:id="rId10" w:type="default"/>
          <w:endnotePr>
            <w:numFmt w:val="decimal"/>
          </w:endnotePr>
          <w:pgSz w:w="16838" w:h="11906" w:orient="landscape"/>
          <w:pgMar w:top="1191" w:right="1440" w:bottom="1191" w:left="1440" w:header="624" w:footer="624" w:gutter="0"/>
          <w:pgNumType w:fmt="decimal"/>
          <w:cols w:space="720" w:num="1"/>
          <w:docGrid w:linePitch="312" w:charSpace="0"/>
        </w:sectPr>
      </w:pPr>
    </w:p>
    <w:p w14:paraId="097071E2">
      <w:pPr>
        <w:jc w:val="center"/>
        <w:outlineLvl w:val="0"/>
        <w:rPr>
          <w:rFonts w:hint="eastAsia" w:ascii="宋体" w:hAnsi="宋体" w:eastAsia="宋体" w:cs="宋体"/>
          <w:b/>
          <w:bCs/>
          <w:color w:val="auto"/>
          <w:sz w:val="32"/>
          <w:szCs w:val="32"/>
          <w:highlight w:val="none"/>
          <w:lang w:eastAsia="zh-CN"/>
        </w:rPr>
      </w:pPr>
      <w:bookmarkStart w:id="11" w:name="_Toc27954"/>
      <w:bookmarkStart w:id="12" w:name="_Toc717"/>
      <w:bookmarkStart w:id="13" w:name="_Toc23850"/>
      <w:r>
        <w:rPr>
          <w:rFonts w:hint="eastAsia" w:ascii="宋体" w:hAnsi="宋体" w:eastAsia="宋体" w:cs="宋体"/>
          <w:b/>
          <w:bCs/>
          <w:color w:val="auto"/>
          <w:sz w:val="32"/>
          <w:szCs w:val="32"/>
          <w:highlight w:val="none"/>
        </w:rPr>
        <w:t>第二部分</w:t>
      </w:r>
      <w:r>
        <w:rPr>
          <w:rFonts w:hint="eastAsia" w:ascii="宋体" w:hAnsi="宋体" w:cs="宋体"/>
          <w:b/>
          <w:bCs/>
          <w:color w:val="auto"/>
          <w:sz w:val="32"/>
          <w:szCs w:val="32"/>
          <w:highlight w:val="none"/>
          <w:lang w:val="en-US" w:eastAsia="zh-CN"/>
        </w:rPr>
        <w:t xml:space="preserve">  </w:t>
      </w:r>
      <w:r>
        <w:rPr>
          <w:rFonts w:hint="eastAsia" w:ascii="宋体" w:hAnsi="宋体" w:eastAsia="宋体" w:cs="宋体"/>
          <w:b/>
          <w:bCs/>
          <w:color w:val="auto"/>
          <w:sz w:val="32"/>
          <w:szCs w:val="32"/>
          <w:highlight w:val="none"/>
        </w:rPr>
        <w:t>估价对象</w:t>
      </w:r>
      <w:bookmarkEnd w:id="11"/>
      <w:bookmarkEnd w:id="12"/>
      <w:r>
        <w:rPr>
          <w:rFonts w:hint="eastAsia" w:ascii="宋体" w:hAnsi="宋体" w:eastAsia="宋体" w:cs="宋体"/>
          <w:b/>
          <w:bCs/>
          <w:color w:val="auto"/>
          <w:sz w:val="32"/>
          <w:szCs w:val="32"/>
          <w:highlight w:val="none"/>
          <w:lang w:val="en-US" w:eastAsia="zh-CN"/>
        </w:rPr>
        <w:t>界定</w:t>
      </w:r>
      <w:bookmarkEnd w:id="13"/>
    </w:p>
    <w:p w14:paraId="4A6078FA">
      <w:pPr>
        <w:pStyle w:val="3"/>
        <w:keepLines w:val="0"/>
        <w:pageBreakBefore w:val="0"/>
        <w:widowControl w:val="0"/>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color w:val="auto"/>
          <w:kern w:val="2"/>
          <w:sz w:val="28"/>
          <w:szCs w:val="28"/>
          <w:highlight w:val="none"/>
          <w:lang w:val="en-US" w:eastAsia="zh-CN" w:bidi="ar-SA"/>
        </w:rPr>
      </w:pPr>
      <w:bookmarkStart w:id="14" w:name="_Toc30092"/>
      <w:bookmarkStart w:id="15" w:name="_Toc18157"/>
      <w:bookmarkStart w:id="16" w:name="_Toc7689"/>
      <w:r>
        <w:rPr>
          <w:rFonts w:hint="eastAsia" w:ascii="仿宋_GB2312" w:hAnsi="仿宋_GB2312" w:eastAsia="仿宋_GB2312" w:cs="仿宋_GB2312"/>
          <w:b/>
          <w:bCs/>
          <w:color w:val="auto"/>
          <w:kern w:val="2"/>
          <w:sz w:val="28"/>
          <w:szCs w:val="28"/>
          <w:highlight w:val="none"/>
          <w:lang w:val="en-US" w:eastAsia="zh-CN" w:bidi="ar-SA"/>
        </w:rPr>
        <w:t>一、委托估价方</w:t>
      </w:r>
      <w:bookmarkEnd w:id="14"/>
    </w:p>
    <w:p w14:paraId="13DABA3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sz w:val="28"/>
          <w:szCs w:val="28"/>
          <w:lang w:val="en-US" w:eastAsia="zh-CN"/>
        </w:rPr>
      </w:pPr>
      <w:r>
        <w:rPr>
          <w:rFonts w:hint="eastAsia" w:ascii="仿宋_GB2312" w:hAnsi="仿宋_GB2312" w:eastAsia="仿宋_GB2312" w:cs="仿宋_GB2312"/>
          <w:bCs/>
          <w:sz w:val="28"/>
          <w:szCs w:val="28"/>
          <w:lang w:val="en-GB" w:eastAsia="zh-CN"/>
        </w:rPr>
        <w:t>委托估价方</w:t>
      </w:r>
      <w:r>
        <w:rPr>
          <w:rFonts w:hint="eastAsia" w:ascii="仿宋_GB2312" w:hAnsi="仿宋_GB2312" w:eastAsia="仿宋_GB2312" w:cs="仿宋_GB2312"/>
          <w:bCs/>
          <w:sz w:val="28"/>
          <w:szCs w:val="28"/>
          <w:lang w:val="en-US" w:eastAsia="zh-CN"/>
        </w:rPr>
        <w:t xml:space="preserve">：道县自然资源局 </w:t>
      </w:r>
    </w:p>
    <w:p w14:paraId="1934B1F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sz w:val="28"/>
          <w:szCs w:val="28"/>
          <w:lang w:val="en-US" w:eastAsia="zh-CN"/>
        </w:rPr>
      </w:pPr>
      <w:r>
        <w:rPr>
          <w:rFonts w:hint="eastAsia" w:ascii="仿宋_GB2312" w:hAnsi="仿宋_GB2312" w:eastAsia="仿宋_GB2312" w:cs="仿宋_GB2312"/>
          <w:bCs/>
          <w:sz w:val="28"/>
          <w:szCs w:val="28"/>
          <w:lang w:val="en-US" w:eastAsia="zh-CN"/>
        </w:rPr>
        <w:t>社会统一信用代码：11431124006598189Q</w:t>
      </w:r>
    </w:p>
    <w:p w14:paraId="598B87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lang w:val="en-US" w:eastAsia="zh-CN"/>
        </w:rPr>
      </w:pPr>
      <w:r>
        <w:rPr>
          <w:rFonts w:hint="eastAsia" w:ascii="仿宋_GB2312" w:hAnsi="仿宋_GB2312" w:eastAsia="仿宋_GB2312" w:cs="仿宋_GB2312"/>
          <w:bCs/>
          <w:sz w:val="28"/>
          <w:szCs w:val="28"/>
          <w:lang w:val="en-US" w:eastAsia="zh-CN"/>
        </w:rPr>
        <w:t>负责人：</w:t>
      </w:r>
      <w:r>
        <w:rPr>
          <w:rFonts w:hint="eastAsia" w:ascii="仿宋_GB2312" w:hAnsi="仿宋_GB2312" w:eastAsia="仿宋_GB2312" w:cs="仿宋_GB2312"/>
          <w:bCs/>
          <w:color w:val="auto"/>
          <w:sz w:val="28"/>
          <w:szCs w:val="28"/>
          <w:lang w:val="en-US" w:eastAsia="zh-CN"/>
        </w:rPr>
        <w:t>杨安良</w:t>
      </w:r>
    </w:p>
    <w:p w14:paraId="6EC3D28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sz w:val="28"/>
          <w:szCs w:val="28"/>
          <w:lang w:val="en-US" w:eastAsia="zh-CN"/>
        </w:rPr>
      </w:pPr>
      <w:r>
        <w:rPr>
          <w:rFonts w:hint="eastAsia" w:ascii="仿宋_GB2312" w:hAnsi="仿宋_GB2312" w:eastAsia="仿宋_GB2312" w:cs="仿宋_GB2312"/>
          <w:bCs/>
          <w:sz w:val="28"/>
          <w:szCs w:val="28"/>
          <w:lang w:val="en-US" w:eastAsia="zh-CN"/>
        </w:rPr>
        <w:t>机构性质：机关</w:t>
      </w:r>
    </w:p>
    <w:p w14:paraId="2682704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Cs/>
          <w:sz w:val="28"/>
          <w:szCs w:val="28"/>
          <w:lang w:val="en-US" w:eastAsia="zh-CN"/>
        </w:rPr>
      </w:pPr>
      <w:r>
        <w:rPr>
          <w:rFonts w:hint="eastAsia" w:ascii="仿宋_GB2312" w:hAnsi="仿宋_GB2312" w:eastAsia="仿宋_GB2312" w:cs="仿宋_GB2312"/>
          <w:bCs/>
          <w:sz w:val="28"/>
          <w:szCs w:val="28"/>
          <w:lang w:val="en-US" w:eastAsia="zh-CN"/>
        </w:rPr>
        <w:t>机构地址：道县道州北路153号</w:t>
      </w:r>
    </w:p>
    <w:p w14:paraId="33BD796B">
      <w:pPr>
        <w:spacing w:line="460" w:lineRule="exact"/>
        <w:ind w:firstLine="560" w:firstLineChars="200"/>
        <w:outlineLvl w:val="9"/>
        <w:rPr>
          <w:rFonts w:ascii="仿宋_GB2312" w:eastAsia="仿宋_GB2312"/>
          <w:color w:val="000000" w:themeColor="text1"/>
          <w:sz w:val="28"/>
          <w:szCs w:val="30"/>
          <w14:textFill>
            <w14:solidFill>
              <w14:schemeClr w14:val="tx1"/>
            </w14:solidFill>
          </w14:textFill>
        </w:rPr>
      </w:pPr>
      <w:r>
        <w:rPr>
          <w:rFonts w:hint="eastAsia" w:ascii="仿宋_GB2312" w:eastAsia="仿宋_GB2312"/>
          <w:color w:val="000000" w:themeColor="text1"/>
          <w:sz w:val="28"/>
          <w:szCs w:val="30"/>
          <w14:textFill>
            <w14:solidFill>
              <w14:schemeClr w14:val="tx1"/>
            </w14:solidFill>
          </w14:textFill>
        </w:rPr>
        <w:t>联 系 人：</w:t>
      </w:r>
      <w:r>
        <w:rPr>
          <w:rFonts w:hint="eastAsia" w:ascii="仿宋_GB2312" w:eastAsia="仿宋_GB2312"/>
          <w:color w:val="000000" w:themeColor="text1"/>
          <w:sz w:val="28"/>
          <w:szCs w:val="30"/>
          <w:lang w:val="en-US" w:eastAsia="zh-CN"/>
          <w14:textFill>
            <w14:solidFill>
              <w14:schemeClr w14:val="tx1"/>
            </w14:solidFill>
          </w14:textFill>
        </w:rPr>
        <w:t>周</w:t>
      </w:r>
      <w:r>
        <w:rPr>
          <w:rFonts w:hint="eastAsia" w:ascii="仿宋_GB2312" w:eastAsia="仿宋_GB2312"/>
          <w:color w:val="000000" w:themeColor="text1"/>
          <w:sz w:val="28"/>
          <w:szCs w:val="30"/>
          <w14:textFill>
            <w14:solidFill>
              <w14:schemeClr w14:val="tx1"/>
            </w14:solidFill>
          </w14:textFill>
        </w:rPr>
        <w:t>先生</w:t>
      </w:r>
    </w:p>
    <w:p w14:paraId="29EECC90">
      <w:pPr>
        <w:spacing w:line="460" w:lineRule="exact"/>
        <w:ind w:firstLine="560" w:firstLineChars="200"/>
        <w:outlineLvl w:val="9"/>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联系电话：13874668219</w:t>
      </w:r>
    </w:p>
    <w:p w14:paraId="780CA85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sz w:val="28"/>
          <w:szCs w:val="28"/>
          <w:lang w:val="en-US" w:eastAsia="zh-CN"/>
        </w:rPr>
      </w:pPr>
      <w:r>
        <w:rPr>
          <w:rFonts w:hint="eastAsia" w:ascii="仿宋_GB2312" w:hAnsi="仿宋_GB2312" w:eastAsia="仿宋_GB2312" w:cs="仿宋_GB2312"/>
          <w:bCs/>
          <w:sz w:val="28"/>
          <w:szCs w:val="28"/>
          <w:lang w:val="en-US" w:eastAsia="zh-CN"/>
        </w:rPr>
        <w:t>邮    编：425300</w:t>
      </w:r>
    </w:p>
    <w:p w14:paraId="637DEC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b w:val="0"/>
          <w:bCs w:val="0"/>
          <w:highlight w:val="none"/>
          <w:lang w:val="en-US" w:eastAsia="zh-CN"/>
        </w:rPr>
      </w:pPr>
      <w:r>
        <w:rPr>
          <w:rFonts w:hint="eastAsia" w:ascii="仿宋_GB2312" w:hAnsi="仿宋_GB2312" w:eastAsia="仿宋_GB2312" w:cs="仿宋_GB2312"/>
          <w:bCs/>
          <w:sz w:val="28"/>
          <w:szCs w:val="28"/>
          <w:lang w:val="en-GB" w:eastAsia="zh-CN"/>
        </w:rPr>
        <w:t>与估价对象土地使用者之间的关系：</w:t>
      </w:r>
      <w:r>
        <w:rPr>
          <w:rFonts w:hint="eastAsia" w:ascii="仿宋_GB2312" w:hAnsi="仿宋_GB2312" w:eastAsia="仿宋_GB2312" w:cs="仿宋_GB2312"/>
          <w:bCs/>
          <w:sz w:val="28"/>
          <w:szCs w:val="28"/>
          <w:lang w:val="en-US" w:eastAsia="zh-CN"/>
        </w:rPr>
        <w:t>委托方为土地出让实施单位，土地使用者拟通过出让确定</w:t>
      </w:r>
      <w:r>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t>。</w:t>
      </w:r>
    </w:p>
    <w:p w14:paraId="6A91FAE1">
      <w:pPr>
        <w:pStyle w:val="3"/>
        <w:keepLines w:val="0"/>
        <w:pageBreakBefore w:val="0"/>
        <w:widowControl w:val="0"/>
        <w:numPr>
          <w:ilvl w:val="0"/>
          <w:numId w:val="1"/>
        </w:numPr>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color w:val="auto"/>
          <w:kern w:val="2"/>
          <w:sz w:val="28"/>
          <w:szCs w:val="28"/>
          <w:highlight w:val="none"/>
          <w:lang w:val="en-US" w:eastAsia="zh-CN" w:bidi="ar-SA"/>
        </w:rPr>
      </w:pPr>
      <w:bookmarkStart w:id="17" w:name="_Toc4067"/>
      <w:r>
        <w:rPr>
          <w:rFonts w:hint="eastAsia" w:ascii="仿宋_GB2312" w:hAnsi="仿宋_GB2312" w:eastAsia="仿宋_GB2312" w:cs="仿宋_GB2312"/>
          <w:b/>
          <w:bCs/>
          <w:color w:val="auto"/>
          <w:kern w:val="2"/>
          <w:sz w:val="28"/>
          <w:szCs w:val="28"/>
          <w:highlight w:val="none"/>
          <w:lang w:val="en-US" w:eastAsia="zh-CN" w:bidi="ar-SA"/>
        </w:rPr>
        <w:t>估价对象</w:t>
      </w:r>
      <w:bookmarkEnd w:id="17"/>
    </w:p>
    <w:p w14:paraId="78ACA99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本次估价对象为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道县自然资源局</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拟</w:t>
      </w:r>
      <w:r>
        <w:rPr>
          <w:rFonts w:hint="default" w:ascii="仿宋_GB2312" w:hAnsi="仿宋_GB2312" w:eastAsia="仿宋_GB2312" w:cs="仿宋_GB2312"/>
          <w:b w:val="0"/>
          <w:bCs w:val="0"/>
          <w:color w:val="auto"/>
          <w:kern w:val="2"/>
          <w:sz w:val="28"/>
          <w:szCs w:val="28"/>
          <w:highlight w:val="none"/>
          <w:lang w:val="en-US" w:eastAsia="zh-CN" w:bidi="ar-SA"/>
        </w:rPr>
        <w:t>了解土地使用权价值</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涉及的</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位于道县西洲街道宝珍街六栋九号</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一宗</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国有建设用地使用权，根据《评估委托书》、《</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宗地图</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不动产测绘报告书</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》等资料，</w:t>
      </w:r>
      <w:r>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土地面积为50平方米，建筑面积205.45平方米，设定容积率为4.11</w:t>
      </w:r>
      <w:r>
        <w:rPr>
          <w:rFonts w:hint="eastAsia" w:ascii="仿宋_GB2312" w:hAnsi="仿宋_GB2312" w:eastAsia="仿宋_GB2312" w:cs="仿宋_GB2312"/>
          <w:b w:val="0"/>
          <w:bCs w:val="0"/>
          <w:color w:val="0000FF"/>
          <w:sz w:val="28"/>
          <w:szCs w:val="28"/>
          <w:highlight w:val="none"/>
          <w:lang w:val="en-US" w:eastAsia="zh-CN"/>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土地用途为住宅用地</w:t>
      </w:r>
      <w:r>
        <w:rPr>
          <w:rFonts w:hint="eastAsia" w:ascii="仿宋_GB2312" w:hAnsi="仿宋_GB2312" w:eastAsia="仿宋_GB2312" w:cs="仿宋_GB2312"/>
          <w:b w:val="0"/>
          <w:bCs w:val="0"/>
          <w:sz w:val="28"/>
          <w:szCs w:val="28"/>
          <w:highlight w:val="none"/>
          <w:lang w:val="en-US" w:eastAsia="zh-CN"/>
        </w:rPr>
        <w:t>。</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土地开发程度为宗地红线外“五通”（即通路、通电、供水、排水、通讯），宗地红线内场地平整。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土地使用者拟以出让方式确定。</w:t>
      </w:r>
    </w:p>
    <w:p w14:paraId="5D8EE0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b w:val="0"/>
          <w:bCs w:val="0"/>
          <w:highlight w:val="none"/>
          <w:lang w:val="en-US" w:eastAsia="zh-CN"/>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505F3B7F">
      <w:pPr>
        <w:pStyle w:val="3"/>
        <w:keepLines w:val="0"/>
        <w:pageBreakBefore w:val="0"/>
        <w:widowControl w:val="0"/>
        <w:kinsoku/>
        <w:wordWrap/>
        <w:overflowPunct/>
        <w:topLinePunct w:val="0"/>
        <w:autoSpaceDE/>
        <w:autoSpaceDN/>
        <w:bidi w:val="0"/>
        <w:adjustRightInd w:val="0"/>
        <w:snapToGrid w:val="0"/>
        <w:spacing w:line="480" w:lineRule="exact"/>
        <w:ind w:left="0" w:firstLine="562" w:firstLineChars="200"/>
        <w:jc w:val="left"/>
        <w:textAlignment w:val="auto"/>
        <w:rPr>
          <w:rFonts w:hint="eastAsia" w:ascii="仿宋_GB2312" w:hAnsi="仿宋_GB2312" w:eastAsia="仿宋_GB2312" w:cs="仿宋_GB2312"/>
          <w:b/>
          <w:bCs/>
          <w:color w:val="auto"/>
          <w:kern w:val="2"/>
          <w:sz w:val="28"/>
          <w:szCs w:val="28"/>
          <w:highlight w:val="none"/>
          <w:lang w:val="en-US" w:eastAsia="zh-CN" w:bidi="ar-SA"/>
        </w:rPr>
      </w:pPr>
      <w:bookmarkStart w:id="18" w:name="_Toc7701"/>
      <w:r>
        <w:rPr>
          <w:rFonts w:hint="eastAsia" w:ascii="仿宋_GB2312" w:hAnsi="仿宋_GB2312" w:eastAsia="仿宋_GB2312" w:cs="仿宋_GB2312"/>
          <w:b/>
          <w:bCs/>
          <w:color w:val="auto"/>
          <w:kern w:val="2"/>
          <w:sz w:val="28"/>
          <w:szCs w:val="28"/>
          <w:highlight w:val="none"/>
          <w:lang w:val="en-US" w:eastAsia="zh-CN" w:bidi="ar-SA"/>
        </w:rPr>
        <w:t>三、估价对象</w:t>
      </w:r>
      <w:bookmarkEnd w:id="15"/>
      <w:bookmarkEnd w:id="16"/>
      <w:r>
        <w:rPr>
          <w:rFonts w:hint="eastAsia" w:ascii="仿宋_GB2312" w:hAnsi="仿宋_GB2312" w:eastAsia="仿宋_GB2312" w:cs="仿宋_GB2312"/>
          <w:b/>
          <w:bCs/>
          <w:color w:val="auto"/>
          <w:kern w:val="2"/>
          <w:sz w:val="28"/>
          <w:szCs w:val="28"/>
          <w:highlight w:val="none"/>
          <w:lang w:val="en-US" w:eastAsia="zh-CN" w:bidi="ar-SA"/>
        </w:rPr>
        <w:t>概况</w:t>
      </w:r>
      <w:bookmarkEnd w:id="18"/>
    </w:p>
    <w:p w14:paraId="73B5A2D9">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3"/>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GB" w:eastAsia="zh-CN"/>
          <w14:textFill>
            <w14:solidFill>
              <w14:schemeClr w14:val="tx1"/>
            </w14:solidFill>
          </w14:textFill>
        </w:rPr>
        <w:t>（一）土地登记状况</w:t>
      </w:r>
    </w:p>
    <w:p w14:paraId="47AEBE2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土地权利类型：国有建设用地土地使用权；</w:t>
      </w:r>
    </w:p>
    <w:p w14:paraId="06219E4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.土地权利性质：</w:t>
      </w:r>
      <w:r>
        <w:rPr>
          <w:rFonts w:hint="eastAsia" w:ascii="仿宋_GB2312" w:hAnsi="仿宋_GB2312" w:eastAsia="仿宋_GB2312" w:cs="仿宋_GB2312"/>
          <w:bCs/>
          <w:sz w:val="28"/>
          <w:szCs w:val="28"/>
          <w:lang w:val="en-GB" w:eastAsia="zh-CN"/>
        </w:rPr>
        <w:t>国有储备用地，现拟办理出让手续</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1B41E5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.权属来源及权属变更情况：</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估价对象原为国有存量土地，根据</w:t>
      </w:r>
    </w:p>
    <w:p w14:paraId="6D3AE521">
      <w:pPr>
        <w:keepNext w:val="0"/>
        <w:keepLines w:val="0"/>
        <w:pageBreakBefore w:val="0"/>
        <w:widowControl w:val="0"/>
        <w:kinsoku/>
        <w:wordWrap/>
        <w:overflowPunct/>
        <w:topLinePunct w:val="0"/>
        <w:autoSpaceDE/>
        <w:autoSpaceDN/>
        <w:bidi w:val="0"/>
        <w:adjustRightInd w:val="0"/>
        <w:snapToGrid w:val="0"/>
        <w:spacing w:line="480" w:lineRule="exact"/>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集中化解房地产办证信访突出问题工作领导小组办公室出具的《不动产“登记难”问题专题会议纪要》（道县集中化解工作领导小组办公室，2026年3月11日），估价对象于估价期日未交土地出让金，未签订土地出让合同。</w:t>
      </w:r>
      <w:r>
        <w:rPr>
          <w:rFonts w:hint="eastAsia" w:ascii="仿宋_GB2312" w:hAnsi="仿宋_GB2312" w:eastAsia="仿宋_GB2312" w:cs="仿宋_GB2312"/>
          <w:bCs/>
          <w:color w:val="auto"/>
          <w:kern w:val="2"/>
          <w:sz w:val="28"/>
          <w:szCs w:val="28"/>
          <w:highlight w:val="none"/>
          <w:lang w:val="en-US" w:eastAsia="zh-CN" w:bidi="ar-SA"/>
        </w:rPr>
        <w:t>现委托方拟对估价对象按现状利用条件办理土地出让手续，并以出让方式确定土地使用者。估价对象于估价期日暂未办理土地登记</w:t>
      </w:r>
      <w:r>
        <w:rPr>
          <w:rFonts w:hint="eastAsia" w:ascii="仿宋_GB2312" w:hAnsi="仿宋_GB2312" w:eastAsia="仿宋_GB2312" w:cs="仿宋_GB2312"/>
          <w:bCs/>
          <w:color w:val="auto"/>
          <w:kern w:val="2"/>
          <w:sz w:val="28"/>
          <w:szCs w:val="28"/>
          <w:highlight w:val="none"/>
          <w:lang w:val="en-GB" w:eastAsia="zh-CN" w:bidi="ar-SA"/>
        </w:rPr>
        <w:t>。</w:t>
      </w:r>
    </w:p>
    <w:p w14:paraId="2A64C01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auto"/>
          <w:sz w:val="28"/>
          <w:szCs w:val="28"/>
          <w:highlight w:val="none"/>
          <w:lang w:val="en-US" w:eastAsia="zh-CN"/>
        </w:rPr>
        <w:t>4</w:t>
      </w:r>
      <w:r>
        <w:rPr>
          <w:rFonts w:hint="eastAsia" w:ascii="仿宋_GB2312" w:hAnsi="仿宋_GB2312" w:eastAsia="仿宋_GB2312" w:cs="仿宋_GB2312"/>
          <w:b w:val="0"/>
          <w:bCs w:val="0"/>
          <w:color w:val="auto"/>
          <w:sz w:val="28"/>
          <w:szCs w:val="28"/>
          <w:highlight w:val="none"/>
          <w:lang w:val="en-GB" w:eastAsia="zh-CN"/>
        </w:rPr>
        <w:t>.地理位置</w:t>
      </w:r>
      <w:r>
        <w:rPr>
          <w:rFonts w:hint="eastAsia" w:ascii="仿宋_GB2312" w:hAnsi="仿宋_GB2312" w:eastAsia="仿宋_GB2312" w:cs="仿宋_GB2312"/>
          <w:b w:val="0"/>
          <w:bCs w:val="0"/>
          <w:color w:val="auto"/>
          <w:sz w:val="28"/>
          <w:szCs w:val="28"/>
          <w:highlight w:val="none"/>
          <w:lang w:val="en-US" w:eastAsia="zh-CN"/>
        </w:rPr>
        <w:t>及坐落</w:t>
      </w:r>
      <w:r>
        <w:rPr>
          <w:rFonts w:hint="eastAsia" w:ascii="仿宋_GB2312" w:hAnsi="仿宋_GB2312" w:eastAsia="仿宋_GB2312" w:cs="仿宋_GB2312"/>
          <w:b w:val="0"/>
          <w:bCs w:val="0"/>
          <w:color w:val="auto"/>
          <w:sz w:val="28"/>
          <w:szCs w:val="28"/>
          <w:highlight w:val="none"/>
          <w:lang w:val="en-GB" w:eastAsia="zh-CN"/>
        </w:rPr>
        <w:t>：</w:t>
      </w:r>
      <w:r>
        <w:rPr>
          <w:rFonts w:hint="eastAsia" w:ascii="仿宋_GB2312" w:hAnsi="仿宋_GB2312" w:eastAsia="仿宋_GB2312" w:cs="仿宋_GB2312"/>
          <w:b w:val="0"/>
          <w:bCs w:val="0"/>
          <w:color w:val="auto"/>
          <w:sz w:val="28"/>
          <w:szCs w:val="28"/>
          <w:highlight w:val="none"/>
          <w:lang w:val="en-US" w:eastAsia="zh-CN"/>
        </w:rPr>
        <w:t>道县西洲街道宝珍街六栋九号</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706A07B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.土地用途：根据</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现场勘查，估价对象现状地上建设有4层住宅建筑，根据《不动产测绘报告书》</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估价对象整栋为住宅，建筑面积205.45平方米。</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根据《评估委托书》，结合《土地利用现状分类》（GB/T 21010-2017），</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本次设定</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土地用途为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44DC6AC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.宗地四至：东临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道县第九小学</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巷道</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，西临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，北临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宝珍街</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35076EF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.使用权面积：根据《评估委托书》</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和《宗地图》</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，宗地面积</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50平方米</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7887CFF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级别：道县城镇基准地价的颁布实施时间为2019年11月22日，批准文号为道政函〔2019〕85号,文件名称为《关于更新城区基准地价和制订11个建制镇基准地价的通告》（道政函〔2019〕85号，2019年11月22日），批准机关为道县人民政府，估价期日为2026年6月1日，距估价期日超过六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故暂无土地级别信息</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6F0B950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 w:val="0"/>
          <w:bCs w:val="0"/>
          <w:color w:val="auto"/>
          <w:kern w:val="0"/>
          <w:sz w:val="28"/>
          <w:szCs w:val="28"/>
          <w:highlight w:val="none"/>
          <w:lang w:val="en-US" w:eastAsia="zh-CN"/>
        </w:rPr>
        <w:t>根据《评估委托书》，估价对象拟出让土地使用年期为住宅用地70年，本次评估根据《评估委托书》约定和估价目的，设定土地使用权年限为住宅用地70年</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0ED15D0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10.权利证书</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登记</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号：</w:t>
      </w:r>
      <w:r>
        <w:rPr>
          <w:rFonts w:hint="eastAsia" w:ascii="仿宋_GB2312" w:hAnsi="仿宋_GB2312" w:eastAsia="仿宋_GB2312" w:cs="仿宋_GB2312"/>
          <w:bCs/>
          <w:color w:val="auto"/>
          <w:kern w:val="2"/>
          <w:sz w:val="28"/>
          <w:szCs w:val="28"/>
          <w:highlight w:val="none"/>
          <w:lang w:val="en-US" w:eastAsia="zh-CN" w:bidi="ar-SA"/>
        </w:rPr>
        <w:t>/</w:t>
      </w:r>
      <w:r>
        <w:rPr>
          <w:rFonts w:hint="eastAsia" w:ascii="仿宋_GB2312" w:hAnsi="仿宋_GB2312" w:eastAsia="仿宋_GB2312" w:cs="仿宋_GB2312"/>
          <w:b w:val="0"/>
          <w:bCs w:val="0"/>
          <w:color w:val="auto"/>
          <w:sz w:val="28"/>
          <w:szCs w:val="28"/>
          <w:highlight w:val="none"/>
          <w:lang w:val="en-GB" w:eastAsia="zh-CN"/>
        </w:rPr>
        <w:t>；</w:t>
      </w:r>
    </w:p>
    <w:p w14:paraId="0AA02B8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11.</w:t>
      </w:r>
      <w:r>
        <w:rPr>
          <w:rFonts w:hint="eastAsia" w:ascii="仿宋_GB2312" w:hAnsi="仿宋_GB2312" w:eastAsia="仿宋_GB2312" w:cs="仿宋_GB2312"/>
          <w:b w:val="0"/>
          <w:bCs w:val="0"/>
          <w:color w:val="auto"/>
          <w:sz w:val="28"/>
          <w:szCs w:val="28"/>
          <w:highlight w:val="none"/>
          <w:lang w:val="en-US" w:eastAsia="zh-CN"/>
        </w:rPr>
        <w:t>权利证书编号：</w:t>
      </w:r>
      <w:r>
        <w:rPr>
          <w:rFonts w:hint="eastAsia" w:ascii="仿宋_GB2312" w:hAnsi="仿宋_GB2312" w:eastAsia="仿宋_GB2312" w:cs="仿宋_GB2312"/>
          <w:bCs/>
          <w:color w:val="auto"/>
          <w:kern w:val="2"/>
          <w:sz w:val="28"/>
          <w:szCs w:val="28"/>
          <w:highlight w:val="none"/>
          <w:lang w:val="en-US" w:eastAsia="zh-CN" w:bidi="ar-SA"/>
        </w:rPr>
        <w:t>/</w:t>
      </w:r>
      <w:r>
        <w:rPr>
          <w:rFonts w:hint="eastAsia" w:ascii="仿宋_GB2312" w:hAnsi="仿宋_GB2312" w:eastAsia="仿宋_GB2312" w:cs="仿宋_GB2312"/>
          <w:b w:val="0"/>
          <w:bCs w:val="0"/>
          <w:color w:val="auto"/>
          <w:sz w:val="28"/>
          <w:szCs w:val="28"/>
          <w:highlight w:val="none"/>
          <w:lang w:val="en-GB" w:eastAsia="zh-CN"/>
        </w:rPr>
        <w:t>；</w:t>
      </w:r>
    </w:p>
    <w:p w14:paraId="1CB339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12.权利人：</w:t>
      </w:r>
      <w:r>
        <w:rPr>
          <w:rFonts w:hint="eastAsia" w:ascii="仿宋_GB2312" w:hAnsi="仿宋_GB2312" w:eastAsia="仿宋_GB2312" w:cs="仿宋_GB2312"/>
          <w:b w:val="0"/>
          <w:bCs w:val="0"/>
          <w:color w:val="auto"/>
          <w:sz w:val="28"/>
          <w:szCs w:val="28"/>
          <w:highlight w:val="none"/>
          <w:lang w:val="en-US" w:eastAsia="zh-CN"/>
        </w:rPr>
        <w:t>/</w:t>
      </w:r>
      <w:r>
        <w:rPr>
          <w:rFonts w:hint="eastAsia" w:ascii="仿宋_GB2312" w:hAnsi="仿宋_GB2312" w:eastAsia="仿宋_GB2312" w:cs="仿宋_GB2312"/>
          <w:b w:val="0"/>
          <w:bCs w:val="0"/>
          <w:color w:val="auto"/>
          <w:sz w:val="28"/>
          <w:szCs w:val="28"/>
          <w:highlight w:val="none"/>
          <w:lang w:val="en-GB" w:eastAsia="zh-CN"/>
        </w:rPr>
        <w:t>；</w:t>
      </w:r>
    </w:p>
    <w:p w14:paraId="6A21A9E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13.登记时间：</w:t>
      </w:r>
      <w:r>
        <w:rPr>
          <w:rFonts w:hint="eastAsia" w:ascii="仿宋_GB2312" w:hAnsi="仿宋_GB2312" w:eastAsia="仿宋_GB2312" w:cs="仿宋_GB2312"/>
          <w:b w:val="0"/>
          <w:bCs w:val="0"/>
          <w:color w:val="auto"/>
          <w:sz w:val="28"/>
          <w:szCs w:val="28"/>
          <w:highlight w:val="none"/>
          <w:lang w:val="en-US" w:eastAsia="zh-CN"/>
        </w:rPr>
        <w:t>/</w:t>
      </w:r>
      <w:r>
        <w:rPr>
          <w:rFonts w:hint="eastAsia" w:ascii="仿宋_GB2312" w:hAnsi="仿宋_GB2312" w:eastAsia="仿宋_GB2312" w:cs="仿宋_GB2312"/>
          <w:b w:val="0"/>
          <w:bCs w:val="0"/>
          <w:color w:val="auto"/>
          <w:sz w:val="28"/>
          <w:szCs w:val="28"/>
          <w:highlight w:val="none"/>
          <w:lang w:val="en-GB" w:eastAsia="zh-CN"/>
        </w:rPr>
        <w:t>；</w:t>
      </w:r>
    </w:p>
    <w:p w14:paraId="792D361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14.地籍图号：/；</w:t>
      </w:r>
    </w:p>
    <w:p w14:paraId="122FFBF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15.宗地号：/；</w:t>
      </w:r>
    </w:p>
    <w:p w14:paraId="767DC4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3402D5C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3"/>
        <w:rPr>
          <w:rFonts w:hint="eastAsia" w:ascii="仿宋_GB2312" w:hAnsi="仿宋_GB2312" w:eastAsia="仿宋_GB2312" w:cs="仿宋_GB2312"/>
          <w:b/>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GB" w:eastAsia="zh-CN"/>
          <w14:textFill>
            <w14:solidFill>
              <w14:schemeClr w14:val="tx1"/>
            </w14:solidFill>
          </w14:textFill>
        </w:rPr>
        <w:t>（二）土地权利状况</w:t>
      </w:r>
    </w:p>
    <w:p w14:paraId="29EE6A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1.土地所有权状况：于估价期日，估价对象的土地所有权属国家所有；</w:t>
      </w:r>
    </w:p>
    <w:p w14:paraId="6700B39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2.土地使用权状况：根据此次估价目的，估价对象土地使用权人拟通过挂牌出让方式确定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3A3B824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2371303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11D6DDDD">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3"/>
        <w:rPr>
          <w:rFonts w:hint="eastAsia" w:ascii="仿宋_GB2312" w:hAnsi="仿宋_GB2312" w:eastAsia="仿宋_GB2312" w:cs="仿宋_GB2312"/>
          <w:b/>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GB" w:eastAsia="zh-CN"/>
          <w14:textFill>
            <w14:solidFill>
              <w14:schemeClr w14:val="tx1"/>
            </w14:solidFill>
          </w14:textFill>
        </w:rPr>
        <w:t>（三）土地利用状况</w:t>
      </w:r>
    </w:p>
    <w:p w14:paraId="59097A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1.土地利用现状</w:t>
      </w:r>
    </w:p>
    <w:p w14:paraId="2FD9B44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64D93B7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对象位于道县西洲街道宝珍街六栋九号</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1-4层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混合</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不锈钢及木质入户门，铝合金窗户，铁艺防盗网，外墙及屋内地贴瓷砖，简单装修，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建成于1998年，</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28年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22</w:t>
      </w:r>
      <w:r>
        <w:rPr>
          <w:rFonts w:hint="default"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根据《不动产测绘报告书》，建筑面积205.45平方米，根据《宗地图》，估价对象土地面积50平方米，则容积率为4.11，</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4.11。</w:t>
      </w:r>
    </w:p>
    <w:p w14:paraId="0BF6BA7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估价对象利用现状如下：</w:t>
      </w:r>
    </w:p>
    <w:tbl>
      <w:tblPr>
        <w:tblStyle w:val="14"/>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25AB0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0C20735F">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b w:val="0"/>
                <w:bCs w:val="0"/>
                <w:color w:val="000000" w:themeColor="text1"/>
                <w:sz w:val="28"/>
                <w:szCs w:val="28"/>
                <w:highlight w:val="none"/>
                <w:lang w:eastAsia="zh-CN"/>
                <w14:textFill>
                  <w14:solidFill>
                    <w14:schemeClr w14:val="tx1"/>
                  </w14:solidFill>
                </w14:textFill>
              </w:rPr>
              <w:drawing>
                <wp:inline distT="0" distB="0" distL="114300" distR="114300">
                  <wp:extent cx="2594610" cy="3461385"/>
                  <wp:effectExtent l="0" t="0" r="15240" b="5715"/>
                  <wp:docPr id="6" name="图片 6" descr="现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现场2"/>
                          <pic:cNvPicPr>
                            <a:picLocks noChangeAspect="1"/>
                          </pic:cNvPicPr>
                        </pic:nvPicPr>
                        <pic:blipFill>
                          <a:blip r:embed="rId21"/>
                          <a:stretch>
                            <a:fillRect/>
                          </a:stretch>
                        </pic:blipFill>
                        <pic:spPr>
                          <a:xfrm>
                            <a:off x="0" y="0"/>
                            <a:ext cx="2594610" cy="3461385"/>
                          </a:xfrm>
                          <a:prstGeom prst="rect">
                            <a:avLst/>
                          </a:prstGeom>
                        </pic:spPr>
                      </pic:pic>
                    </a:graphicData>
                  </a:graphic>
                </wp:inline>
              </w:drawing>
            </w:r>
          </w:p>
        </w:tc>
        <w:tc>
          <w:tcPr>
            <w:tcW w:w="2466" w:type="pct"/>
          </w:tcPr>
          <w:p w14:paraId="15693E7B">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b w:val="0"/>
                <w:bCs w:val="0"/>
                <w:color w:val="000000" w:themeColor="text1"/>
                <w:sz w:val="28"/>
                <w:szCs w:val="28"/>
                <w:highlight w:val="none"/>
                <w:lang w:eastAsia="zh-CN"/>
                <w14:textFill>
                  <w14:solidFill>
                    <w14:schemeClr w14:val="tx1"/>
                  </w14:solidFill>
                </w14:textFill>
              </w:rPr>
              <w:drawing>
                <wp:inline distT="0" distB="0" distL="114300" distR="114300">
                  <wp:extent cx="2521585" cy="3363595"/>
                  <wp:effectExtent l="0" t="0" r="12065" b="8255"/>
                  <wp:docPr id="7" name="图片 7" descr="现场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现场4"/>
                          <pic:cNvPicPr>
                            <a:picLocks noChangeAspect="1"/>
                          </pic:cNvPicPr>
                        </pic:nvPicPr>
                        <pic:blipFill>
                          <a:blip r:embed="rId22"/>
                          <a:stretch>
                            <a:fillRect/>
                          </a:stretch>
                        </pic:blipFill>
                        <pic:spPr>
                          <a:xfrm>
                            <a:off x="0" y="0"/>
                            <a:ext cx="2521585" cy="3363595"/>
                          </a:xfrm>
                          <a:prstGeom prst="rect">
                            <a:avLst/>
                          </a:prstGeom>
                        </pic:spPr>
                      </pic:pic>
                    </a:graphicData>
                  </a:graphic>
                </wp:inline>
              </w:drawing>
            </w:r>
          </w:p>
        </w:tc>
      </w:tr>
    </w:tbl>
    <w:p w14:paraId="7B6393F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2.规划利用条件</w:t>
      </w:r>
    </w:p>
    <w:p w14:paraId="326AD16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（1）规划利用状况</w:t>
      </w:r>
    </w:p>
    <w:p w14:paraId="0380685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根据《评估委托书》，</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委托方拟按现状利用条件办理出让手续，根据现场查勘，估价对象现状已建成住宅建筑，</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根据《不动产测绘报告书》，估价对象建筑面积205.45平方米，根据《宗地图》，估价对象土地面积50平方米，则容积率为4.11</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4.11</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7B328C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（2）最佳利用</w:t>
      </w:r>
    </w:p>
    <w:p w14:paraId="123EFEA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本次评估根据最有效利用原则，设定估价对象为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4.11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26FB8097">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3</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土地闲置状况</w:t>
      </w:r>
    </w:p>
    <w:p w14:paraId="061A9999">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估价对象为已开发用地，于估价期日属于已供土地，不属于闲置土地。</w:t>
      </w:r>
    </w:p>
    <w:p w14:paraId="309536D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利用限制和缺陷情况</w:t>
      </w:r>
    </w:p>
    <w:p w14:paraId="6877C83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5D103A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p>
    <w:p w14:paraId="3604DB1F">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color w:val="auto"/>
          <w:sz w:val="28"/>
          <w:szCs w:val="28"/>
          <w:highlight w:val="none"/>
          <w:lang w:val="en-US" w:eastAsia="zh-CN"/>
        </w:rPr>
      </w:pPr>
      <w:bookmarkStart w:id="19" w:name="_Toc7099"/>
      <w:bookmarkStart w:id="20" w:name="_Toc3816"/>
      <w:bookmarkStart w:id="21" w:name="_Toc1230"/>
      <w:r>
        <w:rPr>
          <w:rFonts w:hint="eastAsia" w:ascii="仿宋_GB2312" w:hAnsi="仿宋_GB2312" w:eastAsia="仿宋_GB2312" w:cs="仿宋_GB2312"/>
          <w:b/>
          <w:bCs/>
          <w:color w:val="auto"/>
          <w:sz w:val="28"/>
          <w:szCs w:val="28"/>
          <w:highlight w:val="none"/>
          <w:lang w:val="en-US" w:eastAsia="zh-CN"/>
        </w:rPr>
        <w:t>四</w:t>
      </w:r>
      <w:r>
        <w:rPr>
          <w:rFonts w:hint="default" w:ascii="仿宋_GB2312" w:hAnsi="仿宋_GB2312" w:eastAsia="仿宋_GB2312" w:cs="仿宋_GB2312"/>
          <w:b/>
          <w:bCs/>
          <w:color w:val="auto"/>
          <w:sz w:val="28"/>
          <w:szCs w:val="28"/>
          <w:highlight w:val="none"/>
          <w:lang w:val="en-US" w:eastAsia="zh-CN"/>
        </w:rPr>
        <w:t>、地价影响因素分析</w:t>
      </w:r>
      <w:bookmarkEnd w:id="19"/>
      <w:bookmarkEnd w:id="20"/>
      <w:bookmarkEnd w:id="21"/>
    </w:p>
    <w:p w14:paraId="2DB13945">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2"/>
        <w:rPr>
          <w:rFonts w:hint="default" w:ascii="仿宋_GB2312" w:hAnsi="仿宋_GB2312" w:eastAsia="仿宋_GB2312" w:cs="仿宋_GB2312"/>
          <w:b/>
          <w:bCs/>
          <w:color w:val="auto"/>
          <w:sz w:val="28"/>
          <w:szCs w:val="28"/>
          <w:highlight w:val="none"/>
          <w:lang w:val="en-US" w:eastAsia="zh-CN"/>
        </w:rPr>
      </w:pPr>
      <w:bookmarkStart w:id="22" w:name="_Toc25060"/>
      <w:bookmarkStart w:id="23" w:name="_Toc102987873"/>
      <w:bookmarkStart w:id="24" w:name="_Toc25578"/>
      <w:r>
        <w:rPr>
          <w:rFonts w:hint="default" w:ascii="仿宋_GB2312" w:hAnsi="仿宋_GB2312" w:eastAsia="仿宋_GB2312" w:cs="仿宋_GB2312"/>
          <w:b/>
          <w:bCs/>
          <w:color w:val="auto"/>
          <w:sz w:val="28"/>
          <w:szCs w:val="28"/>
          <w:highlight w:val="none"/>
          <w:lang w:val="en-US" w:eastAsia="zh-CN"/>
        </w:rPr>
        <w:t>（一）一般因素</w:t>
      </w:r>
      <w:bookmarkEnd w:id="22"/>
    </w:p>
    <w:p w14:paraId="4366BD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主要地类数据如下：</w:t>
      </w:r>
    </w:p>
    <w:p w14:paraId="1D4F5A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2020年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8月18</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人民政府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2025年供应土地最少，仅为85.01公顷。近6年共供应土地总面积达到1057.43公顷，其中出让土地429.01公顷，占供应总量的40.57%，划拨土地628.42公顷，占供应总量的59.43%，总体年均供地176.24公顷，其中出让年均供应71.50公顷，划拨年均供地104.74公顷，详见下表。</w:t>
      </w:r>
    </w:p>
    <w:p w14:paraId="72CC2199">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b w:val="0"/>
          <w:bCs w:val="0"/>
          <w:color w:val="000000" w:themeColor="text1"/>
          <w:sz w:val="28"/>
          <w:szCs w:val="30"/>
          <w:highlight w:val="none"/>
          <w14:textFill>
            <w14:solidFill>
              <w14:schemeClr w14:val="tx1"/>
            </w14:solidFill>
          </w14:textFill>
        </w:rPr>
      </w:pPr>
      <w:r>
        <w:rPr>
          <w:rFonts w:hint="eastAsia" w:ascii="仿宋" w:hAnsi="仿宋" w:eastAsia="仿宋" w:cs="仿宋"/>
          <w:b w:val="0"/>
          <w:bCs w:val="0"/>
          <w:color w:val="000000" w:themeColor="text1"/>
          <w:kern w:val="0"/>
          <w:sz w:val="28"/>
          <w:szCs w:val="28"/>
          <w:highlight w:val="none"/>
          <w:lang w:val="en-US" w:eastAsia="zh-CN" w:bidi="ar"/>
          <w14:textFill>
            <w14:solidFill>
              <w14:schemeClr w14:val="tx1"/>
            </w14:solidFill>
          </w14:textFill>
        </w:rPr>
        <w:t>道县 2020-2025年土地供应情况一览表</w:t>
      </w:r>
    </w:p>
    <w:tbl>
      <w:tblPr>
        <w:tblStyle w:val="14"/>
        <w:tblW w:w="497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2"/>
        <w:gridCol w:w="2599"/>
        <w:gridCol w:w="2303"/>
        <w:gridCol w:w="2414"/>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2" w:hRule="atLeast"/>
          <w:tblHeader/>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年份</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出让土地（公顷）</w:t>
            </w:r>
          </w:p>
        </w:tc>
        <w:tc>
          <w:tcPr>
            <w:tcW w:w="13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划拨土地（公顷）</w:t>
            </w:r>
          </w:p>
        </w:tc>
        <w:tc>
          <w:tcPr>
            <w:tcW w:w="14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0"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2020</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91.77 </w:t>
            </w:r>
          </w:p>
        </w:tc>
        <w:tc>
          <w:tcPr>
            <w:tcW w:w="13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164.63 </w:t>
            </w:r>
          </w:p>
        </w:tc>
        <w:tc>
          <w:tcPr>
            <w:tcW w:w="14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0"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2021</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100.84 </w:t>
            </w:r>
          </w:p>
        </w:tc>
        <w:tc>
          <w:tcPr>
            <w:tcW w:w="13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83.89 </w:t>
            </w:r>
          </w:p>
        </w:tc>
        <w:tc>
          <w:tcPr>
            <w:tcW w:w="14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0"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2022</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67.23 </w:t>
            </w:r>
          </w:p>
        </w:tc>
        <w:tc>
          <w:tcPr>
            <w:tcW w:w="13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94.40 </w:t>
            </w:r>
          </w:p>
        </w:tc>
        <w:tc>
          <w:tcPr>
            <w:tcW w:w="14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0"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2023</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20.42 </w:t>
            </w:r>
          </w:p>
        </w:tc>
        <w:tc>
          <w:tcPr>
            <w:tcW w:w="13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181.51 </w:t>
            </w:r>
          </w:p>
        </w:tc>
        <w:tc>
          <w:tcPr>
            <w:tcW w:w="14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0"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2024</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134.88</w:t>
            </w:r>
          </w:p>
        </w:tc>
        <w:tc>
          <w:tcPr>
            <w:tcW w:w="13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32.85</w:t>
            </w:r>
          </w:p>
        </w:tc>
        <w:tc>
          <w:tcPr>
            <w:tcW w:w="14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167.73 </w:t>
            </w:r>
          </w:p>
        </w:tc>
      </w:tr>
      <w:tr w14:paraId="481C7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0"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DF7F4">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2025</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FEE7A">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13.87</w:t>
            </w:r>
          </w:p>
        </w:tc>
        <w:tc>
          <w:tcPr>
            <w:tcW w:w="13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F5FD74">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71.14</w:t>
            </w:r>
          </w:p>
        </w:tc>
        <w:tc>
          <w:tcPr>
            <w:tcW w:w="14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EC800">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85.01</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0"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合计</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429.01</w:t>
            </w:r>
          </w:p>
        </w:tc>
        <w:tc>
          <w:tcPr>
            <w:tcW w:w="13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628.42</w:t>
            </w:r>
          </w:p>
        </w:tc>
        <w:tc>
          <w:tcPr>
            <w:tcW w:w="14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1057.43</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0"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年均</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71.50</w:t>
            </w:r>
          </w:p>
        </w:tc>
        <w:tc>
          <w:tcPr>
            <w:tcW w:w="13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104.74</w:t>
            </w:r>
          </w:p>
        </w:tc>
        <w:tc>
          <w:tcPr>
            <w:tcW w:w="14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176.24</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5"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占比</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40.57%</w:t>
            </w:r>
          </w:p>
        </w:tc>
        <w:tc>
          <w:tcPr>
            <w:tcW w:w="13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59.43%</w:t>
            </w:r>
          </w:p>
        </w:tc>
        <w:tc>
          <w:tcPr>
            <w:tcW w:w="14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100.00%</w:t>
            </w:r>
          </w:p>
        </w:tc>
      </w:tr>
    </w:tbl>
    <w:p w14:paraId="1D04DA12">
      <w:pPr>
        <w:pStyle w:val="1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b w:val="0"/>
          <w:bCs w:val="0"/>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b w:val="0"/>
          <w:bCs w:val="0"/>
          <w:color w:val="000000" w:themeColor="text1"/>
          <w:sz w:val="28"/>
          <w:szCs w:val="30"/>
          <w:highlight w:val="none"/>
          <w:lang w:eastAsia="zh-CN"/>
          <w14:textFill>
            <w14:solidFill>
              <w14:schemeClr w14:val="tx1"/>
            </w14:solidFill>
          </w14:textFill>
        </w:rPr>
      </w:pPr>
      <w:r>
        <w:drawing>
          <wp:inline distT="0" distB="0" distL="114300" distR="114300">
            <wp:extent cx="4691380" cy="2474595"/>
            <wp:effectExtent l="4445" t="5080" r="9525" b="15875"/>
            <wp:docPr id="4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A26772A">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b w:val="0"/>
          <w:bCs w:val="0"/>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b w:val="0"/>
          <w:bCs w:val="0"/>
          <w:color w:val="000000" w:themeColor="text1"/>
          <w:kern w:val="0"/>
          <w:sz w:val="28"/>
          <w:szCs w:val="28"/>
          <w:highlight w:val="none"/>
          <w:lang w:val="en-US" w:eastAsia="zh-CN" w:bidi="ar"/>
          <w14:textFill>
            <w14:solidFill>
              <w14:schemeClr w14:val="tx1"/>
            </w14:solidFill>
          </w14:textFill>
        </w:rPr>
        <w:t>道县2020-2025年土地供应总量图</w:t>
      </w:r>
    </w:p>
    <w:p w14:paraId="7997F65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b w:val="0"/>
          <w:bCs w:val="0"/>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-2025年土地市场供应有所起伏，2020年土地市场趋于活跃。从道县近6年的房地产开发用地商服、住宅及工矿仓储用地供应情况来看，三类用地占土地供应总量的45.46%，其中工矿仓储用地供应量最大，占土地供应总量的26.23%，其次是住宅用地，占土地供应总量的16.71%，商服用地最小，仅占土地供应总量的2.52%。从其他用地的供应情况来看，其他土地占总供应量的54.54%。其中公共管理与公共服务用地、交通运输用地的供应面积比例较大，占土地供应总面积的比例分别为24.02%、29.83%，另外还有少量特殊用地的供应，占土地供应总面积的0.69%，详见下表。</w:t>
      </w:r>
    </w:p>
    <w:p w14:paraId="3A34AC59">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b w:val="0"/>
          <w:bCs w:val="0"/>
          <w:color w:val="000000" w:themeColor="text1"/>
          <w:sz w:val="28"/>
          <w:szCs w:val="30"/>
          <w:highlight w:val="none"/>
          <w:lang w:val="en-US" w:eastAsia="zh-CN"/>
          <w14:textFill>
            <w14:solidFill>
              <w14:schemeClr w14:val="tx1"/>
            </w14:solidFill>
          </w14:textFill>
        </w:rPr>
      </w:pPr>
      <w:r>
        <w:rPr>
          <w:rFonts w:hint="eastAsia" w:ascii="仿宋_GB2312" w:eastAsia="仿宋_GB2312"/>
          <w:b w:val="0"/>
          <w:bCs w:val="0"/>
          <w:color w:val="000000" w:themeColor="text1"/>
          <w:sz w:val="28"/>
          <w:szCs w:val="30"/>
          <w:highlight w:val="none"/>
          <w:lang w:val="en-US" w:eastAsia="zh-CN"/>
          <w14:textFill>
            <w14:solidFill>
              <w14:schemeClr w14:val="tx1"/>
            </w14:solidFill>
          </w14:textFill>
        </w:rPr>
        <w:t>道县2020-2025年土地供应情况表</w:t>
      </w:r>
    </w:p>
    <w:p w14:paraId="1646A79D">
      <w:pPr>
        <w:pStyle w:val="18"/>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default"/>
          <w:b w:val="0"/>
          <w:bCs w:val="0"/>
          <w:color w:val="000000" w:themeColor="text1"/>
          <w:highlight w:val="none"/>
          <w:lang w:val="en-US" w:eastAsia="zh-CN"/>
          <w14:textFill>
            <w14:solidFill>
              <w14:schemeClr w14:val="tx1"/>
            </w14:solidFill>
          </w14:textFill>
        </w:rPr>
      </w:pPr>
      <w:r>
        <w:rPr>
          <w:rFonts w:hint="eastAsia" w:ascii="仿宋_GB2312" w:eastAsia="仿宋_GB2312"/>
          <w:b w:val="0"/>
          <w:bCs w:val="0"/>
          <w:color w:val="000000" w:themeColor="text1"/>
          <w:sz w:val="22"/>
          <w:szCs w:val="24"/>
          <w:highlight w:val="none"/>
          <w:lang w:val="en-US" w:eastAsia="zh-CN"/>
          <w14:textFill>
            <w14:solidFill>
              <w14:schemeClr w14:val="tx1"/>
            </w14:solidFill>
          </w14:textFill>
        </w:rPr>
        <w:t>单位：公顷</w:t>
      </w:r>
    </w:p>
    <w:tbl>
      <w:tblPr>
        <w:tblStyle w:val="14"/>
        <w:tblW w:w="5254"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36"/>
        <w:gridCol w:w="970"/>
        <w:gridCol w:w="685"/>
        <w:gridCol w:w="861"/>
        <w:gridCol w:w="806"/>
        <w:gridCol w:w="780"/>
        <w:gridCol w:w="806"/>
        <w:gridCol w:w="779"/>
        <w:gridCol w:w="834"/>
        <w:gridCol w:w="834"/>
        <w:gridCol w:w="765"/>
      </w:tblGrid>
      <w:tr w14:paraId="5EAAC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 w:hRule="atLeast"/>
          <w:tblHeader/>
          <w:jc w:val="center"/>
        </w:trPr>
        <w:tc>
          <w:tcPr>
            <w:tcW w:w="1390"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BAD8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bCs/>
                <w:i w:val="0"/>
                <w:iCs w:val="0"/>
                <w:color w:val="000000"/>
                <w:sz w:val="18"/>
                <w:szCs w:val="18"/>
                <w:u w:val="none"/>
              </w:rPr>
            </w:pPr>
            <w:r>
              <w:rPr>
                <w:rFonts w:hint="eastAsia" w:ascii="仿宋_GB2312" w:hAnsi="仿宋_GB2312" w:eastAsia="仿宋_GB2312" w:cs="仿宋_GB2312"/>
                <w:b/>
                <w:bCs/>
                <w:i w:val="0"/>
                <w:iCs w:val="0"/>
                <w:color w:val="000000"/>
                <w:kern w:val="0"/>
                <w:sz w:val="18"/>
                <w:szCs w:val="18"/>
                <w:u w:val="none"/>
                <w:lang w:val="en-US" w:eastAsia="zh-CN" w:bidi="ar"/>
              </w:rPr>
              <w:t>年份</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31A87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bCs/>
                <w:i w:val="0"/>
                <w:iCs w:val="0"/>
                <w:color w:val="000000"/>
                <w:sz w:val="18"/>
                <w:szCs w:val="18"/>
                <w:u w:val="none"/>
              </w:rPr>
            </w:pPr>
            <w:r>
              <w:rPr>
                <w:rFonts w:hint="eastAsia" w:ascii="仿宋_GB2312" w:hAnsi="仿宋_GB2312" w:eastAsia="仿宋_GB2312" w:cs="仿宋_GB2312"/>
                <w:b/>
                <w:bCs/>
                <w:i w:val="0"/>
                <w:iCs w:val="0"/>
                <w:color w:val="000000"/>
                <w:kern w:val="0"/>
                <w:sz w:val="18"/>
                <w:szCs w:val="18"/>
                <w:u w:val="none"/>
                <w:lang w:val="en-US" w:eastAsia="zh-CN" w:bidi="ar"/>
              </w:rPr>
              <w:t>2020年</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C4653">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bCs/>
                <w:i w:val="0"/>
                <w:iCs w:val="0"/>
                <w:color w:val="000000"/>
                <w:sz w:val="18"/>
                <w:szCs w:val="18"/>
                <w:u w:val="none"/>
              </w:rPr>
            </w:pPr>
            <w:r>
              <w:rPr>
                <w:rFonts w:hint="eastAsia" w:ascii="仿宋_GB2312" w:hAnsi="仿宋_GB2312" w:eastAsia="仿宋_GB2312" w:cs="仿宋_GB2312"/>
                <w:b/>
                <w:bCs/>
                <w:i w:val="0"/>
                <w:iCs w:val="0"/>
                <w:color w:val="000000"/>
                <w:kern w:val="0"/>
                <w:sz w:val="18"/>
                <w:szCs w:val="18"/>
                <w:u w:val="none"/>
                <w:lang w:val="en-US" w:eastAsia="zh-CN" w:bidi="ar"/>
              </w:rPr>
              <w:t>2021年</w:t>
            </w:r>
          </w:p>
        </w:tc>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A7CB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bCs/>
                <w:i w:val="0"/>
                <w:iCs w:val="0"/>
                <w:color w:val="000000"/>
                <w:sz w:val="18"/>
                <w:szCs w:val="18"/>
                <w:u w:val="none"/>
              </w:rPr>
            </w:pPr>
            <w:r>
              <w:rPr>
                <w:rFonts w:hint="eastAsia" w:ascii="仿宋_GB2312" w:hAnsi="仿宋_GB2312" w:eastAsia="仿宋_GB2312" w:cs="仿宋_GB2312"/>
                <w:b/>
                <w:bCs/>
                <w:i w:val="0"/>
                <w:iCs w:val="0"/>
                <w:color w:val="000000"/>
                <w:kern w:val="0"/>
                <w:sz w:val="18"/>
                <w:szCs w:val="18"/>
                <w:u w:val="none"/>
                <w:lang w:val="en-US" w:eastAsia="zh-CN" w:bidi="ar"/>
              </w:rPr>
              <w:t>2022年</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256003">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bCs/>
                <w:i w:val="0"/>
                <w:iCs w:val="0"/>
                <w:color w:val="000000"/>
                <w:sz w:val="18"/>
                <w:szCs w:val="18"/>
                <w:u w:val="none"/>
              </w:rPr>
            </w:pPr>
            <w:r>
              <w:rPr>
                <w:rFonts w:hint="eastAsia" w:ascii="仿宋_GB2312" w:hAnsi="仿宋_GB2312" w:eastAsia="仿宋_GB2312" w:cs="仿宋_GB2312"/>
                <w:b/>
                <w:bCs/>
                <w:i w:val="0"/>
                <w:iCs w:val="0"/>
                <w:color w:val="000000"/>
                <w:kern w:val="0"/>
                <w:sz w:val="18"/>
                <w:szCs w:val="18"/>
                <w:u w:val="none"/>
                <w:lang w:val="en-US" w:eastAsia="zh-CN" w:bidi="ar"/>
              </w:rPr>
              <w:t>2023年</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556FD">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bCs/>
                <w:i w:val="0"/>
                <w:iCs w:val="0"/>
                <w:color w:val="000000"/>
                <w:sz w:val="18"/>
                <w:szCs w:val="18"/>
                <w:u w:val="none"/>
              </w:rPr>
            </w:pPr>
            <w:r>
              <w:rPr>
                <w:rFonts w:hint="eastAsia" w:ascii="仿宋_GB2312" w:hAnsi="仿宋_GB2312" w:eastAsia="仿宋_GB2312" w:cs="仿宋_GB2312"/>
                <w:b/>
                <w:bCs/>
                <w:i w:val="0"/>
                <w:iCs w:val="0"/>
                <w:color w:val="000000"/>
                <w:kern w:val="0"/>
                <w:sz w:val="18"/>
                <w:szCs w:val="18"/>
                <w:u w:val="none"/>
                <w:lang w:val="en-US" w:eastAsia="zh-CN" w:bidi="ar"/>
              </w:rPr>
              <w:t>2024年</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2537E">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bCs/>
                <w:i w:val="0"/>
                <w:iCs w:val="0"/>
                <w:color w:val="000000"/>
                <w:sz w:val="18"/>
                <w:szCs w:val="18"/>
                <w:u w:val="none"/>
              </w:rPr>
            </w:pPr>
            <w:r>
              <w:rPr>
                <w:rFonts w:hint="eastAsia" w:ascii="仿宋_GB2312" w:hAnsi="仿宋_GB2312" w:eastAsia="仿宋_GB2312" w:cs="仿宋_GB2312"/>
                <w:b/>
                <w:bCs/>
                <w:i w:val="0"/>
                <w:iCs w:val="0"/>
                <w:color w:val="000000"/>
                <w:kern w:val="0"/>
                <w:sz w:val="18"/>
                <w:szCs w:val="18"/>
                <w:u w:val="none"/>
                <w:lang w:val="en-US" w:eastAsia="zh-CN" w:bidi="ar"/>
              </w:rPr>
              <w:t>2025年</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350A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bCs/>
                <w:i w:val="0"/>
                <w:iCs w:val="0"/>
                <w:color w:val="000000"/>
                <w:sz w:val="18"/>
                <w:szCs w:val="18"/>
                <w:u w:val="none"/>
              </w:rPr>
            </w:pPr>
            <w:r>
              <w:rPr>
                <w:rFonts w:hint="eastAsia" w:ascii="仿宋_GB2312" w:hAnsi="仿宋_GB2312" w:eastAsia="仿宋_GB2312" w:cs="仿宋_GB2312"/>
                <w:b/>
                <w:bCs/>
                <w:i w:val="0"/>
                <w:iCs w:val="0"/>
                <w:color w:val="000000"/>
                <w:kern w:val="0"/>
                <w:sz w:val="18"/>
                <w:szCs w:val="18"/>
                <w:u w:val="none"/>
                <w:lang w:val="en-US" w:eastAsia="zh-CN" w:bidi="ar"/>
              </w:rPr>
              <w:t>合计</w:t>
            </w:r>
          </w:p>
        </w:tc>
        <w:tc>
          <w:tcPr>
            <w:tcW w:w="4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39D3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bCs/>
                <w:i w:val="0"/>
                <w:iCs w:val="0"/>
                <w:color w:val="000000"/>
                <w:sz w:val="18"/>
                <w:szCs w:val="18"/>
                <w:u w:val="none"/>
              </w:rPr>
            </w:pPr>
            <w:r>
              <w:rPr>
                <w:rFonts w:hint="eastAsia" w:ascii="仿宋_GB2312" w:hAnsi="仿宋_GB2312" w:eastAsia="仿宋_GB2312" w:cs="仿宋_GB2312"/>
                <w:b/>
                <w:bCs/>
                <w:i w:val="0"/>
                <w:iCs w:val="0"/>
                <w:color w:val="000000"/>
                <w:kern w:val="0"/>
                <w:sz w:val="18"/>
                <w:szCs w:val="18"/>
                <w:u w:val="none"/>
                <w:lang w:val="en-US" w:eastAsia="zh-CN" w:bidi="ar"/>
              </w:rPr>
              <w:t>百分比</w:t>
            </w:r>
          </w:p>
        </w:tc>
      </w:tr>
      <w:tr w14:paraId="752A1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 w:hRule="atLeast"/>
          <w:jc w:val="center"/>
        </w:trPr>
        <w:tc>
          <w:tcPr>
            <w:tcW w:w="46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A53985F">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房地产开发用地</w:t>
            </w:r>
          </w:p>
        </w:tc>
        <w:tc>
          <w:tcPr>
            <w:tcW w:w="5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C2D6F">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商服用地</w:t>
            </w:r>
          </w:p>
        </w:tc>
        <w:tc>
          <w:tcPr>
            <w:tcW w:w="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498F1">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出让</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A4DDF">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7.86</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DE70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5.46</w:t>
            </w:r>
          </w:p>
        </w:tc>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67EC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11.87</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C76D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 xml:space="preserve">1.0 </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A4A69">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 xml:space="preserve">0.0 </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94BC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0.46</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11ACC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26.65</w:t>
            </w:r>
          </w:p>
        </w:tc>
        <w:tc>
          <w:tcPr>
            <w:tcW w:w="4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51F8C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2.52%</w:t>
            </w:r>
          </w:p>
        </w:tc>
      </w:tr>
      <w:tr w14:paraId="11637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 w:hRule="atLeast"/>
          <w:jc w:val="center"/>
        </w:trPr>
        <w:tc>
          <w:tcPr>
            <w:tcW w:w="46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B00938">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c>
          <w:tcPr>
            <w:tcW w:w="541"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6BA2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住宅用地</w:t>
            </w:r>
          </w:p>
        </w:tc>
        <w:tc>
          <w:tcPr>
            <w:tcW w:w="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EF8B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出让</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0DE8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29.69</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EC241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60.27</w:t>
            </w:r>
          </w:p>
        </w:tc>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6A92E">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46.38</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24682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8.19</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1AE0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18.91</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755A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4.87</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4CD1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168.31</w:t>
            </w:r>
          </w:p>
        </w:tc>
        <w:tc>
          <w:tcPr>
            <w:tcW w:w="4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9EF1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16.71%</w:t>
            </w:r>
          </w:p>
        </w:tc>
      </w:tr>
      <w:tr w14:paraId="0D6D1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 w:hRule="atLeast"/>
          <w:jc w:val="center"/>
        </w:trPr>
        <w:tc>
          <w:tcPr>
            <w:tcW w:w="46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FAA4E0">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c>
          <w:tcPr>
            <w:tcW w:w="54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DDBDB">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c>
          <w:tcPr>
            <w:tcW w:w="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5AF2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划拨</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EA879">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332A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3.03</w:t>
            </w:r>
          </w:p>
        </w:tc>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DA6D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2.88</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6A76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2.5</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D9327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697E9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D4C12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8.41</w:t>
            </w:r>
          </w:p>
        </w:tc>
        <w:tc>
          <w:tcPr>
            <w:tcW w:w="4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76B84">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r>
      <w:tr w14:paraId="3329E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 w:hRule="atLeast"/>
          <w:jc w:val="center"/>
        </w:trPr>
        <w:tc>
          <w:tcPr>
            <w:tcW w:w="1008" w:type="pct"/>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3812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工矿仓储用地</w:t>
            </w:r>
          </w:p>
        </w:tc>
        <w:tc>
          <w:tcPr>
            <w:tcW w:w="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8A9F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出让</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9D65B">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47.5</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C9D90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30.79</w:t>
            </w:r>
          </w:p>
        </w:tc>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DFF4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8.99</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C823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11.23</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CCE7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104.12</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1DAF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6.22</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9DD8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208.85</w:t>
            </w:r>
          </w:p>
        </w:tc>
        <w:tc>
          <w:tcPr>
            <w:tcW w:w="4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4404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26.23%</w:t>
            </w:r>
          </w:p>
        </w:tc>
      </w:tr>
      <w:tr w14:paraId="64892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 w:hRule="atLeast"/>
          <w:jc w:val="center"/>
        </w:trPr>
        <w:tc>
          <w:tcPr>
            <w:tcW w:w="1008"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CCFF9">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c>
          <w:tcPr>
            <w:tcW w:w="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E45B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划拨</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E27A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1EF8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6279E">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112D0B">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2C83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09BB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68.57</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B03D3">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68.57</w:t>
            </w:r>
          </w:p>
        </w:tc>
        <w:tc>
          <w:tcPr>
            <w:tcW w:w="4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5D260">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r>
      <w:tr w14:paraId="754FA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 w:hRule="atLeast"/>
          <w:jc w:val="center"/>
        </w:trPr>
        <w:tc>
          <w:tcPr>
            <w:tcW w:w="46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AC9D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其他用地</w:t>
            </w:r>
          </w:p>
        </w:tc>
        <w:tc>
          <w:tcPr>
            <w:tcW w:w="54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AEFE9BB">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公共管理与公共服务用地</w:t>
            </w:r>
          </w:p>
        </w:tc>
        <w:tc>
          <w:tcPr>
            <w:tcW w:w="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F30CF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出让</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ED13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1.38</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3328A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4.32</w:t>
            </w:r>
          </w:p>
        </w:tc>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E4CE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252E1">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6A281E">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11.85</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86ACD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2.32</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4032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19.87</w:t>
            </w:r>
          </w:p>
        </w:tc>
        <w:tc>
          <w:tcPr>
            <w:tcW w:w="4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BC19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24.02%</w:t>
            </w:r>
          </w:p>
        </w:tc>
      </w:tr>
      <w:tr w14:paraId="2CB72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6" w:hRule="atLeast"/>
          <w:jc w:val="center"/>
        </w:trPr>
        <w:tc>
          <w:tcPr>
            <w:tcW w:w="46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12168">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c>
          <w:tcPr>
            <w:tcW w:w="54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A6F6C6">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c>
          <w:tcPr>
            <w:tcW w:w="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44341">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划拨</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193E73">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153.73</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3C2B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48.36</w:t>
            </w:r>
          </w:p>
        </w:tc>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72B31">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8.45</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DB8F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21.12</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4FC299">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1.98</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A12189">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0.47</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8C7A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234.11</w:t>
            </w:r>
          </w:p>
        </w:tc>
        <w:tc>
          <w:tcPr>
            <w:tcW w:w="4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8A1F7">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r>
      <w:tr w14:paraId="10A6F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 w:hRule="atLeast"/>
          <w:jc w:val="center"/>
        </w:trPr>
        <w:tc>
          <w:tcPr>
            <w:tcW w:w="46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E45C6">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c>
          <w:tcPr>
            <w:tcW w:w="541"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CF7303">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特殊用地</w:t>
            </w:r>
          </w:p>
        </w:tc>
        <w:tc>
          <w:tcPr>
            <w:tcW w:w="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9924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出让</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5D6BB">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5.34</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242D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E0983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09AC3E">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0E1B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50DF9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C1B4D">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5.34</w:t>
            </w:r>
          </w:p>
        </w:tc>
        <w:tc>
          <w:tcPr>
            <w:tcW w:w="4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032E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0.69%</w:t>
            </w:r>
          </w:p>
        </w:tc>
      </w:tr>
      <w:tr w14:paraId="4D04A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 w:hRule="atLeast"/>
          <w:jc w:val="center"/>
        </w:trPr>
        <w:tc>
          <w:tcPr>
            <w:tcW w:w="46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23B1DA">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c>
          <w:tcPr>
            <w:tcW w:w="54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11850">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c>
          <w:tcPr>
            <w:tcW w:w="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2FCAF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划拨</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C2C5E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1.94</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8BCD6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24E5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1C442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D45B1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EDE9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F0A1B">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1.94</w:t>
            </w:r>
          </w:p>
        </w:tc>
        <w:tc>
          <w:tcPr>
            <w:tcW w:w="4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6E646">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r>
      <w:tr w14:paraId="3E7C7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 w:hRule="atLeast"/>
          <w:jc w:val="center"/>
        </w:trPr>
        <w:tc>
          <w:tcPr>
            <w:tcW w:w="46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793CA4">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c>
          <w:tcPr>
            <w:tcW w:w="54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A9090D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交通运输用地</w:t>
            </w:r>
          </w:p>
        </w:tc>
        <w:tc>
          <w:tcPr>
            <w:tcW w:w="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5E0F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出让</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0A44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F6A7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7D0C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1FF179">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D9E7C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04468B">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DB52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0</w:t>
            </w:r>
          </w:p>
        </w:tc>
        <w:tc>
          <w:tcPr>
            <w:tcW w:w="4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085D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29.83%</w:t>
            </w:r>
          </w:p>
        </w:tc>
      </w:tr>
      <w:tr w14:paraId="3621F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 w:hRule="atLeast"/>
          <w:jc w:val="center"/>
        </w:trPr>
        <w:tc>
          <w:tcPr>
            <w:tcW w:w="46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488135">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c>
          <w:tcPr>
            <w:tcW w:w="54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D57201">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c>
          <w:tcPr>
            <w:tcW w:w="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21F1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划拨</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00E8C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8.96</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0FC2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32.5</w:t>
            </w:r>
          </w:p>
        </w:tc>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A2AF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83.07</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64457D">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157.89</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00670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30.88</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D87DB1">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2.1</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89D8BF">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315.4</w:t>
            </w:r>
          </w:p>
        </w:tc>
        <w:tc>
          <w:tcPr>
            <w:tcW w:w="4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EC62A">
            <w:pPr>
              <w:keepNext w:val="0"/>
              <w:keepLines w:val="0"/>
              <w:pageBreakBefore w:val="0"/>
              <w:widowControl w:val="0"/>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i w:val="0"/>
                <w:iCs w:val="0"/>
                <w:color w:val="000000"/>
                <w:sz w:val="18"/>
                <w:szCs w:val="18"/>
                <w:u w:val="none"/>
              </w:rPr>
            </w:pPr>
          </w:p>
        </w:tc>
      </w:tr>
      <w:tr w14:paraId="10AB5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jc w:val="center"/>
        </w:trPr>
        <w:tc>
          <w:tcPr>
            <w:tcW w:w="1390"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ED62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总面积</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D0D8D">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256.4</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F9BD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184.73</w:t>
            </w:r>
          </w:p>
        </w:tc>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2F343">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161.64</w:t>
            </w:r>
          </w:p>
        </w:tc>
        <w:tc>
          <w:tcPr>
            <w:tcW w:w="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96962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201.93</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98D1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167.74</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9425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85.01</w:t>
            </w:r>
          </w:p>
        </w:tc>
        <w:tc>
          <w:tcPr>
            <w:tcW w:w="4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8DFD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1057.45</w:t>
            </w:r>
          </w:p>
        </w:tc>
        <w:tc>
          <w:tcPr>
            <w:tcW w:w="4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4036D">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i w:val="0"/>
                <w:iCs w:val="0"/>
                <w:color w:val="000000"/>
                <w:sz w:val="18"/>
                <w:szCs w:val="18"/>
                <w:u w:val="none"/>
              </w:rPr>
            </w:pPr>
            <w:r>
              <w:rPr>
                <w:rFonts w:hint="eastAsia" w:ascii="仿宋_GB2312" w:hAnsi="仿宋_GB2312" w:eastAsia="仿宋_GB2312" w:cs="仿宋_GB2312"/>
                <w:i w:val="0"/>
                <w:iCs w:val="0"/>
                <w:color w:val="000000"/>
                <w:kern w:val="0"/>
                <w:sz w:val="18"/>
                <w:szCs w:val="18"/>
                <w:u w:val="none"/>
                <w:lang w:val="en-US" w:eastAsia="zh-CN" w:bidi="ar"/>
              </w:rPr>
              <w:t>100%</w:t>
            </w:r>
          </w:p>
        </w:tc>
      </w:tr>
    </w:tbl>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b w:val="0"/>
          <w:bCs w:val="0"/>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b w:val="0"/>
          <w:bCs w:val="0"/>
          <w:color w:val="000000" w:themeColor="text1"/>
          <w:sz w:val="28"/>
          <w:szCs w:val="30"/>
          <w:highlight w:val="none"/>
          <w:lang w:val="en-US" w:eastAsia="zh-CN"/>
          <w14:textFill>
            <w14:solidFill>
              <w14:schemeClr w14:val="tx1"/>
            </w14:solidFill>
          </w14:textFill>
        </w:rPr>
      </w:pPr>
      <w:r>
        <w:drawing>
          <wp:inline distT="0" distB="0" distL="114300" distR="114300">
            <wp:extent cx="4374515" cy="2432685"/>
            <wp:effectExtent l="4445" t="4445" r="21590" b="20320"/>
            <wp:docPr id="3"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E715250">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b w:val="0"/>
          <w:bCs w:val="0"/>
          <w:color w:val="000000" w:themeColor="text1"/>
          <w:sz w:val="28"/>
          <w:szCs w:val="30"/>
          <w:highlight w:val="none"/>
          <w:lang w:val="en-US" w:eastAsia="zh-CN"/>
          <w14:textFill>
            <w14:solidFill>
              <w14:schemeClr w14:val="tx1"/>
            </w14:solidFill>
          </w14:textFill>
        </w:rPr>
      </w:pPr>
      <w:r>
        <w:rPr>
          <w:rFonts w:hint="eastAsia" w:ascii="仿宋_GB2312" w:eastAsia="仿宋_GB2312"/>
          <w:b w:val="0"/>
          <w:bCs w:val="0"/>
          <w:color w:val="000000" w:themeColor="text1"/>
          <w:sz w:val="28"/>
          <w:szCs w:val="30"/>
          <w:highlight w:val="none"/>
          <w:lang w:val="en-US" w:eastAsia="zh-CN"/>
          <w14:textFill>
            <w14:solidFill>
              <w14:schemeClr w14:val="tx1"/>
            </w14:solidFill>
          </w14:textFill>
        </w:rPr>
        <w:t>道县2020-2025年土地供应结构图</w:t>
      </w:r>
    </w:p>
    <w:p w14:paraId="777A7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从供应方式来看，主要包括划拨和出让两种方式，从近6年的累计数据来看，道县以划拨方式供应土地28.43公顷，占供应土地总量的59.43%，出让土地面积429.02公顷，占40.57%，出让方式均为招拍挂出让。</w:t>
      </w:r>
    </w:p>
    <w:p w14:paraId="32AE3E1A">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b w:val="0"/>
          <w:bCs w:val="0"/>
          <w:color w:val="000000" w:themeColor="text1"/>
          <w:sz w:val="28"/>
          <w:szCs w:val="30"/>
          <w:highlight w:val="none"/>
          <w:lang w:val="en-US" w:eastAsia="zh-CN"/>
          <w14:textFill>
            <w14:solidFill>
              <w14:schemeClr w14:val="tx1"/>
            </w14:solidFill>
          </w14:textFill>
        </w:rPr>
      </w:pPr>
      <w:r>
        <w:rPr>
          <w:rFonts w:hint="eastAsia" w:ascii="仿宋_GB2312" w:eastAsia="仿宋_GB2312"/>
          <w:b w:val="0"/>
          <w:bCs w:val="0"/>
          <w:color w:val="000000" w:themeColor="text1"/>
          <w:sz w:val="28"/>
          <w:szCs w:val="30"/>
          <w:highlight w:val="none"/>
          <w:lang w:val="en-US" w:eastAsia="zh-CN"/>
          <w14:textFill>
            <w14:solidFill>
              <w14:schemeClr w14:val="tx1"/>
            </w14:solidFill>
          </w14:textFill>
        </w:rPr>
        <w:t>道县2020-2025年土地供应方式情况表</w:t>
      </w:r>
    </w:p>
    <w:p w14:paraId="2508AB32">
      <w:pPr>
        <w:pStyle w:val="18"/>
        <w:jc w:val="right"/>
        <w:rPr>
          <w:rFonts w:hint="default"/>
          <w:b w:val="0"/>
          <w:bCs w:val="0"/>
          <w:color w:val="000000" w:themeColor="text1"/>
          <w:highlight w:val="none"/>
          <w:lang w:val="en-US" w:eastAsia="zh-CN"/>
          <w14:textFill>
            <w14:solidFill>
              <w14:schemeClr w14:val="tx1"/>
            </w14:solidFill>
          </w14:textFill>
        </w:rPr>
      </w:pPr>
      <w:r>
        <w:rPr>
          <w:rFonts w:hint="eastAsia" w:ascii="仿宋_GB2312" w:eastAsia="仿宋_GB2312"/>
          <w:b w:val="0"/>
          <w:bCs w:val="0"/>
          <w:color w:val="000000" w:themeColor="text1"/>
          <w:sz w:val="24"/>
          <w:szCs w:val="28"/>
          <w:highlight w:val="none"/>
          <w:lang w:val="en-US" w:eastAsia="zh-CN"/>
          <w14:textFill>
            <w14:solidFill>
              <w14:schemeClr w14:val="tx1"/>
            </w14:solidFill>
          </w14:textFill>
        </w:rPr>
        <w:t>单位：公顷</w:t>
      </w:r>
    </w:p>
    <w:tbl>
      <w:tblPr>
        <w:tblStyle w:val="1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 xml:space="preserve">167.73 </w:t>
            </w:r>
          </w:p>
        </w:tc>
      </w:tr>
      <w:tr w14:paraId="7FC70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1A7F08">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2025</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57B92">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13.87</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E3B77">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71.14</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CA2F1">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85.01</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1"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429.02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628.43</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widowControl/>
              <w:suppressLineNumbers w:val="0"/>
              <w:jc w:val="center"/>
              <w:textAlignment w:val="center"/>
              <w:rPr>
                <w:rFonts w:hint="eastAsia" w:ascii="仿宋_GB2312" w:hAnsi="仿宋_GB2312" w:eastAsia="仿宋_GB2312" w:cs="仿宋_GB2312"/>
                <w:b w:val="0"/>
                <w:bCs w:val="0"/>
                <w:color w:val="000000" w:themeColor="text1"/>
                <w:sz w:val="20"/>
                <w:szCs w:val="20"/>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kern w:val="0"/>
                <w:sz w:val="20"/>
                <w:szCs w:val="20"/>
                <w:u w:val="none"/>
                <w:lang w:val="en-US" w:eastAsia="zh-CN" w:bidi="ar"/>
              </w:rPr>
              <w:t>1057.45</w:t>
            </w:r>
          </w:p>
        </w:tc>
      </w:tr>
    </w:tbl>
    <w:p w14:paraId="00ACBD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从土地供应分布情况来看，根据对道县往年出让台账统计数据显示，近6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2023年5月，道县人民政府关于印发《道县进一步促进房地产市场平稳健康发展的十条措施》的通知，结合道县实际，制定十条措施保障房地产市场健康发展：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val="0"/>
        <w:autoSpaceDN w:val="0"/>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房地产开发企业纳税义务：自用房屋，房产税依照房产原值一次减除10%-30%后的余值计算缴纳，具体减除幅度由省、自治区、直辖市人民政府规定，适用税率1.2%；房屋出租的，以房产租金收入和税率12%计算缴纳。对于个人按市场价格出租的居民住房，房产税暂减按4%税率征收。</w:t>
      </w:r>
    </w:p>
    <w:p w14:paraId="6386851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根据道县人民政府网发布的消息，道县目前城市经济布局主要突出以下几个方面：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质增效。完善产业平台配套设施。培育城区内生增长动力和 “造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（2）城市发展水平</w:t>
      </w:r>
    </w:p>
    <w:p w14:paraId="7E45BD32">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（3）综合实力</w:t>
      </w:r>
    </w:p>
    <w:p w14:paraId="4477E263">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（5）物价变动</w:t>
      </w:r>
    </w:p>
    <w:p w14:paraId="5B971D0F">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B10098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bookmarkEnd w:id="23"/>
    <w:bookmarkEnd w:id="24"/>
    <w:p w14:paraId="42C8EF4F">
      <w:pPr>
        <w:keepNext w:val="0"/>
        <w:keepLines w:val="0"/>
        <w:pageBreakBefore w:val="0"/>
        <w:widowControl w:val="0"/>
        <w:numPr>
          <w:ilvl w:val="0"/>
          <w:numId w:val="0"/>
        </w:numPr>
        <w:tabs>
          <w:tab w:val="left" w:pos="834"/>
          <w:tab w:val="center" w:pos="4493"/>
        </w:tabs>
        <w:kinsoku/>
        <w:wordWrap/>
        <w:overflowPunct/>
        <w:topLinePunct w:val="0"/>
        <w:autoSpaceDE/>
        <w:autoSpaceDN/>
        <w:bidi w:val="0"/>
        <w:adjustRightInd w:val="0"/>
        <w:snapToGrid w:val="0"/>
        <w:spacing w:line="480" w:lineRule="exact"/>
        <w:ind w:firstLine="562" w:firstLineChars="200"/>
        <w:jc w:val="left"/>
        <w:textAlignment w:val="auto"/>
        <w:outlineLvl w:val="2"/>
        <w:rPr>
          <w:rFonts w:hint="eastAsia" w:ascii="仿宋_GB2312" w:hAnsi="仿宋_GB2312" w:eastAsia="仿宋_GB2312" w:cs="仿宋_GB2312"/>
          <w:b/>
          <w:bCs/>
          <w:color w:val="auto"/>
          <w:sz w:val="28"/>
          <w:szCs w:val="28"/>
          <w:highlight w:val="none"/>
          <w:lang w:val="en-US" w:eastAsia="zh-CN"/>
        </w:rPr>
      </w:pPr>
      <w:bookmarkStart w:id="25" w:name="_Toc1871"/>
      <w:r>
        <w:rPr>
          <w:rFonts w:hint="eastAsia" w:ascii="仿宋_GB2312" w:hAnsi="仿宋_GB2312" w:eastAsia="仿宋_GB2312" w:cs="仿宋_GB2312"/>
          <w:b/>
          <w:bCs/>
          <w:color w:val="auto"/>
          <w:kern w:val="2"/>
          <w:sz w:val="28"/>
          <w:szCs w:val="28"/>
          <w:highlight w:val="none"/>
          <w:lang w:val="en-US" w:eastAsia="zh-CN" w:bidi="ar-SA"/>
        </w:rPr>
        <w:t>（二）</w:t>
      </w:r>
      <w:r>
        <w:rPr>
          <w:rFonts w:hint="eastAsia" w:ascii="仿宋_GB2312" w:hAnsi="仿宋_GB2312" w:eastAsia="仿宋_GB2312" w:cs="仿宋_GB2312"/>
          <w:b/>
          <w:bCs/>
          <w:color w:val="auto"/>
          <w:sz w:val="28"/>
          <w:szCs w:val="28"/>
          <w:highlight w:val="none"/>
          <w:lang w:val="en-US" w:eastAsia="zh-CN"/>
        </w:rPr>
        <w:t>区域因素</w:t>
      </w:r>
      <w:bookmarkEnd w:id="25"/>
    </w:p>
    <w:p w14:paraId="15AE9EE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b w:val="0"/>
          <w:bCs w:val="0"/>
          <w:sz w:val="28"/>
          <w:szCs w:val="30"/>
          <w:highlight w:val="none"/>
          <w:lang w:val="en-US" w:eastAsia="zh-CN"/>
        </w:rPr>
      </w:pPr>
      <w:r>
        <w:rPr>
          <w:rFonts w:hint="eastAsia" w:ascii="仿宋_GB2312" w:hAnsi="仿宋_GB2312" w:eastAsia="仿宋_GB2312" w:cs="仿宋_GB2312"/>
          <w:b w:val="0"/>
          <w:bCs w:val="0"/>
          <w:sz w:val="28"/>
          <w:highlight w:val="none"/>
          <w:lang w:val="en-US" w:eastAsia="zh-CN"/>
        </w:rPr>
        <w:t>影响</w:t>
      </w:r>
      <w:r>
        <w:rPr>
          <w:rFonts w:hint="eastAsia" w:ascii="仿宋_GB2312" w:eastAsia="仿宋_GB2312"/>
          <w:b w:val="0"/>
          <w:bCs w:val="0"/>
          <w:sz w:val="28"/>
          <w:szCs w:val="30"/>
          <w:highlight w:val="none"/>
          <w:lang w:val="en-US" w:eastAsia="zh-CN"/>
        </w:rPr>
        <w:t>估价对象的区域因素主要有：区域概况、交通条件、基础设施条件、环境条件、商服繁华情况、规划限制等。</w:t>
      </w:r>
    </w:p>
    <w:p w14:paraId="47B358D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b w:val="0"/>
          <w:bCs w:val="0"/>
          <w:sz w:val="28"/>
          <w:szCs w:val="30"/>
          <w:highlight w:val="none"/>
          <w:lang w:val="en-US" w:eastAsia="zh-CN"/>
        </w:rPr>
      </w:pPr>
      <w:r>
        <w:rPr>
          <w:rFonts w:hint="eastAsia" w:ascii="仿宋_GB2312" w:eastAsia="仿宋_GB2312"/>
          <w:b w:val="0"/>
          <w:bCs w:val="0"/>
          <w:sz w:val="28"/>
          <w:szCs w:val="30"/>
          <w:highlight w:val="none"/>
          <w:lang w:val="en-US" w:eastAsia="zh-CN"/>
        </w:rPr>
        <w:t>1.区域概况</w:t>
      </w:r>
    </w:p>
    <w:p w14:paraId="4BAA926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eastAsia="仿宋_GB2312"/>
          <w:b w:val="0"/>
          <w:bCs w:val="0"/>
          <w:sz w:val="28"/>
          <w:szCs w:val="30"/>
          <w:highlight w:val="none"/>
          <w:lang w:val="en-US" w:eastAsia="zh-CN"/>
        </w:rPr>
      </w:pPr>
      <w:r>
        <w:rPr>
          <w:rFonts w:hint="eastAsia" w:ascii="仿宋_GB2312" w:eastAsia="仿宋_GB2312"/>
          <w:b w:val="0"/>
          <w:bCs w:val="0"/>
          <w:sz w:val="28"/>
          <w:szCs w:val="30"/>
          <w:highlight w:val="none"/>
          <w:lang w:val="en-US" w:eastAsia="zh-CN"/>
        </w:rPr>
        <w:t xml:space="preserve">（1）区域位置  </w:t>
      </w:r>
    </w:p>
    <w:p w14:paraId="3B7D81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b w:val="0"/>
          <w:bCs w:val="0"/>
          <w:sz w:val="28"/>
          <w:szCs w:val="30"/>
          <w:highlight w:val="none"/>
        </w:rPr>
      </w:pPr>
      <w:r>
        <w:rPr>
          <w:rFonts w:hint="eastAsia" w:ascii="仿宋_GB2312" w:eastAsia="仿宋_GB2312"/>
          <w:b w:val="0"/>
          <w:bCs w:val="0"/>
          <w:sz w:val="28"/>
          <w:szCs w:val="30"/>
          <w:highlight w:val="none"/>
        </w:rPr>
        <w:t>①区域位置、级别及人口：估价对象位于</w:t>
      </w:r>
      <w:r>
        <w:rPr>
          <w:rFonts w:hint="eastAsia" w:ascii="仿宋_GB2312" w:eastAsia="仿宋_GB2312"/>
          <w:b w:val="0"/>
          <w:bCs w:val="0"/>
          <w:sz w:val="28"/>
          <w:szCs w:val="30"/>
          <w:highlight w:val="none"/>
          <w:lang w:val="en-US" w:eastAsia="zh-CN"/>
        </w:rPr>
        <w:t>道县西洲街道宝珍街六栋九号</w:t>
      </w:r>
      <w:r>
        <w:rPr>
          <w:rFonts w:hint="eastAsia" w:ascii="仿宋_GB2312" w:eastAsia="仿宋_GB2312"/>
          <w:b w:val="0"/>
          <w:bCs w:val="0"/>
          <w:sz w:val="28"/>
          <w:szCs w:val="30"/>
          <w:highlight w:val="none"/>
        </w:rPr>
        <w:t>，道县辖7个街道、12个镇、3个乡。县政府驻濂溪街道寇公街66号。截至202</w:t>
      </w:r>
      <w:r>
        <w:rPr>
          <w:rFonts w:hint="eastAsia" w:ascii="仿宋_GB2312" w:eastAsia="仿宋_GB2312"/>
          <w:b w:val="0"/>
          <w:bCs w:val="0"/>
          <w:sz w:val="28"/>
          <w:szCs w:val="30"/>
          <w:highlight w:val="none"/>
          <w:lang w:val="en-US" w:eastAsia="zh-CN"/>
        </w:rPr>
        <w:t>4</w:t>
      </w:r>
      <w:r>
        <w:rPr>
          <w:rFonts w:hint="eastAsia" w:ascii="仿宋_GB2312" w:eastAsia="仿宋_GB2312"/>
          <w:b w:val="0"/>
          <w:bCs w:val="0"/>
          <w:sz w:val="28"/>
          <w:szCs w:val="30"/>
          <w:highlight w:val="none"/>
        </w:rPr>
        <w:t>年末，道县常住人口57.</w:t>
      </w:r>
      <w:r>
        <w:rPr>
          <w:rFonts w:hint="eastAsia" w:ascii="仿宋_GB2312" w:eastAsia="仿宋_GB2312"/>
          <w:b w:val="0"/>
          <w:bCs w:val="0"/>
          <w:sz w:val="28"/>
          <w:szCs w:val="30"/>
          <w:highlight w:val="none"/>
          <w:lang w:val="en-US" w:eastAsia="zh-CN"/>
        </w:rPr>
        <w:t>07</w:t>
      </w:r>
      <w:r>
        <w:rPr>
          <w:rFonts w:hint="eastAsia" w:ascii="仿宋_GB2312" w:eastAsia="仿宋_GB2312"/>
          <w:b w:val="0"/>
          <w:bCs w:val="0"/>
          <w:sz w:val="28"/>
          <w:szCs w:val="30"/>
          <w:highlight w:val="none"/>
        </w:rPr>
        <w:t>万人。</w:t>
      </w:r>
    </w:p>
    <w:p w14:paraId="55EC9A3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Times New Roman" w:eastAsia="仿宋_GB2312" w:cs="Times New Roman"/>
          <w:b w:val="0"/>
          <w:bCs w:val="0"/>
          <w:sz w:val="28"/>
          <w:szCs w:val="30"/>
          <w:highlight w:val="none"/>
        </w:rPr>
      </w:pPr>
      <w:r>
        <w:rPr>
          <w:rFonts w:hint="eastAsia" w:ascii="仿宋_GB2312" w:hAnsi="Times New Roman" w:eastAsia="仿宋_GB2312" w:cs="Times New Roman"/>
          <w:b w:val="0"/>
          <w:bCs w:val="0"/>
          <w:sz w:val="28"/>
          <w:szCs w:val="30"/>
          <w:highlight w:val="none"/>
          <w:lang w:val="en-US" w:eastAsia="zh-CN"/>
        </w:rPr>
        <w:t>②土地级别：</w:t>
      </w:r>
      <w:r>
        <w:rPr>
          <w:rFonts w:hint="eastAsia" w:ascii="仿宋_GB2312" w:eastAsia="仿宋_GB2312"/>
          <w:b w:val="0"/>
          <w:bCs w:val="0"/>
          <w:color w:val="000000"/>
          <w:sz w:val="28"/>
          <w:highlight w:val="none"/>
        </w:rPr>
        <w:t>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b w:val="0"/>
          <w:bCs w:val="0"/>
          <w:color w:val="000000"/>
          <w:sz w:val="28"/>
          <w:highlight w:val="none"/>
          <w:lang w:eastAsia="zh-CN"/>
        </w:rPr>
        <w:t>，</w:t>
      </w:r>
      <w:r>
        <w:rPr>
          <w:rFonts w:hint="eastAsia" w:ascii="仿宋_GB2312" w:eastAsia="仿宋_GB2312"/>
          <w:b w:val="0"/>
          <w:bCs w:val="0"/>
          <w:color w:val="000000"/>
          <w:sz w:val="28"/>
          <w:highlight w:val="none"/>
          <w:lang w:val="en-US" w:eastAsia="zh-CN"/>
        </w:rPr>
        <w:t>故暂无土地级别信息</w:t>
      </w:r>
      <w:r>
        <w:rPr>
          <w:rFonts w:hint="eastAsia" w:ascii="仿宋_GB2312" w:hAnsi="Times New Roman" w:eastAsia="仿宋_GB2312" w:cs="Times New Roman"/>
          <w:b w:val="0"/>
          <w:bCs w:val="0"/>
          <w:sz w:val="28"/>
          <w:szCs w:val="30"/>
          <w:highlight w:val="none"/>
          <w:lang w:val="en-US" w:eastAsia="zh-CN"/>
        </w:rPr>
        <w:t>。</w:t>
      </w:r>
    </w:p>
    <w:p w14:paraId="5E9567F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eastAsia="仿宋_GB2312"/>
          <w:b w:val="0"/>
          <w:bCs w:val="0"/>
          <w:sz w:val="28"/>
          <w:szCs w:val="30"/>
          <w:highlight w:val="none"/>
        </w:rPr>
      </w:pPr>
      <w:r>
        <w:rPr>
          <w:rFonts w:hint="eastAsia" w:ascii="仿宋_GB2312" w:hAnsi="Times New Roman" w:eastAsia="仿宋_GB2312" w:cs="Times New Roman"/>
          <w:b w:val="0"/>
          <w:bCs w:val="0"/>
          <w:sz w:val="28"/>
          <w:szCs w:val="30"/>
          <w:highlight w:val="none"/>
          <w:lang w:val="en-US" w:eastAsia="zh-CN"/>
        </w:rPr>
        <w:t>③</w:t>
      </w:r>
      <w:r>
        <w:rPr>
          <w:rFonts w:hint="eastAsia" w:ascii="仿宋_GB2312" w:hAnsi="Times New Roman" w:eastAsia="仿宋_GB2312" w:cs="Times New Roman"/>
          <w:b w:val="0"/>
          <w:bCs w:val="0"/>
          <w:sz w:val="28"/>
          <w:szCs w:val="30"/>
          <w:highlight w:val="none"/>
        </w:rPr>
        <w:t>经济发展：</w:t>
      </w:r>
      <w:r>
        <w:rPr>
          <w:rFonts w:hint="eastAsia" w:ascii="仿宋_GB2312" w:eastAsia="仿宋_GB2312" w:cs="Times New Roman"/>
          <w:b w:val="0"/>
          <w:bCs w:val="0"/>
          <w:sz w:val="28"/>
          <w:szCs w:val="30"/>
          <w:highlight w:val="none"/>
          <w:lang w:val="en-US" w:eastAsia="zh-CN"/>
        </w:rPr>
        <w:t>2024年道县</w:t>
      </w:r>
      <w:r>
        <w:rPr>
          <w:rFonts w:hint="eastAsia" w:ascii="仿宋_GB2312" w:hAnsi="Times New Roman" w:eastAsia="仿宋_GB2312" w:cs="Times New Roman"/>
          <w:b w:val="0"/>
          <w:bCs w:val="0"/>
          <w:sz w:val="28"/>
          <w:szCs w:val="30"/>
          <w:highlight w:val="none"/>
        </w:rPr>
        <w:t>主要经济指标继续保持全市第一方阵，全年完成地区生产总值293.81亿元，增长7.0%。规模工业增加值增长14.0%，固定资产投资增长8.1%，社会消费品零售总额增长6.9%，地方一般公共预算收入完成14.6亿元。县域经济高质量发展在全省同类同档县中排名前列。进出口总额完成19.1亿元，增幅排名全市第1</w:t>
      </w:r>
      <w:r>
        <w:rPr>
          <w:rFonts w:hint="eastAsia" w:ascii="仿宋_GB2312" w:eastAsia="仿宋_GB2312"/>
          <w:b w:val="0"/>
          <w:bCs w:val="0"/>
          <w:sz w:val="28"/>
          <w:szCs w:val="30"/>
          <w:highlight w:val="none"/>
        </w:rPr>
        <w:t>。</w:t>
      </w:r>
    </w:p>
    <w:p w14:paraId="0D2AC43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Times New Roman" w:eastAsia="仿宋_GB2312" w:cs="Times New Roman"/>
          <w:b w:val="0"/>
          <w:bCs w:val="0"/>
          <w:sz w:val="28"/>
          <w:szCs w:val="30"/>
          <w:highlight w:val="none"/>
          <w:lang w:eastAsia="zh-CN"/>
        </w:rPr>
      </w:pPr>
      <w:r>
        <w:rPr>
          <w:rFonts w:hint="eastAsia" w:ascii="仿宋_GB2312" w:eastAsia="仿宋_GB2312"/>
          <w:b w:val="0"/>
          <w:bCs w:val="0"/>
          <w:sz w:val="28"/>
          <w:szCs w:val="30"/>
          <w:highlight w:val="none"/>
          <w:lang w:val="en-US" w:eastAsia="zh-CN"/>
        </w:rPr>
        <w:t>④</w:t>
      </w:r>
      <w:r>
        <w:rPr>
          <w:rFonts w:hint="eastAsia" w:ascii="仿宋_GB2312" w:eastAsia="仿宋_GB2312"/>
          <w:b w:val="0"/>
          <w:bCs w:val="0"/>
          <w:sz w:val="28"/>
          <w:szCs w:val="30"/>
          <w:highlight w:val="none"/>
        </w:rPr>
        <w:t>区位优势</w:t>
      </w:r>
      <w:r>
        <w:rPr>
          <w:rFonts w:hint="eastAsia" w:ascii="仿宋_GB2312" w:hAnsi="Times New Roman" w:eastAsia="仿宋_GB2312" w:cs="Times New Roman"/>
          <w:b w:val="0"/>
          <w:bCs w:val="0"/>
          <w:sz w:val="28"/>
          <w:szCs w:val="30"/>
          <w:highlight w:val="none"/>
        </w:rPr>
        <w:t>：道县处于湘粤桂三省交汇区</w:t>
      </w:r>
      <w:r>
        <w:rPr>
          <w:rFonts w:hint="eastAsia" w:ascii="仿宋_GB2312" w:hAnsi="Times New Roman" w:eastAsia="仿宋_GB2312" w:cs="Times New Roman"/>
          <w:b w:val="0"/>
          <w:bCs w:val="0"/>
          <w:sz w:val="28"/>
          <w:szCs w:val="30"/>
          <w:highlight w:val="none"/>
          <w:lang w:eastAsia="zh-CN"/>
        </w:rPr>
        <w:t>，是全省以至中部地区对接东盟，融入泛珠三角经济圈、泛北部湾经济圈的重要节点城市。近年来，道县依托独特的区位优势、地理环境和资源禀赋，坚持以新型城镇化的大突破，带动新型工业化、农业现代化的大发展，县域经济突飞猛进，连续多年被评为湖南省县域经济发展先进县。城市现代服务业异军突起，肯德基、苏宁电器、碧桂园等国际国内知名品牌企业纷纷抢滩登陆。文化旅游蓬勃发展，理学文化旅游节品牌效应凸显，以濂溪文化景区为龙头的全域旅游开发建设风生水起。道县被评为中华诗词之乡、中国龙舟之乡，道县入选湖南省旅游资源重点县，清塘镇纳入湖南省特色旅游小镇名录。是湘南国家级承接产业转移示范区核心区、全国加工贸易梯度转移重点承接地、全国粮食生产先进县、全国厚朴生产基地县、全国生猪生产调出大县、全国能繁母牛养殖示范县、全国蔬菜产业重点县、全国生态文明先进县和中国脐橙之乡。</w:t>
      </w:r>
    </w:p>
    <w:p w14:paraId="659010C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Times New Roman" w:eastAsia="仿宋_GB2312" w:cs="Times New Roman"/>
          <w:b w:val="0"/>
          <w:bCs w:val="0"/>
          <w:color w:val="auto"/>
          <w:sz w:val="28"/>
          <w:szCs w:val="30"/>
          <w:highlight w:val="none"/>
          <w:lang w:val="en-US" w:eastAsia="zh-CN"/>
        </w:rPr>
      </w:pPr>
      <w:r>
        <w:rPr>
          <w:rFonts w:hint="eastAsia" w:ascii="仿宋_GB2312" w:hAnsi="Times New Roman" w:eastAsia="仿宋_GB2312" w:cs="Times New Roman"/>
          <w:b w:val="0"/>
          <w:bCs w:val="0"/>
          <w:sz w:val="28"/>
          <w:szCs w:val="30"/>
          <w:highlight w:val="none"/>
          <w:lang w:val="en-US" w:eastAsia="zh-CN"/>
        </w:rPr>
        <w:t>2</w:t>
      </w:r>
      <w:r>
        <w:rPr>
          <w:rFonts w:hint="eastAsia" w:ascii="仿宋_GB2312" w:hAnsi="Times New Roman" w:eastAsia="仿宋_GB2312" w:cs="Times New Roman"/>
          <w:b w:val="0"/>
          <w:bCs w:val="0"/>
          <w:color w:val="auto"/>
          <w:sz w:val="28"/>
          <w:szCs w:val="30"/>
          <w:highlight w:val="none"/>
          <w:lang w:val="en-US" w:eastAsia="zh-CN"/>
        </w:rPr>
        <w:t>.交通条件</w:t>
      </w:r>
    </w:p>
    <w:p w14:paraId="1C429E4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ascii="仿宋_GB2312" w:eastAsia="仿宋_GB2312"/>
          <w:b w:val="0"/>
          <w:bCs w:val="0"/>
          <w:color w:val="auto"/>
          <w:sz w:val="28"/>
          <w:szCs w:val="30"/>
          <w:highlight w:val="none"/>
        </w:rPr>
      </w:pPr>
      <w:r>
        <w:rPr>
          <w:rFonts w:hint="eastAsia" w:ascii="仿宋_GB2312" w:eastAsia="仿宋_GB2312"/>
          <w:b w:val="0"/>
          <w:bCs w:val="0"/>
          <w:color w:val="auto"/>
          <w:sz w:val="28"/>
          <w:szCs w:val="30"/>
          <w:highlight w:val="none"/>
        </w:rPr>
        <w:t>（1）区域内公共交通状况</w:t>
      </w:r>
    </w:p>
    <w:p w14:paraId="4A85BD6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ascii="仿宋_GB2312" w:eastAsia="仿宋_GB2312"/>
          <w:b w:val="0"/>
          <w:bCs w:val="0"/>
          <w:color w:val="auto"/>
          <w:sz w:val="28"/>
          <w:szCs w:val="30"/>
          <w:highlight w:val="none"/>
        </w:rPr>
      </w:pPr>
      <w:r>
        <w:rPr>
          <w:rFonts w:hint="eastAsia" w:ascii="仿宋_GB2312" w:hAnsi="仿宋_GB2312" w:eastAsia="仿宋_GB2312" w:cs="仿宋_GB2312"/>
          <w:b w:val="0"/>
          <w:bCs w:val="0"/>
          <w:snapToGrid w:val="0"/>
          <w:color w:val="auto"/>
          <w:sz w:val="28"/>
          <w:szCs w:val="28"/>
          <w:highlight w:val="none"/>
        </w:rPr>
        <w:t>估价对象</w:t>
      </w:r>
      <w:r>
        <w:rPr>
          <w:rFonts w:hint="eastAsia" w:ascii="仿宋_GB2312" w:hAnsi="仿宋_GB2312" w:eastAsia="仿宋_GB2312" w:cs="仿宋_GB2312"/>
          <w:b w:val="0"/>
          <w:bCs w:val="0"/>
          <w:snapToGrid w:val="0"/>
          <w:color w:val="auto"/>
          <w:sz w:val="28"/>
          <w:szCs w:val="28"/>
          <w:highlight w:val="none"/>
          <w:lang w:val="en-US" w:eastAsia="zh-CN"/>
        </w:rPr>
        <w:t>北临宝珍街，</w:t>
      </w:r>
      <w:r>
        <w:rPr>
          <w:rFonts w:hint="eastAsia" w:ascii="仿宋_GB2312" w:hAnsi="仿宋_GB2312" w:eastAsia="仿宋_GB2312" w:cs="仿宋_GB2312"/>
          <w:b w:val="0"/>
          <w:bCs w:val="0"/>
          <w:snapToGrid w:val="0"/>
          <w:color w:val="auto"/>
          <w:sz w:val="28"/>
          <w:szCs w:val="28"/>
          <w:highlight w:val="none"/>
        </w:rPr>
        <w:t>区域内有</w:t>
      </w:r>
      <w:r>
        <w:rPr>
          <w:rFonts w:hint="eastAsia" w:ascii="仿宋_GB2312" w:hAnsi="仿宋_GB2312" w:eastAsia="仿宋_GB2312" w:cs="仿宋_GB2312"/>
          <w:b w:val="0"/>
          <w:bCs w:val="0"/>
          <w:snapToGrid w:val="0"/>
          <w:color w:val="auto"/>
          <w:sz w:val="28"/>
          <w:szCs w:val="28"/>
          <w:highlight w:val="none"/>
          <w:lang w:val="en-US" w:eastAsia="zh-CN"/>
        </w:rPr>
        <w:t>爱莲中路、道州中路、潇水中路</w:t>
      </w:r>
      <w:r>
        <w:rPr>
          <w:rFonts w:hint="eastAsia" w:ascii="仿宋_GB2312" w:hAnsi="仿宋_GB2312" w:eastAsia="仿宋_GB2312" w:cs="仿宋_GB2312"/>
          <w:b w:val="0"/>
          <w:bCs w:val="0"/>
          <w:snapToGrid w:val="0"/>
          <w:color w:val="auto"/>
          <w:sz w:val="28"/>
          <w:szCs w:val="28"/>
          <w:highlight w:val="none"/>
        </w:rPr>
        <w:t>等城市主、次干道，</w:t>
      </w:r>
      <w:r>
        <w:rPr>
          <w:rFonts w:hint="eastAsia" w:ascii="仿宋_GB2312" w:hAnsi="仿宋_GB2312" w:eastAsia="仿宋_GB2312" w:cs="仿宋_GB2312"/>
          <w:b w:val="0"/>
          <w:bCs w:val="0"/>
          <w:snapToGrid w:val="0"/>
          <w:color w:val="auto"/>
          <w:sz w:val="28"/>
          <w:szCs w:val="28"/>
          <w:highlight w:val="none"/>
          <w:lang w:val="en-US" w:eastAsia="zh-CN"/>
        </w:rPr>
        <w:t>距营江路口公交站350米，</w:t>
      </w:r>
      <w:r>
        <w:rPr>
          <w:rFonts w:hint="eastAsia" w:ascii="仿宋_GB2312" w:hAnsi="仿宋_GB2312" w:eastAsia="仿宋_GB2312" w:cs="仿宋_GB2312"/>
          <w:b w:val="0"/>
          <w:bCs w:val="0"/>
          <w:snapToGrid w:val="0"/>
          <w:color w:val="auto"/>
          <w:sz w:val="28"/>
          <w:szCs w:val="28"/>
          <w:highlight w:val="none"/>
        </w:rPr>
        <w:t>距离</w:t>
      </w:r>
      <w:r>
        <w:rPr>
          <w:rFonts w:hint="eastAsia" w:ascii="仿宋_GB2312" w:hAnsi="仿宋_GB2312" w:eastAsia="仿宋_GB2312" w:cs="仿宋_GB2312"/>
          <w:b w:val="0"/>
          <w:bCs w:val="0"/>
          <w:snapToGrid w:val="0"/>
          <w:color w:val="auto"/>
          <w:sz w:val="28"/>
          <w:szCs w:val="28"/>
          <w:highlight w:val="none"/>
          <w:lang w:val="en-US" w:eastAsia="zh-CN"/>
        </w:rPr>
        <w:t>道州新车站</w:t>
      </w:r>
      <w:r>
        <w:rPr>
          <w:rFonts w:hint="eastAsia" w:ascii="仿宋_GB2312" w:hAnsi="仿宋_GB2312" w:eastAsia="仿宋_GB2312" w:cs="仿宋_GB2312"/>
          <w:b w:val="0"/>
          <w:bCs w:val="0"/>
          <w:snapToGrid w:val="0"/>
          <w:color w:val="auto"/>
          <w:sz w:val="28"/>
          <w:szCs w:val="28"/>
          <w:highlight w:val="none"/>
        </w:rPr>
        <w:t>约</w:t>
      </w:r>
      <w:r>
        <w:rPr>
          <w:rFonts w:hint="eastAsia" w:ascii="仿宋_GB2312" w:hAnsi="仿宋_GB2312" w:eastAsia="仿宋_GB2312" w:cs="仿宋_GB2312"/>
          <w:b w:val="0"/>
          <w:bCs w:val="0"/>
          <w:snapToGrid w:val="0"/>
          <w:color w:val="auto"/>
          <w:sz w:val="28"/>
          <w:szCs w:val="28"/>
          <w:highlight w:val="none"/>
          <w:lang w:val="en-US" w:eastAsia="zh-CN"/>
        </w:rPr>
        <w:t>570</w:t>
      </w:r>
      <w:r>
        <w:rPr>
          <w:rFonts w:hint="eastAsia" w:ascii="仿宋_GB2312" w:hAnsi="仿宋_GB2312" w:eastAsia="仿宋_GB2312" w:cs="仿宋_GB2312"/>
          <w:b w:val="0"/>
          <w:bCs w:val="0"/>
          <w:snapToGrid w:val="0"/>
          <w:color w:val="auto"/>
          <w:sz w:val="28"/>
          <w:szCs w:val="28"/>
          <w:highlight w:val="none"/>
        </w:rPr>
        <w:t>米，距离</w:t>
      </w:r>
      <w:r>
        <w:rPr>
          <w:rFonts w:hint="eastAsia" w:ascii="仿宋_GB2312" w:hAnsi="仿宋_GB2312" w:eastAsia="仿宋_GB2312" w:cs="仿宋_GB2312"/>
          <w:b w:val="0"/>
          <w:bCs w:val="0"/>
          <w:snapToGrid w:val="0"/>
          <w:color w:val="auto"/>
          <w:sz w:val="28"/>
          <w:szCs w:val="28"/>
          <w:highlight w:val="none"/>
          <w:lang w:val="en-US" w:eastAsia="zh-CN"/>
        </w:rPr>
        <w:t>道贺高速出入口</w:t>
      </w:r>
      <w:r>
        <w:rPr>
          <w:rFonts w:hint="eastAsia" w:ascii="仿宋_GB2312" w:hAnsi="仿宋_GB2312" w:eastAsia="仿宋_GB2312" w:cs="仿宋_GB2312"/>
          <w:b w:val="0"/>
          <w:bCs w:val="0"/>
          <w:snapToGrid w:val="0"/>
          <w:color w:val="auto"/>
          <w:sz w:val="28"/>
          <w:szCs w:val="28"/>
          <w:highlight w:val="none"/>
        </w:rPr>
        <w:t>约</w:t>
      </w:r>
      <w:r>
        <w:rPr>
          <w:rFonts w:hint="eastAsia" w:ascii="仿宋_GB2312" w:hAnsi="仿宋_GB2312" w:eastAsia="仿宋_GB2312" w:cs="仿宋_GB2312"/>
          <w:b w:val="0"/>
          <w:bCs w:val="0"/>
          <w:snapToGrid w:val="0"/>
          <w:color w:val="auto"/>
          <w:sz w:val="28"/>
          <w:szCs w:val="28"/>
          <w:highlight w:val="none"/>
          <w:lang w:val="en-US" w:eastAsia="zh-CN"/>
        </w:rPr>
        <w:t>5900</w:t>
      </w:r>
      <w:r>
        <w:rPr>
          <w:rFonts w:hint="eastAsia" w:ascii="仿宋_GB2312" w:hAnsi="仿宋_GB2312" w:eastAsia="仿宋_GB2312" w:cs="仿宋_GB2312"/>
          <w:b w:val="0"/>
          <w:bCs w:val="0"/>
          <w:snapToGrid w:val="0"/>
          <w:color w:val="auto"/>
          <w:sz w:val="28"/>
          <w:szCs w:val="28"/>
          <w:highlight w:val="none"/>
        </w:rPr>
        <w:t>米，区域内交通便捷度</w:t>
      </w:r>
      <w:r>
        <w:rPr>
          <w:rFonts w:hint="eastAsia" w:ascii="仿宋_GB2312" w:hAnsi="仿宋_GB2312" w:eastAsia="仿宋_GB2312" w:cs="仿宋_GB2312"/>
          <w:b w:val="0"/>
          <w:bCs w:val="0"/>
          <w:snapToGrid w:val="0"/>
          <w:color w:val="auto"/>
          <w:sz w:val="28"/>
          <w:szCs w:val="28"/>
          <w:highlight w:val="none"/>
          <w:lang w:val="en-US" w:eastAsia="zh-CN"/>
        </w:rPr>
        <w:t>较高</w:t>
      </w:r>
      <w:r>
        <w:rPr>
          <w:rFonts w:hint="eastAsia" w:ascii="仿宋_GB2312" w:eastAsia="仿宋_GB2312"/>
          <w:b w:val="0"/>
          <w:bCs w:val="0"/>
          <w:color w:val="auto"/>
          <w:sz w:val="28"/>
          <w:szCs w:val="30"/>
          <w:highlight w:val="none"/>
        </w:rPr>
        <w:t>。</w:t>
      </w:r>
    </w:p>
    <w:p w14:paraId="5560A26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（2）对外交通条件</w:t>
      </w:r>
    </w:p>
    <w:p w14:paraId="523D1C3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eastAsia="仿宋_GB2312"/>
          <w:b w:val="0"/>
          <w:bCs w:val="0"/>
          <w:color w:val="auto"/>
          <w:sz w:val="28"/>
          <w:szCs w:val="30"/>
          <w:highlight w:val="none"/>
        </w:rPr>
      </w:pPr>
      <w:r>
        <w:rPr>
          <w:rFonts w:hint="eastAsia" w:ascii="仿宋_GB2312" w:hAnsi="仿宋_GB2312" w:eastAsia="仿宋_GB2312" w:cs="仿宋_GB2312"/>
          <w:b w:val="0"/>
          <w:bCs w:val="0"/>
          <w:color w:val="auto"/>
          <w:sz w:val="28"/>
          <w:szCs w:val="28"/>
          <w:highlight w:val="none"/>
          <w:lang w:val="en-US" w:eastAsia="zh-CN"/>
        </w:rPr>
        <w:t>①公路：</w:t>
      </w:r>
      <w:r>
        <w:rPr>
          <w:rFonts w:hint="eastAsia" w:ascii="仿宋_GB2312" w:eastAsia="仿宋_GB2312"/>
          <w:b w:val="0"/>
          <w:bCs w:val="0"/>
          <w:color w:val="auto"/>
          <w:sz w:val="28"/>
          <w:szCs w:val="30"/>
          <w:highlight w:val="none"/>
        </w:rPr>
        <w:t>区域的外联道路主要有</w:t>
      </w:r>
      <w:r>
        <w:rPr>
          <w:rFonts w:hint="eastAsia" w:ascii="仿宋_GB2312" w:eastAsia="仿宋_GB2312"/>
          <w:b w:val="0"/>
          <w:bCs w:val="0"/>
          <w:color w:val="auto"/>
          <w:sz w:val="28"/>
          <w:szCs w:val="30"/>
          <w:highlight w:val="none"/>
          <w:lang w:val="en-US" w:eastAsia="zh-CN"/>
        </w:rPr>
        <w:t>道贺高速、夏蓉高速</w:t>
      </w:r>
      <w:r>
        <w:rPr>
          <w:rFonts w:hint="eastAsia" w:ascii="仿宋_GB2312" w:eastAsia="仿宋_GB2312"/>
          <w:b w:val="0"/>
          <w:bCs w:val="0"/>
          <w:color w:val="auto"/>
          <w:sz w:val="28"/>
          <w:szCs w:val="30"/>
          <w:highlight w:val="none"/>
        </w:rPr>
        <w:t>等干线交会，为区域内对外开放奠定了良好的基础，区位优势明显，交通十分便利。</w:t>
      </w:r>
    </w:p>
    <w:p w14:paraId="0D88CD5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②铁路：道州火车站主要线路为益湛铁路，估价对象所在区域中心距离该火车站约2300m。</w:t>
      </w:r>
    </w:p>
    <w:p w14:paraId="456AF74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③高铁：估价对象区域距永州高铁站约103.5km。</w:t>
      </w:r>
    </w:p>
    <w:p w14:paraId="680F118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④航空：估价对象区域距离最近的机场为永州零陵机场约90.5km。</w:t>
      </w:r>
    </w:p>
    <w:p w14:paraId="645CC7E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⑤水运：道县区域境内主要河流为潇水，水位较浅，未形成水运条件，水运主要依托长沙湘江流域。</w:t>
      </w:r>
    </w:p>
    <w:p w14:paraId="19D8FB1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3.基础设施和市政公用设施</w:t>
      </w:r>
    </w:p>
    <w:p w14:paraId="18B9EC0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（1）供电：区域内接市政双回路110KV供电管网，供电保证率高。</w:t>
      </w:r>
    </w:p>
    <w:p w14:paraId="0A3D1BF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sz w:val="28"/>
          <w:szCs w:val="28"/>
          <w:highlight w:val="none"/>
          <w:lang w:val="en-US" w:eastAsia="zh-CN"/>
        </w:rPr>
      </w:pPr>
      <w:r>
        <w:rPr>
          <w:rFonts w:hint="eastAsia" w:ascii="仿宋_GB2312" w:hAnsi="仿宋_GB2312" w:eastAsia="仿宋_GB2312" w:cs="仿宋_GB2312"/>
          <w:b w:val="0"/>
          <w:bCs w:val="0"/>
          <w:sz w:val="28"/>
          <w:szCs w:val="28"/>
          <w:highlight w:val="none"/>
          <w:lang w:val="en-US" w:eastAsia="zh-CN"/>
        </w:rPr>
        <w:t>（2）通讯：区域内通讯与市政通讯网相联，通讯线路以地下管道为主，辅以架空线路，通讯线路畅通，区内已实现移动电话全国漫游，区内全面铺设了高速宽带通讯光缆。</w:t>
      </w:r>
    </w:p>
    <w:p w14:paraId="21E2D5D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sz w:val="28"/>
          <w:szCs w:val="28"/>
          <w:highlight w:val="none"/>
          <w:lang w:val="en-US" w:eastAsia="zh-CN"/>
        </w:rPr>
      </w:pPr>
      <w:r>
        <w:rPr>
          <w:rFonts w:hint="eastAsia" w:ascii="仿宋_GB2312" w:hAnsi="仿宋_GB2312" w:eastAsia="仿宋_GB2312" w:cs="仿宋_GB2312"/>
          <w:b w:val="0"/>
          <w:bCs w:val="0"/>
          <w:sz w:val="28"/>
          <w:szCs w:val="28"/>
          <w:highlight w:val="none"/>
          <w:lang w:val="en-US" w:eastAsia="zh-CN"/>
        </w:rPr>
        <w:t>（3）给水：区域内供水主要来自区内的市政供水。自来水供应管道标准φ1000mm、φ800mm、φ600mm，供水保证率高。</w:t>
      </w:r>
    </w:p>
    <w:p w14:paraId="5BAFA02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sz w:val="28"/>
          <w:szCs w:val="28"/>
          <w:highlight w:val="none"/>
          <w:lang w:val="en-US" w:eastAsia="zh-CN"/>
        </w:rPr>
      </w:pPr>
      <w:r>
        <w:rPr>
          <w:rFonts w:hint="eastAsia" w:ascii="仿宋_GB2312" w:hAnsi="仿宋_GB2312" w:eastAsia="仿宋_GB2312" w:cs="仿宋_GB2312"/>
          <w:b w:val="0"/>
          <w:bCs w:val="0"/>
          <w:sz w:val="28"/>
          <w:szCs w:val="28"/>
          <w:highlight w:val="none"/>
          <w:lang w:val="en-US" w:eastAsia="zh-CN"/>
        </w:rPr>
        <w:t>（4）排水：区内排水为雨污分流方式，排污管沿主要道路铺设，以污水处理厂为终结，市政排水体系完备。</w:t>
      </w:r>
    </w:p>
    <w:p w14:paraId="6D8ED74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sz w:val="28"/>
          <w:szCs w:val="28"/>
          <w:highlight w:val="none"/>
          <w:lang w:val="en-US" w:eastAsia="zh-CN"/>
        </w:rPr>
      </w:pPr>
      <w:r>
        <w:rPr>
          <w:rFonts w:hint="eastAsia" w:ascii="仿宋_GB2312" w:hAnsi="仿宋_GB2312" w:eastAsia="仿宋_GB2312" w:cs="仿宋_GB2312"/>
          <w:b w:val="0"/>
          <w:bCs w:val="0"/>
          <w:sz w:val="28"/>
          <w:szCs w:val="28"/>
          <w:highlight w:val="none"/>
          <w:lang w:val="en-US" w:eastAsia="zh-CN"/>
        </w:rPr>
        <w:t>（5）通气：/。</w:t>
      </w:r>
    </w:p>
    <w:p w14:paraId="2633001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sz w:val="28"/>
          <w:szCs w:val="28"/>
          <w:highlight w:val="none"/>
          <w:lang w:val="en-US" w:eastAsia="zh-CN"/>
        </w:rPr>
      </w:pPr>
      <w:r>
        <w:rPr>
          <w:rFonts w:hint="eastAsia" w:ascii="仿宋_GB2312" w:hAnsi="仿宋_GB2312" w:eastAsia="仿宋_GB2312" w:cs="仿宋_GB2312"/>
          <w:b w:val="0"/>
          <w:bCs w:val="0"/>
          <w:sz w:val="28"/>
          <w:szCs w:val="28"/>
          <w:highlight w:val="none"/>
          <w:lang w:val="en-US" w:eastAsia="zh-CN"/>
        </w:rPr>
        <w:t>（6）供暖：/。</w:t>
      </w:r>
    </w:p>
    <w:p w14:paraId="60103B8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4.环境条件</w:t>
      </w:r>
    </w:p>
    <w:p w14:paraId="37572DD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ascii="仿宋_GB2312" w:eastAsia="仿宋_GB2312"/>
          <w:b w:val="0"/>
          <w:bCs w:val="0"/>
          <w:color w:val="auto"/>
          <w:sz w:val="28"/>
          <w:szCs w:val="30"/>
          <w:highlight w:val="none"/>
        </w:rPr>
      </w:pPr>
      <w:r>
        <w:rPr>
          <w:rFonts w:hint="eastAsia" w:ascii="仿宋_GB2312" w:eastAsia="仿宋_GB2312"/>
          <w:b w:val="0"/>
          <w:bCs w:val="0"/>
          <w:color w:val="auto"/>
          <w:sz w:val="28"/>
          <w:szCs w:val="30"/>
          <w:highlight w:val="none"/>
        </w:rPr>
        <w:t>（1）人文环境</w:t>
      </w:r>
    </w:p>
    <w:p w14:paraId="58862B9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ascii="仿宋_GB2312" w:eastAsia="仿宋_GB2312"/>
          <w:b w:val="0"/>
          <w:bCs w:val="0"/>
          <w:sz w:val="28"/>
          <w:szCs w:val="30"/>
          <w:highlight w:val="none"/>
        </w:rPr>
      </w:pPr>
      <w:r>
        <w:rPr>
          <w:rFonts w:hint="eastAsia" w:ascii="仿宋_GB2312" w:hAnsi="仿宋_GB2312" w:eastAsia="仿宋_GB2312" w:cs="仿宋_GB2312"/>
          <w:b w:val="0"/>
          <w:bCs w:val="0"/>
          <w:snapToGrid w:val="0"/>
          <w:color w:val="auto"/>
          <w:sz w:val="28"/>
          <w:szCs w:val="28"/>
          <w:highlight w:val="none"/>
        </w:rPr>
        <w:t>区域内有居民受</w:t>
      </w:r>
      <w:r>
        <w:rPr>
          <w:rFonts w:hint="eastAsia" w:ascii="仿宋_GB2312" w:hAnsi="仿宋_GB2312" w:eastAsia="仿宋_GB2312" w:cs="仿宋_GB2312"/>
          <w:b w:val="0"/>
          <w:bCs w:val="0"/>
          <w:snapToGrid w:val="0"/>
          <w:sz w:val="28"/>
          <w:szCs w:val="28"/>
          <w:highlight w:val="none"/>
        </w:rPr>
        <w:t>教育程度较好，人文环境较好</w:t>
      </w:r>
      <w:r>
        <w:rPr>
          <w:rFonts w:hint="eastAsia" w:ascii="仿宋_GB2312" w:eastAsia="仿宋_GB2312"/>
          <w:b w:val="0"/>
          <w:bCs w:val="0"/>
          <w:sz w:val="28"/>
          <w:szCs w:val="30"/>
          <w:highlight w:val="none"/>
        </w:rPr>
        <w:t>。</w:t>
      </w:r>
    </w:p>
    <w:p w14:paraId="3B8D5CE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ascii="仿宋_GB2312" w:eastAsia="仿宋_GB2312"/>
          <w:b w:val="0"/>
          <w:bCs w:val="0"/>
          <w:color w:val="auto"/>
          <w:sz w:val="28"/>
          <w:szCs w:val="30"/>
          <w:highlight w:val="none"/>
        </w:rPr>
      </w:pPr>
      <w:r>
        <w:rPr>
          <w:rFonts w:hint="eastAsia" w:ascii="仿宋_GB2312" w:eastAsia="仿宋_GB2312"/>
          <w:b w:val="0"/>
          <w:bCs w:val="0"/>
          <w:color w:val="auto"/>
          <w:sz w:val="28"/>
          <w:szCs w:val="30"/>
          <w:highlight w:val="none"/>
        </w:rPr>
        <w:t>（2）自然环境</w:t>
      </w:r>
    </w:p>
    <w:p w14:paraId="34C4DD1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eastAsia="仿宋_GB2312"/>
          <w:b w:val="0"/>
          <w:bCs w:val="0"/>
          <w:color w:val="auto"/>
          <w:sz w:val="28"/>
          <w:szCs w:val="30"/>
          <w:highlight w:val="none"/>
          <w:lang w:val="en-US" w:eastAsia="zh-CN"/>
        </w:rPr>
      </w:pPr>
      <w:r>
        <w:rPr>
          <w:rFonts w:hint="eastAsia" w:ascii="仿宋_GB2312" w:eastAsia="仿宋_GB2312"/>
          <w:b w:val="0"/>
          <w:bCs w:val="0"/>
          <w:color w:val="auto"/>
          <w:sz w:val="28"/>
          <w:szCs w:val="30"/>
          <w:highlight w:val="none"/>
        </w:rPr>
        <w:t>宗地所在区域，地质条件较好，宗地无异常地质现象，地基承载力</w:t>
      </w:r>
      <w:r>
        <w:rPr>
          <w:rFonts w:hint="eastAsia" w:ascii="仿宋_GB2312" w:eastAsia="仿宋_GB2312"/>
          <w:b w:val="0"/>
          <w:bCs w:val="0"/>
          <w:color w:val="auto"/>
          <w:sz w:val="28"/>
          <w:szCs w:val="30"/>
          <w:highlight w:val="none"/>
          <w:lang w:val="en-US" w:eastAsia="zh-CN"/>
        </w:rPr>
        <w:t>大于25</w:t>
      </w:r>
      <w:r>
        <w:rPr>
          <w:rFonts w:hint="eastAsia" w:ascii="仿宋_GB2312" w:eastAsia="仿宋_GB2312"/>
          <w:b w:val="0"/>
          <w:bCs w:val="0"/>
          <w:color w:val="auto"/>
          <w:sz w:val="28"/>
          <w:szCs w:val="30"/>
          <w:highlight w:val="none"/>
        </w:rPr>
        <w:t>吨/平方米，地势平坦。区域内无大型污染性企业，据史料记载，区域内自然灾害率大于100年一遇</w:t>
      </w:r>
      <w:r>
        <w:rPr>
          <w:rFonts w:hint="eastAsia" w:ascii="仿宋_GB2312" w:eastAsia="仿宋_GB2312"/>
          <w:b w:val="0"/>
          <w:bCs w:val="0"/>
          <w:color w:val="auto"/>
          <w:sz w:val="28"/>
          <w:szCs w:val="30"/>
          <w:highlight w:val="none"/>
          <w:lang w:eastAsia="zh-CN"/>
        </w:rPr>
        <w:t>，</w:t>
      </w:r>
      <w:r>
        <w:rPr>
          <w:rFonts w:hint="eastAsia" w:ascii="仿宋_GB2312" w:eastAsia="仿宋_GB2312"/>
          <w:b w:val="0"/>
          <w:bCs w:val="0"/>
          <w:color w:val="auto"/>
          <w:sz w:val="28"/>
          <w:szCs w:val="30"/>
          <w:highlight w:val="none"/>
          <w:lang w:val="en-US" w:eastAsia="zh-CN"/>
        </w:rPr>
        <w:t>自然环境较好。</w:t>
      </w:r>
    </w:p>
    <w:p w14:paraId="0CB44E4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5.商服繁华程度</w:t>
      </w:r>
    </w:p>
    <w:p w14:paraId="7AE928F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rPr>
        <w:t>宗地所在区域距离</w:t>
      </w:r>
      <w:r>
        <w:rPr>
          <w:rFonts w:hint="eastAsia" w:ascii="仿宋_GB2312" w:hAnsi="仿宋_GB2312" w:eastAsia="仿宋_GB2312" w:cs="仿宋_GB2312"/>
          <w:b w:val="0"/>
          <w:bCs w:val="0"/>
          <w:color w:val="auto"/>
          <w:sz w:val="28"/>
          <w:szCs w:val="28"/>
          <w:highlight w:val="none"/>
          <w:lang w:val="en-US" w:eastAsia="zh-CN"/>
        </w:rPr>
        <w:t>商服中心爱莲商业广场100米</w:t>
      </w:r>
      <w:r>
        <w:rPr>
          <w:rFonts w:hint="eastAsia" w:ascii="仿宋_GB2312" w:hAnsi="仿宋_GB2312" w:eastAsia="仿宋_GB2312" w:cs="仿宋_GB2312"/>
          <w:b w:val="0"/>
          <w:bCs w:val="0"/>
          <w:color w:val="auto"/>
          <w:sz w:val="28"/>
          <w:szCs w:val="28"/>
          <w:highlight w:val="none"/>
        </w:rPr>
        <w:t>，商服繁华影响度</w:t>
      </w:r>
      <w:r>
        <w:rPr>
          <w:rFonts w:hint="eastAsia" w:ascii="仿宋_GB2312" w:hAnsi="仿宋_GB2312" w:eastAsia="仿宋_GB2312" w:cs="仿宋_GB2312"/>
          <w:b w:val="0"/>
          <w:bCs w:val="0"/>
          <w:color w:val="auto"/>
          <w:sz w:val="28"/>
          <w:szCs w:val="28"/>
          <w:highlight w:val="none"/>
          <w:lang w:val="en-US" w:eastAsia="zh-CN"/>
        </w:rPr>
        <w:t>优。</w:t>
      </w:r>
    </w:p>
    <w:p w14:paraId="0910375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6.规划限制</w:t>
      </w:r>
    </w:p>
    <w:p w14:paraId="171602C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highlight w:val="none"/>
          <w:lang w:val="en-US" w:eastAsia="zh-CN"/>
        </w:rPr>
        <w:t>估价对象所在区域周边土地利用类型主要规划为商服用地、住宅用地，具体的开发建设必须符合规划管理部门的控制性详细规划</w:t>
      </w:r>
      <w:r>
        <w:rPr>
          <w:rFonts w:hint="eastAsia" w:ascii="仿宋_GB2312" w:hAnsi="仿宋_GB2312" w:eastAsia="仿宋_GB2312" w:cs="仿宋_GB2312"/>
          <w:b w:val="0"/>
          <w:bCs w:val="0"/>
          <w:color w:val="auto"/>
          <w:sz w:val="28"/>
          <w:szCs w:val="28"/>
          <w:highlight w:val="none"/>
          <w:lang w:val="en-US" w:eastAsia="zh-CN"/>
        </w:rPr>
        <w:t>。</w:t>
      </w:r>
    </w:p>
    <w:p w14:paraId="607E516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7.微观区域因素</w:t>
      </w:r>
    </w:p>
    <w:p w14:paraId="52FD33A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估价对象位于道县西洲街道宝珍街六栋九号，估价对象交通由</w:t>
      </w:r>
      <w:r>
        <w:rPr>
          <w:rFonts w:hint="eastAsia" w:ascii="仿宋_GB2312" w:hAnsi="仿宋_GB2312" w:eastAsia="仿宋_GB2312" w:cs="仿宋_GB2312"/>
          <w:b w:val="0"/>
          <w:bCs w:val="0"/>
          <w:snapToGrid w:val="0"/>
          <w:color w:val="auto"/>
          <w:sz w:val="28"/>
          <w:szCs w:val="28"/>
          <w:highlight w:val="none"/>
          <w:lang w:val="en-US" w:eastAsia="zh-CN"/>
        </w:rPr>
        <w:t>宝珍街</w:t>
      </w:r>
      <w:r>
        <w:rPr>
          <w:rFonts w:hint="eastAsia" w:ascii="仿宋_GB2312" w:hAnsi="仿宋_GB2312" w:eastAsia="仿宋_GB2312" w:cs="仿宋_GB2312"/>
          <w:b w:val="0"/>
          <w:bCs w:val="0"/>
          <w:color w:val="auto"/>
          <w:sz w:val="28"/>
          <w:szCs w:val="28"/>
          <w:highlight w:val="none"/>
          <w:lang w:val="en-US" w:eastAsia="zh-CN"/>
        </w:rPr>
        <w:t>构成路网，汇入各条主干道，区域交通条件较优。距最近汽车站（</w:t>
      </w:r>
      <w:r>
        <w:rPr>
          <w:rFonts w:hint="eastAsia" w:ascii="仿宋_GB2312" w:eastAsia="仿宋_GB2312"/>
          <w:b w:val="0"/>
          <w:bCs w:val="0"/>
          <w:color w:val="auto"/>
          <w:sz w:val="28"/>
          <w:szCs w:val="30"/>
          <w:highlight w:val="none"/>
          <w:lang w:val="en-US" w:eastAsia="zh-CN"/>
        </w:rPr>
        <w:t>道州新车站）约</w:t>
      </w:r>
      <w:r>
        <w:rPr>
          <w:rFonts w:hint="eastAsia" w:ascii="仿宋_GB2312" w:hAnsi="仿宋_GB2312" w:eastAsia="仿宋_GB2312" w:cs="仿宋_GB2312"/>
          <w:b w:val="0"/>
          <w:bCs w:val="0"/>
          <w:snapToGrid w:val="0"/>
          <w:color w:val="auto"/>
          <w:sz w:val="28"/>
          <w:szCs w:val="28"/>
          <w:highlight w:val="none"/>
          <w:lang w:val="en-US" w:eastAsia="zh-CN"/>
        </w:rPr>
        <w:t>570</w:t>
      </w:r>
      <w:r>
        <w:rPr>
          <w:rFonts w:hint="eastAsia" w:ascii="仿宋_GB2312" w:hAnsi="仿宋_GB2312" w:eastAsia="仿宋_GB2312" w:cs="仿宋_GB2312"/>
          <w:b w:val="0"/>
          <w:bCs w:val="0"/>
          <w:snapToGrid w:val="0"/>
          <w:color w:val="auto"/>
          <w:sz w:val="28"/>
          <w:szCs w:val="28"/>
          <w:highlight w:val="none"/>
        </w:rPr>
        <w:t>米</w:t>
      </w:r>
      <w:r>
        <w:rPr>
          <w:rFonts w:hint="eastAsia" w:ascii="仿宋_GB2312" w:hAnsi="仿宋_GB2312" w:eastAsia="仿宋_GB2312" w:cs="仿宋_GB2312"/>
          <w:b w:val="0"/>
          <w:bCs w:val="0"/>
          <w:color w:val="auto"/>
          <w:sz w:val="28"/>
          <w:szCs w:val="28"/>
          <w:highlight w:val="none"/>
          <w:lang w:val="en-US" w:eastAsia="zh-CN"/>
        </w:rPr>
        <w:t>，距最近公交车站（营江路口）350米，公交便捷度较优，距离最近火车站（道州火车站）约2300m，距火车站距离较远；区域基础设施状况好，水电综合保障率达95%以上。</w:t>
      </w:r>
    </w:p>
    <w:p w14:paraId="55D59C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综合考虑以上影响地价区域因素，评估分析：估价对象所在区域道路通达度较优，公交便捷度较优，对外交通便利度较优，基础设施齐全，商业繁华影响度优，地质条件好，区域无特殊规划限制。</w:t>
      </w:r>
    </w:p>
    <w:p w14:paraId="3640194B">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hint="eastAsia" w:ascii="仿宋_GB2312" w:hAnsi="仿宋_GB2312" w:eastAsia="仿宋_GB2312" w:cs="仿宋_GB2312"/>
          <w:b/>
          <w:bCs/>
          <w:color w:val="auto"/>
          <w:sz w:val="28"/>
          <w:szCs w:val="28"/>
          <w:highlight w:val="none"/>
          <w:lang w:val="en-US" w:eastAsia="zh-CN"/>
        </w:rPr>
      </w:pPr>
      <w:bookmarkStart w:id="26" w:name="_Toc20409"/>
      <w:r>
        <w:rPr>
          <w:rFonts w:hint="eastAsia" w:ascii="仿宋_GB2312" w:hAnsi="仿宋_GB2312" w:eastAsia="仿宋_GB2312" w:cs="仿宋_GB2312"/>
          <w:b/>
          <w:bCs/>
          <w:color w:val="auto"/>
          <w:sz w:val="28"/>
          <w:szCs w:val="28"/>
          <w:highlight w:val="none"/>
          <w:lang w:val="en-US" w:eastAsia="zh-CN"/>
        </w:rPr>
        <w:t>(三)个别因素</w:t>
      </w:r>
      <w:bookmarkEnd w:id="26"/>
    </w:p>
    <w:p w14:paraId="4C8C8F28">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影响宗地的个别因素主要指与土地利用直接有关的宗地自身条件，包括估价对象位置、面积、用途、土地利用现状、宗地形状、地质条件、地势、基础设施条件等。</w:t>
      </w:r>
    </w:p>
    <w:p w14:paraId="0D565D13">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1.土地位置</w:t>
      </w:r>
    </w:p>
    <w:p w14:paraId="7DF5C5BA">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估价对象位于</w:t>
      </w:r>
      <w:r>
        <w:rPr>
          <w:rFonts w:hint="eastAsia" w:ascii="仿宋_GB2312" w:hAnsi="仿宋_GB2312" w:cs="仿宋_GB2312"/>
          <w:b w:val="0"/>
          <w:bCs w:val="0"/>
          <w:color w:val="auto"/>
          <w:sz w:val="28"/>
          <w:szCs w:val="28"/>
          <w:highlight w:val="none"/>
          <w:lang w:val="en-US" w:eastAsia="zh-CN"/>
        </w:rPr>
        <w:t>道县西洲街道宝珍街六栋九号</w:t>
      </w:r>
      <w:r>
        <w:rPr>
          <w:rFonts w:hint="eastAsia" w:ascii="仿宋_GB2312" w:hAnsi="仿宋_GB2312" w:eastAsia="仿宋_GB2312" w:cs="仿宋_GB2312"/>
          <w:b w:val="0"/>
          <w:bCs w:val="0"/>
          <w:color w:val="auto"/>
          <w:sz w:val="28"/>
          <w:szCs w:val="28"/>
          <w:highlight w:val="none"/>
          <w:lang w:val="en-US" w:eastAsia="zh-CN"/>
        </w:rPr>
        <w:t>。</w:t>
      </w:r>
    </w:p>
    <w:p w14:paraId="05C13040">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2.土地面积</w:t>
      </w:r>
    </w:p>
    <w:p w14:paraId="406E676F">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根据委托估价方提供的</w:t>
      </w:r>
      <w:r>
        <w:rPr>
          <w:rFonts w:hint="eastAsia" w:ascii="仿宋_GB2312" w:hAnsi="仿宋_GB2312" w:cs="仿宋_GB2312"/>
          <w:b w:val="0"/>
          <w:bCs w:val="0"/>
          <w:color w:val="auto"/>
          <w:sz w:val="28"/>
          <w:szCs w:val="28"/>
          <w:highlight w:val="none"/>
          <w:lang w:val="en-US" w:eastAsia="zh-CN"/>
        </w:rPr>
        <w:t>《评估委托书》和《宗地图》</w:t>
      </w:r>
      <w:r>
        <w:rPr>
          <w:rFonts w:hint="eastAsia" w:ascii="仿宋_GB2312" w:hAnsi="仿宋_GB2312" w:eastAsia="仿宋_GB2312" w:cs="仿宋_GB2312"/>
          <w:b w:val="0"/>
          <w:bCs w:val="0"/>
          <w:color w:val="auto"/>
          <w:sz w:val="28"/>
          <w:szCs w:val="28"/>
          <w:highlight w:val="none"/>
          <w:lang w:val="en-US" w:eastAsia="zh-CN"/>
        </w:rPr>
        <w:t>，估价对象土地面积为</w:t>
      </w:r>
      <w:r>
        <w:rPr>
          <w:rFonts w:hint="eastAsia" w:ascii="仿宋_GB2312" w:hAnsi="仿宋_GB2312" w:cs="仿宋_GB2312"/>
          <w:b w:val="0"/>
          <w:bCs w:val="0"/>
          <w:color w:val="auto"/>
          <w:sz w:val="28"/>
          <w:szCs w:val="28"/>
          <w:highlight w:val="none"/>
          <w:lang w:val="en-US" w:eastAsia="zh-CN"/>
        </w:rPr>
        <w:t>50平方米</w:t>
      </w:r>
      <w:r>
        <w:rPr>
          <w:rFonts w:hint="eastAsia" w:ascii="仿宋_GB2312" w:hAnsi="仿宋_GB2312" w:eastAsia="仿宋_GB2312" w:cs="仿宋_GB2312"/>
          <w:b w:val="0"/>
          <w:bCs w:val="0"/>
          <w:color w:val="auto"/>
          <w:sz w:val="28"/>
          <w:szCs w:val="28"/>
          <w:highlight w:val="none"/>
          <w:lang w:val="en-US" w:eastAsia="zh-CN"/>
        </w:rPr>
        <w:t>，面积</w:t>
      </w:r>
      <w:r>
        <w:rPr>
          <w:rFonts w:hint="eastAsia" w:ascii="仿宋_GB2312" w:hAnsi="仿宋_GB2312" w:cs="仿宋_GB2312"/>
          <w:b w:val="0"/>
          <w:bCs w:val="0"/>
          <w:color w:val="auto"/>
          <w:sz w:val="28"/>
          <w:szCs w:val="28"/>
          <w:highlight w:val="none"/>
          <w:lang w:val="en-US" w:eastAsia="zh-CN"/>
        </w:rPr>
        <w:t>小</w:t>
      </w:r>
      <w:r>
        <w:rPr>
          <w:rFonts w:hint="eastAsia" w:ascii="仿宋_GB2312" w:hAnsi="仿宋_GB2312" w:eastAsia="仿宋_GB2312" w:cs="仿宋_GB2312"/>
          <w:b w:val="0"/>
          <w:bCs w:val="0"/>
          <w:color w:val="auto"/>
          <w:sz w:val="28"/>
          <w:szCs w:val="28"/>
          <w:highlight w:val="none"/>
          <w:lang w:val="en-US" w:eastAsia="zh-CN"/>
        </w:rPr>
        <w:t>，对土地利用</w:t>
      </w:r>
      <w:r>
        <w:rPr>
          <w:rFonts w:hint="eastAsia" w:ascii="仿宋_GB2312" w:hAnsi="仿宋_GB2312" w:cs="仿宋_GB2312"/>
          <w:b w:val="0"/>
          <w:bCs w:val="0"/>
          <w:color w:val="auto"/>
          <w:sz w:val="28"/>
          <w:szCs w:val="28"/>
          <w:highlight w:val="none"/>
          <w:lang w:val="en-US" w:eastAsia="zh-CN"/>
        </w:rPr>
        <w:t>有较大影响</w:t>
      </w:r>
      <w:r>
        <w:rPr>
          <w:rFonts w:hint="eastAsia" w:ascii="仿宋_GB2312" w:hAnsi="仿宋_GB2312" w:eastAsia="仿宋_GB2312" w:cs="仿宋_GB2312"/>
          <w:b w:val="0"/>
          <w:bCs w:val="0"/>
          <w:color w:val="auto"/>
          <w:sz w:val="28"/>
          <w:szCs w:val="28"/>
          <w:highlight w:val="none"/>
          <w:lang w:val="en-US" w:eastAsia="zh-CN"/>
        </w:rPr>
        <w:t>。</w:t>
      </w:r>
    </w:p>
    <w:p w14:paraId="0BF01DA4">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3.</w:t>
      </w:r>
      <w:r>
        <w:rPr>
          <w:rFonts w:hint="eastAsia" w:ascii="仿宋_GB2312" w:hAnsi="仿宋_GB2312" w:cs="仿宋_GB2312"/>
          <w:b w:val="0"/>
          <w:bCs w:val="0"/>
          <w:color w:val="auto"/>
          <w:sz w:val="28"/>
          <w:szCs w:val="28"/>
          <w:highlight w:val="none"/>
          <w:lang w:val="en-US" w:eastAsia="zh-CN"/>
        </w:rPr>
        <w:t>宗地四至：东临道县第九小学，南临巷道，西临建筑，北临宝珍街</w:t>
      </w:r>
      <w:r>
        <w:rPr>
          <w:rFonts w:hint="eastAsia" w:ascii="仿宋_GB2312" w:hAnsi="仿宋_GB2312" w:eastAsia="仿宋_GB2312" w:cs="仿宋_GB2312"/>
          <w:b w:val="0"/>
          <w:bCs w:val="0"/>
          <w:color w:val="auto"/>
          <w:sz w:val="28"/>
          <w:szCs w:val="28"/>
          <w:highlight w:val="none"/>
          <w:lang w:val="en-US" w:eastAsia="zh-CN"/>
        </w:rPr>
        <w:t>。</w:t>
      </w:r>
    </w:p>
    <w:p w14:paraId="77D8C53F">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4.土地用途</w:t>
      </w:r>
    </w:p>
    <w:p w14:paraId="3504F6AD">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根据</w:t>
      </w:r>
      <w:r>
        <w:rPr>
          <w:rFonts w:hint="eastAsia" w:ascii="仿宋_GB2312" w:hAnsi="仿宋_GB2312" w:cs="仿宋_GB2312"/>
          <w:b w:val="0"/>
          <w:bCs w:val="0"/>
          <w:color w:val="auto"/>
          <w:sz w:val="28"/>
          <w:szCs w:val="28"/>
          <w:highlight w:val="none"/>
          <w:lang w:val="en-US" w:eastAsia="zh-CN"/>
        </w:rPr>
        <w:t>《评估委托书》</w:t>
      </w:r>
      <w:r>
        <w:rPr>
          <w:rFonts w:hint="eastAsia" w:ascii="仿宋_GB2312" w:hAnsi="仿宋_GB2312" w:eastAsia="仿宋_GB2312" w:cs="仿宋_GB2312"/>
          <w:b w:val="0"/>
          <w:bCs w:val="0"/>
          <w:color w:val="auto"/>
          <w:sz w:val="28"/>
          <w:szCs w:val="28"/>
          <w:highlight w:val="none"/>
          <w:lang w:val="en-US" w:eastAsia="zh-CN"/>
        </w:rPr>
        <w:t>，土地用途为</w:t>
      </w:r>
      <w:r>
        <w:rPr>
          <w:rFonts w:hint="eastAsia" w:ascii="仿宋_GB2312" w:hAnsi="仿宋_GB2312" w:cs="仿宋_GB2312"/>
          <w:b w:val="0"/>
          <w:bCs w:val="0"/>
          <w:color w:val="auto"/>
          <w:sz w:val="28"/>
          <w:szCs w:val="28"/>
          <w:highlight w:val="none"/>
          <w:lang w:val="en-US" w:eastAsia="zh-CN"/>
        </w:rPr>
        <w:t>住宅用地</w:t>
      </w:r>
      <w:r>
        <w:rPr>
          <w:rFonts w:hint="eastAsia" w:ascii="仿宋_GB2312" w:hAnsi="仿宋_GB2312" w:eastAsia="仿宋_GB2312" w:cs="仿宋_GB2312"/>
          <w:b w:val="0"/>
          <w:bCs w:val="0"/>
          <w:color w:val="auto"/>
          <w:sz w:val="28"/>
          <w:szCs w:val="28"/>
          <w:highlight w:val="none"/>
          <w:lang w:val="en-US" w:eastAsia="zh-CN"/>
        </w:rPr>
        <w:t>。</w:t>
      </w:r>
    </w:p>
    <w:p w14:paraId="523EACAC">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5.土地形状</w:t>
      </w:r>
    </w:p>
    <w:p w14:paraId="51680C86">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sz w:val="28"/>
          <w:szCs w:val="20"/>
        </w:rPr>
        <w:t>根据</w:t>
      </w:r>
      <w:r>
        <w:rPr>
          <w:rFonts w:hint="eastAsia" w:ascii="仿宋_GB2312" w:hAnsi="仿宋_GB2312" w:cs="仿宋_GB2312"/>
          <w:sz w:val="28"/>
          <w:szCs w:val="20"/>
          <w:lang w:val="en-US" w:eastAsia="zh-CN"/>
        </w:rPr>
        <w:t>《宗地图》</w:t>
      </w:r>
      <w:r>
        <w:rPr>
          <w:rFonts w:hint="eastAsia" w:ascii="仿宋_GB2312" w:hAnsi="仿宋_GB2312" w:eastAsia="仿宋_GB2312" w:cs="仿宋_GB2312"/>
          <w:sz w:val="28"/>
          <w:szCs w:val="20"/>
        </w:rPr>
        <w:t>，估价对象宗地形状</w:t>
      </w:r>
      <w:r>
        <w:rPr>
          <w:rFonts w:hint="eastAsia" w:ascii="仿宋_GB2312" w:hAnsi="仿宋_GB2312" w:eastAsia="仿宋_GB2312" w:cs="仿宋_GB2312"/>
          <w:sz w:val="28"/>
          <w:szCs w:val="20"/>
          <w:lang w:val="en-US" w:eastAsia="zh-CN"/>
        </w:rPr>
        <w:t>规则</w:t>
      </w:r>
      <w:r>
        <w:rPr>
          <w:rFonts w:hint="eastAsia" w:ascii="仿宋_GB2312" w:hAnsi="仿宋_GB2312" w:eastAsia="仿宋_GB2312" w:cs="仿宋_GB2312"/>
          <w:sz w:val="28"/>
          <w:szCs w:val="20"/>
        </w:rPr>
        <w:t>，有利于宗地利用</w:t>
      </w:r>
      <w:r>
        <w:rPr>
          <w:rFonts w:hint="eastAsia" w:ascii="仿宋_GB2312" w:hAnsi="仿宋_GB2312" w:eastAsia="仿宋_GB2312" w:cs="仿宋_GB2312"/>
          <w:b w:val="0"/>
          <w:bCs w:val="0"/>
          <w:color w:val="auto"/>
          <w:sz w:val="28"/>
          <w:szCs w:val="28"/>
          <w:highlight w:val="none"/>
          <w:lang w:val="en-US" w:eastAsia="zh-CN"/>
        </w:rPr>
        <w:t>。</w:t>
      </w:r>
    </w:p>
    <w:p w14:paraId="0FCC2F77">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6.地质条件</w:t>
      </w:r>
    </w:p>
    <w:p w14:paraId="2ADABEAB">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估价对象地基承载大于25吨/平方米，地质条件优。</w:t>
      </w:r>
    </w:p>
    <w:p w14:paraId="70834E80">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7.地势条件</w:t>
      </w:r>
    </w:p>
    <w:p w14:paraId="221558E6">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根据估价师现场勘查，宗地地势较平坦。</w:t>
      </w:r>
    </w:p>
    <w:p w14:paraId="5A907B07">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8.土地利用条件</w:t>
      </w:r>
    </w:p>
    <w:p w14:paraId="4CC5DF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）土地利用现状</w:t>
      </w:r>
    </w:p>
    <w:p w14:paraId="5CBE163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1DB4F30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对象位于道县西洲街道宝珍街六栋九号</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1-4层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混合</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不锈钢及木质入户门，铝合金窗户，铁艺防盗网，外墙及屋内地贴瓷砖，简单装修，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建成于1998年，</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28年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22</w:t>
      </w:r>
      <w:r>
        <w:rPr>
          <w:rFonts w:hint="default"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根据《不动产测绘报告书》，建筑面积205.45平方米，根据《宗地图》，估价对象土地面积50平方米，则容积率为4.11，</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4.11。</w:t>
      </w:r>
    </w:p>
    <w:p w14:paraId="68CB944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估价对象利用现状如下：</w:t>
      </w:r>
    </w:p>
    <w:tbl>
      <w:tblPr>
        <w:tblStyle w:val="14"/>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445FE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55359394">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b w:val="0"/>
                <w:bCs w:val="0"/>
                <w:color w:val="000000" w:themeColor="text1"/>
                <w:sz w:val="28"/>
                <w:szCs w:val="28"/>
                <w:highlight w:val="none"/>
                <w:lang w:eastAsia="zh-CN"/>
                <w14:textFill>
                  <w14:solidFill>
                    <w14:schemeClr w14:val="tx1"/>
                  </w14:solidFill>
                </w14:textFill>
              </w:rPr>
              <w:drawing>
                <wp:inline distT="0" distB="0" distL="114300" distR="114300">
                  <wp:extent cx="2594610" cy="3461385"/>
                  <wp:effectExtent l="0" t="0" r="15240" b="5715"/>
                  <wp:docPr id="8" name="图片 8" descr="现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现场2"/>
                          <pic:cNvPicPr>
                            <a:picLocks noChangeAspect="1"/>
                          </pic:cNvPicPr>
                        </pic:nvPicPr>
                        <pic:blipFill>
                          <a:blip r:embed="rId21"/>
                          <a:stretch>
                            <a:fillRect/>
                          </a:stretch>
                        </pic:blipFill>
                        <pic:spPr>
                          <a:xfrm>
                            <a:off x="0" y="0"/>
                            <a:ext cx="2594610" cy="3461385"/>
                          </a:xfrm>
                          <a:prstGeom prst="rect">
                            <a:avLst/>
                          </a:prstGeom>
                        </pic:spPr>
                      </pic:pic>
                    </a:graphicData>
                  </a:graphic>
                </wp:inline>
              </w:drawing>
            </w:r>
          </w:p>
        </w:tc>
        <w:tc>
          <w:tcPr>
            <w:tcW w:w="2466" w:type="pct"/>
          </w:tcPr>
          <w:p w14:paraId="04413E3A">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b w:val="0"/>
                <w:bCs w:val="0"/>
                <w:color w:val="000000" w:themeColor="text1"/>
                <w:sz w:val="28"/>
                <w:szCs w:val="28"/>
                <w:highlight w:val="none"/>
                <w:lang w:eastAsia="zh-CN"/>
                <w14:textFill>
                  <w14:solidFill>
                    <w14:schemeClr w14:val="tx1"/>
                  </w14:solidFill>
                </w14:textFill>
              </w:rPr>
              <w:drawing>
                <wp:inline distT="0" distB="0" distL="114300" distR="114300">
                  <wp:extent cx="2521585" cy="3363595"/>
                  <wp:effectExtent l="0" t="0" r="12065" b="8255"/>
                  <wp:docPr id="9" name="图片 9" descr="现场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现场4"/>
                          <pic:cNvPicPr>
                            <a:picLocks noChangeAspect="1"/>
                          </pic:cNvPicPr>
                        </pic:nvPicPr>
                        <pic:blipFill>
                          <a:blip r:embed="rId22"/>
                          <a:stretch>
                            <a:fillRect/>
                          </a:stretch>
                        </pic:blipFill>
                        <pic:spPr>
                          <a:xfrm>
                            <a:off x="0" y="0"/>
                            <a:ext cx="2521585" cy="3363595"/>
                          </a:xfrm>
                          <a:prstGeom prst="rect">
                            <a:avLst/>
                          </a:prstGeom>
                        </pic:spPr>
                      </pic:pic>
                    </a:graphicData>
                  </a:graphic>
                </wp:inline>
              </w:drawing>
            </w:r>
          </w:p>
        </w:tc>
      </w:tr>
    </w:tbl>
    <w:p w14:paraId="112A6BC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）规划利用条件</w:t>
      </w:r>
    </w:p>
    <w:p w14:paraId="6F51245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①</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规划利用状况</w:t>
      </w:r>
    </w:p>
    <w:p w14:paraId="7728A0C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根据《评估委托书》，</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委托方拟按现状利用条件办理出让手续，根据现场查勘，估价对象现状已建成住宅建筑，</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根据《不动产测绘报告书》，估价对象建筑面积205.45平方米，根据《宗地图》，估价对象土地面积50平方米，则容积率为4.11</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4.11</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6F858F2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②</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最佳利用</w:t>
      </w:r>
    </w:p>
    <w:p w14:paraId="0E37803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本次评估根据最有效利用原则，设定估价对象为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4.11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42A36AA1">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US" w:eastAsia="zh-CN" w:bidi="ar-SA"/>
        </w:rPr>
        <w:t>③</w:t>
      </w:r>
      <w:r>
        <w:rPr>
          <w:rFonts w:hint="default" w:ascii="仿宋_GB2312" w:hAnsi="仿宋_GB2312" w:eastAsia="仿宋_GB2312" w:cs="仿宋_GB2312"/>
          <w:bCs/>
          <w:color w:val="auto"/>
          <w:kern w:val="2"/>
          <w:sz w:val="28"/>
          <w:szCs w:val="28"/>
          <w:highlight w:val="none"/>
          <w:lang w:val="en-GB" w:eastAsia="zh-CN" w:bidi="ar-SA"/>
        </w:rPr>
        <w:t>土地闲置状况</w:t>
      </w:r>
    </w:p>
    <w:p w14:paraId="79CEB19A">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估价对象为已开发用地，于估价期日属于已供土地，不属于闲置土地。</w:t>
      </w:r>
    </w:p>
    <w:p w14:paraId="0ED0269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④规划</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利用限制和缺陷情况</w:t>
      </w:r>
    </w:p>
    <w:p w14:paraId="7E5656DF">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1A7E29F">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9.基础设施条件</w:t>
      </w:r>
    </w:p>
    <w:p w14:paraId="46A524AA">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估价对象宗地实际土地开发程度为宗地红线外“五通”（即通路、通电、供水、排水、通讯），宗地红线内场地平整。</w:t>
      </w:r>
    </w:p>
    <w:p w14:paraId="05C96FAB">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（1）通路：临</w:t>
      </w:r>
      <w:r>
        <w:rPr>
          <w:rFonts w:hint="eastAsia" w:ascii="仿宋_GB2312" w:hAnsi="仿宋_GB2312" w:cs="仿宋_GB2312"/>
          <w:b w:val="0"/>
          <w:bCs w:val="0"/>
          <w:color w:val="000000" w:themeColor="text1"/>
          <w:sz w:val="28"/>
          <w:szCs w:val="28"/>
          <w:highlight w:val="none"/>
          <w:lang w:val="en-US" w:eastAsia="zh-CN"/>
          <w14:textFill>
            <w14:solidFill>
              <w14:schemeClr w14:val="tx1"/>
            </w14:solidFill>
          </w14:textFill>
        </w:rPr>
        <w:t>次干道宝珍街</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516EFC0F">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（2）供电：区域内接市政双回路110KV供电管网，供电保证率</w:t>
      </w:r>
      <w:r>
        <w:rPr>
          <w:rFonts w:hint="eastAsia" w:ascii="仿宋_GB2312" w:hAnsi="仿宋_GB2312" w:cs="仿宋_GB2312"/>
          <w:b w:val="0"/>
          <w:bCs w:val="0"/>
          <w:color w:val="000000" w:themeColor="text1"/>
          <w:sz w:val="28"/>
          <w:szCs w:val="28"/>
          <w:highlight w:val="none"/>
          <w:lang w:val="en-US" w:eastAsia="zh-CN"/>
          <w14:textFill>
            <w14:solidFill>
              <w14:schemeClr w14:val="tx1"/>
            </w14:solidFill>
          </w14:textFill>
        </w:rPr>
        <w:t>高</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6D7AC5FB">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（4）给水：区域内供水主要来自区内的市政供水。</w:t>
      </w:r>
    </w:p>
    <w:p w14:paraId="68010F06">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（5）排水：宗地外接排水设施，在雨水大的情况下无洪涝和积水。</w:t>
      </w:r>
    </w:p>
    <w:p w14:paraId="29EF1C13">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rPr>
          <w:rFonts w:hint="eastAsia" w:ascii="仿宋_GB2312" w:hAnsi="仿宋_GB2312" w:eastAsia="仿宋_GB2312" w:cs="仿宋_GB2312"/>
          <w:b w:val="0"/>
          <w:bCs w:val="0"/>
          <w:color w:val="auto"/>
          <w:sz w:val="28"/>
          <w:szCs w:val="28"/>
          <w:highlight w:val="none"/>
        </w:rPr>
        <w:sectPr>
          <w:headerReference r:id="rId11" w:type="first"/>
          <w:footerReference r:id="rId12" w:type="first"/>
          <w:endnotePr>
            <w:numFmt w:val="decimal"/>
          </w:endnotePr>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 w:val="0"/>
          <w:bCs w:val="0"/>
          <w:color w:val="auto"/>
          <w:sz w:val="28"/>
          <w:szCs w:val="28"/>
          <w:highlight w:val="none"/>
          <w:lang w:val="en-US" w:eastAsia="zh-CN"/>
        </w:rPr>
        <w:t>综合考虑以上影响地价的个别因素，评估分析：面积</w:t>
      </w:r>
      <w:r>
        <w:rPr>
          <w:rFonts w:hint="eastAsia" w:ascii="仿宋_GB2312" w:hAnsi="仿宋_GB2312" w:cs="仿宋_GB2312"/>
          <w:b w:val="0"/>
          <w:bCs w:val="0"/>
          <w:color w:val="auto"/>
          <w:sz w:val="28"/>
          <w:szCs w:val="28"/>
          <w:highlight w:val="none"/>
          <w:lang w:val="en-US" w:eastAsia="zh-CN"/>
        </w:rPr>
        <w:t>小</w:t>
      </w:r>
      <w:r>
        <w:rPr>
          <w:rFonts w:hint="eastAsia" w:ascii="仿宋_GB2312" w:hAnsi="仿宋_GB2312" w:eastAsia="仿宋_GB2312" w:cs="仿宋_GB2312"/>
          <w:b w:val="0"/>
          <w:bCs w:val="0"/>
          <w:color w:val="auto"/>
          <w:sz w:val="28"/>
          <w:szCs w:val="28"/>
          <w:highlight w:val="none"/>
          <w:lang w:val="en-US" w:eastAsia="zh-CN"/>
        </w:rPr>
        <w:t>，对土地利用</w:t>
      </w:r>
      <w:r>
        <w:rPr>
          <w:rFonts w:hint="eastAsia" w:ascii="仿宋_GB2312" w:hAnsi="仿宋_GB2312" w:cs="仿宋_GB2312"/>
          <w:b w:val="0"/>
          <w:bCs w:val="0"/>
          <w:color w:val="auto"/>
          <w:sz w:val="28"/>
          <w:szCs w:val="28"/>
          <w:highlight w:val="none"/>
          <w:lang w:val="en-US" w:eastAsia="zh-CN"/>
        </w:rPr>
        <w:t>有较大影响</w:t>
      </w:r>
      <w:r>
        <w:rPr>
          <w:rFonts w:hint="eastAsia" w:ascii="仿宋_GB2312" w:hAnsi="仿宋_GB2312" w:eastAsia="仿宋_GB2312" w:cs="仿宋_GB2312"/>
          <w:b w:val="0"/>
          <w:bCs w:val="0"/>
          <w:color w:val="auto"/>
          <w:sz w:val="28"/>
          <w:szCs w:val="28"/>
          <w:highlight w:val="none"/>
          <w:lang w:val="en-US" w:eastAsia="zh-CN"/>
        </w:rPr>
        <w:t>，宗地形状规则，</w:t>
      </w:r>
      <w:r>
        <w:rPr>
          <w:rFonts w:hint="eastAsia" w:ascii="仿宋_GB2312" w:hAnsi="仿宋_GB2312" w:cs="仿宋_GB2312"/>
          <w:b w:val="0"/>
          <w:bCs w:val="0"/>
          <w:color w:val="auto"/>
          <w:sz w:val="28"/>
          <w:szCs w:val="28"/>
          <w:highlight w:val="none"/>
          <w:lang w:val="en-US" w:eastAsia="zh-CN"/>
        </w:rPr>
        <w:t>有利于土地利用</w:t>
      </w:r>
      <w:r>
        <w:rPr>
          <w:rFonts w:hint="eastAsia" w:ascii="仿宋_GB2312" w:hAnsi="仿宋_GB2312" w:eastAsia="仿宋_GB2312" w:cs="仿宋_GB2312"/>
          <w:b w:val="0"/>
          <w:bCs w:val="0"/>
          <w:color w:val="auto"/>
          <w:sz w:val="28"/>
          <w:szCs w:val="28"/>
          <w:highlight w:val="none"/>
          <w:lang w:val="en-US" w:eastAsia="zh-CN"/>
        </w:rPr>
        <w:t>，地质地势条件优，主要进出道路为</w:t>
      </w:r>
      <w:r>
        <w:rPr>
          <w:rFonts w:hint="eastAsia" w:ascii="仿宋_GB2312" w:hAnsi="仿宋_GB2312" w:cs="仿宋_GB2312"/>
          <w:b w:val="0"/>
          <w:bCs w:val="0"/>
          <w:color w:val="auto"/>
          <w:sz w:val="28"/>
          <w:szCs w:val="28"/>
          <w:highlight w:val="none"/>
          <w:lang w:val="en-US" w:eastAsia="zh-CN"/>
        </w:rPr>
        <w:t>次干道</w:t>
      </w:r>
      <w:r>
        <w:rPr>
          <w:rFonts w:hint="eastAsia" w:ascii="仿宋_GB2312" w:hAnsi="仿宋_GB2312" w:eastAsia="仿宋_GB2312" w:cs="仿宋_GB2312"/>
          <w:b w:val="0"/>
          <w:bCs w:val="0"/>
          <w:color w:val="auto"/>
          <w:sz w:val="28"/>
          <w:szCs w:val="28"/>
          <w:highlight w:val="none"/>
          <w:lang w:val="en-US" w:eastAsia="zh-CN"/>
        </w:rPr>
        <w:t>，道路通达度</w:t>
      </w:r>
      <w:r>
        <w:rPr>
          <w:rFonts w:hint="eastAsia" w:ascii="仿宋_GB2312" w:hAnsi="仿宋_GB2312" w:cs="仿宋_GB2312"/>
          <w:b w:val="0"/>
          <w:bCs w:val="0"/>
          <w:color w:val="auto"/>
          <w:sz w:val="28"/>
          <w:szCs w:val="28"/>
          <w:highlight w:val="none"/>
          <w:lang w:val="en-US" w:eastAsia="zh-CN"/>
        </w:rPr>
        <w:t>劣</w:t>
      </w:r>
      <w:r>
        <w:rPr>
          <w:rFonts w:hint="eastAsia" w:ascii="仿宋_GB2312" w:hAnsi="仿宋_GB2312" w:eastAsia="仿宋_GB2312" w:cs="仿宋_GB2312"/>
          <w:b w:val="0"/>
          <w:bCs w:val="0"/>
          <w:color w:val="auto"/>
          <w:sz w:val="28"/>
          <w:szCs w:val="28"/>
          <w:highlight w:val="none"/>
          <w:lang w:val="en-US" w:eastAsia="zh-CN"/>
        </w:rPr>
        <w:t>，距</w:t>
      </w:r>
      <w:r>
        <w:rPr>
          <w:rFonts w:hint="eastAsia" w:ascii="仿宋_GB2312" w:hAnsi="仿宋_GB2312" w:cs="仿宋_GB2312"/>
          <w:b w:val="0"/>
          <w:bCs w:val="0"/>
          <w:color w:val="auto"/>
          <w:sz w:val="28"/>
          <w:szCs w:val="28"/>
          <w:highlight w:val="none"/>
          <w:lang w:val="en-US" w:eastAsia="zh-CN"/>
        </w:rPr>
        <w:t>长途汽车站距离较近，距</w:t>
      </w:r>
      <w:r>
        <w:rPr>
          <w:rFonts w:hint="eastAsia" w:ascii="仿宋_GB2312" w:hAnsi="仿宋_GB2312" w:eastAsia="仿宋_GB2312" w:cs="仿宋_GB2312"/>
          <w:b w:val="0"/>
          <w:bCs w:val="0"/>
          <w:color w:val="auto"/>
          <w:sz w:val="28"/>
          <w:szCs w:val="28"/>
          <w:highlight w:val="none"/>
          <w:lang w:val="en-US" w:eastAsia="zh-CN"/>
        </w:rPr>
        <w:t>货运火车站距离</w:t>
      </w:r>
      <w:r>
        <w:rPr>
          <w:rFonts w:hint="eastAsia" w:ascii="仿宋_GB2312" w:hAnsi="仿宋_GB2312" w:cs="仿宋_GB2312"/>
          <w:b w:val="0"/>
          <w:bCs w:val="0"/>
          <w:color w:val="auto"/>
          <w:sz w:val="28"/>
          <w:szCs w:val="28"/>
          <w:highlight w:val="none"/>
          <w:lang w:val="en-US" w:eastAsia="zh-CN"/>
        </w:rPr>
        <w:t>远</w:t>
      </w:r>
      <w:r>
        <w:rPr>
          <w:rFonts w:hint="eastAsia" w:ascii="仿宋_GB2312" w:hAnsi="仿宋_GB2312" w:eastAsia="仿宋_GB2312" w:cs="仿宋_GB2312"/>
          <w:b w:val="0"/>
          <w:bCs w:val="0"/>
          <w:color w:val="auto"/>
          <w:sz w:val="28"/>
          <w:szCs w:val="28"/>
          <w:highlight w:val="none"/>
          <w:lang w:val="en-US" w:eastAsia="zh-CN"/>
        </w:rPr>
        <w:t>。估价对象作为设定用途符合有效利用原则，其他个别条件均对宗地产生较有利</w:t>
      </w:r>
      <w:r>
        <w:rPr>
          <w:rFonts w:hint="eastAsia" w:ascii="仿宋_GB2312" w:hAnsi="仿宋_GB2312" w:cs="仿宋_GB2312"/>
          <w:b w:val="0"/>
          <w:bCs w:val="0"/>
          <w:color w:val="auto"/>
          <w:sz w:val="28"/>
          <w:szCs w:val="28"/>
          <w:highlight w:val="none"/>
          <w:lang w:val="en-US" w:eastAsia="zh-CN"/>
        </w:rPr>
        <w:t>影响。</w:t>
      </w:r>
    </w:p>
    <w:p w14:paraId="53E53173">
      <w:pPr>
        <w:pStyle w:val="21"/>
        <w:spacing w:before="120" w:beforeLines="50" w:after="240" w:afterLines="100" w:line="440" w:lineRule="exact"/>
        <w:ind w:firstLine="0" w:firstLineChars="0"/>
        <w:jc w:val="center"/>
        <w:outlineLvl w:val="0"/>
        <w:rPr>
          <w:rFonts w:hint="default" w:ascii="宋体" w:hAnsi="宋体" w:eastAsia="宋体" w:cs="宋体"/>
          <w:b/>
          <w:bCs/>
          <w:color w:val="auto"/>
          <w:sz w:val="32"/>
          <w:szCs w:val="32"/>
          <w:highlight w:val="none"/>
        </w:rPr>
      </w:pPr>
      <w:bookmarkStart w:id="27" w:name="_Toc16486"/>
      <w:bookmarkStart w:id="28" w:name="_Toc8419"/>
      <w:bookmarkStart w:id="29" w:name="_Toc30245"/>
      <w:r>
        <w:rPr>
          <w:rFonts w:hint="eastAsia" w:ascii="宋体" w:hAnsi="宋体" w:eastAsia="宋体" w:cs="宋体"/>
          <w:b/>
          <w:bCs/>
          <w:color w:val="auto"/>
          <w:sz w:val="32"/>
          <w:szCs w:val="32"/>
          <w:highlight w:val="none"/>
        </w:rPr>
        <w:t>第三部分</w:t>
      </w:r>
      <w:r>
        <w:rPr>
          <w:rFonts w:hint="eastAsia" w:ascii="宋体" w:hAnsi="宋体" w:eastAsia="宋体" w:cs="宋体"/>
          <w:b/>
          <w:bCs/>
          <w:color w:val="auto"/>
          <w:sz w:val="32"/>
          <w:szCs w:val="32"/>
          <w:highlight w:val="none"/>
          <w:lang w:val="en-US" w:eastAsia="zh-CN"/>
        </w:rPr>
        <w:t xml:space="preserve">  </w:t>
      </w:r>
      <w:r>
        <w:rPr>
          <w:rFonts w:hint="eastAsia" w:ascii="宋体" w:hAnsi="宋体" w:eastAsia="宋体" w:cs="宋体"/>
          <w:b/>
          <w:bCs/>
          <w:color w:val="auto"/>
          <w:sz w:val="32"/>
          <w:szCs w:val="32"/>
          <w:highlight w:val="none"/>
        </w:rPr>
        <w:t>土地估价</w:t>
      </w:r>
      <w:bookmarkEnd w:id="27"/>
      <w:bookmarkEnd w:id="28"/>
      <w:bookmarkEnd w:id="29"/>
    </w:p>
    <w:p w14:paraId="792465F3">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hint="eastAsia" w:ascii="仿宋_GB2312" w:eastAsia="仿宋_GB2312"/>
          <w:b/>
          <w:bCs/>
          <w:sz w:val="28"/>
          <w:szCs w:val="28"/>
          <w:highlight w:val="none"/>
          <w:lang w:val="en-US" w:eastAsia="zh-CN"/>
        </w:rPr>
      </w:pPr>
      <w:bookmarkStart w:id="30" w:name="_Toc29901"/>
      <w:bookmarkStart w:id="31" w:name="_Toc26449"/>
      <w:bookmarkStart w:id="32" w:name="_Toc12507"/>
      <w:r>
        <w:rPr>
          <w:rFonts w:hint="eastAsia" w:ascii="仿宋_GB2312" w:eastAsia="仿宋_GB2312"/>
          <w:b/>
          <w:bCs/>
          <w:sz w:val="28"/>
          <w:szCs w:val="28"/>
          <w:highlight w:val="none"/>
          <w:lang w:val="en-US" w:eastAsia="zh-CN"/>
        </w:rPr>
        <w:t>一、估价依据</w:t>
      </w:r>
      <w:bookmarkEnd w:id="30"/>
    </w:p>
    <w:p w14:paraId="61EF66FC">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（一）国家相关法律、法规及行政规章</w:t>
      </w:r>
    </w:p>
    <w:p w14:paraId="71C0B82F">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1、《中华人民共和国民法典》（2020年5月28日第十三届全国人民代表大会第三次会议通过，2020年5月28日中华人民共和国主席令第四十五号公布，自2021年1月1日起施行）；</w:t>
      </w:r>
    </w:p>
    <w:p w14:paraId="0665E2CC">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2、《中华人民共和国资产评估法》（2016年7月2日第十二届全国人民代表大会常务委员会第二十一次会议通过，2016年7月2日中华人民共和国主席令第四十六号公布，自2016年12月1日起施行）；</w:t>
      </w:r>
    </w:p>
    <w:p w14:paraId="28678FC4">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3、《中华人民共和国土地管理法》（1986年6月25日第六届全国人民代表大会常务委员会第十六次会议通过，中华人民共和国主席令第四十一号公布；根据2019年8月26日《全国人民代表大会常务委员会关于修改&lt;中华人民共和国土地管理法&gt;、&lt;中华人民共和国城市房地产管理法&gt;的决定》第三次修正，2019年8月26日中华人民共和国主席令第三十二号公布，自2020年1月1日起施行）；</w:t>
      </w:r>
    </w:p>
    <w:p w14:paraId="4744D9D7">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4、《中华人民共和国城市房地产管理法》（1994年7月5日第八届全国人民代表大会常务委员会第八次会议通过，中华人民共和国主席令第二十九号公布；根据2019年8月26日第十三届全国人民代表大会常务委员会第十二次会议《关于修改〈中华人民共和国土地管理法〉、〈中华人民共和国城市房地产管理法〉的决定》第三次修正，2019年8月26日中华人民共和国主席令第三十二号公布，自2020年1月1日起施行）；</w:t>
      </w:r>
    </w:p>
    <w:p w14:paraId="473C9C61">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中华人民共和国城乡规划法》（2007年10月28日第十届全国人民代表大会常务委员会第三十次会通过，中华人民共和国主席令第二十九号公布；根据2019年4月23日第十三届全国人民代表大会常务委员会第十次会议《关于修改&lt;中华人民共和国建筑法&gt;等八部法律的决定》第二次修正，2019年4月23日中华人民共和国主席令第二十九号公布，自本决定公布之日起施行）；</w:t>
      </w:r>
    </w:p>
    <w:p w14:paraId="7C35940D">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6</w:t>
      </w:r>
      <w:r>
        <w:rPr>
          <w:rFonts w:hint="eastAsia" w:ascii="仿宋_GB2312" w:hAnsi="仿宋_GB2312" w:eastAsia="仿宋_GB2312" w:cs="仿宋_GB2312"/>
          <w:sz w:val="28"/>
          <w:szCs w:val="28"/>
          <w:highlight w:val="none"/>
        </w:rPr>
        <w:t>、《中华人民共和国契税法》（2020年8月11日第十三届全国人民代表大会常务委员会第二十一次会议通过，中华人民共和国主席令第52号公布，自2021年9月1日起施行）；</w:t>
      </w:r>
    </w:p>
    <w:p w14:paraId="2774EE1F">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7</w:t>
      </w:r>
      <w:r>
        <w:rPr>
          <w:rFonts w:hint="eastAsia" w:ascii="仿宋_GB2312" w:hAnsi="仿宋_GB2312" w:eastAsia="仿宋_GB2312" w:cs="仿宋_GB2312"/>
          <w:sz w:val="28"/>
          <w:szCs w:val="28"/>
          <w:highlight w:val="none"/>
        </w:rPr>
        <w:t>、《中华人民共和国城市维护建设税法》（2020年8月11日第十三届全国人民代表大会常务委员会第二十一次会议通过，中华人民共和国主席令第51号公布，自2021年9月1日起施行）；</w:t>
      </w:r>
    </w:p>
    <w:p w14:paraId="4696F849">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8</w:t>
      </w:r>
      <w:r>
        <w:rPr>
          <w:rFonts w:hint="eastAsia" w:ascii="仿宋_GB2312" w:hAnsi="仿宋_GB2312" w:eastAsia="仿宋_GB2312" w:cs="仿宋_GB2312"/>
          <w:sz w:val="28"/>
          <w:szCs w:val="28"/>
          <w:highlight w:val="none"/>
        </w:rPr>
        <w:t>、《中华人民共和国印花税法》（2021年6月10日第十三届全国人民代表大会常务委员会第二十九次会议通过，自2022年7月1日起施行）</w:t>
      </w:r>
      <w:r>
        <w:rPr>
          <w:rFonts w:hint="eastAsia" w:ascii="仿宋_GB2312" w:hAnsi="仿宋_GB2312" w:eastAsia="仿宋_GB2312" w:cs="仿宋_GB2312"/>
          <w:sz w:val="28"/>
          <w:szCs w:val="28"/>
          <w:highlight w:val="none"/>
          <w:lang w:eastAsia="zh-CN"/>
        </w:rPr>
        <w:t>；</w:t>
      </w:r>
    </w:p>
    <w:p w14:paraId="1FC71A0A">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jc w:val="left"/>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、《城市房地产开发经营管理条例》（1998年7月20日中华人民共和国国务院令第248号发布</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根据2020年11月29日《国务院关于修改和废止部分行政法规的决定》第五次修订）；</w:t>
      </w:r>
    </w:p>
    <w:p w14:paraId="6B6E6547">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、《中华人民共和国城镇国有土地使用权出让和转让暂行条例》（1990年5月19日中华人民共和国国务院令第55号发布，自发布之日起施行；根据2020年11月29日中华人民共和国国务院令第732号修订）；</w:t>
      </w:r>
    </w:p>
    <w:p w14:paraId="61A73EA3">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11</w:t>
      </w:r>
      <w:r>
        <w:rPr>
          <w:rFonts w:hint="eastAsia" w:ascii="仿宋_GB2312" w:hAnsi="仿宋_GB2312" w:eastAsia="仿宋_GB2312" w:cs="仿宋_GB2312"/>
          <w:sz w:val="28"/>
          <w:szCs w:val="28"/>
          <w:highlight w:val="none"/>
        </w:rPr>
        <w:t>、《中华人民共和国土地管理法实施条例》（中华人民共和国国务院令第256号，2021年7月2日中华人民共和国国务院令第743号第三次修订）；</w:t>
      </w:r>
    </w:p>
    <w:p w14:paraId="78B14431">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、《不动产登记暂行条例》（2014年11月24日中华人民共和国国务院令第656号公布，自2015年3月1日起施行；根据20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年3月</w:t>
      </w: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日中华人民共和国国务院令第7</w:t>
      </w:r>
      <w:r>
        <w:rPr>
          <w:rFonts w:hint="eastAsia" w:ascii="仿宋_GB2312" w:hAnsi="仿宋_GB2312" w:eastAsia="仿宋_GB2312" w:cs="仿宋_GB2312"/>
          <w:sz w:val="28"/>
          <w:szCs w:val="28"/>
          <w:highlight w:val="none"/>
          <w:lang w:val="en-US" w:eastAsia="zh-CN"/>
        </w:rPr>
        <w:t>77</w:t>
      </w:r>
      <w:r>
        <w:rPr>
          <w:rFonts w:hint="eastAsia" w:ascii="仿宋_GB2312" w:hAnsi="仿宋_GB2312" w:eastAsia="仿宋_GB2312" w:cs="仿宋_GB2312"/>
          <w:sz w:val="28"/>
          <w:szCs w:val="28"/>
          <w:highlight w:val="none"/>
        </w:rPr>
        <w:t>号《国务院关于修改和废止部分行政法规的决定》第</w:t>
      </w:r>
      <w:r>
        <w:rPr>
          <w:rFonts w:hint="eastAsia" w:ascii="仿宋_GB2312" w:hAnsi="仿宋_GB2312" w:eastAsia="仿宋_GB2312" w:cs="仿宋_GB2312"/>
          <w:sz w:val="28"/>
          <w:szCs w:val="28"/>
          <w:highlight w:val="none"/>
          <w:lang w:val="en-US" w:eastAsia="zh-CN"/>
        </w:rPr>
        <w:t>二</w:t>
      </w:r>
      <w:r>
        <w:rPr>
          <w:rFonts w:hint="eastAsia" w:ascii="仿宋_GB2312" w:hAnsi="仿宋_GB2312" w:eastAsia="仿宋_GB2312" w:cs="仿宋_GB2312"/>
          <w:sz w:val="28"/>
          <w:szCs w:val="28"/>
          <w:highlight w:val="none"/>
        </w:rPr>
        <w:t>次修订）；</w:t>
      </w:r>
    </w:p>
    <w:p w14:paraId="0D4E1B89">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、《国务院关于深化改革严格土地管理的决定》（国发〔2004〕28号，2004年10月21日）；</w:t>
      </w:r>
    </w:p>
    <w:p w14:paraId="34D6B76A">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、《国务院关于加强土地调控有关问题的通知》（国发〔2006〕31号，2006年8月31日）；</w:t>
      </w:r>
    </w:p>
    <w:p w14:paraId="71F5274C">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15</w:t>
      </w:r>
      <w:r>
        <w:rPr>
          <w:rFonts w:hint="eastAsia" w:ascii="仿宋_GB2312" w:hAnsi="仿宋_GB2312" w:eastAsia="仿宋_GB2312" w:cs="仿宋_GB2312"/>
          <w:sz w:val="28"/>
          <w:szCs w:val="28"/>
          <w:highlight w:val="none"/>
        </w:rPr>
        <w:t>、《国务院办公厅关于完善建设用地使用权转让、出租、抵押二级市场的指导意见》（国办发〔2019〕34号，2019年07月19日）；</w:t>
      </w:r>
    </w:p>
    <w:p w14:paraId="5E6AE2FC">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16</w:t>
      </w:r>
      <w:r>
        <w:rPr>
          <w:rFonts w:hint="eastAsia" w:ascii="仿宋_GB2312" w:hAnsi="仿宋_GB2312" w:eastAsia="仿宋_GB2312" w:cs="仿宋_GB2312"/>
          <w:sz w:val="28"/>
          <w:szCs w:val="28"/>
          <w:highlight w:val="none"/>
        </w:rPr>
        <w:t>、《协议出让国有土地使用权规定》（国土资源部令第21号，2003年8月1号）；</w:t>
      </w:r>
    </w:p>
    <w:p w14:paraId="3C867E68">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17</w:t>
      </w:r>
      <w:r>
        <w:rPr>
          <w:rFonts w:hint="eastAsia" w:ascii="仿宋_GB2312" w:hAnsi="仿宋_GB2312" w:eastAsia="仿宋_GB2312" w:cs="仿宋_GB2312"/>
          <w:sz w:val="28"/>
          <w:szCs w:val="28"/>
          <w:highlight w:val="none"/>
        </w:rPr>
        <w:t>、《协议出让国有土地使用权规范》（试行）（国土资发〔2006〕114号，2006年5月31号）；</w:t>
      </w:r>
    </w:p>
    <w:p w14:paraId="40A9B0A3">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18</w:t>
      </w:r>
      <w:r>
        <w:rPr>
          <w:rFonts w:hint="eastAsia" w:ascii="仿宋_GB2312" w:hAnsi="仿宋_GB2312" w:eastAsia="仿宋_GB2312" w:cs="仿宋_GB2312"/>
          <w:sz w:val="28"/>
          <w:szCs w:val="28"/>
          <w:highlight w:val="none"/>
        </w:rPr>
        <w:t>、《国土资源部关于进一步加强城市地价动态监测工作的通知》（国土资发[2008]51号，2008年3月11日）；</w:t>
      </w:r>
    </w:p>
    <w:p w14:paraId="2EB61EC1">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19</w:t>
      </w:r>
      <w:r>
        <w:rPr>
          <w:rFonts w:hint="eastAsia" w:ascii="仿宋_GB2312" w:hAnsi="仿宋_GB2312" w:eastAsia="仿宋_GB2312" w:cs="仿宋_GB2312"/>
          <w:sz w:val="28"/>
          <w:szCs w:val="28"/>
          <w:highlight w:val="none"/>
        </w:rPr>
        <w:t>、《国土资源部关于坚持和完善土地招标拍卖挂牌出让制度的意见》（国土资发〔2011〕63号，2011年5月13日）；</w:t>
      </w:r>
    </w:p>
    <w:p w14:paraId="620FC41F">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20</w:t>
      </w:r>
      <w:r>
        <w:rPr>
          <w:rFonts w:hint="eastAsia" w:ascii="仿宋_GB2312" w:hAnsi="仿宋_GB2312" w:eastAsia="仿宋_GB2312" w:cs="仿宋_GB2312"/>
          <w:sz w:val="28"/>
          <w:szCs w:val="28"/>
          <w:highlight w:val="none"/>
        </w:rPr>
        <w:t>、《国土资源部办公厅关于实施电子化备案完善土地估价报告备案制度的通知》（国土资厅发[2012]35号，2012年6月14日）；</w:t>
      </w:r>
    </w:p>
    <w:p w14:paraId="3EF2CB08">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21</w:t>
      </w:r>
      <w:r>
        <w:rPr>
          <w:rFonts w:hint="eastAsia" w:ascii="仿宋_GB2312" w:hAnsi="仿宋_GB2312" w:eastAsia="仿宋_GB2312" w:cs="仿宋_GB2312"/>
          <w:sz w:val="28"/>
          <w:szCs w:val="28"/>
          <w:highlight w:val="none"/>
        </w:rPr>
        <w:t>、《节约集约利用土地规定》（2014年5月22日国土资源部第61号令公布，根据2019年7月16日自然资源部第2次部务会议《自然资源部第一批废止和修改的部门规章的决定》修正）；</w:t>
      </w:r>
    </w:p>
    <w:p w14:paraId="2E71517C">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22</w:t>
      </w:r>
      <w:r>
        <w:rPr>
          <w:rFonts w:hint="eastAsia" w:ascii="仿宋_GB2312" w:hAnsi="仿宋_GB2312" w:eastAsia="仿宋_GB2312" w:cs="仿宋_GB2312"/>
          <w:sz w:val="28"/>
          <w:szCs w:val="28"/>
          <w:highlight w:val="none"/>
        </w:rPr>
        <w:t>、《不动产登记暂行条例实施细则》（2016年1月1日国土资源部令第63号公布，根据20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w:t>
      </w:r>
      <w:r>
        <w:rPr>
          <w:rFonts w:hint="eastAsia" w:ascii="仿宋_GB2312" w:hAnsi="仿宋_GB2312" w:eastAsia="仿宋_GB2312" w:cs="仿宋_GB2312"/>
          <w:sz w:val="28"/>
          <w:szCs w:val="28"/>
          <w:highlight w:val="none"/>
          <w:lang w:val="en-US" w:eastAsia="zh-CN"/>
        </w:rPr>
        <w:t>5</w:t>
      </w:r>
      <w:r>
        <w:rPr>
          <w:rFonts w:hint="eastAsia" w:ascii="仿宋_GB2312" w:hAnsi="仿宋_GB2312" w:eastAsia="仿宋_GB2312" w:cs="仿宋_GB2312"/>
          <w:sz w:val="28"/>
          <w:szCs w:val="28"/>
          <w:highlight w:val="none"/>
        </w:rPr>
        <w:t>月</w:t>
      </w: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日自然资源部第2次部务会议《自然资源部关于第六批修改的部门规章的决定》修正）；</w:t>
      </w:r>
    </w:p>
    <w:p w14:paraId="5963F813">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sz w:val="28"/>
          <w:szCs w:val="28"/>
          <w:highlight w:val="none"/>
          <w:lang w:val="en-US" w:eastAsia="zh-CN"/>
        </w:rPr>
        <w:t>23</w:t>
      </w:r>
      <w:r>
        <w:rPr>
          <w:rFonts w:hint="eastAsia" w:ascii="仿宋_GB2312" w:hAnsi="仿宋_GB2312" w:eastAsia="仿宋_GB2312" w:cs="仿宋_GB2312"/>
          <w:sz w:val="28"/>
          <w:szCs w:val="28"/>
          <w:highlight w:val="none"/>
        </w:rPr>
        <w:t>、《国土资源部关于贯彻实施&lt;中华人民共和国资产评估法&gt;的通知》（国土资发[2016]181号，2016年11月25日）；</w:t>
      </w:r>
    </w:p>
    <w:p w14:paraId="647E2B19">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24</w:t>
      </w:r>
      <w:r>
        <w:rPr>
          <w:rFonts w:hint="eastAsia" w:ascii="仿宋_GB2312" w:hAnsi="仿宋_GB2312" w:eastAsia="仿宋_GB2312" w:cs="仿宋_GB2312"/>
          <w:color w:val="000000"/>
          <w:sz w:val="28"/>
          <w:szCs w:val="28"/>
          <w:highlight w:val="none"/>
        </w:rPr>
        <w:t>、《国土资源部 国家发展和改革委员会 财政部 住房和城乡建设部 农业部 中国人民银行 国家林业局 中国银行业监督管理委员会关于扩大国有土地有偿使用范围的意见》（国土资规[2016]20号，2016年12月31日）；</w:t>
      </w:r>
    </w:p>
    <w:p w14:paraId="56519660">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25</w:t>
      </w:r>
      <w:r>
        <w:rPr>
          <w:rFonts w:hint="eastAsia" w:ascii="仿宋_GB2312" w:hAnsi="仿宋_GB2312" w:eastAsia="仿宋_GB2312" w:cs="仿宋_GB2312"/>
          <w:color w:val="000000"/>
          <w:sz w:val="28"/>
          <w:szCs w:val="28"/>
          <w:highlight w:val="none"/>
        </w:rPr>
        <w:t>、《国土资源部办公厅关于发布&lt;国有建设用地使用权出让地价评估技术规范&gt;的通知》（国土资厅发[2018]4号，2018年4月9日）；</w:t>
      </w:r>
    </w:p>
    <w:p w14:paraId="589955A4">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26</w:t>
      </w:r>
      <w:r>
        <w:rPr>
          <w:rFonts w:hint="eastAsia" w:ascii="仿宋_GB2312" w:hAnsi="仿宋_GB2312" w:eastAsia="仿宋_GB2312" w:cs="仿宋_GB2312"/>
          <w:color w:val="000000"/>
          <w:sz w:val="28"/>
          <w:szCs w:val="28"/>
          <w:highlight w:val="none"/>
        </w:rPr>
        <w:t>、《自然资源部办公厅关于印发&lt;产业用地政策实施工作指引（2019年版）&gt;的通知》（自然资办发[2019]31号，2019年4月24日）；</w:t>
      </w:r>
    </w:p>
    <w:p w14:paraId="76EE10E8">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27、</w:t>
      </w:r>
      <w:r>
        <w:rPr>
          <w:rFonts w:hint="eastAsia" w:ascii="仿宋_GB2312" w:hAnsi="仿宋_GB2312" w:eastAsia="仿宋_GB2312" w:cs="仿宋_GB2312"/>
          <w:color w:val="000000"/>
          <w:sz w:val="28"/>
          <w:szCs w:val="28"/>
          <w:highlight w:val="none"/>
        </w:rPr>
        <w:t>《自然资源部办公厅关于做好2021年度自然资源评价评估有关工作的通知》（自然资办发〔2021〕39号，2021年5月12日）；</w:t>
      </w:r>
    </w:p>
    <w:p w14:paraId="23321F67">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28</w:t>
      </w:r>
      <w:r>
        <w:rPr>
          <w:rFonts w:hint="eastAsia" w:ascii="仿宋_GB2312" w:hAnsi="仿宋_GB2312" w:eastAsia="仿宋_GB2312" w:cs="仿宋_GB2312"/>
          <w:color w:val="000000"/>
          <w:sz w:val="28"/>
          <w:szCs w:val="28"/>
          <w:highlight w:val="none"/>
        </w:rPr>
        <w:t>、《自然资源部办公厅关于做好2022年度自然资源评价评估有工作的通知》（自然资办发〔2022〕13号，2022年4月13日）；</w:t>
      </w:r>
    </w:p>
    <w:p w14:paraId="038A21B6">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29</w:t>
      </w:r>
      <w:r>
        <w:rPr>
          <w:rFonts w:hint="eastAsia" w:ascii="仿宋_GB2312" w:hAnsi="仿宋_GB2312" w:eastAsia="仿宋_GB2312" w:cs="仿宋_GB2312"/>
          <w:color w:val="000000"/>
          <w:sz w:val="28"/>
          <w:szCs w:val="28"/>
          <w:highlight w:val="none"/>
        </w:rPr>
        <w:t xml:space="preserve">、《自然资源部办公厅关于土地估价机构备案工作的通知》（自然资办发〔2022〕42号，2022年9月27日）； </w:t>
      </w:r>
    </w:p>
    <w:p w14:paraId="520FEF24">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lang w:val="en-US" w:eastAsia="zh-CN"/>
        </w:rPr>
      </w:pPr>
      <w:r>
        <w:rPr>
          <w:rFonts w:hint="eastAsia" w:ascii="仿宋_GB2312" w:hAnsi="仿宋_GB2312" w:eastAsia="仿宋_GB2312" w:cs="仿宋_GB2312"/>
          <w:color w:val="000000"/>
          <w:sz w:val="28"/>
          <w:szCs w:val="28"/>
          <w:highlight w:val="none"/>
          <w:lang w:val="en-US" w:eastAsia="zh-CN"/>
        </w:rPr>
        <w:t>30、《自然资源部办公厅关于做好2024年住宅用地供应有关工作的通知》（自然资办函〔2024〕918号，2024年4月29日）；</w:t>
      </w:r>
    </w:p>
    <w:p w14:paraId="199931B7">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31</w:t>
      </w:r>
      <w:r>
        <w:rPr>
          <w:rFonts w:hint="eastAsia" w:ascii="仿宋_GB2312" w:hAnsi="仿宋_GB2312" w:eastAsia="仿宋_GB2312" w:cs="仿宋_GB2312"/>
          <w:bCs/>
          <w:iCs/>
          <w:sz w:val="28"/>
          <w:szCs w:val="28"/>
          <w:highlight w:val="none"/>
        </w:rPr>
        <w:t>、《关于全面推开营业税改征增值税试点的通知》（财税〔2016〕36号，2016年3月23日）；</w:t>
      </w:r>
    </w:p>
    <w:p w14:paraId="1A55128C">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32</w:t>
      </w:r>
      <w:r>
        <w:rPr>
          <w:rFonts w:hint="eastAsia" w:ascii="仿宋_GB2312" w:hAnsi="仿宋_GB2312" w:eastAsia="仿宋_GB2312" w:cs="仿宋_GB2312"/>
          <w:bCs/>
          <w:iCs/>
          <w:sz w:val="28"/>
          <w:szCs w:val="28"/>
          <w:highlight w:val="none"/>
        </w:rPr>
        <w:t>、《关于全面推开营业税改征增值税试点有关税收征收管理事项的公告》（国家税务总局公告2016年第23号，2016年4月19日）；</w:t>
      </w:r>
    </w:p>
    <w:p w14:paraId="1542736C">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33</w:t>
      </w:r>
      <w:r>
        <w:rPr>
          <w:rFonts w:hint="eastAsia" w:ascii="仿宋_GB2312" w:hAnsi="仿宋_GB2312" w:eastAsia="仿宋_GB2312" w:cs="仿宋_GB2312"/>
          <w:bCs/>
          <w:iCs/>
          <w:sz w:val="28"/>
          <w:szCs w:val="28"/>
          <w:highlight w:val="none"/>
        </w:rPr>
        <w:t>、《关于营改增后契税、房产税、土地增值税、个人所得税计税依据问题的通知》（财税[2016]43号，2016年4月25日）；</w:t>
      </w:r>
    </w:p>
    <w:p w14:paraId="4E4BC330">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34</w:t>
      </w:r>
      <w:r>
        <w:rPr>
          <w:rFonts w:hint="eastAsia" w:ascii="仿宋_GB2312" w:hAnsi="仿宋_GB2312" w:eastAsia="仿宋_GB2312" w:cs="仿宋_GB2312"/>
          <w:bCs/>
          <w:iCs/>
          <w:sz w:val="28"/>
          <w:szCs w:val="28"/>
          <w:highlight w:val="none"/>
        </w:rPr>
        <w:t>、《财政部税务总局关于调整增值税税率的通知》[财税（2018）32号，2018年5月1日]；</w:t>
      </w:r>
    </w:p>
    <w:p w14:paraId="239633B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iCs/>
          <w:sz w:val="28"/>
          <w:szCs w:val="28"/>
          <w:highlight w:val="none"/>
          <w:lang w:val="en-US" w:eastAsia="zh-CN"/>
        </w:rPr>
        <w:t>35</w:t>
      </w:r>
      <w:r>
        <w:rPr>
          <w:rFonts w:hint="eastAsia" w:ascii="仿宋_GB2312" w:hAnsi="仿宋_GB2312" w:eastAsia="仿宋_GB2312" w:cs="仿宋_GB2312"/>
          <w:bCs/>
          <w:iCs/>
          <w:sz w:val="28"/>
          <w:szCs w:val="28"/>
          <w:highlight w:val="none"/>
        </w:rPr>
        <w:t>、《财政部 税务总局 海关总署关于深化增值税改革有关政策的公告》（财政部 税务总局 海关总署公告2019年第39号，2019年3月20日）</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7BDF2A5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36.其他有关的国家相关法律、法规及行政规章。</w:t>
      </w:r>
    </w:p>
    <w:p w14:paraId="08BF6497">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762A9C3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612BC5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B7771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41A6B96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0D59C39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AAC927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48DFAD0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5B491DA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w:t>
      </w:r>
      <w:r>
        <w:rPr>
          <w:rFonts w:hint="eastAsia" w:ascii="仿宋_GB2312" w:hAnsi="Times New Roman" w:eastAsia="仿宋_GB2312" w:cs="Times New Roman"/>
          <w:b w:val="0"/>
          <w:bCs w:val="0"/>
          <w:sz w:val="28"/>
          <w:szCs w:val="30"/>
          <w:highlight w:val="none"/>
          <w:lang w:val="en-GB"/>
        </w:rPr>
        <w:t>《湖南省发展和改革委员会关于我省公共资源交易服务收费的通知》（湘发改价费〔</w:t>
      </w:r>
      <w:r>
        <w:rPr>
          <w:rFonts w:hint="eastAsia" w:ascii="仿宋_GB2312" w:cs="Times New Roman"/>
          <w:b w:val="0"/>
          <w:bCs w:val="0"/>
          <w:sz w:val="28"/>
          <w:szCs w:val="30"/>
          <w:highlight w:val="none"/>
          <w:lang w:val="en-US" w:eastAsia="zh-CN"/>
        </w:rPr>
        <w:t>2024</w:t>
      </w:r>
      <w:r>
        <w:rPr>
          <w:rFonts w:hint="eastAsia" w:ascii="仿宋_GB2312" w:hAnsi="Times New Roman" w:eastAsia="仿宋_GB2312" w:cs="Times New Roman"/>
          <w:b w:val="0"/>
          <w:bCs w:val="0"/>
          <w:sz w:val="28"/>
          <w:szCs w:val="30"/>
          <w:highlight w:val="none"/>
          <w:lang w:val="en-GB"/>
        </w:rPr>
        <w:t>〕</w:t>
      </w:r>
      <w:r>
        <w:rPr>
          <w:rFonts w:hint="eastAsia" w:ascii="仿宋_GB2312" w:cs="Times New Roman"/>
          <w:b w:val="0"/>
          <w:bCs w:val="0"/>
          <w:sz w:val="28"/>
          <w:szCs w:val="30"/>
          <w:highlight w:val="none"/>
          <w:lang w:val="en-US" w:eastAsia="zh-CN"/>
        </w:rPr>
        <w:t>292</w:t>
      </w:r>
      <w:r>
        <w:rPr>
          <w:rFonts w:hint="eastAsia" w:ascii="仿宋_GB2312" w:hAnsi="Times New Roman" w:eastAsia="仿宋_GB2312" w:cs="Times New Roman"/>
          <w:b w:val="0"/>
          <w:bCs w:val="0"/>
          <w:sz w:val="28"/>
          <w:szCs w:val="30"/>
          <w:highlight w:val="none"/>
          <w:lang w:val="en-GB"/>
        </w:rPr>
        <w:t>号，20</w:t>
      </w:r>
      <w:r>
        <w:rPr>
          <w:rFonts w:hint="eastAsia" w:ascii="仿宋_GB2312" w:cs="Times New Roman"/>
          <w:b w:val="0"/>
          <w:bCs w:val="0"/>
          <w:sz w:val="28"/>
          <w:szCs w:val="30"/>
          <w:highlight w:val="none"/>
          <w:lang w:val="en-US" w:eastAsia="zh-CN"/>
        </w:rPr>
        <w:t>24</w:t>
      </w:r>
      <w:r>
        <w:rPr>
          <w:rFonts w:hint="eastAsia" w:ascii="仿宋_GB2312" w:hAnsi="Times New Roman" w:eastAsia="仿宋_GB2312" w:cs="Times New Roman"/>
          <w:b w:val="0"/>
          <w:bCs w:val="0"/>
          <w:sz w:val="28"/>
          <w:szCs w:val="30"/>
          <w:highlight w:val="none"/>
          <w:lang w:val="en-GB"/>
        </w:rPr>
        <w:t>年5月</w:t>
      </w:r>
      <w:r>
        <w:rPr>
          <w:rFonts w:hint="eastAsia" w:ascii="仿宋_GB2312" w:cs="Times New Roman"/>
          <w:b w:val="0"/>
          <w:bCs w:val="0"/>
          <w:sz w:val="28"/>
          <w:szCs w:val="30"/>
          <w:highlight w:val="none"/>
          <w:lang w:val="en-US" w:eastAsia="zh-CN"/>
        </w:rPr>
        <w:t>3</w:t>
      </w:r>
      <w:r>
        <w:rPr>
          <w:rFonts w:hint="eastAsia" w:ascii="仿宋_GB2312" w:hAnsi="Times New Roman" w:eastAsia="仿宋_GB2312" w:cs="Times New Roman"/>
          <w:b w:val="0"/>
          <w:bCs w:val="0"/>
          <w:sz w:val="28"/>
          <w:szCs w:val="30"/>
          <w:highlight w:val="none"/>
          <w:lang w:val="en-GB"/>
        </w:rPr>
        <w:t>日）</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0489F6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7552DD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》（湘政发〔2024〕1号，2024年1月31日）；</w:t>
      </w:r>
    </w:p>
    <w:p w14:paraId="6A4263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11.</w:t>
      </w:r>
      <w:r>
        <w:rPr>
          <w:rFonts w:hint="eastAsia" w:eastAsia="仿宋_GB2312"/>
          <w:b w:val="0"/>
          <w:bCs w:val="0"/>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b w:val="0"/>
          <w:bCs w:val="0"/>
          <w:color w:val="000000" w:themeColor="text1"/>
          <w:sz w:val="28"/>
          <w:szCs w:val="28"/>
          <w:highlight w:val="none"/>
          <w:lang w:val="en-US" w:eastAsia="zh-CN"/>
          <w14:textFill>
            <w14:solidFill>
              <w14:schemeClr w14:val="tx1"/>
            </w14:solidFill>
          </w14:textFill>
        </w:rPr>
        <w:t>2024年2月1日</w:t>
      </w:r>
      <w:r>
        <w:rPr>
          <w:rFonts w:hint="eastAsia" w:eastAsia="仿宋_GB2312"/>
          <w:b w:val="0"/>
          <w:bCs w:val="0"/>
          <w:color w:val="000000" w:themeColor="text1"/>
          <w:sz w:val="28"/>
          <w:szCs w:val="28"/>
          <w:highlight w:val="none"/>
          <w:lang w:eastAsia="zh-CN"/>
          <w14:textFill>
            <w14:solidFill>
              <w14:schemeClr w14:val="tx1"/>
            </w14:solidFill>
          </w14:textFill>
        </w:rPr>
        <w:t>）；</w:t>
      </w:r>
    </w:p>
    <w:p w14:paraId="3993E19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t>；</w:t>
      </w:r>
    </w:p>
    <w:p w14:paraId="6AAE66B8">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湖南省财政厅</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湖南省发展和改革委员会</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湖南省自然资源厅关于印发</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&lt;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湖南省耕地开垦费征收使用管理办法</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&gt;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的通知</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（湘财税〔2025〕17号）</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p>
    <w:p w14:paraId="4096289D">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《关于调整新增建设用地土地有偿使用费征收管理有关政策的通知》（湘财综[2018]42号）</w:t>
      </w:r>
      <w:r>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t>；</w:t>
      </w:r>
    </w:p>
    <w:p w14:paraId="28104B04">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15.</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《湖南省人民代表大会常务委员会关于湖南省耕地占用税适用税额的决定》(已经湖南省第十三届人民代表大会常务委员会第十二次会议通过，2019年7月31日)</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p>
    <w:p w14:paraId="43E98558">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p>
    <w:p w14:paraId="2DF26277">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17.《湖南省财政厅 国家税务总局湖南省税务局 湖南省林业局 中国人民银行湖南省分行关于印发&lt;湖南省森林植被恢复费征收使用管理实施办法&gt;的通知》（湘财税〔2024〕10号）；</w:t>
      </w:r>
    </w:p>
    <w:p w14:paraId="2438E328">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18.</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湖南省财政厅</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湖南省发展和改革委员会</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湖南省自然资源厅关于印发</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&lt;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湖南省耕地开垦费征收使用管理办法</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&gt;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的通知</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（湘财税〔2025〕17号）</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p>
    <w:p w14:paraId="23199C87">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sz w:val="28"/>
          <w:szCs w:val="28"/>
          <w:highlight w:val="none"/>
          <w:lang w:val="en-US" w:eastAsia="zh-CN"/>
        </w:rPr>
        <w:t>19</w:t>
      </w:r>
      <w:r>
        <w:rPr>
          <w:rFonts w:hint="eastAsia" w:ascii="仿宋_GB2312" w:hAnsi="仿宋_GB2312" w:eastAsia="仿宋_GB2312" w:cs="仿宋_GB2312"/>
          <w:sz w:val="28"/>
          <w:szCs w:val="28"/>
          <w:highlight w:val="none"/>
        </w:rPr>
        <w:t>、《湖南省自然资源厅办公室关于转发&lt;自然资源部办公厅关于做好2022年度自然资源评价评估有工作的通知&gt;的通知》（湘自资办发[2022]40号，2022年5月15日）；</w:t>
      </w:r>
    </w:p>
    <w:p w14:paraId="72C03B54">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20.《道县国土空间总体规划（2021-2035年）》；</w:t>
      </w:r>
    </w:p>
    <w:p w14:paraId="5DFF2F46">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21.《道县2024年国民经济和社会发展统计公报》；</w:t>
      </w:r>
    </w:p>
    <w:p w14:paraId="23CF28C4">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p>
    <w:p w14:paraId="20EDC2AF">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eastAsia="宋体"/>
          <w:b w:val="0"/>
          <w:bCs w:val="0"/>
          <w:color w:val="000000" w:themeColor="text1"/>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23.湖南省人民政府、永州市人民政府、道县人民政府及有关部门颁布的其他有关政策、规定、实施办法、通知等法规文件</w:t>
      </w:r>
      <w:r>
        <w:rPr>
          <w:rFonts w:hint="eastAsia"/>
          <w:b w:val="0"/>
          <w:bCs w:val="0"/>
          <w:color w:val="000000" w:themeColor="text1"/>
          <w:highlight w:val="none"/>
          <w:lang w:eastAsia="zh-CN"/>
          <w14:textFill>
            <w14:solidFill>
              <w14:schemeClr w14:val="tx1"/>
            </w14:solidFill>
          </w14:textFill>
        </w:rPr>
        <w:t>。</w:t>
      </w:r>
    </w:p>
    <w:p w14:paraId="2F9AAF03">
      <w:pPr>
        <w:keepNext w:val="0"/>
        <w:keepLines w:val="0"/>
        <w:pageBreakBefore w:val="0"/>
        <w:widowControl w:val="0"/>
        <w:kinsoku/>
        <w:wordWrap/>
        <w:overflowPunct/>
        <w:topLinePunct w:val="0"/>
        <w:autoSpaceDE/>
        <w:autoSpaceDN/>
        <w:bidi w:val="0"/>
        <w:adjustRightInd w:val="0"/>
        <w:snapToGrid w:val="0"/>
        <w:spacing w:line="470" w:lineRule="exact"/>
        <w:ind w:firstLine="562" w:firstLineChars="200"/>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（三）采用的技术规程及标准</w:t>
      </w:r>
    </w:p>
    <w:p w14:paraId="6FD8713C">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1E98DED3">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7B3D12D1">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4B04D237">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5930220F">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4E0C9BD7">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60352102">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5B5FAB40">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8.《国有建设用地使用权出让地价评估技术规范》；</w:t>
      </w:r>
    </w:p>
    <w:p w14:paraId="4EF972D4">
      <w:pPr>
        <w:keepNext w:val="0"/>
        <w:keepLines w:val="0"/>
        <w:pageBreakBefore w:val="0"/>
        <w:widowControl w:val="0"/>
        <w:kinsoku/>
        <w:wordWrap/>
        <w:overflowPunct/>
        <w:topLinePunct w:val="0"/>
        <w:autoSpaceDE/>
        <w:autoSpaceDN/>
        <w:bidi w:val="0"/>
        <w:adjustRightInd w:val="0"/>
        <w:snapToGrid w:val="0"/>
        <w:spacing w:line="47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9.《土地估价参数调查测算指引》（T/CREVA 1101-2023）；</w:t>
      </w:r>
    </w:p>
    <w:p w14:paraId="024A76F4">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iCs/>
          <w:sz w:val="28"/>
          <w:szCs w:val="28"/>
          <w:highlight w:val="none"/>
          <w:lang w:val="en-US" w:eastAsia="zh-CN"/>
        </w:rPr>
        <w:t>10.</w:t>
      </w:r>
      <w:r>
        <w:rPr>
          <w:rFonts w:hint="eastAsia" w:ascii="仿宋_GB2312" w:hAnsi="仿宋_GB2312" w:eastAsia="仿宋_GB2312" w:cs="仿宋_GB2312"/>
          <w:bCs/>
          <w:iCs/>
          <w:sz w:val="28"/>
          <w:szCs w:val="28"/>
          <w:highlight w:val="none"/>
        </w:rPr>
        <w:t>《土地估价报告审查技术规范》（DB43T 1693-2019）</w:t>
      </w:r>
      <w:r>
        <w:rPr>
          <w:rFonts w:hint="eastAsia" w:ascii="仿宋_GB2312" w:hAnsi="仿宋_GB2312" w:eastAsia="仿宋_GB2312" w:cs="仿宋_GB2312"/>
          <w:bCs/>
          <w:iCs/>
          <w:sz w:val="28"/>
          <w:szCs w:val="28"/>
          <w:highlight w:val="none"/>
          <w:lang w:eastAsia="zh-CN"/>
        </w:rPr>
        <w:t>；</w:t>
      </w:r>
    </w:p>
    <w:p w14:paraId="3839E1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11.中国地价信息服务平台地价动态监测网数据。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70" w:lineRule="exact"/>
        <w:ind w:firstLine="562" w:firstLineChars="200"/>
        <w:textAlignment w:val="auto"/>
        <w:outlineLvl w:val="9"/>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1.估价对象《评估委托书》；</w:t>
      </w:r>
    </w:p>
    <w:p w14:paraId="71B0F911">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2.估价对象《宗地图》；</w:t>
      </w:r>
    </w:p>
    <w:p w14:paraId="68C8CF5B">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3.估价对象《房屋所有权证存根》（道县房权证道江镇00008864号）；</w:t>
      </w:r>
    </w:p>
    <w:p w14:paraId="4D9AA39C">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4.估价对象《房屋所有权证存根》（道县房权证道江镇字第000027号）；</w:t>
      </w:r>
    </w:p>
    <w:p w14:paraId="09C17840">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5.估价对象《不动产“登记难”问题专题会议纪要》（道县集中化解工作领导小组办公室，2026年3月11日）；</w:t>
      </w:r>
    </w:p>
    <w:p w14:paraId="59166B70">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6.估价对象《不动产测绘报告书》；</w:t>
      </w:r>
    </w:p>
    <w:p w14:paraId="7A063508">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7.委托估价方提供的其它与土地估价相关的资料。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70" w:lineRule="exact"/>
        <w:ind w:firstLine="562" w:firstLineChars="200"/>
        <w:textAlignment w:val="auto"/>
        <w:outlineLvl w:val="9"/>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4.收益还原法比较实例所处位置、照片等资料；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7.宗地所在区域土地市场交易情况；</w:t>
      </w:r>
    </w:p>
    <w:p w14:paraId="2879F08C">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sz w:val="28"/>
          <w:szCs w:val="28"/>
          <w:highlight w:val="none"/>
          <w:lang w:val="en-US" w:eastAsia="zh-CN"/>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8.估价人员现场调查收集的其它相关资料。</w:t>
      </w:r>
    </w:p>
    <w:p w14:paraId="614632D5">
      <w:pPr>
        <w:keepNext w:val="0"/>
        <w:keepLines w:val="0"/>
        <w:pageBreakBefore w:val="0"/>
        <w:widowControl w:val="0"/>
        <w:kinsoku/>
        <w:wordWrap/>
        <w:overflowPunct/>
        <w:topLinePunct w:val="0"/>
        <w:autoSpaceDE/>
        <w:autoSpaceDN/>
        <w:bidi w:val="0"/>
        <w:adjustRightInd w:val="0"/>
        <w:snapToGrid w:val="0"/>
        <w:spacing w:line="470" w:lineRule="exact"/>
        <w:ind w:firstLine="562" w:firstLineChars="200"/>
        <w:textAlignment w:val="auto"/>
        <w:outlineLvl w:val="1"/>
        <w:rPr>
          <w:rFonts w:hint="eastAsia" w:ascii="仿宋_GB2312" w:hAnsi="仿宋_GB2312" w:eastAsia="仿宋_GB2312" w:cs="仿宋_GB2312"/>
          <w:b/>
          <w:bCs/>
          <w:color w:val="auto"/>
          <w:sz w:val="28"/>
          <w:szCs w:val="28"/>
          <w:highlight w:val="none"/>
          <w:lang w:val="en-US" w:eastAsia="zh-CN"/>
        </w:rPr>
      </w:pPr>
      <w:bookmarkStart w:id="33" w:name="_Toc22463"/>
      <w:r>
        <w:rPr>
          <w:rFonts w:hint="eastAsia" w:ascii="仿宋_GB2312" w:hAnsi="仿宋_GB2312" w:eastAsia="仿宋_GB2312" w:cs="仿宋_GB2312"/>
          <w:b/>
          <w:bCs/>
          <w:color w:val="auto"/>
          <w:sz w:val="28"/>
          <w:szCs w:val="28"/>
          <w:highlight w:val="none"/>
          <w:lang w:val="en-US" w:eastAsia="zh-CN"/>
        </w:rPr>
        <w:t>二、</w:t>
      </w:r>
      <w:bookmarkEnd w:id="31"/>
      <w:bookmarkEnd w:id="32"/>
      <w:r>
        <w:rPr>
          <w:rFonts w:hint="eastAsia" w:ascii="仿宋_GB2312" w:hAnsi="仿宋_GB2312" w:eastAsia="仿宋_GB2312" w:cs="仿宋_GB2312"/>
          <w:b/>
          <w:bCs/>
          <w:color w:val="auto"/>
          <w:sz w:val="28"/>
          <w:szCs w:val="28"/>
          <w:highlight w:val="none"/>
          <w:lang w:val="en-US" w:eastAsia="zh-CN"/>
        </w:rPr>
        <w:t>土地估价</w:t>
      </w:r>
      <w:bookmarkEnd w:id="33"/>
    </w:p>
    <w:p w14:paraId="45A14905">
      <w:pPr>
        <w:keepNext w:val="0"/>
        <w:keepLines w:val="0"/>
        <w:pageBreakBefore w:val="0"/>
        <w:widowControl w:val="0"/>
        <w:kinsoku/>
        <w:wordWrap/>
        <w:overflowPunct/>
        <w:topLinePunct w:val="0"/>
        <w:autoSpaceDE/>
        <w:autoSpaceDN/>
        <w:bidi w:val="0"/>
        <w:adjustRightInd w:val="0"/>
        <w:snapToGrid w:val="0"/>
        <w:spacing w:line="470" w:lineRule="exact"/>
        <w:ind w:firstLine="562" w:firstLineChars="200"/>
        <w:textAlignment w:val="auto"/>
        <w:outlineLvl w:val="2"/>
        <w:rPr>
          <w:rFonts w:hint="eastAsia" w:ascii="仿宋_GB2312" w:hAnsi="仿宋_GB2312" w:eastAsia="仿宋_GB2312" w:cs="仿宋_GB2312"/>
          <w:b/>
          <w:bCs/>
          <w:color w:val="auto"/>
          <w:sz w:val="28"/>
          <w:szCs w:val="28"/>
          <w:highlight w:val="none"/>
          <w:lang w:val="en-US" w:eastAsia="zh-CN"/>
        </w:rPr>
      </w:pPr>
      <w:bookmarkStart w:id="34" w:name="_Toc13352"/>
      <w:r>
        <w:rPr>
          <w:rFonts w:hint="eastAsia" w:ascii="仿宋_GB2312" w:hAnsi="仿宋_GB2312" w:eastAsia="仿宋_GB2312" w:cs="仿宋_GB2312"/>
          <w:b/>
          <w:bCs/>
          <w:color w:val="auto"/>
          <w:sz w:val="28"/>
          <w:szCs w:val="28"/>
          <w:highlight w:val="none"/>
          <w:lang w:val="en-GB" w:eastAsia="zh-CN"/>
        </w:rPr>
        <w:t>（</w:t>
      </w:r>
      <w:r>
        <w:rPr>
          <w:rFonts w:hint="eastAsia" w:ascii="仿宋_GB2312" w:hAnsi="仿宋_GB2312" w:eastAsia="仿宋_GB2312" w:cs="仿宋_GB2312"/>
          <w:b/>
          <w:bCs/>
          <w:color w:val="auto"/>
          <w:sz w:val="28"/>
          <w:szCs w:val="28"/>
          <w:highlight w:val="none"/>
          <w:lang w:val="en-US" w:eastAsia="zh-CN"/>
        </w:rPr>
        <w:t>一</w:t>
      </w:r>
      <w:r>
        <w:rPr>
          <w:rFonts w:hint="eastAsia" w:ascii="仿宋_GB2312" w:hAnsi="仿宋_GB2312" w:eastAsia="仿宋_GB2312" w:cs="仿宋_GB2312"/>
          <w:b/>
          <w:bCs/>
          <w:color w:val="auto"/>
          <w:sz w:val="28"/>
          <w:szCs w:val="28"/>
          <w:highlight w:val="none"/>
          <w:lang w:val="en-GB" w:eastAsia="zh-CN"/>
        </w:rPr>
        <w:t>）</w:t>
      </w:r>
      <w:r>
        <w:rPr>
          <w:rFonts w:hint="eastAsia" w:ascii="仿宋_GB2312" w:hAnsi="仿宋_GB2312" w:eastAsia="仿宋_GB2312" w:cs="仿宋_GB2312"/>
          <w:b/>
          <w:bCs/>
          <w:color w:val="auto"/>
          <w:sz w:val="28"/>
          <w:szCs w:val="28"/>
          <w:highlight w:val="none"/>
          <w:lang w:val="en-US" w:eastAsia="zh-CN"/>
        </w:rPr>
        <w:t>估价原则</w:t>
      </w:r>
      <w:bookmarkEnd w:id="34"/>
    </w:p>
    <w:p w14:paraId="0F53C49A">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地价是由其效用、相对稀缺性及有效需求三者相互作用、相互影响所形成的。而这些因素又经常处于变动之中，土地估价必须要对此做细致分析并正确判断其变动趋向，了解土地价格组成的各项因素及各因素之间的相互作用，才能做出正确的估价。我们在本次估价过程中，根据《城镇土地估价规程》及估价对象的具体情况和对应的估价方法，主要遵循以下原则：</w:t>
      </w:r>
    </w:p>
    <w:p w14:paraId="794A4782">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1、合法性原则</w:t>
      </w:r>
    </w:p>
    <w:p w14:paraId="08F19069">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土地估价应以估价对象的合法权益为前提进行。合法权益包括：合法产权、合法使用、合法处分等方面。在合法产权方面，应以国有土地使用证、权属登记和其他合法证件为依据。在合法使用方面，应以使用管制（城市规划、土地用途管制等）为依据。在合法处分方面，应以法律法规和国有土地使用证等容许的处分方式为依据。</w:t>
      </w:r>
    </w:p>
    <w:p w14:paraId="57947CFD">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2、替代原则</w:t>
      </w:r>
    </w:p>
    <w:p w14:paraId="14FA9BA1">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根据市场运行规律，在同一商品市场中，商品或提供服务的效用相同或大致相似时，价格低者吸引需求，即有两个以上互有替代性的商品或服务同时存在时，商品或服务的价格是经过相互影响与比较之后来决定的。土地价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06FFA6A8">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GB" w:eastAsia="zh-CN"/>
        </w:rPr>
        <w:t>本次</w:t>
      </w:r>
      <w:r>
        <w:rPr>
          <w:rFonts w:hint="eastAsia" w:ascii="仿宋_GB2312" w:hAnsi="仿宋_GB2312" w:eastAsia="仿宋_GB2312" w:cs="仿宋_GB2312"/>
          <w:b w:val="0"/>
          <w:bCs w:val="0"/>
          <w:color w:val="auto"/>
          <w:sz w:val="28"/>
          <w:szCs w:val="28"/>
          <w:highlight w:val="none"/>
          <w:lang w:val="en-US" w:eastAsia="zh-CN"/>
        </w:rPr>
        <w:t>收益还原法</w:t>
      </w:r>
      <w:r>
        <w:rPr>
          <w:rFonts w:hint="eastAsia" w:ascii="仿宋_GB2312" w:hAnsi="仿宋_GB2312" w:eastAsia="仿宋_GB2312" w:cs="仿宋_GB2312"/>
          <w:b w:val="0"/>
          <w:bCs w:val="0"/>
          <w:color w:val="auto"/>
          <w:sz w:val="28"/>
          <w:szCs w:val="28"/>
          <w:highlight w:val="none"/>
          <w:lang w:val="en-GB" w:eastAsia="zh-CN"/>
        </w:rPr>
        <w:t>中选取的3个案例均处于估价对象所处区域范围，相互之间存在替代性</w:t>
      </w:r>
      <w:r>
        <w:rPr>
          <w:rFonts w:hint="eastAsia" w:ascii="仿宋_GB2312" w:hAnsi="仿宋_GB2312" w:eastAsia="仿宋_GB2312" w:cs="仿宋_GB2312"/>
          <w:b w:val="0"/>
          <w:bCs w:val="0"/>
          <w:color w:val="auto"/>
          <w:sz w:val="28"/>
          <w:szCs w:val="28"/>
          <w:highlight w:val="none"/>
          <w:lang w:val="en-US" w:eastAsia="zh-CN"/>
        </w:rPr>
        <w:t>体现了该原则。</w:t>
      </w:r>
    </w:p>
    <w:p w14:paraId="3E8B3B35">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3、需求与供给原则</w:t>
      </w:r>
    </w:p>
    <w:p w14:paraId="04DFCE62">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在完全的市场竞争中，一般商品的价格都取决于供求的均衡点。供小于求，价格就会提高，否则，价格就会降低。由于土地与一般商品相比，具有独特的人文和自然特性，因此在进行土地估价时既要考虑到所假设的公平市场，又要考虑土地供应的垄断性特征。</w:t>
      </w:r>
    </w:p>
    <w:p w14:paraId="7B040A75">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4、预期收益原则</w:t>
      </w:r>
    </w:p>
    <w:p w14:paraId="273A1033">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遵循预期收益原则，是指土地估价应以估价对象在正常利用条件下的未来客观有效的预期收益为依据。收益还原法和剩余法等评估方法以及还原利率的确定、交易实例价格的检查等技术过程都会应用本原则。</w:t>
      </w:r>
    </w:p>
    <w:p w14:paraId="4B2947AD">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5、合理有效利用原则</w:t>
      </w:r>
    </w:p>
    <w:p w14:paraId="3B1A1387">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不同的土地利用方式能为权利人带来不同的收益，土地权利人都期望从其所占有的土地上获取更多的收益，故土地评估应以估价对象在一定的社会经济条件下，最为合理有效的利用方式为前提。首先判断估价对象的土地利用方式是否符合法律法规政策规定、规划限制条件、生态保护要求、市场需求等，再结合估价对象的自身利用条件设定最合理有效的土地利用方式。</w:t>
      </w:r>
    </w:p>
    <w:p w14:paraId="2AA3FC66">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6、价值主导原则</w:t>
      </w:r>
    </w:p>
    <w:p w14:paraId="68A106E0">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土地综合质量优劣是对土地价格产生影响的主要因素。</w:t>
      </w:r>
    </w:p>
    <w:p w14:paraId="7A907420">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本次评估综合考虑了影响估价对象土地价格的自然、社会、经济状况，符合价值主导原则。</w:t>
      </w:r>
    </w:p>
    <w:p w14:paraId="2947EAA4">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7、审慎原则</w:t>
      </w:r>
    </w:p>
    <w:p w14:paraId="197C447A">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在评估中确定相关参数和结果时，应分析并充分考虑市场运行状况、有关行业发展状况，以及存在的风险。</w:t>
      </w:r>
    </w:p>
    <w:p w14:paraId="4DDF1554">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8、贡献原则</w:t>
      </w:r>
    </w:p>
    <w:p w14:paraId="486ADC1F">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土地总收益是土地及其他生产要素共同作用的结果，土地的价格由土地对总收益的贡献大小来决定。</w:t>
      </w:r>
    </w:p>
    <w:p w14:paraId="56DC61BE">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本次在采用收益还原法时，通过扣除相关成本及其他税费来测算土地价格，体现了贡献原则。</w:t>
      </w:r>
    </w:p>
    <w:p w14:paraId="3A461499">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9、公开市场原则</w:t>
      </w:r>
    </w:p>
    <w:p w14:paraId="5FF52E42">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评估结果在公平、公正、公开的土地市场上可实现。</w:t>
      </w:r>
    </w:p>
    <w:p w14:paraId="15BE2B58">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待估宗地按照地价评估的基本原则和估价程序，选择合适的评估方法，评估得到估价对象在设定用途、设定土地使用权类型及土地使用权年限、设定开发程度条件、现状条件下、正常市场条件下的国有出让土地使用权价格，并且评估结果在公平、公正、公开的土地市场上可实现。</w:t>
      </w:r>
    </w:p>
    <w:p w14:paraId="56AEA6CC">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rPr>
      </w:pPr>
      <w:r>
        <w:rPr>
          <w:rFonts w:hint="eastAsia" w:ascii="仿宋_GB2312" w:hAnsi="仿宋_GB2312" w:eastAsia="仿宋_GB2312" w:cs="仿宋_GB2312"/>
          <w:b w:val="0"/>
          <w:bCs w:val="0"/>
          <w:color w:val="auto"/>
          <w:sz w:val="28"/>
          <w:szCs w:val="28"/>
          <w:highlight w:val="none"/>
          <w:lang w:val="en-US" w:eastAsia="zh-CN"/>
        </w:rPr>
        <w:t>总之，在评估过程中，要按国家、地方的有关规定，遵守客观、公正、科学、合法的总原则进行土地价格评估，做到评估过程合理，评估方法科学，评估结果准确，严格保守评估秘密</w:t>
      </w:r>
      <w:r>
        <w:rPr>
          <w:rFonts w:hint="eastAsia" w:ascii="仿宋_GB2312" w:hAnsi="仿宋_GB2312" w:eastAsia="仿宋_GB2312" w:cs="仿宋_GB2312"/>
          <w:b w:val="0"/>
          <w:bCs w:val="0"/>
          <w:color w:val="auto"/>
          <w:sz w:val="28"/>
          <w:szCs w:val="28"/>
          <w:highlight w:val="none"/>
        </w:rPr>
        <w:t>。</w:t>
      </w:r>
    </w:p>
    <w:p w14:paraId="57314AD9">
      <w:pPr>
        <w:keepNext w:val="0"/>
        <w:keepLines w:val="0"/>
        <w:pageBreakBefore w:val="0"/>
        <w:widowControl w:val="0"/>
        <w:kinsoku/>
        <w:wordWrap/>
        <w:overflowPunct/>
        <w:topLinePunct w:val="0"/>
        <w:autoSpaceDE w:val="0"/>
        <w:autoSpaceDN w:val="0"/>
        <w:bidi w:val="0"/>
        <w:adjustRightInd w:val="0"/>
        <w:snapToGrid w:val="0"/>
        <w:spacing w:line="470" w:lineRule="exact"/>
        <w:ind w:firstLine="562" w:firstLineChars="200"/>
        <w:textAlignment w:val="auto"/>
        <w:outlineLvl w:val="2"/>
        <w:rPr>
          <w:rFonts w:hint="eastAsia" w:ascii="仿宋_GB2312" w:hAnsi="仿宋_GB2312" w:eastAsia="仿宋_GB2312" w:cs="仿宋_GB2312"/>
          <w:b/>
          <w:bCs/>
          <w:color w:val="auto"/>
          <w:sz w:val="28"/>
          <w:szCs w:val="28"/>
          <w:highlight w:val="none"/>
          <w:lang w:val="en-US" w:eastAsia="zh-CN"/>
        </w:rPr>
      </w:pPr>
      <w:bookmarkStart w:id="35" w:name="_Toc15904"/>
      <w:r>
        <w:rPr>
          <w:rFonts w:hint="eastAsia" w:ascii="仿宋_GB2312" w:hAnsi="仿宋_GB2312" w:eastAsia="仿宋_GB2312" w:cs="仿宋_GB2312"/>
          <w:b/>
          <w:bCs/>
          <w:color w:val="auto"/>
          <w:sz w:val="28"/>
          <w:szCs w:val="28"/>
          <w:highlight w:val="none"/>
          <w:lang w:val="en-US" w:eastAsia="zh-CN"/>
        </w:rPr>
        <w:t>（二）估价方法</w:t>
      </w:r>
      <w:bookmarkEnd w:id="35"/>
    </w:p>
    <w:p w14:paraId="4E97D0DC">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1.土地使用权估价方法选择原则</w:t>
      </w:r>
    </w:p>
    <w:p w14:paraId="04BA63AE">
      <w:pPr>
        <w:keepNext w:val="0"/>
        <w:keepLines w:val="0"/>
        <w:pageBreakBefore w:val="0"/>
        <w:widowControl w:val="0"/>
        <w:kinsoku/>
        <w:wordWrap/>
        <w:overflowPunct w:val="0"/>
        <w:topLinePunct w:val="0"/>
        <w:autoSpaceDE w:val="0"/>
        <w:autoSpaceDN w:val="0"/>
        <w:bidi w:val="0"/>
        <w:adjustRightInd w:val="0"/>
        <w:snapToGrid w:val="0"/>
        <w:spacing w:line="470" w:lineRule="exact"/>
        <w:ind w:firstLine="560" w:firstLineChars="200"/>
        <w:textAlignment w:val="auto"/>
        <w:rPr>
          <w:rFonts w:hint="eastAsia" w:ascii="仿宋_GB2312" w:hAnsi="仿宋_GB2312" w:eastAsia="仿宋_GB2312" w:cs="仿宋_GB2312"/>
          <w:snapToGrid w:val="0"/>
          <w:kern w:val="0"/>
          <w:sz w:val="28"/>
          <w:szCs w:val="28"/>
        </w:rPr>
      </w:pPr>
      <w:r>
        <w:rPr>
          <w:rFonts w:hint="eastAsia" w:ascii="仿宋_GB2312" w:hAnsi="仿宋_GB2312" w:eastAsia="仿宋_GB2312" w:cs="仿宋_GB2312"/>
          <w:snapToGrid w:val="0"/>
          <w:kern w:val="0"/>
          <w:sz w:val="28"/>
          <w:szCs w:val="28"/>
          <w:lang w:val="en-US" w:eastAsia="zh-CN"/>
        </w:rPr>
        <w:t>A.</w:t>
      </w:r>
      <w:r>
        <w:rPr>
          <w:rFonts w:hint="eastAsia" w:ascii="仿宋_GB2312" w:hAnsi="仿宋_GB2312" w:eastAsia="仿宋_GB2312" w:cs="仿宋_GB2312"/>
          <w:snapToGrid w:val="0"/>
          <w:kern w:val="0"/>
          <w:sz w:val="28"/>
          <w:szCs w:val="28"/>
        </w:rPr>
        <w:t>根据《城镇土地估价规程》（GB/T18508-2014,2014年12月01日实施）中关于住宅用地估价方法选择的原则：</w:t>
      </w:r>
    </w:p>
    <w:p w14:paraId="78E1484D">
      <w:pPr>
        <w:keepNext w:val="0"/>
        <w:keepLines w:val="0"/>
        <w:pageBreakBefore w:val="0"/>
        <w:widowControl w:val="0"/>
        <w:kinsoku/>
        <w:wordWrap/>
        <w:overflowPunct w:val="0"/>
        <w:topLinePunct w:val="0"/>
        <w:autoSpaceDE w:val="0"/>
        <w:autoSpaceDN w:val="0"/>
        <w:bidi w:val="0"/>
        <w:adjustRightInd w:val="0"/>
        <w:snapToGrid w:val="0"/>
        <w:spacing w:line="470" w:lineRule="exact"/>
        <w:ind w:firstLine="560" w:firstLineChars="200"/>
        <w:textAlignment w:val="auto"/>
        <w:rPr>
          <w:rFonts w:hint="eastAsia" w:ascii="仿宋_GB2312" w:hAnsi="仿宋_GB2312" w:eastAsia="仿宋_GB2312" w:cs="仿宋_GB2312"/>
          <w:snapToGrid w:val="0"/>
          <w:kern w:val="0"/>
          <w:sz w:val="28"/>
          <w:szCs w:val="28"/>
        </w:rPr>
      </w:pPr>
      <w:r>
        <w:rPr>
          <w:rFonts w:hint="eastAsia" w:ascii="仿宋_GB2312" w:hAnsi="仿宋_GB2312" w:eastAsia="仿宋_GB2312" w:cs="仿宋_GB2312"/>
          <w:snapToGrid w:val="0"/>
          <w:kern w:val="0"/>
          <w:sz w:val="28"/>
          <w:szCs w:val="28"/>
        </w:rPr>
        <w:t>a)评估住宅用地价格宜选市场比较法，并至少另辅一种适宜的估价方法；</w:t>
      </w:r>
    </w:p>
    <w:p w14:paraId="71295CB1">
      <w:pPr>
        <w:keepNext w:val="0"/>
        <w:keepLines w:val="0"/>
        <w:pageBreakBefore w:val="0"/>
        <w:widowControl w:val="0"/>
        <w:kinsoku/>
        <w:wordWrap/>
        <w:overflowPunct w:val="0"/>
        <w:topLinePunct w:val="0"/>
        <w:autoSpaceDE w:val="0"/>
        <w:autoSpaceDN w:val="0"/>
        <w:bidi w:val="0"/>
        <w:adjustRightInd w:val="0"/>
        <w:snapToGrid w:val="0"/>
        <w:spacing w:line="470" w:lineRule="exact"/>
        <w:ind w:firstLine="560" w:firstLineChars="200"/>
        <w:textAlignment w:val="auto"/>
        <w:rPr>
          <w:rFonts w:hint="eastAsia" w:ascii="仿宋_GB2312" w:hAnsi="仿宋_GB2312" w:eastAsia="仿宋_GB2312" w:cs="仿宋_GB2312"/>
          <w:snapToGrid w:val="0"/>
          <w:kern w:val="0"/>
          <w:sz w:val="28"/>
          <w:szCs w:val="28"/>
        </w:rPr>
      </w:pPr>
      <w:r>
        <w:rPr>
          <w:rFonts w:hint="eastAsia" w:ascii="仿宋_GB2312" w:hAnsi="仿宋_GB2312" w:eastAsia="仿宋_GB2312" w:cs="仿宋_GB2312"/>
          <w:snapToGrid w:val="0"/>
          <w:kern w:val="0"/>
          <w:sz w:val="28"/>
          <w:szCs w:val="28"/>
        </w:rPr>
        <w:t>b)对位于中心城区的住宅用地，不宜采用成本逼近法；</w:t>
      </w:r>
    </w:p>
    <w:p w14:paraId="65ABAC90">
      <w:pPr>
        <w:keepNext w:val="0"/>
        <w:keepLines w:val="0"/>
        <w:pageBreakBefore w:val="0"/>
        <w:widowControl w:val="0"/>
        <w:kinsoku/>
        <w:wordWrap/>
        <w:overflowPunct w:val="0"/>
        <w:topLinePunct w:val="0"/>
        <w:autoSpaceDE w:val="0"/>
        <w:autoSpaceDN w:val="0"/>
        <w:bidi w:val="0"/>
        <w:adjustRightInd w:val="0"/>
        <w:snapToGrid w:val="0"/>
        <w:spacing w:line="470" w:lineRule="exact"/>
        <w:ind w:firstLine="560" w:firstLineChars="200"/>
        <w:textAlignment w:val="auto"/>
        <w:rPr>
          <w:rFonts w:hint="eastAsia" w:ascii="仿宋_GB2312" w:hAnsi="仿宋_GB2312" w:eastAsia="仿宋_GB2312" w:cs="仿宋_GB2312"/>
          <w:snapToGrid w:val="0"/>
          <w:kern w:val="0"/>
          <w:sz w:val="28"/>
          <w:szCs w:val="28"/>
        </w:rPr>
      </w:pPr>
      <w:r>
        <w:rPr>
          <w:rFonts w:hint="eastAsia" w:ascii="仿宋_GB2312" w:hAnsi="仿宋_GB2312" w:eastAsia="仿宋_GB2312" w:cs="仿宋_GB2312"/>
          <w:snapToGrid w:val="0"/>
          <w:kern w:val="0"/>
          <w:sz w:val="28"/>
          <w:szCs w:val="28"/>
        </w:rPr>
        <w:t>c)对投资待建的住宅用地，可选择剩余法；</w:t>
      </w:r>
    </w:p>
    <w:p w14:paraId="05B87BDF">
      <w:pPr>
        <w:keepNext w:val="0"/>
        <w:keepLines w:val="0"/>
        <w:pageBreakBefore w:val="0"/>
        <w:widowControl w:val="0"/>
        <w:kinsoku/>
        <w:wordWrap/>
        <w:overflowPunct w:val="0"/>
        <w:topLinePunct w:val="0"/>
        <w:autoSpaceDE w:val="0"/>
        <w:autoSpaceDN w:val="0"/>
        <w:bidi w:val="0"/>
        <w:adjustRightInd w:val="0"/>
        <w:snapToGrid w:val="0"/>
        <w:spacing w:line="470" w:lineRule="exact"/>
        <w:ind w:firstLine="560" w:firstLineChars="200"/>
        <w:textAlignment w:val="auto"/>
        <w:rPr>
          <w:rFonts w:hint="eastAsia" w:ascii="仿宋_GB2312" w:hAnsi="仿宋_GB2312" w:eastAsia="仿宋_GB2312" w:cs="仿宋_GB2312"/>
          <w:snapToGrid w:val="0"/>
          <w:kern w:val="0"/>
          <w:sz w:val="28"/>
          <w:szCs w:val="28"/>
        </w:rPr>
      </w:pPr>
      <w:r>
        <w:rPr>
          <w:rFonts w:hint="eastAsia" w:ascii="仿宋_GB2312" w:hAnsi="仿宋_GB2312" w:eastAsia="仿宋_GB2312" w:cs="仿宋_GB2312"/>
          <w:snapToGrid w:val="0"/>
          <w:kern w:val="0"/>
          <w:sz w:val="28"/>
          <w:szCs w:val="28"/>
        </w:rPr>
        <w:t>d)对位于城镇规划区外零星分布的住宅用地，可选择剩余法；</w:t>
      </w:r>
    </w:p>
    <w:p w14:paraId="506FCC73">
      <w:pPr>
        <w:keepNext w:val="0"/>
        <w:keepLines w:val="0"/>
        <w:pageBreakBefore w:val="0"/>
        <w:widowControl w:val="0"/>
        <w:kinsoku/>
        <w:wordWrap/>
        <w:overflowPunct w:val="0"/>
        <w:topLinePunct w:val="0"/>
        <w:autoSpaceDE w:val="0"/>
        <w:autoSpaceDN w:val="0"/>
        <w:bidi w:val="0"/>
        <w:adjustRightInd w:val="0"/>
        <w:snapToGrid w:val="0"/>
        <w:spacing w:line="470" w:lineRule="exact"/>
        <w:ind w:firstLine="560" w:firstLineChars="200"/>
        <w:textAlignment w:val="auto"/>
        <w:rPr>
          <w:rFonts w:hint="eastAsia" w:ascii="仿宋_GB2312" w:hAnsi="仿宋_GB2312" w:eastAsia="仿宋_GB2312" w:cs="仿宋_GB2312"/>
          <w:b w:val="0"/>
          <w:bCs w:val="0"/>
          <w:snapToGrid w:val="0"/>
          <w:kern w:val="0"/>
          <w:sz w:val="28"/>
          <w:szCs w:val="28"/>
          <w:highlight w:val="none"/>
        </w:rPr>
      </w:pPr>
      <w:r>
        <w:rPr>
          <w:rFonts w:hint="eastAsia" w:ascii="仿宋_GB2312" w:hAnsi="仿宋_GB2312" w:eastAsia="仿宋_GB2312" w:cs="仿宋_GB2312"/>
          <w:snapToGrid w:val="0"/>
          <w:kern w:val="0"/>
          <w:sz w:val="28"/>
          <w:szCs w:val="28"/>
        </w:rPr>
        <w:t>e)对新开发土地，可选用成本逼近法。</w:t>
      </w:r>
    </w:p>
    <w:p w14:paraId="2B007B07">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r>
        <w:rPr>
          <w:rFonts w:hint="eastAsia" w:ascii="仿宋_GB2312" w:hAnsi="仿宋_GB2312" w:eastAsia="仿宋_GB2312" w:cs="仿宋_GB2312"/>
          <w:b w:val="0"/>
          <w:bCs/>
          <w:color w:val="auto"/>
          <w:sz w:val="28"/>
          <w:szCs w:val="28"/>
          <w:highlight w:val="none"/>
          <w:lang w:val="en-US" w:eastAsia="zh-CN"/>
        </w:rPr>
        <w:t>。</w:t>
      </w:r>
    </w:p>
    <w:p w14:paraId="110432F9">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2.估价方法介绍</w:t>
      </w:r>
    </w:p>
    <w:p w14:paraId="06CFA6CD">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（1）市场比较法：将估价对象与在估价期日近期有过交易的类似土地进行比较，对这些类似土地的已知价格作适当的修正，以此估算估价对象的客观合理价格或价值的方法；</w:t>
      </w:r>
    </w:p>
    <w:p w14:paraId="6AD99EED">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（2）收益还原法：为预计估价对象未来的正常收益，选用适当的资本化率将其折现到估价期日后累加，以此估算估价对象的客观合理价格或价值的方法；</w:t>
      </w:r>
    </w:p>
    <w:p w14:paraId="626F0649">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（3）剩余法：是在估算开发完成后不动产正常交易价格的基础上，扣除建筑物建造费用和与建筑物建造、买卖有关的专业费、利息、利润、税收等费用后，以价格余额来估算土地价格的方法；</w:t>
      </w:r>
    </w:p>
    <w:p w14:paraId="25CD2EA0">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（4）成本逼近法：是以土地取得费、土地开发所耗各项费用之和为主要依据，再加上一定的利润、利息、应缴纳的税金和土地增值收益来确定土地价格的估价方法；</w:t>
      </w:r>
    </w:p>
    <w:p w14:paraId="168E2655">
      <w:pPr>
        <w:pStyle w:val="13"/>
        <w:keepNext w:val="0"/>
        <w:keepLines w:val="0"/>
        <w:pageBreakBefore w:val="0"/>
        <w:widowControl w:val="0"/>
        <w:kinsoku/>
        <w:wordWrap/>
        <w:overflowPunct/>
        <w:topLinePunct w:val="0"/>
        <w:autoSpaceDE w:val="0"/>
        <w:autoSpaceDN w:val="0"/>
        <w:bidi w:val="0"/>
        <w:adjustRightInd w:val="0"/>
        <w:snapToGrid w:val="0"/>
        <w:spacing w:line="470" w:lineRule="exact"/>
        <w:textAlignment w:val="auto"/>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5）公示地价系数修正法：指在求取一宗土地的价格时，依据估价对象所处地区的土地级别基准地价水平，参照估价对象所处土地级别的各种修正因素说明，确定区域因素、个别因素、估价期日、容积率与建筑密度、使用年期、开发程度等修正系数，最后修正得出估价对象地价的一种方法。</w:t>
      </w:r>
    </w:p>
    <w:p w14:paraId="12C450E7">
      <w:pPr>
        <w:pStyle w:val="13"/>
        <w:keepNext w:val="0"/>
        <w:keepLines w:val="0"/>
        <w:pageBreakBefore w:val="0"/>
        <w:widowControl w:val="0"/>
        <w:kinsoku/>
        <w:wordWrap/>
        <w:overflowPunct/>
        <w:topLinePunct w:val="0"/>
        <w:autoSpaceDE w:val="0"/>
        <w:autoSpaceDN w:val="0"/>
        <w:bidi w:val="0"/>
        <w:adjustRightInd w:val="0"/>
        <w:snapToGrid w:val="0"/>
        <w:spacing w:line="470" w:lineRule="exact"/>
        <w:textAlignment w:val="auto"/>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3.估价方法选择</w:t>
      </w:r>
    </w:p>
    <w:p w14:paraId="7968F487">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（1）采用方法及采用方法的理由：</w:t>
      </w:r>
    </w:p>
    <w:p w14:paraId="0E20028D">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fldChar w:fldCharType="begin"/>
      </w:r>
      <w:r>
        <w:rPr>
          <w:rFonts w:hint="eastAsia" w:ascii="仿宋_GB2312" w:hAnsi="仿宋_GB2312" w:eastAsia="仿宋_GB2312" w:cs="仿宋_GB2312"/>
          <w:b w:val="0"/>
          <w:bCs w:val="0"/>
          <w:color w:val="auto"/>
          <w:szCs w:val="28"/>
          <w:highlight w:val="none"/>
          <w:lang w:val="en-US" w:eastAsia="zh-CN"/>
        </w:rPr>
        <w:instrText xml:space="preserve"> = 1 \* GB3 </w:instrText>
      </w:r>
      <w:r>
        <w:rPr>
          <w:rFonts w:hint="eastAsia" w:ascii="仿宋_GB2312" w:hAnsi="仿宋_GB2312" w:eastAsia="仿宋_GB2312" w:cs="仿宋_GB2312"/>
          <w:b w:val="0"/>
          <w:bCs w:val="0"/>
          <w:color w:val="auto"/>
          <w:szCs w:val="28"/>
          <w:highlight w:val="none"/>
          <w:lang w:val="en-US" w:eastAsia="zh-CN"/>
        </w:rPr>
        <w:fldChar w:fldCharType="separate"/>
      </w:r>
      <w:r>
        <w:rPr>
          <w:rFonts w:hint="eastAsia" w:ascii="仿宋_GB2312" w:hAnsi="仿宋_GB2312" w:eastAsia="仿宋_GB2312" w:cs="仿宋_GB2312"/>
          <w:b w:val="0"/>
          <w:bCs w:val="0"/>
          <w:color w:val="auto"/>
          <w:szCs w:val="28"/>
          <w:highlight w:val="none"/>
          <w:lang w:val="en-US" w:eastAsia="zh-CN"/>
        </w:rPr>
        <w:t>①</w:t>
      </w:r>
      <w:r>
        <w:rPr>
          <w:rFonts w:hint="eastAsia" w:ascii="仿宋_GB2312" w:hAnsi="仿宋_GB2312" w:eastAsia="仿宋_GB2312" w:cs="仿宋_GB2312"/>
          <w:b w:val="0"/>
          <w:bCs w:val="0"/>
          <w:color w:val="auto"/>
          <w:szCs w:val="28"/>
          <w:highlight w:val="none"/>
          <w:lang w:val="en-US" w:eastAsia="zh-CN"/>
        </w:rPr>
        <w:fldChar w:fldCharType="end"/>
      </w:r>
      <w:r>
        <w:rPr>
          <w:rFonts w:hint="eastAsia" w:ascii="仿宋_GB2312" w:hAnsi="仿宋_GB2312" w:eastAsia="仿宋_GB2312" w:cs="仿宋_GB2312"/>
          <w:b w:val="0"/>
          <w:bCs w:val="0"/>
          <w:color w:val="auto"/>
          <w:szCs w:val="28"/>
          <w:highlight w:val="none"/>
          <w:lang w:val="en-US" w:eastAsia="zh-CN"/>
        </w:rPr>
        <w:t>成本逼近法</w:t>
      </w:r>
    </w:p>
    <w:p w14:paraId="68E52934">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估价对象所在区域有土地征收案例，政府公布了征地有关文件，可测算土地取得成本，故选择成本逼近法作为土地评估方法之一。</w:t>
      </w:r>
    </w:p>
    <w:p w14:paraId="7E033483">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②</w:t>
      </w:r>
      <w:r>
        <w:rPr>
          <w:rFonts w:hint="eastAsia" w:hAnsi="仿宋_GB2312" w:cs="仿宋_GB2312"/>
          <w:snapToGrid w:val="0"/>
          <w:kern w:val="0"/>
          <w:sz w:val="28"/>
          <w:szCs w:val="28"/>
          <w:lang w:val="en-US" w:eastAsia="zh-CN"/>
        </w:rPr>
        <w:t>收益还原法</w:t>
      </w:r>
    </w:p>
    <w:p w14:paraId="448B3955">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由于估价对象地上房屋建筑物有</w:t>
      </w:r>
      <w:r>
        <w:rPr>
          <w:rFonts w:hint="eastAsia" w:ascii="仿宋_GB2312" w:hAnsi="仿宋_GB2312" w:eastAsia="仿宋_GB2312" w:cs="仿宋_GB2312"/>
          <w:b w:val="0"/>
          <w:bCs/>
          <w:color w:val="auto"/>
          <w:sz w:val="28"/>
          <w:szCs w:val="28"/>
          <w:highlight w:val="none"/>
          <w:lang w:val="en-US" w:eastAsia="zh-CN"/>
        </w:rPr>
        <w:t>潜在</w:t>
      </w:r>
      <w:r>
        <w:rPr>
          <w:rFonts w:hint="default" w:ascii="仿宋_GB2312" w:hAnsi="仿宋_GB2312" w:eastAsia="仿宋_GB2312" w:cs="仿宋_GB2312"/>
          <w:b w:val="0"/>
          <w:bCs/>
          <w:color w:val="auto"/>
          <w:sz w:val="28"/>
          <w:szCs w:val="28"/>
          <w:highlight w:val="none"/>
          <w:lang w:val="en-US" w:eastAsia="zh-CN"/>
        </w:rPr>
        <w:t>收益，所在区域内同类型用房租赁情况较多，不动产总收益较易确定，故可采用收益还原法作为评估方法之一</w:t>
      </w:r>
      <w:r>
        <w:rPr>
          <w:rFonts w:hint="eastAsia" w:ascii="仿宋_GB2312" w:hAnsi="仿宋_GB2312" w:eastAsia="仿宋_GB2312" w:cs="仿宋_GB2312"/>
          <w:b w:val="0"/>
          <w:bCs w:val="0"/>
          <w:color w:val="auto"/>
          <w:szCs w:val="28"/>
          <w:highlight w:val="none"/>
          <w:lang w:val="en-US" w:eastAsia="zh-CN"/>
        </w:rPr>
        <w:t>。</w:t>
      </w:r>
    </w:p>
    <w:p w14:paraId="6DAE6A49">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（2）不采用的方法及不采用方法理由：</w:t>
      </w:r>
    </w:p>
    <w:p w14:paraId="459339E6">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fldChar w:fldCharType="begin"/>
      </w:r>
      <w:r>
        <w:rPr>
          <w:rFonts w:hint="eastAsia" w:ascii="仿宋_GB2312" w:hAnsi="仿宋_GB2312" w:eastAsia="仿宋_GB2312" w:cs="仿宋_GB2312"/>
          <w:b w:val="0"/>
          <w:bCs w:val="0"/>
          <w:color w:val="auto"/>
          <w:szCs w:val="28"/>
          <w:highlight w:val="none"/>
          <w:lang w:val="en-US" w:eastAsia="zh-CN"/>
        </w:rPr>
        <w:instrText xml:space="preserve"> = 1 \* GB3 </w:instrText>
      </w:r>
      <w:r>
        <w:rPr>
          <w:rFonts w:hint="eastAsia" w:ascii="仿宋_GB2312" w:hAnsi="仿宋_GB2312" w:eastAsia="仿宋_GB2312" w:cs="仿宋_GB2312"/>
          <w:b w:val="0"/>
          <w:bCs w:val="0"/>
          <w:color w:val="auto"/>
          <w:szCs w:val="28"/>
          <w:highlight w:val="none"/>
          <w:lang w:val="en-US" w:eastAsia="zh-CN"/>
        </w:rPr>
        <w:fldChar w:fldCharType="separate"/>
      </w:r>
      <w:r>
        <w:rPr>
          <w:rFonts w:hint="eastAsia" w:ascii="仿宋_GB2312" w:hAnsi="仿宋_GB2312" w:eastAsia="仿宋_GB2312" w:cs="仿宋_GB2312"/>
          <w:b w:val="0"/>
          <w:bCs w:val="0"/>
          <w:color w:val="auto"/>
          <w:szCs w:val="28"/>
          <w:highlight w:val="none"/>
          <w:lang w:val="en-US" w:eastAsia="zh-CN"/>
        </w:rPr>
        <w:t>①</w:t>
      </w:r>
      <w:r>
        <w:rPr>
          <w:rFonts w:hint="eastAsia" w:ascii="仿宋_GB2312" w:hAnsi="仿宋_GB2312" w:eastAsia="仿宋_GB2312" w:cs="仿宋_GB2312"/>
          <w:b w:val="0"/>
          <w:bCs w:val="0"/>
          <w:color w:val="auto"/>
          <w:szCs w:val="28"/>
          <w:highlight w:val="none"/>
          <w:lang w:val="en-US" w:eastAsia="zh-CN"/>
        </w:rPr>
        <w:fldChar w:fldCharType="end"/>
      </w:r>
      <w:r>
        <w:rPr>
          <w:rFonts w:hint="eastAsia" w:ascii="仿宋_GB2312" w:hAnsi="仿宋_GB2312" w:eastAsia="仿宋_GB2312" w:cs="仿宋_GB2312"/>
          <w:b w:val="0"/>
          <w:bCs w:val="0"/>
          <w:color w:val="auto"/>
          <w:szCs w:val="28"/>
          <w:highlight w:val="none"/>
          <w:lang w:val="en-US" w:eastAsia="zh-CN"/>
        </w:rPr>
        <w:t>不选择市场比较法</w:t>
      </w:r>
    </w:p>
    <w:p w14:paraId="63AA9C95">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lang w:val="en-US" w:eastAsia="zh-CN"/>
        </w:rPr>
      </w:pPr>
      <w:r>
        <w:rPr>
          <w:rFonts w:hint="eastAsia" w:ascii="仿宋_GB2312" w:hAnsi="仿宋_GB2312" w:eastAsia="仿宋_GB2312" w:cs="仿宋_GB2312"/>
          <w:b w:val="0"/>
          <w:bCs w:val="0"/>
          <w:color w:val="auto"/>
          <w:sz w:val="28"/>
          <w:szCs w:val="28"/>
          <w:highlight w:val="none"/>
          <w:lang w:val="en-US" w:eastAsia="zh-CN"/>
        </w:rPr>
        <w:t>估价对象使用权性质为出让，登记用途为住宅用地，设定土地用途为住宅用地，区域内较难收集到三个及以上的相同或类似用途的土地成交案例，故不适宜采用市场比较法进行评估。</w:t>
      </w:r>
    </w:p>
    <w:p w14:paraId="5788FF77">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②不选择公示地价修正法</w:t>
      </w:r>
    </w:p>
    <w:p w14:paraId="294DEE35">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城镇基准地价的颁布实施时间为2019年11月22日，城区基准地价估价期日为2019年5月1日，批准文号为道政函〔2019〕85号,文件名称为《关于更新城区基准地价和制订11个建制镇基准地价的通告》（道政函〔2019〕85号，2019年11月22日），批准机关为道县人民政府，本次估价期日为2026年6月1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58FE96E0">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③</w:t>
      </w:r>
      <w:r>
        <w:rPr>
          <w:rFonts w:hint="default" w:ascii="仿宋_GB2312" w:hAnsi="仿宋_GB2312" w:eastAsia="仿宋_GB2312" w:cs="仿宋_GB2312"/>
          <w:b w:val="0"/>
          <w:bCs/>
          <w:color w:val="auto"/>
          <w:sz w:val="28"/>
          <w:szCs w:val="28"/>
          <w:highlight w:val="none"/>
          <w:lang w:val="en-US" w:eastAsia="zh-CN"/>
        </w:rPr>
        <w:t>不选择剩余法（增值收益扣减法）</w:t>
      </w:r>
    </w:p>
    <w:p w14:paraId="3471B4A3">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auto"/>
          <w:sz w:val="28"/>
          <w:szCs w:val="28"/>
          <w:highlight w:val="none"/>
          <w:lang w:val="en-US" w:eastAsia="zh-CN"/>
        </w:rPr>
        <w:t>剩余法适用于具有投资开发或再开发潜力的土地估价。估价对象周边房地产交易案例较少，难以合理确定房地产开发价值，此次评估已优选两种评估方法，因而不采用剩余法进行评估</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24814225">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综上所述，本次评估采用成本逼近法、收益还原法进行评估确定。</w:t>
      </w:r>
    </w:p>
    <w:p w14:paraId="7C5472C1">
      <w:pPr>
        <w:keepNext w:val="0"/>
        <w:keepLines w:val="0"/>
        <w:pageBreakBefore w:val="0"/>
        <w:widowControl w:val="0"/>
        <w:kinsoku/>
        <w:wordWrap/>
        <w:overflowPunct/>
        <w:topLinePunct w:val="0"/>
        <w:autoSpaceDE w:val="0"/>
        <w:autoSpaceDN w:val="0"/>
        <w:bidi w:val="0"/>
        <w:adjustRightInd w:val="0"/>
        <w:snapToGrid w:val="0"/>
        <w:spacing w:line="470" w:lineRule="exact"/>
        <w:ind w:firstLine="562" w:firstLineChars="200"/>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bookmarkStart w:id="36" w:name="_Toc30160"/>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（三）估价结果</w:t>
      </w:r>
      <w:bookmarkEnd w:id="36"/>
    </w:p>
    <w:p w14:paraId="44F83439">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1、地价的确定</w:t>
      </w:r>
    </w:p>
    <w:p w14:paraId="2B4367CF">
      <w:pPr>
        <w:keepNext w:val="0"/>
        <w:keepLines w:val="0"/>
        <w:pageBreakBefore w:val="0"/>
        <w:widowControl w:val="0"/>
        <w:kinsoku/>
        <w:wordWrap/>
        <w:overflowPunct/>
        <w:topLinePunct w:val="0"/>
        <w:autoSpaceDE w:val="0"/>
        <w:autoSpaceDN w:val="0"/>
        <w:bidi w:val="0"/>
        <w:adjustRightInd w:val="0"/>
        <w:snapToGrid w:val="0"/>
        <w:spacing w:line="47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w:t>
      </w:r>
    </w:p>
    <w:p w14:paraId="445BACF0">
      <w:pPr>
        <w:pStyle w:val="5"/>
        <w:keepNext w:val="0"/>
        <w:keepLines w:val="0"/>
        <w:pageBreakBefore w:val="0"/>
        <w:widowControl w:val="0"/>
        <w:kinsoku/>
        <w:wordWrap/>
        <w:overflowPunct w:val="0"/>
        <w:topLinePunct w:val="0"/>
        <w:autoSpaceDE w:val="0"/>
        <w:autoSpaceDN w:val="0"/>
        <w:bidi w:val="0"/>
        <w:adjustRightInd w:val="0"/>
        <w:snapToGrid w:val="0"/>
        <w:spacing w:line="470" w:lineRule="exact"/>
        <w:ind w:left="0" w:leftChars="0"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szCs w:val="28"/>
        </w:rPr>
        <w:t>收益还原法是在估算估价对象在未来每年预期纯收益（正常年纯收益）的基础上，以一定的土地还原率，将评估对象在未来每年的纯收益折算为估价期日收益总和的一种方法。因此该方法的测算结果能够比较真实的反映待估宗地的客观合理的市场价格。</w:t>
      </w:r>
    </w:p>
    <w:p w14:paraId="4CEA4B2D">
      <w:pPr>
        <w:keepNext w:val="0"/>
        <w:keepLines w:val="0"/>
        <w:pageBreakBefore w:val="0"/>
        <w:widowControl w:val="0"/>
        <w:kinsoku/>
        <w:wordWrap/>
        <w:overflowPunct/>
        <w:topLinePunct w:val="0"/>
        <w:autoSpaceDE/>
        <w:autoSpaceDN/>
        <w:bidi w:val="0"/>
        <w:adjustRightInd w:val="0"/>
        <w:snapToGrid w:val="0"/>
        <w:spacing w:line="47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napToGrid w:val="0"/>
          <w:color w:val="000000"/>
          <w:kern w:val="0"/>
          <w:sz w:val="28"/>
          <w:szCs w:val="28"/>
          <w:highlight w:val="none"/>
        </w:rPr>
        <w:t>通过对当地土地市场和土地价格的分析和两种方法的可靠性综合分析，根据项目特点，综合考虑宗地所在区域的地价水平，确定以</w:t>
      </w:r>
      <w:r>
        <w:rPr>
          <w:rFonts w:hint="eastAsia" w:ascii="仿宋_GB2312" w:hAnsi="仿宋_GB2312" w:eastAsia="仿宋_GB2312" w:cs="仿宋_GB2312"/>
          <w:snapToGrid w:val="0"/>
          <w:color w:val="000000"/>
          <w:kern w:val="0"/>
          <w:sz w:val="28"/>
          <w:szCs w:val="28"/>
          <w:highlight w:val="none"/>
          <w:lang w:val="en-US" w:eastAsia="zh-CN"/>
        </w:rPr>
        <w:t>收益还原法</w:t>
      </w:r>
      <w:r>
        <w:rPr>
          <w:rFonts w:hint="eastAsia" w:ascii="仿宋_GB2312" w:hAnsi="仿宋_GB2312" w:eastAsia="仿宋_GB2312" w:cs="仿宋_GB2312"/>
          <w:snapToGrid w:val="0"/>
          <w:color w:val="000000"/>
          <w:kern w:val="0"/>
          <w:sz w:val="28"/>
          <w:szCs w:val="28"/>
          <w:highlight w:val="none"/>
        </w:rPr>
        <w:t>的评估结果作为本次评估的最终结果。</w:t>
      </w:r>
    </w:p>
    <w:p w14:paraId="27765DAD">
      <w:pPr>
        <w:pStyle w:val="13"/>
        <w:keepNext w:val="0"/>
        <w:keepLines w:val="0"/>
        <w:pageBreakBefore w:val="0"/>
        <w:widowControl w:val="0"/>
        <w:kinsoku w:val="0"/>
        <w:wordWrap/>
        <w:overflowPunct w:val="0"/>
        <w:topLinePunct w:val="0"/>
        <w:autoSpaceDE w:val="0"/>
        <w:autoSpaceDN w:val="0"/>
        <w:bidi w:val="0"/>
        <w:adjustRightInd w:val="0"/>
        <w:snapToGrid w:val="0"/>
        <w:spacing w:line="480" w:lineRule="exact"/>
        <w:ind w:left="0" w:leftChars="0" w:firstLine="0" w:firstLineChars="0"/>
        <w:jc w:val="center"/>
        <w:textAlignment w:val="baseline"/>
        <w:rPr>
          <w:rFonts w:hint="eastAsia" w:ascii="仿宋_GB2312" w:hAnsi="仿宋_GB2312" w:eastAsia="仿宋_GB2312" w:cs="仿宋_GB2312"/>
          <w:b w:val="0"/>
          <w:bCs w:val="0"/>
          <w:color w:val="auto"/>
          <w:kern w:val="2"/>
          <w:sz w:val="28"/>
          <w:szCs w:val="28"/>
          <w:highlight w:val="none"/>
          <w:lang w:val="en-US" w:eastAsia="zh-CN" w:bidi="ar-SA"/>
        </w:rPr>
      </w:pPr>
      <w:r>
        <w:rPr>
          <w:rFonts w:hint="eastAsia" w:ascii="仿宋_GB2312" w:hAnsi="仿宋_GB2312" w:eastAsia="仿宋_GB2312" w:cs="仿宋_GB2312"/>
          <w:b w:val="0"/>
          <w:bCs w:val="0"/>
          <w:color w:val="auto"/>
          <w:kern w:val="2"/>
          <w:sz w:val="28"/>
          <w:szCs w:val="28"/>
          <w:highlight w:val="none"/>
          <w:lang w:val="en-US" w:eastAsia="zh-CN" w:bidi="ar-SA"/>
        </w:rPr>
        <w:t>表</w:t>
      </w:r>
      <w:r>
        <w:rPr>
          <w:rFonts w:hint="eastAsia" w:ascii="仿宋_GB2312" w:hAnsi="仿宋_GB2312" w:cs="仿宋_GB2312"/>
          <w:b w:val="0"/>
          <w:bCs w:val="0"/>
          <w:color w:val="auto"/>
          <w:kern w:val="2"/>
          <w:sz w:val="28"/>
          <w:szCs w:val="28"/>
          <w:highlight w:val="none"/>
          <w:lang w:val="en-US" w:eastAsia="zh-CN" w:bidi="ar-SA"/>
        </w:rPr>
        <w:t>3</w:t>
      </w:r>
      <w:r>
        <w:rPr>
          <w:rFonts w:hint="eastAsia" w:ascii="仿宋_GB2312" w:hAnsi="仿宋_GB2312" w:eastAsia="仿宋_GB2312" w:cs="仿宋_GB2312"/>
          <w:b w:val="0"/>
          <w:bCs w:val="0"/>
          <w:color w:val="auto"/>
          <w:kern w:val="2"/>
          <w:sz w:val="28"/>
          <w:szCs w:val="28"/>
          <w:highlight w:val="none"/>
          <w:lang w:val="en-US" w:eastAsia="zh-CN" w:bidi="ar-SA"/>
        </w:rPr>
        <w:t>-</w:t>
      </w:r>
      <w:r>
        <w:rPr>
          <w:rFonts w:hint="eastAsia" w:ascii="仿宋_GB2312" w:hAnsi="仿宋_GB2312" w:cs="仿宋_GB2312"/>
          <w:b w:val="0"/>
          <w:bCs w:val="0"/>
          <w:color w:val="auto"/>
          <w:kern w:val="2"/>
          <w:sz w:val="28"/>
          <w:szCs w:val="28"/>
          <w:highlight w:val="none"/>
          <w:lang w:val="en-US" w:eastAsia="zh-CN" w:bidi="ar-SA"/>
        </w:rPr>
        <w:t>1估价对象地价</w:t>
      </w:r>
      <w:r>
        <w:rPr>
          <w:rFonts w:hint="eastAsia" w:ascii="仿宋_GB2312" w:hAnsi="仿宋_GB2312" w:eastAsia="仿宋_GB2312" w:cs="仿宋_GB2312"/>
          <w:b w:val="0"/>
          <w:bCs w:val="0"/>
          <w:color w:val="auto"/>
          <w:kern w:val="2"/>
          <w:sz w:val="28"/>
          <w:szCs w:val="28"/>
          <w:highlight w:val="none"/>
          <w:lang w:val="en-US" w:eastAsia="zh-CN" w:bidi="ar-SA"/>
        </w:rPr>
        <w:t>表</w:t>
      </w:r>
    </w:p>
    <w:tbl>
      <w:tblPr>
        <w:tblStyle w:val="14"/>
        <w:tblW w:w="542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2"/>
        <w:gridCol w:w="675"/>
        <w:gridCol w:w="1080"/>
        <w:gridCol w:w="615"/>
        <w:gridCol w:w="1065"/>
        <w:gridCol w:w="476"/>
        <w:gridCol w:w="1132"/>
        <w:gridCol w:w="846"/>
        <w:gridCol w:w="886"/>
        <w:gridCol w:w="816"/>
      </w:tblGrid>
      <w:tr w14:paraId="5DD4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3" w:type="pct"/>
            <w:vMerge w:val="restart"/>
            <w:tcBorders>
              <w:top w:val="single" w:color="000000" w:sz="4" w:space="0"/>
              <w:left w:val="single" w:color="000000" w:sz="4" w:space="0"/>
              <w:bottom w:val="single" w:color="000000" w:sz="4" w:space="0"/>
              <w:right w:val="single" w:color="000000" w:sz="4" w:space="0"/>
              <w:tl2br w:val="nil"/>
            </w:tcBorders>
            <w:shd w:val="clear" w:color="auto" w:fill="FFFFFF"/>
            <w:noWrap w:val="0"/>
            <w:vAlign w:val="center"/>
          </w:tcPr>
          <w:p w14:paraId="378A0531">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r>
              <w:rPr>
                <w:rFonts w:hint="eastAsia" w:ascii="仿宋_GB2312" w:hAnsi="仿宋_GB2312" w:eastAsia="仿宋_GB2312" w:cs="仿宋_GB2312"/>
                <w:b w:val="0"/>
                <w:bCs w:val="0"/>
                <w:snapToGrid w:val="0"/>
                <w:color w:val="000000"/>
                <w:sz w:val="20"/>
                <w:szCs w:val="20"/>
                <w:highlight w:val="none"/>
              </w:rPr>
              <w:t>评估项目</w:t>
            </w:r>
          </w:p>
        </w:tc>
        <w:tc>
          <w:tcPr>
            <w:tcW w:w="365" w:type="pct"/>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0A0E8E6">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r>
              <w:rPr>
                <w:rFonts w:hint="eastAsia" w:ascii="仿宋_GB2312" w:hAnsi="仿宋_GB2312" w:eastAsia="仿宋_GB2312" w:cs="仿宋_GB2312"/>
                <w:b w:val="0"/>
                <w:bCs w:val="0"/>
                <w:snapToGrid w:val="0"/>
                <w:color w:val="000000"/>
                <w:sz w:val="20"/>
                <w:szCs w:val="20"/>
                <w:highlight w:val="none"/>
              </w:rPr>
              <w:t>用途</w:t>
            </w:r>
          </w:p>
        </w:tc>
        <w:tc>
          <w:tcPr>
            <w:tcW w:w="916" w:type="pct"/>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F9B93D">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成本逼近法</w:t>
            </w:r>
          </w:p>
        </w:tc>
        <w:tc>
          <w:tcPr>
            <w:tcW w:w="833" w:type="pct"/>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D92ED2">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eastAsia="zh-CN"/>
              </w:rPr>
            </w:pPr>
            <w:r>
              <w:rPr>
                <w:rFonts w:hint="eastAsia" w:ascii="仿宋_GB2312" w:hAnsi="仿宋_GB2312" w:eastAsia="仿宋_GB2312" w:cs="仿宋_GB2312"/>
                <w:b w:val="0"/>
                <w:bCs w:val="0"/>
                <w:snapToGrid w:val="0"/>
                <w:color w:val="000000"/>
                <w:sz w:val="20"/>
                <w:szCs w:val="20"/>
                <w:highlight w:val="none"/>
                <w:lang w:val="en-US" w:eastAsia="zh-CN"/>
              </w:rPr>
              <w:t>收益还原法</w:t>
            </w:r>
          </w:p>
        </w:tc>
        <w:tc>
          <w:tcPr>
            <w:tcW w:w="612" w:type="pct"/>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ABC53D">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eastAsia="zh-CN"/>
              </w:rPr>
            </w:pPr>
            <w:r>
              <w:rPr>
                <w:rFonts w:hint="eastAsia" w:ascii="仿宋_GB2312" w:hAnsi="仿宋_GB2312" w:eastAsia="仿宋_GB2312" w:cs="仿宋_GB2312"/>
                <w:b w:val="0"/>
                <w:bCs w:val="0"/>
                <w:snapToGrid w:val="0"/>
                <w:color w:val="000000"/>
                <w:sz w:val="20"/>
                <w:szCs w:val="20"/>
                <w:highlight w:val="none"/>
              </w:rPr>
              <w:t>确定土地单价</w:t>
            </w:r>
            <w:r>
              <w:rPr>
                <w:rFonts w:hint="eastAsia" w:ascii="仿宋_GB2312" w:hAnsi="仿宋_GB2312" w:eastAsia="仿宋_GB2312" w:cs="仿宋_GB2312"/>
                <w:b w:val="0"/>
                <w:bCs w:val="0"/>
                <w:snapToGrid w:val="0"/>
                <w:color w:val="000000"/>
                <w:sz w:val="20"/>
                <w:szCs w:val="20"/>
                <w:highlight w:val="none"/>
                <w:lang w:val="en-US" w:eastAsia="zh-CN"/>
              </w:rPr>
              <w:t>(</w:t>
            </w:r>
            <w:r>
              <w:rPr>
                <w:rFonts w:hint="eastAsia" w:ascii="仿宋_GB2312" w:hAnsi="仿宋_GB2312" w:eastAsia="仿宋_GB2312" w:cs="仿宋_GB2312"/>
                <w:b w:val="0"/>
                <w:bCs w:val="0"/>
                <w:snapToGrid w:val="0"/>
                <w:color w:val="000000"/>
                <w:sz w:val="20"/>
                <w:szCs w:val="20"/>
                <w:highlight w:val="none"/>
              </w:rPr>
              <w:t>元/ m</w:t>
            </w:r>
            <w:r>
              <w:rPr>
                <w:rFonts w:hint="eastAsia" w:ascii="仿宋_GB2312" w:hAnsi="仿宋_GB2312" w:eastAsia="仿宋_GB2312" w:cs="仿宋_GB2312"/>
                <w:b w:val="0"/>
                <w:bCs w:val="0"/>
                <w:snapToGrid w:val="0"/>
                <w:color w:val="000000"/>
                <w:sz w:val="20"/>
                <w:szCs w:val="20"/>
                <w:highlight w:val="none"/>
                <w:vertAlign w:val="superscript"/>
              </w:rPr>
              <w:t>2</w:t>
            </w:r>
            <w:r>
              <w:rPr>
                <w:rFonts w:hint="eastAsia" w:ascii="仿宋_GB2312" w:hAnsi="仿宋_GB2312" w:eastAsia="仿宋_GB2312" w:cs="仿宋_GB2312"/>
                <w:b w:val="0"/>
                <w:bCs w:val="0"/>
                <w:snapToGrid w:val="0"/>
                <w:color w:val="000000"/>
                <w:sz w:val="20"/>
                <w:szCs w:val="20"/>
                <w:highlight w:val="none"/>
                <w:lang w:val="en-US" w:eastAsia="zh-CN"/>
              </w:rPr>
              <w:t>)</w:t>
            </w:r>
          </w:p>
        </w:tc>
        <w:tc>
          <w:tcPr>
            <w:tcW w:w="457" w:type="pct"/>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7803CB0">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r>
              <w:rPr>
                <w:rFonts w:hint="eastAsia" w:ascii="仿宋_GB2312" w:hAnsi="仿宋_GB2312" w:eastAsia="仿宋_GB2312" w:cs="仿宋_GB2312"/>
                <w:b w:val="0"/>
                <w:bCs w:val="0"/>
                <w:snapToGrid w:val="0"/>
                <w:color w:val="000000"/>
                <w:sz w:val="20"/>
                <w:szCs w:val="20"/>
                <w:highlight w:val="none"/>
              </w:rPr>
              <w:t>土地面积（m</w:t>
            </w:r>
            <w:r>
              <w:rPr>
                <w:rFonts w:hint="eastAsia" w:ascii="仿宋_GB2312" w:hAnsi="仿宋_GB2312" w:eastAsia="仿宋_GB2312" w:cs="仿宋_GB2312"/>
                <w:b w:val="0"/>
                <w:bCs w:val="0"/>
                <w:snapToGrid w:val="0"/>
                <w:color w:val="000000"/>
                <w:sz w:val="20"/>
                <w:szCs w:val="20"/>
                <w:highlight w:val="none"/>
                <w:vertAlign w:val="superscript"/>
              </w:rPr>
              <w:t>2</w:t>
            </w:r>
            <w:r>
              <w:rPr>
                <w:rFonts w:hint="eastAsia" w:ascii="仿宋_GB2312" w:hAnsi="仿宋_GB2312" w:eastAsia="仿宋_GB2312" w:cs="仿宋_GB2312"/>
                <w:b w:val="0"/>
                <w:bCs w:val="0"/>
                <w:snapToGrid w:val="0"/>
                <w:color w:val="000000"/>
                <w:sz w:val="20"/>
                <w:szCs w:val="20"/>
                <w:highlight w:val="none"/>
              </w:rPr>
              <w:t>）</w:t>
            </w:r>
          </w:p>
        </w:tc>
        <w:tc>
          <w:tcPr>
            <w:tcW w:w="479" w:type="pct"/>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ED8CA4">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eastAsia="zh-CN"/>
              </w:rPr>
            </w:pPr>
            <w:r>
              <w:rPr>
                <w:rFonts w:hint="eastAsia" w:ascii="仿宋_GB2312" w:hAnsi="仿宋_GB2312" w:eastAsia="仿宋_GB2312" w:cs="仿宋_GB2312"/>
                <w:b w:val="0"/>
                <w:bCs w:val="0"/>
                <w:snapToGrid w:val="0"/>
                <w:color w:val="000000"/>
                <w:sz w:val="20"/>
                <w:szCs w:val="20"/>
                <w:highlight w:val="none"/>
              </w:rPr>
              <w:t>土地总价</w:t>
            </w:r>
            <w:r>
              <w:rPr>
                <w:rFonts w:hint="eastAsia" w:ascii="仿宋_GB2312" w:hAnsi="仿宋_GB2312" w:eastAsia="仿宋_GB2312" w:cs="仿宋_GB2312"/>
                <w:b w:val="0"/>
                <w:bCs w:val="0"/>
                <w:snapToGrid w:val="0"/>
                <w:color w:val="000000"/>
                <w:sz w:val="20"/>
                <w:szCs w:val="20"/>
                <w:highlight w:val="none"/>
                <w:lang w:val="en-US" w:eastAsia="zh-CN"/>
              </w:rPr>
              <w:t>(</w:t>
            </w:r>
            <w:r>
              <w:rPr>
                <w:rFonts w:hint="eastAsia" w:ascii="仿宋_GB2312" w:hAnsi="仿宋_GB2312" w:eastAsia="仿宋_GB2312" w:cs="仿宋_GB2312"/>
                <w:b w:val="0"/>
                <w:bCs w:val="0"/>
                <w:snapToGrid w:val="0"/>
                <w:color w:val="000000"/>
                <w:sz w:val="20"/>
                <w:szCs w:val="20"/>
                <w:highlight w:val="none"/>
              </w:rPr>
              <w:t>万元</w:t>
            </w:r>
            <w:r>
              <w:rPr>
                <w:rFonts w:hint="eastAsia" w:ascii="仿宋_GB2312" w:hAnsi="仿宋_GB2312" w:eastAsia="仿宋_GB2312" w:cs="仿宋_GB2312"/>
                <w:b w:val="0"/>
                <w:bCs w:val="0"/>
                <w:snapToGrid w:val="0"/>
                <w:color w:val="000000"/>
                <w:sz w:val="20"/>
                <w:szCs w:val="20"/>
                <w:highlight w:val="none"/>
                <w:lang w:val="en-US" w:eastAsia="zh-CN"/>
              </w:rPr>
              <w:t>)</w:t>
            </w:r>
          </w:p>
        </w:tc>
        <w:tc>
          <w:tcPr>
            <w:tcW w:w="441" w:type="pct"/>
            <w:vMerge w:val="restart"/>
            <w:tcBorders>
              <w:top w:val="single" w:color="000000" w:sz="4" w:space="0"/>
              <w:left w:val="single" w:color="000000" w:sz="4" w:space="0"/>
              <w:right w:val="single" w:color="000000" w:sz="4" w:space="0"/>
            </w:tcBorders>
            <w:shd w:val="clear" w:color="auto" w:fill="FFFFFF"/>
            <w:noWrap w:val="0"/>
            <w:vAlign w:val="center"/>
          </w:tcPr>
          <w:p w14:paraId="5C29269C">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楼面地价(元/</w:t>
            </w:r>
            <w:r>
              <w:rPr>
                <w:rFonts w:hint="eastAsia" w:ascii="仿宋_GB2312" w:hAnsi="仿宋_GB2312" w:eastAsia="仿宋_GB2312" w:cs="仿宋_GB2312"/>
                <w:b w:val="0"/>
                <w:bCs w:val="0"/>
                <w:snapToGrid w:val="0"/>
                <w:color w:val="000000"/>
                <w:sz w:val="20"/>
                <w:szCs w:val="20"/>
                <w:highlight w:val="none"/>
              </w:rPr>
              <w:t>m</w:t>
            </w:r>
            <w:r>
              <w:rPr>
                <w:rFonts w:hint="eastAsia" w:ascii="仿宋_GB2312" w:hAnsi="仿宋_GB2312" w:eastAsia="仿宋_GB2312" w:cs="仿宋_GB2312"/>
                <w:b w:val="0"/>
                <w:bCs w:val="0"/>
                <w:snapToGrid w:val="0"/>
                <w:color w:val="000000"/>
                <w:sz w:val="20"/>
                <w:szCs w:val="20"/>
                <w:highlight w:val="none"/>
                <w:vertAlign w:val="superscript"/>
              </w:rPr>
              <w:t>2</w:t>
            </w:r>
            <w:r>
              <w:rPr>
                <w:rFonts w:hint="eastAsia" w:ascii="仿宋_GB2312" w:hAnsi="仿宋_GB2312" w:eastAsia="仿宋_GB2312" w:cs="仿宋_GB2312"/>
                <w:b w:val="0"/>
                <w:bCs w:val="0"/>
                <w:snapToGrid w:val="0"/>
                <w:color w:val="000000"/>
                <w:sz w:val="20"/>
                <w:szCs w:val="20"/>
                <w:highlight w:val="none"/>
                <w:lang w:val="en-US" w:eastAsia="zh-CN"/>
              </w:rPr>
              <w:t>)</w:t>
            </w:r>
          </w:p>
        </w:tc>
      </w:tr>
      <w:tr w14:paraId="5D98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jc w:val="center"/>
        </w:trPr>
        <w:tc>
          <w:tcPr>
            <w:tcW w:w="893"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11FF9BA">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p>
        </w:tc>
        <w:tc>
          <w:tcPr>
            <w:tcW w:w="365"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66528F1">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p>
        </w:tc>
        <w:tc>
          <w:tcPr>
            <w:tcW w:w="58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2774C2">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eastAsia="zh-CN"/>
              </w:rPr>
            </w:pPr>
            <w:r>
              <w:rPr>
                <w:rFonts w:hint="eastAsia" w:ascii="仿宋_GB2312" w:hAnsi="仿宋_GB2312" w:eastAsia="仿宋_GB2312" w:cs="仿宋_GB2312"/>
                <w:b w:val="0"/>
                <w:bCs w:val="0"/>
                <w:snapToGrid w:val="0"/>
                <w:color w:val="000000"/>
                <w:sz w:val="20"/>
                <w:szCs w:val="20"/>
                <w:highlight w:val="none"/>
              </w:rPr>
              <w:t>土地单价</w:t>
            </w:r>
            <w:r>
              <w:rPr>
                <w:rFonts w:hint="eastAsia" w:ascii="仿宋_GB2312" w:hAnsi="仿宋_GB2312" w:eastAsia="仿宋_GB2312" w:cs="仿宋_GB2312"/>
                <w:b w:val="0"/>
                <w:bCs w:val="0"/>
                <w:snapToGrid w:val="0"/>
                <w:color w:val="000000"/>
                <w:sz w:val="20"/>
                <w:szCs w:val="20"/>
                <w:highlight w:val="none"/>
                <w:lang w:val="en-US" w:eastAsia="zh-CN"/>
              </w:rPr>
              <w:t>(</w:t>
            </w:r>
            <w:r>
              <w:rPr>
                <w:rFonts w:hint="eastAsia" w:ascii="仿宋_GB2312" w:hAnsi="仿宋_GB2312" w:eastAsia="仿宋_GB2312" w:cs="仿宋_GB2312"/>
                <w:b w:val="0"/>
                <w:bCs w:val="0"/>
                <w:snapToGrid w:val="0"/>
                <w:color w:val="000000"/>
                <w:sz w:val="20"/>
                <w:szCs w:val="20"/>
                <w:highlight w:val="none"/>
              </w:rPr>
              <w:t>元/ m</w:t>
            </w:r>
            <w:r>
              <w:rPr>
                <w:rFonts w:hint="eastAsia" w:ascii="仿宋_GB2312" w:hAnsi="仿宋_GB2312" w:eastAsia="仿宋_GB2312" w:cs="仿宋_GB2312"/>
                <w:b w:val="0"/>
                <w:bCs w:val="0"/>
                <w:snapToGrid w:val="0"/>
                <w:color w:val="000000"/>
                <w:sz w:val="20"/>
                <w:szCs w:val="20"/>
                <w:highlight w:val="none"/>
                <w:vertAlign w:val="superscript"/>
              </w:rPr>
              <w:t>2</w:t>
            </w:r>
            <w:r>
              <w:rPr>
                <w:rFonts w:hint="eastAsia" w:ascii="仿宋_GB2312" w:hAnsi="仿宋_GB2312" w:eastAsia="仿宋_GB2312" w:cs="仿宋_GB2312"/>
                <w:b w:val="0"/>
                <w:bCs w:val="0"/>
                <w:snapToGrid w:val="0"/>
                <w:color w:val="000000"/>
                <w:sz w:val="20"/>
                <w:szCs w:val="20"/>
                <w:highlight w:val="none"/>
                <w:lang w:val="en-US" w:eastAsia="zh-CN"/>
              </w:rPr>
              <w:t>)</w:t>
            </w:r>
          </w:p>
        </w:tc>
        <w:tc>
          <w:tcPr>
            <w:tcW w:w="33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93C7A39">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r>
              <w:rPr>
                <w:rFonts w:hint="eastAsia" w:ascii="仿宋_GB2312" w:hAnsi="仿宋_GB2312" w:eastAsia="仿宋_GB2312" w:cs="仿宋_GB2312"/>
                <w:b w:val="0"/>
                <w:bCs w:val="0"/>
                <w:snapToGrid w:val="0"/>
                <w:color w:val="000000"/>
                <w:sz w:val="20"/>
                <w:szCs w:val="20"/>
                <w:highlight w:val="none"/>
              </w:rPr>
              <w:t>权重</w:t>
            </w:r>
          </w:p>
        </w:tc>
        <w:tc>
          <w:tcPr>
            <w:tcW w:w="57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398184">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eastAsia="zh-CN"/>
              </w:rPr>
            </w:pPr>
            <w:r>
              <w:rPr>
                <w:rFonts w:hint="eastAsia" w:ascii="仿宋_GB2312" w:hAnsi="仿宋_GB2312" w:eastAsia="仿宋_GB2312" w:cs="仿宋_GB2312"/>
                <w:b w:val="0"/>
                <w:bCs w:val="0"/>
                <w:snapToGrid w:val="0"/>
                <w:color w:val="000000"/>
                <w:sz w:val="20"/>
                <w:szCs w:val="20"/>
                <w:highlight w:val="none"/>
              </w:rPr>
              <w:t>土地单价</w:t>
            </w:r>
            <w:r>
              <w:rPr>
                <w:rFonts w:hint="eastAsia" w:ascii="仿宋_GB2312" w:hAnsi="仿宋_GB2312" w:eastAsia="仿宋_GB2312" w:cs="仿宋_GB2312"/>
                <w:b w:val="0"/>
                <w:bCs w:val="0"/>
                <w:snapToGrid w:val="0"/>
                <w:color w:val="000000"/>
                <w:sz w:val="20"/>
                <w:szCs w:val="20"/>
                <w:highlight w:val="none"/>
                <w:lang w:val="en-US" w:eastAsia="zh-CN"/>
              </w:rPr>
              <w:t>(</w:t>
            </w:r>
            <w:r>
              <w:rPr>
                <w:rFonts w:hint="eastAsia" w:ascii="仿宋_GB2312" w:hAnsi="仿宋_GB2312" w:eastAsia="仿宋_GB2312" w:cs="仿宋_GB2312"/>
                <w:b w:val="0"/>
                <w:bCs w:val="0"/>
                <w:snapToGrid w:val="0"/>
                <w:color w:val="000000"/>
                <w:sz w:val="20"/>
                <w:szCs w:val="20"/>
                <w:highlight w:val="none"/>
              </w:rPr>
              <w:t>元/ m</w:t>
            </w:r>
            <w:r>
              <w:rPr>
                <w:rFonts w:hint="eastAsia" w:ascii="仿宋_GB2312" w:hAnsi="仿宋_GB2312" w:eastAsia="仿宋_GB2312" w:cs="仿宋_GB2312"/>
                <w:b w:val="0"/>
                <w:bCs w:val="0"/>
                <w:snapToGrid w:val="0"/>
                <w:color w:val="000000"/>
                <w:sz w:val="20"/>
                <w:szCs w:val="20"/>
                <w:highlight w:val="none"/>
                <w:vertAlign w:val="superscript"/>
              </w:rPr>
              <w:t>2</w:t>
            </w:r>
            <w:r>
              <w:rPr>
                <w:rFonts w:hint="eastAsia" w:ascii="仿宋_GB2312" w:hAnsi="仿宋_GB2312" w:eastAsia="仿宋_GB2312" w:cs="仿宋_GB2312"/>
                <w:b w:val="0"/>
                <w:bCs w:val="0"/>
                <w:snapToGrid w:val="0"/>
                <w:color w:val="000000"/>
                <w:sz w:val="20"/>
                <w:szCs w:val="20"/>
                <w:highlight w:val="none"/>
                <w:lang w:val="en-US" w:eastAsia="zh-CN"/>
              </w:rPr>
              <w:t>)</w:t>
            </w:r>
          </w:p>
        </w:tc>
        <w:tc>
          <w:tcPr>
            <w:tcW w:w="25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99907A9">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r>
              <w:rPr>
                <w:rFonts w:hint="eastAsia" w:ascii="仿宋_GB2312" w:hAnsi="仿宋_GB2312" w:eastAsia="仿宋_GB2312" w:cs="仿宋_GB2312"/>
                <w:b w:val="0"/>
                <w:bCs w:val="0"/>
                <w:snapToGrid w:val="0"/>
                <w:color w:val="000000"/>
                <w:sz w:val="20"/>
                <w:szCs w:val="20"/>
                <w:highlight w:val="none"/>
              </w:rPr>
              <w:t>权重</w:t>
            </w:r>
          </w:p>
        </w:tc>
        <w:tc>
          <w:tcPr>
            <w:tcW w:w="612"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2A806E">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p>
        </w:tc>
        <w:tc>
          <w:tcPr>
            <w:tcW w:w="457"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EAA48A">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p>
        </w:tc>
        <w:tc>
          <w:tcPr>
            <w:tcW w:w="479"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2829B27">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p>
        </w:tc>
        <w:tc>
          <w:tcPr>
            <w:tcW w:w="441" w:type="pct"/>
            <w:vMerge w:val="continue"/>
            <w:tcBorders>
              <w:left w:val="single" w:color="000000" w:sz="4" w:space="0"/>
              <w:bottom w:val="single" w:color="000000" w:sz="4" w:space="0"/>
              <w:right w:val="single" w:color="000000" w:sz="4" w:space="0"/>
            </w:tcBorders>
            <w:shd w:val="clear" w:color="auto" w:fill="FFFFFF"/>
            <w:noWrap w:val="0"/>
            <w:vAlign w:val="center"/>
          </w:tcPr>
          <w:p w14:paraId="7A5763E2">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p>
        </w:tc>
      </w:tr>
      <w:tr w14:paraId="7CAA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89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277ACD">
            <w:pPr>
              <w:adjustRightInd w:val="0"/>
              <w:snapToGrid w:val="0"/>
              <w:spacing w:line="240" w:lineRule="exact"/>
              <w:jc w:val="center"/>
              <w:rPr>
                <w:rFonts w:hint="default" w:ascii="等线" w:hAnsi="等线" w:eastAsia="等线" w:cs="等线"/>
                <w:b w:val="0"/>
                <w:i w:val="0"/>
                <w:iCs w:val="0"/>
                <w:color w:val="000000"/>
                <w:kern w:val="2"/>
                <w:sz w:val="20"/>
                <w:szCs w:val="20"/>
                <w:u w:val="none"/>
                <w:lang w:val="en-US" w:eastAsia="zh-CN" w:bidi="ar-SA"/>
              </w:rPr>
            </w:pPr>
            <w:r>
              <w:rPr>
                <w:rFonts w:hint="eastAsia" w:ascii="仿宋_GB2312" w:hAnsi="仿宋_GB2312" w:eastAsia="仿宋_GB2312" w:cs="仿宋_GB2312"/>
                <w:b w:val="0"/>
                <w:bCs w:val="0"/>
                <w:snapToGrid w:val="0"/>
                <w:color w:val="000000"/>
                <w:sz w:val="20"/>
                <w:szCs w:val="20"/>
                <w:highlight w:val="none"/>
                <w:lang w:val="en-US" w:eastAsia="zh-CN"/>
              </w:rPr>
              <w:t>道县西洲街道宝珍街六栋九号宗地</w:t>
            </w:r>
          </w:p>
        </w:tc>
        <w:tc>
          <w:tcPr>
            <w:tcW w:w="3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5F181D4">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住宅</w:t>
            </w:r>
          </w:p>
          <w:p w14:paraId="0328463A">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r>
              <w:rPr>
                <w:rFonts w:hint="eastAsia" w:ascii="仿宋_GB2312" w:hAnsi="仿宋_GB2312" w:eastAsia="仿宋_GB2312" w:cs="仿宋_GB2312"/>
                <w:b w:val="0"/>
                <w:bCs w:val="0"/>
                <w:snapToGrid w:val="0"/>
                <w:color w:val="000000"/>
                <w:sz w:val="20"/>
                <w:szCs w:val="20"/>
                <w:highlight w:val="none"/>
              </w:rPr>
              <w:t>用地</w:t>
            </w:r>
          </w:p>
        </w:tc>
        <w:tc>
          <w:tcPr>
            <w:tcW w:w="58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3FCB355">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942.5</w:t>
            </w:r>
          </w:p>
        </w:tc>
        <w:tc>
          <w:tcPr>
            <w:tcW w:w="33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C08D02">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0</w:t>
            </w:r>
          </w:p>
        </w:tc>
        <w:tc>
          <w:tcPr>
            <w:tcW w:w="57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8B8289A">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2799.9</w:t>
            </w:r>
          </w:p>
        </w:tc>
        <w:tc>
          <w:tcPr>
            <w:tcW w:w="25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3DF88A8">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1</w:t>
            </w:r>
          </w:p>
        </w:tc>
        <w:tc>
          <w:tcPr>
            <w:tcW w:w="61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D43DB06">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2800</w:t>
            </w:r>
          </w:p>
        </w:tc>
        <w:tc>
          <w:tcPr>
            <w:tcW w:w="45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6F5B066">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50</w:t>
            </w:r>
          </w:p>
        </w:tc>
        <w:tc>
          <w:tcPr>
            <w:tcW w:w="4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3AE6D79">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14.0</w:t>
            </w:r>
          </w:p>
        </w:tc>
        <w:tc>
          <w:tcPr>
            <w:tcW w:w="44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8631035">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681.27</w:t>
            </w:r>
          </w:p>
        </w:tc>
      </w:tr>
    </w:tbl>
    <w:p w14:paraId="532524D9">
      <w:pPr>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br w:type="page"/>
      </w:r>
    </w:p>
    <w:p w14:paraId="29C26C3E">
      <w:pPr>
        <w:keepNext w:val="0"/>
        <w:keepLines w:val="0"/>
        <w:pageBreakBefore w:val="0"/>
        <w:widowControl w:val="0"/>
        <w:kinsoku/>
        <w:wordWrap/>
        <w:overflowPunct/>
        <w:topLinePunct w:val="0"/>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2、估价结果</w:t>
      </w:r>
    </w:p>
    <w:p w14:paraId="7D0465D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kern w:val="2"/>
          <w:sz w:val="28"/>
          <w:highlight w:val="none"/>
          <w:lang w:val="en-US" w:eastAsia="zh-CN" w:bidi="ar-SA"/>
        </w:rPr>
        <w:t>经估价人员现场查勘和对当地不动产市场分析，按照土地估价的基本原则和估价程序，选择合适的估价方法，在公开市场条件下于估价期日2026年6月1日，满足全部地价定义条件下的国有出让土地使用权价格估价结果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（币种：人民币）</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w:t>
      </w:r>
    </w:p>
    <w:p w14:paraId="39760672">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宗地数量：共一宗</w:t>
      </w:r>
    </w:p>
    <w:p w14:paraId="69C5940E">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估价对象</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土地</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总</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面积：</w:t>
      </w:r>
      <w:r>
        <w:rPr>
          <w:rFonts w:hint="eastAsia" w:ascii="仿宋_GB2312" w:hAnsi="仿宋_GB2312" w:eastAsia="仿宋_GB2312" w:cs="仿宋_GB2312"/>
          <w:b/>
          <w:bCs/>
          <w:color w:val="000000" w:themeColor="text1"/>
          <w:kern w:val="0"/>
          <w:sz w:val="28"/>
          <w:szCs w:val="28"/>
          <w:highlight w:val="none"/>
          <w:lang w:val="en-US" w:eastAsia="zh-CN"/>
          <w14:textFill>
            <w14:solidFill>
              <w14:schemeClr w14:val="tx1"/>
            </w14:solidFill>
          </w14:textFill>
        </w:rPr>
        <w:t>50</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平方米</w:t>
      </w:r>
    </w:p>
    <w:p w14:paraId="5814F644">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kern w:val="0"/>
          <w:sz w:val="28"/>
          <w:szCs w:val="28"/>
          <w:highlight w:val="none"/>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估价对象土地单价：2800元/平方米</w:t>
      </w:r>
      <w:r>
        <w:rPr>
          <w:rFonts w:hint="eastAsia" w:ascii="仿宋_GB2312" w:hAnsi="仿宋_GB2312" w:eastAsia="仿宋_GB2312" w:cs="仿宋_GB2312"/>
          <w:b/>
          <w:bCs/>
          <w:kern w:val="0"/>
          <w:sz w:val="28"/>
          <w:szCs w:val="28"/>
          <w:highlight w:val="none"/>
        </w:rPr>
        <w:t>（折合</w:t>
      </w:r>
      <w:r>
        <w:rPr>
          <w:rFonts w:hint="eastAsia" w:ascii="仿宋_GB2312" w:hAnsi="仿宋_GB2312" w:eastAsia="仿宋_GB2312" w:cs="仿宋_GB2312"/>
          <w:b/>
          <w:bCs/>
          <w:kern w:val="0"/>
          <w:sz w:val="28"/>
          <w:szCs w:val="28"/>
          <w:highlight w:val="none"/>
          <w:lang w:val="en-US" w:eastAsia="zh-CN"/>
        </w:rPr>
        <w:t>186.67</w:t>
      </w:r>
      <w:r>
        <w:rPr>
          <w:rFonts w:hint="eastAsia" w:ascii="仿宋_GB2312" w:hAnsi="仿宋_GB2312" w:eastAsia="仿宋_GB2312" w:cs="仿宋_GB2312"/>
          <w:b/>
          <w:bCs/>
          <w:kern w:val="0"/>
          <w:sz w:val="28"/>
          <w:szCs w:val="28"/>
          <w:highlight w:val="none"/>
        </w:rPr>
        <w:t>万元/亩）</w:t>
      </w:r>
    </w:p>
    <w:p w14:paraId="4A702E4C">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kern w:val="0"/>
          <w:sz w:val="28"/>
          <w:szCs w:val="28"/>
          <w:highlight w:val="none"/>
          <w:lang w:val="en-US" w:eastAsia="zh-CN"/>
        </w:rPr>
      </w:pPr>
      <w:r>
        <w:rPr>
          <w:rFonts w:hint="eastAsia" w:ascii="仿宋_GB2312" w:hAnsi="仿宋_GB2312" w:eastAsia="仿宋_GB2312" w:cs="仿宋_GB2312"/>
          <w:b/>
          <w:bCs/>
          <w:kern w:val="0"/>
          <w:sz w:val="28"/>
          <w:szCs w:val="28"/>
          <w:highlight w:val="none"/>
          <w:lang w:val="en-US" w:eastAsia="zh-CN"/>
        </w:rPr>
        <w:t>估价对象楼面地价：681.27</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元/平方米</w:t>
      </w:r>
    </w:p>
    <w:p w14:paraId="7E1AE553">
      <w:pPr>
        <w:keepNext w:val="0"/>
        <w:keepLines w:val="0"/>
        <w:pageBreakBefore w:val="0"/>
        <w:widowControl w:val="0"/>
        <w:kinsoku/>
        <w:wordWrap/>
        <w:overflowPunct/>
        <w:topLinePunct w:val="0"/>
        <w:autoSpaceDE/>
        <w:autoSpaceDN/>
        <w:bidi w:val="0"/>
        <w:spacing w:line="480" w:lineRule="exact"/>
        <w:ind w:left="0" w:leftChars="0" w:firstLine="562" w:firstLineChars="200"/>
        <w:textAlignment w:val="auto"/>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估计对象土地</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总价：</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14.0</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万元</w:t>
      </w:r>
    </w:p>
    <w:p w14:paraId="43CEE866">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大写：</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人民币壹拾肆万元整</w:t>
      </w:r>
    </w:p>
    <w:p w14:paraId="3B508D8B">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9"/>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详见《土地估价结果一览</w:t>
      </w: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表》</w:t>
      </w:r>
    </w:p>
    <w:p w14:paraId="0FA63216">
      <w:pPr>
        <w:keepNext w:val="0"/>
        <w:keepLines w:val="0"/>
        <w:pageBreakBefore w:val="0"/>
        <w:widowControl w:val="0"/>
        <w:kinsoku/>
        <w:wordWrap/>
        <w:overflowPunct/>
        <w:topLinePunct w:val="0"/>
        <w:autoSpaceDE/>
        <w:autoSpaceDN/>
        <w:bidi w:val="0"/>
        <w:adjustRightInd/>
        <w:spacing w:line="480" w:lineRule="exact"/>
        <w:ind w:firstLine="562" w:firstLineChars="200"/>
        <w:textAlignment w:val="auto"/>
        <w:outlineLvl w:val="1"/>
        <w:rPr>
          <w:rFonts w:hint="eastAsia" w:ascii="仿宋_GB2312" w:eastAsia="仿宋_GB2312"/>
          <w:b/>
          <w:bCs/>
          <w:sz w:val="28"/>
          <w:szCs w:val="30"/>
          <w:highlight w:val="none"/>
        </w:rPr>
      </w:pPr>
      <w:bookmarkStart w:id="37" w:name="_Toc29802"/>
      <w:r>
        <w:rPr>
          <w:rFonts w:hint="eastAsia" w:ascii="仿宋_GB2312" w:eastAsia="仿宋_GB2312"/>
          <w:b/>
          <w:bCs/>
          <w:sz w:val="28"/>
          <w:szCs w:val="30"/>
          <w:highlight w:val="none"/>
        </w:rPr>
        <w:t>三、估价结果和估价报告的使用</w:t>
      </w:r>
      <w:bookmarkEnd w:id="37"/>
    </w:p>
    <w:p w14:paraId="68C34B56">
      <w:pPr>
        <w:keepNext w:val="0"/>
        <w:keepLines w:val="0"/>
        <w:pageBreakBefore w:val="0"/>
        <w:widowControl w:val="0"/>
        <w:kinsoku/>
        <w:wordWrap/>
        <w:overflowPunct/>
        <w:topLinePunct w:val="0"/>
        <w:autoSpaceDE/>
        <w:autoSpaceDN/>
        <w:bidi w:val="0"/>
        <w:adjustRightInd w:val="0"/>
        <w:snapToGrid w:val="0"/>
        <w:spacing w:line="480" w:lineRule="exact"/>
        <w:ind w:right="0" w:firstLine="562" w:firstLineChars="200"/>
        <w:textAlignment w:val="auto"/>
        <w:outlineLvl w:val="2"/>
        <w:rPr>
          <w:rFonts w:hint="eastAsia" w:ascii="仿宋_GB2312" w:hAnsi="仿宋_GB2312" w:eastAsia="仿宋_GB2312" w:cs="仿宋_GB2312"/>
          <w:b/>
          <w:bCs/>
          <w:color w:val="auto"/>
          <w:kern w:val="2"/>
          <w:sz w:val="28"/>
          <w:szCs w:val="28"/>
          <w:highlight w:val="none"/>
          <w:lang w:val="en-GB" w:eastAsia="zh-CN" w:bidi="ar-SA"/>
        </w:rPr>
      </w:pPr>
      <w:bookmarkStart w:id="38" w:name="_Toc21580"/>
      <w:r>
        <w:rPr>
          <w:rFonts w:hint="default" w:ascii="仿宋_GB2312" w:hAnsi="仿宋_GB2312" w:eastAsia="仿宋_GB2312" w:cs="仿宋_GB2312"/>
          <w:b/>
          <w:bCs/>
          <w:color w:val="auto"/>
          <w:kern w:val="2"/>
          <w:sz w:val="28"/>
          <w:szCs w:val="28"/>
          <w:highlight w:val="none"/>
          <w:lang w:val="en-GB" w:eastAsia="zh-CN" w:bidi="ar-SA"/>
        </w:rPr>
        <w:t>（</w:t>
      </w:r>
      <w:r>
        <w:rPr>
          <w:rFonts w:hint="eastAsia" w:ascii="仿宋_GB2312" w:hAnsi="仿宋_GB2312" w:eastAsia="仿宋_GB2312" w:cs="仿宋_GB2312"/>
          <w:b/>
          <w:bCs/>
          <w:color w:val="auto"/>
          <w:kern w:val="2"/>
          <w:sz w:val="28"/>
          <w:szCs w:val="28"/>
          <w:highlight w:val="none"/>
          <w:lang w:val="en-GB" w:eastAsia="zh-CN" w:bidi="ar-SA"/>
        </w:rPr>
        <w:t>一）估价的前提条件和假设条件</w:t>
      </w:r>
      <w:bookmarkEnd w:id="38"/>
    </w:p>
    <w:p w14:paraId="43F25FE3">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sz w:val="28"/>
          <w:szCs w:val="20"/>
        </w:rPr>
      </w:pPr>
      <w:r>
        <w:rPr>
          <w:rFonts w:hint="eastAsia" w:ascii="仿宋_GB2312" w:hAnsi="仿宋_GB2312" w:eastAsia="仿宋_GB2312" w:cs="仿宋_GB2312"/>
          <w:snapToGrid w:val="0"/>
          <w:sz w:val="28"/>
          <w:szCs w:val="20"/>
        </w:rPr>
        <w:t>1</w:t>
      </w:r>
      <w:r>
        <w:rPr>
          <w:rFonts w:hint="eastAsia" w:ascii="仿宋_GB2312" w:hAnsi="仿宋_GB2312" w:eastAsia="仿宋_GB2312" w:cs="仿宋_GB2312"/>
          <w:snapToGrid w:val="0"/>
          <w:sz w:val="28"/>
          <w:szCs w:val="20"/>
          <w:lang w:val="en-US" w:eastAsia="zh-CN"/>
        </w:rPr>
        <w:t>.</w:t>
      </w:r>
      <w:r>
        <w:rPr>
          <w:rFonts w:hint="eastAsia" w:ascii="仿宋_GB2312" w:hAnsi="仿宋_GB2312" w:eastAsia="仿宋_GB2312" w:cs="仿宋_GB2312"/>
          <w:snapToGrid w:val="0"/>
          <w:sz w:val="28"/>
          <w:szCs w:val="20"/>
        </w:rPr>
        <w:t>估价前提条件</w:t>
      </w:r>
    </w:p>
    <w:p w14:paraId="0E8AE9E0">
      <w:pPr>
        <w:pStyle w:val="13"/>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（1）本次估价以委托方提供的有关资料为重要依据，包括了</w:t>
      </w:r>
      <w:r>
        <w:rPr>
          <w:rFonts w:hint="eastAsia" w:ascii="仿宋_GB2312" w:hAnsi="仿宋_GB2312" w:cs="仿宋_GB2312"/>
          <w:bCs/>
          <w:color w:val="auto"/>
          <w:kern w:val="2"/>
          <w:sz w:val="28"/>
          <w:szCs w:val="28"/>
          <w:highlight w:val="none"/>
          <w:lang w:val="en-GB" w:eastAsia="zh-CN" w:bidi="ar-SA"/>
        </w:rPr>
        <w:t>估价对象《评估委托书》、《不动产“登记难”问题专题会议纪要》（道县集中化解工作领导小组办公室，2026年3月11日）、《房屋所有权证存根》（道县房权证道江镇00008864号）、《房屋所有权证存根》（道县房权证道江镇字第000027号）、《不动产测绘报告书》</w:t>
      </w:r>
      <w:r>
        <w:rPr>
          <w:rFonts w:hint="default" w:ascii="仿宋_GB2312" w:hAnsi="仿宋_GB2312" w:eastAsia="仿宋_GB2312" w:cs="仿宋_GB2312"/>
          <w:bCs/>
          <w:color w:val="auto"/>
          <w:kern w:val="2"/>
          <w:sz w:val="28"/>
          <w:szCs w:val="28"/>
          <w:highlight w:val="none"/>
          <w:lang w:val="en-GB" w:eastAsia="zh-CN" w:bidi="ar-SA"/>
        </w:rPr>
        <w:t>等，并以这些资料的合法性为前提。</w:t>
      </w:r>
    </w:p>
    <w:p w14:paraId="24AB252B">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（2）估价对象与其它生产要素相结合，能满足设定土地使用年限内经营管理的正常进行，保证持续发展。</w:t>
      </w:r>
    </w:p>
    <w:p w14:paraId="14EB4F35">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（3）估价期日地产市场为公正、公开、公平的均衡市场。</w:t>
      </w:r>
    </w:p>
    <w:p w14:paraId="368DA22F">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（4）任何有关估价对象的运作方式、程序符合国家、地方的有关法律、法规。</w:t>
      </w:r>
    </w:p>
    <w:p w14:paraId="29E690A6">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napToGrid w:val="0"/>
          <w:sz w:val="28"/>
          <w:szCs w:val="20"/>
        </w:rPr>
      </w:pPr>
      <w:r>
        <w:rPr>
          <w:rFonts w:hint="default" w:ascii="仿宋_GB2312" w:hAnsi="仿宋_GB2312" w:eastAsia="仿宋_GB2312" w:cs="仿宋_GB2312"/>
          <w:bCs/>
          <w:color w:val="auto"/>
          <w:kern w:val="2"/>
          <w:sz w:val="28"/>
          <w:szCs w:val="28"/>
          <w:highlight w:val="none"/>
          <w:lang w:val="en-GB" w:eastAsia="zh-CN" w:bidi="ar-SA"/>
        </w:rPr>
        <w:t>（5）估价对象按照设定用途，得到有效合理地利用，并会产生相应的土地收益。</w:t>
      </w:r>
    </w:p>
    <w:p w14:paraId="28DEF2F0">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2</w:t>
      </w:r>
      <w:r>
        <w:rPr>
          <w:rFonts w:hint="eastAsia" w:ascii="仿宋_GB2312" w:hAnsi="仿宋_GB2312" w:eastAsia="仿宋_GB2312" w:cs="仿宋_GB2312"/>
          <w:snapToGrid w:val="0"/>
          <w:kern w:val="0"/>
          <w:sz w:val="28"/>
          <w:szCs w:val="20"/>
          <w:lang w:val="en-US" w:eastAsia="zh-CN"/>
        </w:rPr>
        <w:t>.</w:t>
      </w:r>
      <w:r>
        <w:rPr>
          <w:rFonts w:hint="eastAsia" w:ascii="仿宋_GB2312" w:hAnsi="仿宋_GB2312" w:eastAsia="仿宋_GB2312" w:cs="仿宋_GB2312"/>
          <w:snapToGrid w:val="0"/>
          <w:kern w:val="0"/>
          <w:sz w:val="28"/>
          <w:szCs w:val="20"/>
        </w:rPr>
        <w:t>估价假设条件</w:t>
      </w:r>
    </w:p>
    <w:p w14:paraId="3D8EAE0E">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(1)估价期日设定为评估委托之日</w:t>
      </w:r>
      <w:r>
        <w:rPr>
          <w:rFonts w:hint="eastAsia" w:ascii="仿宋_GB2312" w:hAnsi="仿宋_GB2312" w:eastAsia="仿宋_GB2312" w:cs="仿宋_GB2312"/>
          <w:snapToGrid w:val="0"/>
          <w:kern w:val="0"/>
          <w:sz w:val="28"/>
          <w:szCs w:val="20"/>
          <w:lang w:val="en-US" w:eastAsia="zh-CN"/>
        </w:rPr>
        <w:t>2026年6月1日</w:t>
      </w:r>
      <w:r>
        <w:rPr>
          <w:rFonts w:hint="eastAsia" w:ascii="仿宋_GB2312" w:hAnsi="仿宋_GB2312" w:eastAsia="仿宋_GB2312" w:cs="仿宋_GB2312"/>
          <w:snapToGrid w:val="0"/>
          <w:kern w:val="0"/>
          <w:sz w:val="28"/>
          <w:szCs w:val="20"/>
        </w:rPr>
        <w:t>。</w:t>
      </w:r>
    </w:p>
    <w:p w14:paraId="1D499C93">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(2)设定土地用途为住宅用地。</w:t>
      </w:r>
    </w:p>
    <w:p w14:paraId="46FCA710">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(3)设定土地使用年限为住宅</w:t>
      </w:r>
      <w:r>
        <w:rPr>
          <w:rFonts w:hint="eastAsia" w:ascii="仿宋_GB2312" w:hAnsi="仿宋_GB2312" w:eastAsia="仿宋_GB2312" w:cs="仿宋_GB2312"/>
          <w:snapToGrid w:val="0"/>
          <w:kern w:val="0"/>
          <w:sz w:val="28"/>
          <w:szCs w:val="20"/>
          <w:lang w:val="en-US" w:eastAsia="zh-CN"/>
        </w:rPr>
        <w:t>用地70年</w:t>
      </w:r>
      <w:r>
        <w:rPr>
          <w:rFonts w:hint="eastAsia" w:ascii="仿宋_GB2312" w:hAnsi="仿宋_GB2312" w:eastAsia="仿宋_GB2312" w:cs="仿宋_GB2312"/>
          <w:snapToGrid w:val="0"/>
          <w:kern w:val="0"/>
          <w:sz w:val="28"/>
          <w:szCs w:val="20"/>
        </w:rPr>
        <w:t>。</w:t>
      </w:r>
    </w:p>
    <w:p w14:paraId="301000A0">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(4)设定容积率为</w:t>
      </w:r>
      <w:r>
        <w:rPr>
          <w:rFonts w:hint="eastAsia" w:ascii="仿宋_GB2312" w:hAnsi="仿宋_GB2312" w:eastAsia="仿宋_GB2312" w:cs="仿宋_GB2312"/>
          <w:snapToGrid w:val="0"/>
          <w:kern w:val="0"/>
          <w:sz w:val="28"/>
          <w:szCs w:val="20"/>
          <w:lang w:val="en-US" w:eastAsia="zh-CN"/>
        </w:rPr>
        <w:t>4.11</w:t>
      </w:r>
      <w:r>
        <w:rPr>
          <w:rFonts w:hint="eastAsia" w:ascii="仿宋_GB2312" w:hAnsi="仿宋_GB2312" w:eastAsia="仿宋_GB2312" w:cs="仿宋_GB2312"/>
          <w:snapToGrid w:val="0"/>
          <w:kern w:val="0"/>
          <w:sz w:val="28"/>
          <w:szCs w:val="20"/>
        </w:rPr>
        <w:t>。</w:t>
      </w:r>
    </w:p>
    <w:p w14:paraId="54BCFFCB">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(5) 设定土地权属性质为国有出让。</w:t>
      </w:r>
    </w:p>
    <w:p w14:paraId="44F7B483">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(6)设定开发程度为</w:t>
      </w:r>
      <w:r>
        <w:rPr>
          <w:rFonts w:hint="eastAsia" w:ascii="仿宋_GB2312" w:hAnsi="仿宋_GB2312" w:eastAsia="仿宋_GB2312" w:cs="仿宋_GB2312"/>
          <w:kern w:val="0"/>
          <w:sz w:val="28"/>
          <w:szCs w:val="28"/>
        </w:rPr>
        <w:t>宗地红线外“五通”(通路、通电、供水、排水、通讯)和红线内场地平整</w:t>
      </w:r>
      <w:r>
        <w:rPr>
          <w:rFonts w:hint="eastAsia" w:ascii="仿宋_GB2312" w:hAnsi="仿宋_GB2312" w:eastAsia="仿宋_GB2312" w:cs="仿宋_GB2312"/>
          <w:snapToGrid w:val="0"/>
          <w:kern w:val="0"/>
          <w:sz w:val="28"/>
          <w:szCs w:val="20"/>
        </w:rPr>
        <w:t>。</w:t>
      </w:r>
    </w:p>
    <w:p w14:paraId="110DCA9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snapToGrid w:val="0"/>
          <w:kern w:val="0"/>
          <w:sz w:val="28"/>
          <w:szCs w:val="20"/>
        </w:rPr>
        <w:t>若以上任何一项假设条件发生变化，则该价格须重新评估。</w:t>
      </w:r>
    </w:p>
    <w:p w14:paraId="735B2116">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2"/>
        <w:rPr>
          <w:rFonts w:hint="eastAsia" w:ascii="仿宋_GB2312" w:hAnsi="仿宋_GB2312" w:eastAsia="仿宋_GB2312" w:cs="仿宋_GB2312"/>
          <w:b/>
          <w:bCs/>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8"/>
          <w:highlight w:val="none"/>
          <w:lang w:val="en-US" w:eastAsia="zh-CN"/>
          <w14:textFill>
            <w14:solidFill>
              <w14:schemeClr w14:val="tx1"/>
            </w14:solidFill>
          </w14:textFill>
        </w:rPr>
        <w:t>（二）估价结果与估价报告的使用</w:t>
      </w:r>
    </w:p>
    <w:p w14:paraId="630C3A6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0"/>
          <w:sz w:val="28"/>
          <w:szCs w:val="28"/>
          <w:highlight w:val="none"/>
          <w:lang w:val="en-GB" w:eastAsia="zh-CN" w:bidi="ar-SA"/>
        </w:rPr>
      </w:pPr>
      <w:r>
        <w:rPr>
          <w:rFonts w:hint="default" w:ascii="仿宋_GB2312" w:hAnsi="仿宋_GB2312" w:eastAsia="仿宋_GB2312" w:cs="仿宋_GB2312"/>
          <w:bCs/>
          <w:color w:val="auto"/>
          <w:kern w:val="0"/>
          <w:sz w:val="28"/>
          <w:szCs w:val="28"/>
          <w:highlight w:val="none"/>
          <w:lang w:val="en-GB" w:eastAsia="zh-CN" w:bidi="ar-SA"/>
        </w:rPr>
        <w:t>1、估价报告和估价结果发生效力的法律依据</w:t>
      </w:r>
    </w:p>
    <w:p w14:paraId="61AC8A9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0"/>
          <w:sz w:val="28"/>
          <w:szCs w:val="28"/>
          <w:highlight w:val="none"/>
          <w:lang w:val="en-GB" w:eastAsia="zh-CN" w:bidi="ar-SA"/>
        </w:rPr>
        <w:t>（1）本次估价依据《中华人民共和国资产评估法》及中华人民共和国国家标准《城镇土地估价规程》（GB/T18508-2014）、《国土资源部办公厅关于发布&lt;国有建设用地使</w:t>
      </w:r>
      <w:r>
        <w:rPr>
          <w:rFonts w:hint="default" w:ascii="仿宋_GB2312" w:hAnsi="仿宋_GB2312" w:eastAsia="仿宋_GB2312" w:cs="仿宋_GB2312"/>
          <w:bCs/>
          <w:color w:val="auto"/>
          <w:kern w:val="2"/>
          <w:sz w:val="28"/>
          <w:szCs w:val="28"/>
          <w:highlight w:val="none"/>
          <w:lang w:val="en-GB" w:eastAsia="zh-CN" w:bidi="ar-SA"/>
        </w:rPr>
        <w:t>用权出让地价评估技术规范</w:t>
      </w:r>
      <w:r>
        <w:rPr>
          <w:rFonts w:hint="default" w:ascii="仿宋_GB2312" w:hAnsi="仿宋_GB2312" w:eastAsia="仿宋_GB2312" w:cs="仿宋_GB2312"/>
          <w:bCs/>
          <w:color w:val="auto"/>
          <w:kern w:val="2"/>
          <w:sz w:val="28"/>
          <w:szCs w:val="28"/>
          <w:highlight w:val="none"/>
          <w:lang w:val="en-US" w:eastAsia="zh-CN" w:bidi="ar-SA"/>
        </w:rPr>
        <w:t>&gt;</w:t>
      </w:r>
      <w:r>
        <w:rPr>
          <w:rFonts w:hint="default" w:ascii="仿宋_GB2312" w:hAnsi="仿宋_GB2312" w:eastAsia="仿宋_GB2312" w:cs="仿宋_GB2312"/>
          <w:bCs/>
          <w:color w:val="auto"/>
          <w:kern w:val="2"/>
          <w:sz w:val="28"/>
          <w:szCs w:val="28"/>
          <w:highlight w:val="none"/>
          <w:lang w:val="en-GB" w:eastAsia="zh-CN" w:bidi="ar-SA"/>
        </w:rPr>
        <w:t>的通知》（国土资厅发[2018]4号）等展开评估工作、撰写本估价报告、形成意见和结论。</w:t>
      </w:r>
    </w:p>
    <w:p w14:paraId="5E7C633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（2）估价报告和估价结果的作用依照《中华人民共和国资产评估法》、《中华人民共和国土地管理法》等所列明法律、法规的有关规定发生法律效力。</w:t>
      </w:r>
    </w:p>
    <w:p w14:paraId="4F99C90A">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（3）本报告需在取得电子备案号后，由土地估价师、土地机构法定代表人签名及土地估价机构盖章后方能生效。</w:t>
      </w:r>
    </w:p>
    <w:p w14:paraId="48F2FEA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2、估价报告和估价结果使用的方向及限制条件</w:t>
      </w:r>
    </w:p>
    <w:p w14:paraId="7FB330A6">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（1）本报告仅为委托方</w:t>
      </w:r>
      <w:r>
        <w:rPr>
          <w:rFonts w:hint="eastAsia" w:ascii="仿宋_GB2312" w:hAnsi="仿宋_GB2312" w:eastAsia="仿宋_GB2312" w:cs="仿宋_GB2312"/>
          <w:snapToGrid w:val="0"/>
          <w:sz w:val="28"/>
          <w:szCs w:val="20"/>
          <w:lang w:val="en-US" w:eastAsia="zh-CN"/>
        </w:rPr>
        <w:t>道县自然资源局</w:t>
      </w:r>
      <w:r>
        <w:rPr>
          <w:rFonts w:hint="eastAsia" w:ascii="仿宋_GB2312" w:hAnsi="仿宋_GB2312" w:eastAsia="仿宋_GB2312" w:cs="仿宋_GB2312"/>
          <w:snapToGrid w:val="0"/>
          <w:sz w:val="28"/>
          <w:szCs w:val="20"/>
        </w:rPr>
        <w:t>通过集体决策确定土地出让底价提供参考依据</w:t>
      </w:r>
      <w:r>
        <w:rPr>
          <w:rFonts w:hint="default" w:ascii="仿宋_GB2312" w:hAnsi="仿宋_GB2312" w:eastAsia="仿宋_GB2312" w:cs="仿宋_GB2312"/>
          <w:bCs/>
          <w:color w:val="auto"/>
          <w:kern w:val="2"/>
          <w:sz w:val="28"/>
          <w:szCs w:val="28"/>
          <w:highlight w:val="none"/>
          <w:lang w:val="en-GB" w:eastAsia="zh-CN" w:bidi="ar-SA"/>
        </w:rPr>
        <w:t>，本次评估结果仅用于本次评估目的时才有效，报告使用人或其他第三方因不当引用本评估结果造成的损失，与本评估机构无关。</w:t>
      </w:r>
    </w:p>
    <w:p w14:paraId="144EA23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（2）《土地估价报告》和《土地估价技术报告（评估工作底稿）》均提供给委托方使用和土地上级行政主管部门备案审查。</w:t>
      </w:r>
    </w:p>
    <w:p w14:paraId="3150A5F4">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（3）本报告必须完整使用，对仅使用报告中的部分内容所导致的有关损失，估价机构不承担责任。任何单位和个人未经估价机构书面同意，不得以任何形式发表、肢解本报告。</w:t>
      </w:r>
    </w:p>
    <w:p w14:paraId="3ADA6A95">
      <w:pPr>
        <w:pStyle w:val="32"/>
        <w:keepNext w:val="0"/>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3、土地估价结果的有效期</w:t>
      </w:r>
    </w:p>
    <w:p w14:paraId="661F4DEA">
      <w:pPr>
        <w:pStyle w:val="32"/>
        <w:keepNext w:val="0"/>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本估价报告和估价结果自报告提交之日起壹年内有效。</w:t>
      </w:r>
    </w:p>
    <w:p w14:paraId="0371CEF6">
      <w:pPr>
        <w:pStyle w:val="32"/>
        <w:keepNext w:val="0"/>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4、估价报告的使用权和解释权</w:t>
      </w:r>
    </w:p>
    <w:p w14:paraId="5EE01F16">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本估价报告和估价结果的使用权归委托方所有，湖南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公司对估价结果有解释权。</w:t>
      </w:r>
    </w:p>
    <w:p w14:paraId="2745A893">
      <w:pPr>
        <w:pStyle w:val="32"/>
        <w:keepNext w:val="0"/>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5、违规使用土地估价报告和估价结果的法律责任</w:t>
      </w:r>
    </w:p>
    <w:p w14:paraId="39A5713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snapToGrid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Cs/>
          <w:snapToGrid w:val="0"/>
          <w:color w:val="auto"/>
          <w:kern w:val="0"/>
          <w:sz w:val="28"/>
          <w:szCs w:val="28"/>
          <w:highlight w:val="none"/>
          <w:lang w:val="en-GB" w:eastAsia="zh-CN" w:bidi="ar-SA"/>
        </w:rPr>
        <w:t>违背规定或超越本报告特定目的及限制条件使用本土地估价报告和土地估价结果，土地估价机构不承担任何法律责任。</w:t>
      </w:r>
    </w:p>
    <w:p w14:paraId="46D825C3">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2"/>
        <w:rPr>
          <w:rFonts w:hint="eastAsia" w:ascii="仿宋_GB2312" w:hAnsi="仿宋_GB2312" w:eastAsia="仿宋_GB2312" w:cs="仿宋_GB2312"/>
          <w:b/>
          <w:bCs/>
          <w:snapToGrid w:val="0"/>
          <w:color w:val="000000" w:themeColor="text1"/>
          <w:kern w:val="0"/>
          <w:sz w:val="28"/>
          <w:szCs w:val="28"/>
          <w:highlight w:val="none"/>
          <w:lang w:val="en-US" w:eastAsia="zh-CN"/>
          <w14:textFill>
            <w14:solidFill>
              <w14:schemeClr w14:val="tx1"/>
            </w14:solidFill>
          </w14:textFill>
        </w:rPr>
      </w:pPr>
      <w:bookmarkStart w:id="39" w:name="_Toc31628"/>
      <w:r>
        <w:rPr>
          <w:rFonts w:hint="eastAsia" w:ascii="仿宋_GB2312" w:hAnsi="仿宋_GB2312" w:eastAsia="仿宋_GB2312" w:cs="仿宋_GB2312"/>
          <w:b/>
          <w:bCs/>
          <w:snapToGrid w:val="0"/>
          <w:color w:val="000000" w:themeColor="text1"/>
          <w:kern w:val="0"/>
          <w:sz w:val="28"/>
          <w:szCs w:val="28"/>
          <w:highlight w:val="none"/>
          <w:lang w:val="en-US" w:eastAsia="zh-CN"/>
          <w14:textFill>
            <w14:solidFill>
              <w14:schemeClr w14:val="tx1"/>
            </w14:solidFill>
          </w14:textFill>
        </w:rPr>
        <w:t>（三）需要特殊说明的事项</w:t>
      </w:r>
      <w:bookmarkEnd w:id="39"/>
    </w:p>
    <w:p w14:paraId="69D84F5C">
      <w:pPr>
        <w:pStyle w:val="32"/>
        <w:keepNext w:val="0"/>
        <w:keepLines w:val="0"/>
        <w:pageBreakBefore w:val="0"/>
        <w:widowControl w:val="0"/>
        <w:kinsoku/>
        <w:wordWrap/>
        <w:overflowPunct/>
        <w:topLinePunct w:val="0"/>
        <w:autoSpaceDE w:val="0"/>
        <w:autoSpaceDN w:val="0"/>
        <w:bidi w:val="0"/>
        <w:adjustRightInd w:val="0"/>
        <w:snapToGrid w:val="0"/>
        <w:spacing w:line="480" w:lineRule="exact"/>
        <w:ind w:right="0" w:firstLine="567"/>
        <w:textAlignment w:val="auto"/>
        <w:rPr>
          <w:rFonts w:hint="eastAsia" w:ascii="仿宋_GB2312" w:hAnsi="仿宋_GB2312" w:eastAsia="仿宋_GB2312" w:cs="仿宋_GB2312"/>
          <w:bCs/>
          <w:color w:val="auto"/>
          <w:kern w:val="2"/>
          <w:sz w:val="28"/>
          <w:szCs w:val="28"/>
          <w:highlight w:val="none"/>
          <w:lang w:val="en-US" w:eastAsia="zh-CN" w:bidi="ar-SA"/>
        </w:rPr>
      </w:pPr>
      <w:r>
        <w:rPr>
          <w:rFonts w:hint="eastAsia" w:ascii="仿宋_GB2312" w:hAnsi="仿宋_GB2312" w:eastAsia="仿宋_GB2312" w:cs="仿宋_GB2312"/>
          <w:bCs/>
          <w:color w:val="auto"/>
          <w:kern w:val="2"/>
          <w:sz w:val="28"/>
          <w:szCs w:val="28"/>
          <w:highlight w:val="none"/>
          <w:lang w:val="en-US" w:eastAsia="zh-CN" w:bidi="ar-SA"/>
        </w:rPr>
        <w:t>1.评估依据资料来源情况说明</w:t>
      </w:r>
    </w:p>
    <w:p w14:paraId="54DD6DD4">
      <w:pPr>
        <w:pStyle w:val="32"/>
        <w:keepNext w:val="0"/>
        <w:keepLines w:val="0"/>
        <w:pageBreakBefore w:val="0"/>
        <w:widowControl w:val="0"/>
        <w:kinsoku/>
        <w:wordWrap/>
        <w:overflowPunct/>
        <w:topLinePunct w:val="0"/>
        <w:autoSpaceDE w:val="0"/>
        <w:autoSpaceDN w:val="0"/>
        <w:bidi w:val="0"/>
        <w:adjustRightInd w:val="0"/>
        <w:snapToGrid w:val="0"/>
        <w:spacing w:line="480" w:lineRule="exact"/>
        <w:ind w:right="0" w:firstLine="567"/>
        <w:textAlignment w:val="auto"/>
        <w:rPr>
          <w:rFonts w:hint="eastAsia" w:ascii="仿宋_GB2312" w:hAnsi="仿宋_GB2312" w:eastAsia="仿宋_GB2312" w:cs="仿宋_GB2312"/>
          <w:b w:val="0"/>
          <w:bCs w:val="0"/>
          <w:snapToGrid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auto"/>
          <w:kern w:val="2"/>
          <w:sz w:val="28"/>
          <w:szCs w:val="28"/>
          <w:highlight w:val="none"/>
          <w:lang w:val="en-US" w:eastAsia="zh-CN" w:bidi="ar-SA"/>
        </w:rPr>
        <w:t>（1）</w:t>
      </w:r>
      <w:r>
        <w:rPr>
          <w:rFonts w:hint="eastAsia" w:ascii="仿宋_GB2312" w:hAnsi="仿宋_GB2312" w:eastAsia="仿宋_GB2312" w:cs="仿宋_GB2312"/>
          <w:bCs/>
          <w:color w:val="auto"/>
          <w:kern w:val="2"/>
          <w:sz w:val="28"/>
          <w:szCs w:val="28"/>
          <w:highlight w:val="none"/>
          <w:lang w:val="en-GB" w:eastAsia="zh-CN" w:bidi="ar-SA"/>
        </w:rPr>
        <w:t>估价对象的</w:t>
      </w:r>
      <w:r>
        <w:rPr>
          <w:rFonts w:hint="eastAsia" w:ascii="仿宋_GB2312" w:hAnsi="仿宋_GB2312" w:cs="仿宋_GB2312"/>
          <w:bCs/>
          <w:color w:val="auto"/>
          <w:kern w:val="2"/>
          <w:sz w:val="28"/>
          <w:szCs w:val="28"/>
          <w:highlight w:val="none"/>
          <w:lang w:val="en-GB" w:eastAsia="zh-CN" w:bidi="ar-SA"/>
        </w:rPr>
        <w:t>《评估委托书》、《不动产“登记难”问题专题会议纪要》（道县集中化解工作领导小组办公室，2026年3月11日）、《房屋所有权证存根》（道县房权证道江镇00008864号）、《房屋所有权证存根》（道县房权证道江镇字第000027号）、《不动产测绘报告书》</w:t>
      </w:r>
      <w:r>
        <w:rPr>
          <w:rFonts w:hint="eastAsia" w:ascii="仿宋_GB2312" w:hAnsi="仿宋_GB2312" w:eastAsia="仿宋_GB2312" w:cs="仿宋_GB2312"/>
          <w:bCs/>
          <w:color w:val="auto"/>
          <w:kern w:val="2"/>
          <w:sz w:val="28"/>
          <w:szCs w:val="28"/>
          <w:highlight w:val="none"/>
          <w:lang w:val="en-GB" w:eastAsia="zh-CN" w:bidi="ar-SA"/>
        </w:rPr>
        <w:t>等资料由委托方提供，现场估价人员已进行核对确认，为保证本报告所使用评估数据的准确性、有效性，委托方需要对所提供资料的真实性负责；估价机构对所收集</w:t>
      </w:r>
      <w:r>
        <w:rPr>
          <w:rFonts w:hint="eastAsia" w:ascii="仿宋_GB2312" w:hAnsi="仿宋_GB2312" w:eastAsia="仿宋_GB2312" w:cs="仿宋_GB2312"/>
          <w:bCs/>
          <w:snapToGrid w:val="0"/>
          <w:color w:val="auto"/>
          <w:kern w:val="0"/>
          <w:sz w:val="28"/>
          <w:szCs w:val="28"/>
          <w:highlight w:val="none"/>
          <w:lang w:val="en-GB" w:eastAsia="zh-CN" w:bidi="ar-SA"/>
        </w:rPr>
        <w:t>资料的真实性、准确性负责</w:t>
      </w:r>
      <w:r>
        <w:rPr>
          <w:rFonts w:hint="eastAsia" w:ascii="仿宋_GB2312" w:hAnsi="仿宋_GB2312" w:eastAsia="仿宋_GB2312" w:cs="仿宋_GB2312"/>
          <w:b w:val="0"/>
          <w:bCs w:val="0"/>
          <w:snapToGrid w:val="0"/>
          <w:color w:val="000000" w:themeColor="text1"/>
          <w:kern w:val="0"/>
          <w:sz w:val="28"/>
          <w:szCs w:val="28"/>
          <w:highlight w:val="none"/>
          <w:lang w:val="en-US" w:eastAsia="zh-CN"/>
          <w14:textFill>
            <w14:solidFill>
              <w14:schemeClr w14:val="tx1"/>
            </w14:solidFill>
          </w14:textFill>
        </w:rPr>
        <w:t>。</w:t>
      </w:r>
    </w:p>
    <w:p w14:paraId="212713E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snapToGrid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28"/>
          <w:szCs w:val="28"/>
          <w:highlight w:val="none"/>
          <w:lang w:val="en-US" w:eastAsia="zh-CN"/>
          <w14:textFill>
            <w14:solidFill>
              <w14:schemeClr w14:val="tx1"/>
            </w14:solidFill>
          </w14:textFill>
        </w:rPr>
        <w:t>（3）区域经济发展状况、统计数据、城市规划资料、基准地价资料、估价中的相关参数资料等由湖南兆财不动产规划评估有限公司土地估价师通过查阅政府部门相关文件及公开</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（4）湖南兆财不动产规划评估有限公司土地估价师结合执业经验，对上述相关评估资料的真实性、合法性、有效性、适用性进行了尽职核实和专业判断。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3.估价对象的特殊性、估价中未考虑的因素及采取的特殊处理</w:t>
      </w:r>
    </w:p>
    <w:p w14:paraId="0AD037B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（1）估价对象的特殊性及采取的特殊性处理</w:t>
      </w:r>
    </w:p>
    <w:p w14:paraId="031A052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①</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道县城镇基准地价的颁布实施时间为2019年11月22日，</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基准地价基准日为2019年5月1日，</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批准文号为道政函〔2019〕85号,文件名称为《关于更新城区基准地价和制订11个建制镇基准地价的通告》（道政函〔2019〕85号，2019年11月22日），批准机关为道县人民政府，估价期日为2026年6月1日，距估价期日超过</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七</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    </w:t>
      </w:r>
    </w:p>
    <w:p w14:paraId="41F7BDF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w:t>
      </w:r>
    </w:p>
    <w:p w14:paraId="1D3BD3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故本次评估只能选择成本逼近法作为评估方法之一。</w:t>
      </w:r>
    </w:p>
    <w:p w14:paraId="0F85CD7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②根据《不动产“登记难”问题专题会议纪要》（道县集中化解工作领导小组办公室，2026年3月11日），估价对象于1996年7月已办商住用地批准书，土地使用人何双珠、用地面积50m</w:t>
      </w:r>
      <w:r>
        <w:rPr>
          <w:rFonts w:hint="eastAsia" w:ascii="仿宋_GB2312" w:hAnsi="仿宋_GB2312" w:eastAsia="仿宋_GB2312" w:cs="仿宋_GB2312"/>
          <w:b w:val="0"/>
          <w:bCs w:val="0"/>
          <w:color w:val="000000" w:themeColor="text1"/>
          <w:sz w:val="28"/>
          <w:szCs w:val="28"/>
          <w:highlight w:val="none"/>
          <w:vertAlign w:val="superscript"/>
          <w:lang w:val="en-US" w:eastAsia="zh-CN"/>
          <w14:textFill>
            <w14:solidFill>
              <w14:schemeClr w14:val="tx1"/>
            </w14:solidFill>
          </w14:textFill>
        </w:rPr>
        <w:t>2</w:t>
      </w:r>
      <w:r>
        <w:rPr>
          <w:rFonts w:hint="eastAsia" w:ascii="仿宋_GB2312" w:hAnsi="仿宋_GB2312" w:eastAsia="仿宋_GB2312" w:cs="仿宋_GB2312"/>
          <w:b w:val="0"/>
          <w:bCs w:val="0"/>
          <w:color w:val="000000" w:themeColor="text1"/>
          <w:sz w:val="28"/>
          <w:szCs w:val="28"/>
          <w:highlight w:val="none"/>
          <w:vertAlign w:val="baseline"/>
          <w:lang w:val="en-US" w:eastAsia="zh-CN"/>
          <w14:textFill>
            <w14:solidFill>
              <w14:schemeClr w14:val="tx1"/>
            </w14:solidFill>
          </w14:textFill>
        </w:rPr>
        <w:t>，有《房屋所有权证存根》（道县房权证道江镇字第000027号），登记房屋所有权人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何双朱、3层、建筑面积172.05m</w:t>
      </w:r>
      <w:r>
        <w:rPr>
          <w:rFonts w:hint="eastAsia" w:ascii="仿宋_GB2312" w:hAnsi="仿宋_GB2312" w:eastAsia="仿宋_GB2312" w:cs="仿宋_GB2312"/>
          <w:b w:val="0"/>
          <w:bCs w:val="0"/>
          <w:color w:val="000000" w:themeColor="text1"/>
          <w:sz w:val="28"/>
          <w:szCs w:val="28"/>
          <w:highlight w:val="none"/>
          <w:vertAlign w:val="superscript"/>
          <w:lang w:val="en-US" w:eastAsia="zh-CN"/>
          <w14:textFill>
            <w14:solidFill>
              <w14:schemeClr w14:val="tx1"/>
            </w14:solidFill>
          </w14:textFill>
        </w:rPr>
        <w:t>2</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该房屋由何双珠之子唐槐宇名义在2003年4月出售给欧日计，2003年4月28日办理《房屋所有权证存根》（道县房权证道江镇00008864号），登记房屋所有权人为欧日计。至估价期日，估价对象房产已转移登记过户，用地手续不完善末过户。未交土地出让金，未签订土地出让合同及办理土地初始登记。因此本次设定估价对象为国有储备土地，拟以出让方式确定土地使用权人。</w:t>
      </w:r>
    </w:p>
    <w:p w14:paraId="5A5EB2F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（2）估价中未考虑的因素</w:t>
      </w:r>
    </w:p>
    <w:p w14:paraId="109EF20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本次估价结果是反映评估宗地在本次估价目的下的公开市场价格水平，估价时没有考虑未来国家宏观经济政策发生变化、市场供应变化、市场结构转变、遇有自然力和其他不可抗力等因素对土地使用权价值的影响，也没有考虑特殊交易方式下的特殊交易价格等对评估价值的影响。当上述条件发生变化时，评估结果应做相应调整。</w:t>
      </w:r>
    </w:p>
    <w:p w14:paraId="76C2E4F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5、其他需要特殊说明的事项</w:t>
      </w:r>
    </w:p>
    <w:p w14:paraId="2A286B3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（1）土地使用权价格权利设定：根据评估目的，此次评估价格是在设定宗地无任何他项权利存在情况下的正常出让土地使用权价格。</w:t>
      </w:r>
    </w:p>
    <w:p w14:paraId="62BFA30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（3）本报告所示货币种类为人民币。</w:t>
      </w:r>
    </w:p>
    <w:p w14:paraId="1D52D1EE">
      <w:pPr>
        <w:keepNext w:val="0"/>
        <w:keepLines w:val="0"/>
        <w:pageBreakBefore w:val="0"/>
        <w:widowControl w:val="0"/>
        <w:kinsoku/>
        <w:wordWrap/>
        <w:overflowPunct/>
        <w:topLinePunct w:val="0"/>
        <w:bidi w:val="0"/>
        <w:adjustRightInd w:val="0"/>
        <w:snapToGrid w:val="0"/>
        <w:spacing w:line="480" w:lineRule="exact"/>
        <w:ind w:firstLine="560" w:firstLineChars="200"/>
        <w:textAlignment w:val="auto"/>
        <w:rPr>
          <w:rFonts w:hint="eastAsia" w:ascii="仿宋" w:hAnsi="仿宋" w:eastAsia="仿宋" w:cs="仿宋"/>
          <w:b w:val="0"/>
          <w:bCs w:val="0"/>
          <w:sz w:val="28"/>
          <w:szCs w:val="28"/>
          <w:highlight w:val="none"/>
        </w:rPr>
      </w:pPr>
      <w:r>
        <w:rPr>
          <w:rFonts w:hint="eastAsia" w:ascii="仿宋_GB2312" w:hAnsi="仿宋_GB2312" w:eastAsia="仿宋_GB2312" w:cs="仿宋_GB2312"/>
          <w:b w:val="0"/>
          <w:bCs w:val="0"/>
          <w:color w:val="000000"/>
          <w:kern w:val="2"/>
          <w:sz w:val="28"/>
          <w:szCs w:val="28"/>
          <w:highlight w:val="none"/>
          <w:lang w:val="en-US" w:eastAsia="zh-CN" w:bidi="ar-SA"/>
        </w:rPr>
        <w:br w:type="page"/>
      </w:r>
    </w:p>
    <w:p w14:paraId="102BAB6C">
      <w:pPr>
        <w:pStyle w:val="21"/>
        <w:keepNext w:val="0"/>
        <w:keepLines w:val="0"/>
        <w:pageBreakBefore w:val="0"/>
        <w:widowControl w:val="0"/>
        <w:kinsoku/>
        <w:wordWrap/>
        <w:overflowPunct/>
        <w:topLinePunct w:val="0"/>
        <w:autoSpaceDE w:val="0"/>
        <w:autoSpaceDN w:val="0"/>
        <w:bidi w:val="0"/>
        <w:adjustRightInd w:val="0"/>
        <w:snapToGrid w:val="0"/>
        <w:spacing w:before="120" w:beforeLines="50" w:after="240" w:afterLines="100" w:line="360" w:lineRule="auto"/>
        <w:ind w:firstLine="0" w:firstLineChars="0"/>
        <w:jc w:val="center"/>
        <w:textAlignment w:val="auto"/>
        <w:outlineLvl w:val="0"/>
        <w:rPr>
          <w:rFonts w:hint="eastAsia" w:ascii="宋体" w:hAnsi="宋体" w:eastAsia="宋体" w:cs="宋体"/>
          <w:b w:val="0"/>
          <w:bCs w:val="0"/>
          <w:color w:val="auto"/>
          <w:sz w:val="32"/>
          <w:szCs w:val="32"/>
          <w:highlight w:val="none"/>
        </w:rPr>
      </w:pPr>
      <w:bookmarkStart w:id="40" w:name="_Toc32260"/>
      <w:bookmarkStart w:id="41" w:name="_Toc25414"/>
      <w:r>
        <w:rPr>
          <w:rFonts w:hint="eastAsia" w:ascii="宋体" w:hAnsi="宋体" w:eastAsia="宋体" w:cs="宋体"/>
          <w:b w:val="0"/>
          <w:bCs w:val="0"/>
          <w:color w:val="auto"/>
          <w:sz w:val="32"/>
          <w:szCs w:val="32"/>
          <w:highlight w:val="none"/>
          <w:lang w:val="en-US" w:eastAsia="zh-CN"/>
        </w:rPr>
        <w:t>第四部分</w:t>
      </w:r>
      <w:bookmarkStart w:id="42" w:name="_Toc7871"/>
      <w:r>
        <w:rPr>
          <w:rFonts w:hint="eastAsia" w:ascii="宋体" w:hAnsi="宋体" w:eastAsia="宋体" w:cs="宋体"/>
          <w:b w:val="0"/>
          <w:bCs w:val="0"/>
          <w:color w:val="auto"/>
          <w:sz w:val="32"/>
          <w:szCs w:val="32"/>
          <w:highlight w:val="none"/>
          <w:lang w:val="en-US" w:eastAsia="zh-CN"/>
        </w:rPr>
        <w:t xml:space="preserve">  </w:t>
      </w:r>
      <w:r>
        <w:rPr>
          <w:rFonts w:hint="eastAsia" w:ascii="宋体" w:hAnsi="宋体" w:eastAsia="宋体" w:cs="宋体"/>
          <w:b w:val="0"/>
          <w:bCs w:val="0"/>
          <w:color w:val="auto"/>
          <w:sz w:val="32"/>
          <w:szCs w:val="32"/>
          <w:highlight w:val="none"/>
        </w:rPr>
        <w:t>附件</w:t>
      </w:r>
      <w:bookmarkEnd w:id="40"/>
      <w:bookmarkEnd w:id="41"/>
      <w:bookmarkEnd w:id="42"/>
    </w:p>
    <w:p w14:paraId="7085D68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1.估价对象《评估委托书》；</w:t>
      </w:r>
    </w:p>
    <w:p w14:paraId="76B24E9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2.估价对象《宗地图》；</w:t>
      </w:r>
    </w:p>
    <w:p w14:paraId="614ABA4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3.估价对象《不动产测绘报告书》；</w:t>
      </w:r>
    </w:p>
    <w:p w14:paraId="76C2804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4.估价对象《不动产“登记难”问题专题会议纪要》（道县集中化解工作领导小组办公室，2026年3月11日）；</w:t>
      </w:r>
    </w:p>
    <w:p w14:paraId="3013269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5.估价对象《房屋所有权证存根》（道县房权证道江镇00008864号）；</w:t>
      </w:r>
    </w:p>
    <w:p w14:paraId="234BE69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6.估价对象《房屋所有权证存根》（道县房权证道江镇字第000027号）；</w:t>
      </w:r>
    </w:p>
    <w:p w14:paraId="529FDBD9">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7.估价对象宗地区域位置示意图；</w:t>
      </w:r>
    </w:p>
    <w:p w14:paraId="6FD37B72">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8.现场勘查照片；</w:t>
      </w:r>
    </w:p>
    <w:p w14:paraId="2136C5ED">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9.现场勘查记录表；</w:t>
      </w:r>
    </w:p>
    <w:p w14:paraId="4BB9C2F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10.土地评估中介机构企业营业执照；</w:t>
      </w:r>
    </w:p>
    <w:p w14:paraId="1A4502A6">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11.土地评估中介机构备案证明；</w:t>
      </w:r>
    </w:p>
    <w:p w14:paraId="5CA495E1">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12.土地估价师资质证书。</w:t>
      </w:r>
    </w:p>
    <w:p w14:paraId="4CBCF7BD">
      <w:pPr>
        <w:keepNext w:val="0"/>
        <w:keepLines w:val="0"/>
        <w:pageBreakBefore w:val="0"/>
        <w:widowControl w:val="0"/>
        <w:kinsoku/>
        <w:wordWrap/>
        <w:overflowPunct/>
        <w:topLinePunct w:val="0"/>
        <w:autoSpaceDE w:val="0"/>
        <w:autoSpaceDN w:val="0"/>
        <w:bidi w:val="0"/>
        <w:adjustRightInd w:val="0"/>
        <w:snapToGrid w:val="0"/>
        <w:spacing w:line="360" w:lineRule="auto"/>
        <w:jc w:val="right"/>
        <w:textAlignment w:val="auto"/>
        <w:rPr>
          <w:rFonts w:hint="eastAsia" w:ascii="仿宋_GB2312" w:eastAsia="仿宋_GB2312"/>
          <w:b w:val="0"/>
          <w:bCs w:val="0"/>
          <w:sz w:val="28"/>
          <w:szCs w:val="28"/>
          <w:highlight w:val="none"/>
        </w:rPr>
      </w:pPr>
    </w:p>
    <w:p w14:paraId="55FF512F">
      <w:pPr>
        <w:keepNext w:val="0"/>
        <w:keepLines w:val="0"/>
        <w:pageBreakBefore w:val="0"/>
        <w:widowControl w:val="0"/>
        <w:kinsoku/>
        <w:wordWrap/>
        <w:overflowPunct/>
        <w:topLinePunct w:val="0"/>
        <w:autoSpaceDE w:val="0"/>
        <w:autoSpaceDN w:val="0"/>
        <w:bidi w:val="0"/>
        <w:adjustRightInd w:val="0"/>
        <w:snapToGrid w:val="0"/>
        <w:spacing w:line="360" w:lineRule="auto"/>
        <w:jc w:val="left"/>
        <w:textAlignment w:val="auto"/>
        <w:rPr>
          <w:rFonts w:hint="eastAsia" w:ascii="仿宋_GB2312" w:eastAsia="仿宋_GB2312"/>
          <w:b w:val="0"/>
          <w:bCs w:val="0"/>
          <w:sz w:val="28"/>
          <w:szCs w:val="28"/>
          <w:highlight w:val="none"/>
        </w:rPr>
      </w:pPr>
      <w:r>
        <w:rPr>
          <w:rFonts w:hint="eastAsia" w:ascii="仿宋_GB2312" w:eastAsia="仿宋_GB2312"/>
          <w:b w:val="0"/>
          <w:bCs w:val="0"/>
          <w:sz w:val="28"/>
          <w:szCs w:val="28"/>
          <w:highlight w:val="none"/>
        </w:rPr>
        <w:t>（以上资料均为复印件）</w:t>
      </w:r>
    </w:p>
    <w:p w14:paraId="45B5610D">
      <w:pPr>
        <w:spacing w:line="520" w:lineRule="exact"/>
        <w:jc w:val="center"/>
        <w:rPr>
          <w:rFonts w:hint="eastAsia" w:asciiTheme="majorEastAsia" w:hAnsiTheme="majorEastAsia" w:eastAsiaTheme="majorEastAsia" w:cstheme="majorEastAsia"/>
          <w:b w:val="0"/>
          <w:bCs w:val="0"/>
          <w:sz w:val="44"/>
          <w:szCs w:val="44"/>
          <w:highlight w:val="none"/>
        </w:rPr>
        <w:sectPr>
          <w:headerReference r:id="rId13" w:type="first"/>
          <w:footerReference r:id="rId15" w:type="first"/>
          <w:footerReference r:id="rId14" w:type="default"/>
          <w:pgSz w:w="11906" w:h="16838"/>
          <w:pgMar w:top="1440" w:right="1800" w:bottom="1440" w:left="1800" w:header="851" w:footer="992" w:gutter="0"/>
          <w:pgNumType w:fmt="decimal"/>
          <w:cols w:space="0" w:num="1"/>
          <w:rtlGutter w:val="0"/>
          <w:docGrid w:type="lines" w:linePitch="312" w:charSpace="0"/>
        </w:sectPr>
      </w:pPr>
    </w:p>
    <w:p w14:paraId="35CD6E50">
      <w:pPr>
        <w:spacing w:line="520" w:lineRule="exact"/>
        <w:jc w:val="center"/>
        <w:rPr>
          <w:rFonts w:hint="eastAsia" w:asciiTheme="majorEastAsia" w:hAnsiTheme="majorEastAsia" w:eastAsiaTheme="majorEastAsia" w:cstheme="majorEastAsia"/>
          <w:b w:val="0"/>
          <w:bCs w:val="0"/>
          <w:sz w:val="44"/>
          <w:szCs w:val="44"/>
          <w:highlight w:val="none"/>
        </w:rPr>
      </w:pPr>
      <w:r>
        <w:rPr>
          <w:rFonts w:hint="eastAsia" w:asciiTheme="majorEastAsia" w:hAnsiTheme="majorEastAsia" w:eastAsiaTheme="majorEastAsia" w:cstheme="majorEastAsia"/>
          <w:b w:val="0"/>
          <w:bCs w:val="0"/>
          <w:sz w:val="44"/>
          <w:szCs w:val="44"/>
          <w:highlight w:val="none"/>
        </w:rPr>
        <w:t xml:space="preserve">土 地 估 价 </w:t>
      </w:r>
      <w:r>
        <w:rPr>
          <w:rFonts w:hint="eastAsia" w:asciiTheme="majorEastAsia" w:hAnsiTheme="majorEastAsia" w:eastAsiaTheme="majorEastAsia" w:cstheme="majorEastAsia"/>
          <w:b w:val="0"/>
          <w:bCs w:val="0"/>
          <w:sz w:val="44"/>
          <w:szCs w:val="44"/>
          <w:highlight w:val="none"/>
          <w:lang w:val="en-US" w:eastAsia="zh-CN"/>
        </w:rPr>
        <w:t xml:space="preserve">技 术 </w:t>
      </w:r>
      <w:r>
        <w:rPr>
          <w:rFonts w:hint="eastAsia" w:asciiTheme="majorEastAsia" w:hAnsiTheme="majorEastAsia" w:eastAsiaTheme="majorEastAsia" w:cstheme="majorEastAsia"/>
          <w:b w:val="0"/>
          <w:bCs w:val="0"/>
          <w:sz w:val="44"/>
          <w:szCs w:val="44"/>
          <w:highlight w:val="none"/>
        </w:rPr>
        <w:t>报 告</w:t>
      </w:r>
    </w:p>
    <w:p w14:paraId="5684C264">
      <w:pPr>
        <w:pStyle w:val="13"/>
        <w:ind w:left="0" w:leftChars="0" w:firstLine="0" w:firstLineChars="0"/>
        <w:jc w:val="center"/>
        <w:rPr>
          <w:rFonts w:hint="eastAsia" w:asciiTheme="majorEastAsia" w:hAnsiTheme="majorEastAsia" w:eastAsiaTheme="majorEastAsia" w:cstheme="majorEastAsia"/>
          <w:b w:val="0"/>
          <w:bCs w:val="0"/>
          <w:sz w:val="44"/>
          <w:szCs w:val="44"/>
          <w:highlight w:val="none"/>
          <w:lang w:eastAsia="zh-CN"/>
        </w:rPr>
      </w:pPr>
      <w:r>
        <w:rPr>
          <w:rFonts w:hint="eastAsia" w:asciiTheme="majorEastAsia" w:hAnsiTheme="majorEastAsia" w:eastAsiaTheme="majorEastAsia" w:cstheme="majorEastAsia"/>
          <w:b w:val="0"/>
          <w:bCs w:val="0"/>
          <w:sz w:val="44"/>
          <w:szCs w:val="44"/>
          <w:highlight w:val="none"/>
          <w:lang w:eastAsia="zh-CN"/>
        </w:rPr>
        <w:t>（</w:t>
      </w:r>
      <w:r>
        <w:rPr>
          <w:rFonts w:hint="eastAsia" w:asciiTheme="majorEastAsia" w:hAnsiTheme="majorEastAsia" w:eastAsiaTheme="majorEastAsia" w:cstheme="majorEastAsia"/>
          <w:b w:val="0"/>
          <w:bCs w:val="0"/>
          <w:sz w:val="44"/>
          <w:szCs w:val="44"/>
          <w:highlight w:val="none"/>
          <w:lang w:val="en-US" w:eastAsia="zh-CN"/>
        </w:rPr>
        <w:t>评估工作底稿</w:t>
      </w:r>
      <w:r>
        <w:rPr>
          <w:rFonts w:hint="eastAsia" w:asciiTheme="majorEastAsia" w:hAnsiTheme="majorEastAsia" w:eastAsiaTheme="majorEastAsia" w:cstheme="majorEastAsia"/>
          <w:b w:val="0"/>
          <w:bCs w:val="0"/>
          <w:sz w:val="44"/>
          <w:szCs w:val="44"/>
          <w:highlight w:val="none"/>
          <w:lang w:eastAsia="zh-CN"/>
        </w:rPr>
        <w:t>）</w:t>
      </w:r>
    </w:p>
    <w:p w14:paraId="343A8AA2">
      <w:pPr>
        <w:spacing w:line="520" w:lineRule="exact"/>
        <w:jc w:val="center"/>
        <w:rPr>
          <w:rFonts w:hint="eastAsia" w:asciiTheme="majorEastAsia" w:hAnsiTheme="majorEastAsia" w:eastAsiaTheme="majorEastAsia" w:cstheme="majorEastAsia"/>
          <w:b w:val="0"/>
          <w:bCs w:val="0"/>
          <w:sz w:val="44"/>
          <w:szCs w:val="44"/>
          <w:highlight w:val="none"/>
        </w:rPr>
      </w:pPr>
    </w:p>
    <w:tbl>
      <w:tblPr>
        <w:tblStyle w:val="14"/>
        <w:tblW w:w="0" w:type="auto"/>
        <w:jc w:val="center"/>
        <w:tblLayout w:type="fixed"/>
        <w:tblCellMar>
          <w:top w:w="0" w:type="dxa"/>
          <w:left w:w="108" w:type="dxa"/>
          <w:bottom w:w="0" w:type="dxa"/>
          <w:right w:w="108" w:type="dxa"/>
        </w:tblCellMar>
      </w:tblPr>
      <w:tblGrid>
        <w:gridCol w:w="3686"/>
        <w:gridCol w:w="5729"/>
      </w:tblGrid>
      <w:tr w14:paraId="6BCEE533">
        <w:tblPrEx>
          <w:tblCellMar>
            <w:top w:w="0" w:type="dxa"/>
            <w:left w:w="108" w:type="dxa"/>
            <w:bottom w:w="0" w:type="dxa"/>
            <w:right w:w="108" w:type="dxa"/>
          </w:tblCellMar>
        </w:tblPrEx>
        <w:trPr>
          <w:trHeight w:val="1134" w:hRule="atLeast"/>
          <w:jc w:val="center"/>
        </w:trPr>
        <w:tc>
          <w:tcPr>
            <w:tcW w:w="3686" w:type="dxa"/>
            <w:vAlign w:val="center"/>
          </w:tcPr>
          <w:p w14:paraId="15D6F224">
            <w:pPr>
              <w:pStyle w:val="8"/>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3" w:hangingChars="498"/>
              <w:jc w:val="distribute"/>
              <w:rPr>
                <w:rFonts w:ascii="楷体" w:hAnsi="楷体" w:eastAsia="楷体"/>
                <w:b w:val="0"/>
                <w:bCs w:val="0"/>
                <w:spacing w:val="14"/>
                <w:sz w:val="32"/>
                <w:szCs w:val="32"/>
                <w:highlight w:val="none"/>
              </w:rPr>
            </w:pPr>
            <w:r>
              <w:rPr>
                <w:rFonts w:ascii="楷体" w:hAnsi="楷体" w:eastAsia="楷体"/>
                <w:b w:val="0"/>
                <w:bCs w:val="0"/>
                <w:spacing w:val="14"/>
                <w:sz w:val="32"/>
                <w:szCs w:val="32"/>
                <w:highlight w:val="none"/>
              </w:rPr>
              <w:t>项</w:t>
            </w:r>
            <w:r>
              <w:rPr>
                <w:rFonts w:hint="eastAsia" w:ascii="楷体" w:hAnsi="楷体" w:eastAsia="楷体"/>
                <w:b w:val="0"/>
                <w:bCs w:val="0"/>
                <w:spacing w:val="14"/>
                <w:sz w:val="32"/>
                <w:szCs w:val="32"/>
                <w:highlight w:val="none"/>
              </w:rPr>
              <w:t xml:space="preserve">    </w:t>
            </w:r>
            <w:r>
              <w:rPr>
                <w:rFonts w:ascii="楷体" w:hAnsi="楷体" w:eastAsia="楷体"/>
                <w:b w:val="0"/>
                <w:bCs w:val="0"/>
                <w:spacing w:val="14"/>
                <w:sz w:val="32"/>
                <w:szCs w:val="32"/>
                <w:highlight w:val="none"/>
              </w:rPr>
              <w:t>目</w:t>
            </w:r>
            <w:r>
              <w:rPr>
                <w:rFonts w:hint="eastAsia" w:ascii="楷体" w:hAnsi="楷体" w:eastAsia="楷体"/>
                <w:b w:val="0"/>
                <w:bCs w:val="0"/>
                <w:spacing w:val="14"/>
                <w:sz w:val="32"/>
                <w:szCs w:val="32"/>
                <w:highlight w:val="none"/>
              </w:rPr>
              <w:t xml:space="preserve">   </w:t>
            </w:r>
            <w:r>
              <w:rPr>
                <w:rFonts w:ascii="楷体" w:hAnsi="楷体" w:eastAsia="楷体"/>
                <w:b w:val="0"/>
                <w:bCs w:val="0"/>
                <w:spacing w:val="14"/>
                <w:sz w:val="32"/>
                <w:szCs w:val="32"/>
                <w:highlight w:val="none"/>
              </w:rPr>
              <w:t>名</w:t>
            </w:r>
            <w:r>
              <w:rPr>
                <w:rFonts w:hint="eastAsia" w:ascii="楷体" w:hAnsi="楷体" w:eastAsia="楷体"/>
                <w:b w:val="0"/>
                <w:bCs w:val="0"/>
                <w:spacing w:val="14"/>
                <w:sz w:val="32"/>
                <w:szCs w:val="32"/>
                <w:highlight w:val="none"/>
              </w:rPr>
              <w:t xml:space="preserve">   </w:t>
            </w:r>
            <w:r>
              <w:rPr>
                <w:rFonts w:ascii="楷体" w:hAnsi="楷体" w:eastAsia="楷体"/>
                <w:b w:val="0"/>
                <w:bCs w:val="0"/>
                <w:spacing w:val="14"/>
                <w:sz w:val="32"/>
                <w:szCs w:val="32"/>
                <w:highlight w:val="none"/>
              </w:rPr>
              <w:t>称：</w:t>
            </w:r>
          </w:p>
        </w:tc>
        <w:tc>
          <w:tcPr>
            <w:tcW w:w="5729" w:type="dxa"/>
            <w:vAlign w:val="center"/>
          </w:tcPr>
          <w:p w14:paraId="48020A46">
            <w:pPr>
              <w:pStyle w:val="8"/>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b w:val="0"/>
                <w:bCs w:val="0"/>
                <w:spacing w:val="14"/>
                <w:sz w:val="32"/>
                <w:szCs w:val="32"/>
                <w:highlight w:val="none"/>
              </w:rPr>
            </w:pPr>
            <w:r>
              <w:rPr>
                <w:rFonts w:hint="eastAsia" w:ascii="楷体" w:hAnsi="楷体" w:eastAsia="楷体" w:cs="Times New Roman"/>
                <w:b w:val="0"/>
                <w:bCs w:val="0"/>
                <w:spacing w:val="14"/>
                <w:sz w:val="32"/>
                <w:szCs w:val="32"/>
                <w:highlight w:val="none"/>
                <w:lang w:val="en-US" w:eastAsia="zh-CN"/>
              </w:rPr>
              <w:t>道县自然资源局办理土地使用权出让手续涉及的位于道县西洲街道宝珍街六栋九号的一宗住宅用途国有建设用地使用权市场价格评估（永州市道县）</w:t>
            </w:r>
          </w:p>
        </w:tc>
      </w:tr>
      <w:tr w14:paraId="7BF9FEFB">
        <w:tblPrEx>
          <w:tblCellMar>
            <w:top w:w="0" w:type="dxa"/>
            <w:left w:w="108" w:type="dxa"/>
            <w:bottom w:w="0" w:type="dxa"/>
            <w:right w:w="108" w:type="dxa"/>
          </w:tblCellMar>
        </w:tblPrEx>
        <w:trPr>
          <w:trHeight w:val="1134" w:hRule="atLeast"/>
          <w:jc w:val="center"/>
        </w:trPr>
        <w:tc>
          <w:tcPr>
            <w:tcW w:w="3686" w:type="dxa"/>
            <w:vAlign w:val="center"/>
          </w:tcPr>
          <w:p w14:paraId="12A7F1CE">
            <w:pPr>
              <w:pStyle w:val="8"/>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3" w:hangingChars="498"/>
              <w:jc w:val="distribute"/>
              <w:rPr>
                <w:rFonts w:ascii="楷体" w:hAnsi="楷体" w:eastAsia="楷体"/>
                <w:b w:val="0"/>
                <w:bCs w:val="0"/>
                <w:spacing w:val="14"/>
                <w:sz w:val="32"/>
                <w:szCs w:val="32"/>
                <w:highlight w:val="none"/>
              </w:rPr>
            </w:pPr>
            <w:r>
              <w:rPr>
                <w:rFonts w:ascii="楷体" w:hAnsi="楷体" w:eastAsia="楷体"/>
                <w:b w:val="0"/>
                <w:bCs w:val="0"/>
                <w:spacing w:val="14"/>
                <w:sz w:val="32"/>
                <w:szCs w:val="32"/>
                <w:highlight w:val="none"/>
              </w:rPr>
              <w:t>受托估价单位：</w:t>
            </w:r>
          </w:p>
        </w:tc>
        <w:tc>
          <w:tcPr>
            <w:tcW w:w="5729" w:type="dxa"/>
            <w:vAlign w:val="center"/>
          </w:tcPr>
          <w:p w14:paraId="08CFF2D6">
            <w:pPr>
              <w:pStyle w:val="8"/>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b w:val="0"/>
                <w:bCs w:val="0"/>
                <w:spacing w:val="14"/>
                <w:sz w:val="32"/>
                <w:szCs w:val="32"/>
                <w:highlight w:val="none"/>
                <w:lang w:eastAsia="zh-CN"/>
              </w:rPr>
            </w:pPr>
            <w:r>
              <w:rPr>
                <w:rFonts w:hint="eastAsia" w:ascii="楷体" w:hAnsi="楷体" w:eastAsia="楷体"/>
                <w:b w:val="0"/>
                <w:bCs w:val="0"/>
                <w:spacing w:val="14"/>
                <w:sz w:val="32"/>
                <w:szCs w:val="32"/>
                <w:highlight w:val="none"/>
                <w:lang w:eastAsia="zh-CN"/>
              </w:rPr>
              <w:t>湖南兆财不动产规划评估有限公司</w:t>
            </w:r>
          </w:p>
        </w:tc>
      </w:tr>
      <w:tr w14:paraId="0AE192C1">
        <w:tblPrEx>
          <w:tblCellMar>
            <w:top w:w="0" w:type="dxa"/>
            <w:left w:w="108" w:type="dxa"/>
            <w:bottom w:w="0" w:type="dxa"/>
            <w:right w:w="108" w:type="dxa"/>
          </w:tblCellMar>
        </w:tblPrEx>
        <w:trPr>
          <w:trHeight w:val="1134" w:hRule="atLeast"/>
          <w:jc w:val="center"/>
        </w:trPr>
        <w:tc>
          <w:tcPr>
            <w:tcW w:w="3686" w:type="dxa"/>
            <w:vAlign w:val="center"/>
          </w:tcPr>
          <w:p w14:paraId="48ACFB3B">
            <w:pPr>
              <w:pStyle w:val="8"/>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3" w:hangingChars="498"/>
              <w:jc w:val="distribute"/>
              <w:rPr>
                <w:rFonts w:ascii="楷体" w:hAnsi="楷体" w:eastAsia="楷体"/>
                <w:b w:val="0"/>
                <w:bCs w:val="0"/>
                <w:color w:val="auto"/>
                <w:spacing w:val="14"/>
                <w:sz w:val="32"/>
                <w:szCs w:val="32"/>
                <w:highlight w:val="none"/>
              </w:rPr>
            </w:pPr>
            <w:r>
              <w:rPr>
                <w:rFonts w:ascii="楷体" w:hAnsi="楷体" w:eastAsia="楷体"/>
                <w:b w:val="0"/>
                <w:bCs w:val="0"/>
                <w:color w:val="auto"/>
                <w:spacing w:val="14"/>
                <w:sz w:val="32"/>
                <w:szCs w:val="32"/>
                <w:highlight w:val="none"/>
              </w:rPr>
              <w:t>土地估价报告编号：</w:t>
            </w:r>
          </w:p>
        </w:tc>
        <w:tc>
          <w:tcPr>
            <w:tcW w:w="5729" w:type="dxa"/>
            <w:vAlign w:val="center"/>
          </w:tcPr>
          <w:p w14:paraId="08B7AF49">
            <w:pPr>
              <w:pStyle w:val="8"/>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b w:val="0"/>
                <w:bCs w:val="0"/>
                <w:color w:val="auto"/>
                <w:spacing w:val="14"/>
                <w:sz w:val="32"/>
                <w:szCs w:val="32"/>
                <w:highlight w:val="none"/>
                <w:lang w:eastAsia="zh-CN"/>
              </w:rPr>
            </w:pPr>
            <w:r>
              <w:rPr>
                <w:rFonts w:hint="eastAsia" w:ascii="楷体" w:hAnsi="楷体" w:eastAsia="楷体"/>
                <w:b w:val="0"/>
                <w:bCs w:val="0"/>
                <w:spacing w:val="14"/>
                <w:sz w:val="32"/>
                <w:szCs w:val="32"/>
                <w:highlight w:val="none"/>
                <w:lang w:eastAsia="zh-CN"/>
              </w:rPr>
              <w:t>（湖南）湘兆财土地[202</w:t>
            </w:r>
            <w:r>
              <w:rPr>
                <w:rFonts w:hint="eastAsia" w:ascii="楷体" w:hAnsi="楷体" w:eastAsia="楷体"/>
                <w:b w:val="0"/>
                <w:bCs w:val="0"/>
                <w:spacing w:val="14"/>
                <w:sz w:val="32"/>
                <w:szCs w:val="32"/>
                <w:highlight w:val="none"/>
                <w:lang w:val="en-US" w:eastAsia="zh-CN"/>
              </w:rPr>
              <w:t>6</w:t>
            </w:r>
            <w:r>
              <w:rPr>
                <w:rFonts w:hint="eastAsia" w:ascii="楷体" w:hAnsi="楷体" w:eastAsia="楷体"/>
                <w:b w:val="0"/>
                <w:bCs w:val="0"/>
                <w:spacing w:val="14"/>
                <w:sz w:val="32"/>
                <w:szCs w:val="32"/>
                <w:highlight w:val="none"/>
                <w:lang w:eastAsia="zh-CN"/>
              </w:rPr>
              <w:t>]（估）字第ZC0025号</w:t>
            </w:r>
          </w:p>
        </w:tc>
      </w:tr>
      <w:tr w14:paraId="4D6FBB91">
        <w:tblPrEx>
          <w:tblCellMar>
            <w:top w:w="0" w:type="dxa"/>
            <w:left w:w="108" w:type="dxa"/>
            <w:bottom w:w="0" w:type="dxa"/>
            <w:right w:w="108" w:type="dxa"/>
          </w:tblCellMar>
        </w:tblPrEx>
        <w:trPr>
          <w:trHeight w:val="1303" w:hRule="atLeast"/>
          <w:jc w:val="center"/>
        </w:trPr>
        <w:tc>
          <w:tcPr>
            <w:tcW w:w="3686" w:type="dxa"/>
            <w:vAlign w:val="center"/>
          </w:tcPr>
          <w:p w14:paraId="5CD1E8BA">
            <w:pPr>
              <w:pStyle w:val="8"/>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val="0"/>
                <w:bCs w:val="0"/>
                <w:color w:val="auto"/>
                <w:spacing w:val="14"/>
                <w:sz w:val="32"/>
                <w:szCs w:val="32"/>
                <w:highlight w:val="none"/>
              </w:rPr>
            </w:pPr>
            <w:r>
              <w:rPr>
                <w:rFonts w:hint="eastAsia" w:ascii="楷体" w:hAnsi="楷体" w:eastAsia="楷体"/>
                <w:b w:val="0"/>
                <w:bCs w:val="0"/>
                <w:color w:val="auto"/>
                <w:spacing w:val="14"/>
                <w:sz w:val="32"/>
                <w:szCs w:val="32"/>
                <w:highlight w:val="none"/>
              </w:rPr>
              <w:t>土地</w:t>
            </w:r>
            <w:r>
              <w:rPr>
                <w:rFonts w:ascii="楷体" w:hAnsi="楷体" w:eastAsia="楷体"/>
                <w:b w:val="0"/>
                <w:bCs w:val="0"/>
                <w:color w:val="auto"/>
                <w:spacing w:val="14"/>
                <w:sz w:val="32"/>
                <w:szCs w:val="32"/>
                <w:highlight w:val="none"/>
              </w:rPr>
              <w:t>估价技术报告</w:t>
            </w:r>
          </w:p>
          <w:p w14:paraId="55F1E317">
            <w:pPr>
              <w:pStyle w:val="8"/>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val="0"/>
                <w:bCs w:val="0"/>
                <w:color w:val="auto"/>
                <w:spacing w:val="14"/>
                <w:sz w:val="32"/>
                <w:szCs w:val="32"/>
                <w:highlight w:val="none"/>
              </w:rPr>
            </w:pPr>
            <w:r>
              <w:rPr>
                <w:rFonts w:hint="eastAsia" w:ascii="楷体" w:hAnsi="楷体" w:eastAsia="楷体"/>
                <w:b w:val="0"/>
                <w:bCs w:val="0"/>
                <w:color w:val="auto"/>
                <w:spacing w:val="14"/>
                <w:sz w:val="32"/>
                <w:szCs w:val="32"/>
                <w:highlight w:val="none"/>
              </w:rPr>
              <w:t>（评估工作</w:t>
            </w:r>
            <w:r>
              <w:rPr>
                <w:rFonts w:ascii="楷体" w:hAnsi="楷体" w:eastAsia="楷体"/>
                <w:b w:val="0"/>
                <w:bCs w:val="0"/>
                <w:color w:val="auto"/>
                <w:spacing w:val="14"/>
                <w:sz w:val="32"/>
                <w:szCs w:val="32"/>
                <w:highlight w:val="none"/>
              </w:rPr>
              <w:t>底稿）编号：</w:t>
            </w:r>
          </w:p>
        </w:tc>
        <w:tc>
          <w:tcPr>
            <w:tcW w:w="5729" w:type="dxa"/>
            <w:vAlign w:val="center"/>
          </w:tcPr>
          <w:p w14:paraId="35607A56">
            <w:pPr>
              <w:pStyle w:val="8"/>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b w:val="0"/>
                <w:bCs w:val="0"/>
                <w:color w:val="auto"/>
                <w:spacing w:val="14"/>
                <w:sz w:val="32"/>
                <w:szCs w:val="32"/>
                <w:highlight w:val="none"/>
                <w:lang w:eastAsia="zh-CN"/>
              </w:rPr>
            </w:pPr>
            <w:r>
              <w:rPr>
                <w:rFonts w:hint="eastAsia" w:ascii="楷体" w:hAnsi="楷体" w:eastAsia="楷体"/>
                <w:b w:val="0"/>
                <w:bCs w:val="0"/>
                <w:spacing w:val="14"/>
                <w:sz w:val="32"/>
                <w:szCs w:val="32"/>
                <w:highlight w:val="none"/>
                <w:lang w:eastAsia="zh-CN"/>
              </w:rPr>
              <w:t>（湖南）湘兆财土地[202</w:t>
            </w:r>
            <w:r>
              <w:rPr>
                <w:rFonts w:hint="eastAsia" w:ascii="楷体" w:hAnsi="楷体" w:eastAsia="楷体"/>
                <w:b w:val="0"/>
                <w:bCs w:val="0"/>
                <w:spacing w:val="14"/>
                <w:sz w:val="32"/>
                <w:szCs w:val="32"/>
                <w:highlight w:val="none"/>
                <w:lang w:val="en-US" w:eastAsia="zh-CN"/>
              </w:rPr>
              <w:t>6</w:t>
            </w:r>
            <w:r>
              <w:rPr>
                <w:rFonts w:hint="eastAsia" w:ascii="楷体" w:hAnsi="楷体" w:eastAsia="楷体"/>
                <w:b w:val="0"/>
                <w:bCs w:val="0"/>
                <w:spacing w:val="14"/>
                <w:sz w:val="32"/>
                <w:szCs w:val="32"/>
                <w:highlight w:val="none"/>
                <w:lang w:eastAsia="zh-CN"/>
              </w:rPr>
              <w:t>]（</w:t>
            </w:r>
            <w:r>
              <w:rPr>
                <w:rFonts w:hint="eastAsia" w:ascii="楷体" w:hAnsi="楷体" w:eastAsia="楷体"/>
                <w:b w:val="0"/>
                <w:bCs w:val="0"/>
                <w:spacing w:val="14"/>
                <w:sz w:val="32"/>
                <w:szCs w:val="32"/>
                <w:highlight w:val="none"/>
                <w:lang w:val="en-US" w:eastAsia="zh-CN"/>
              </w:rPr>
              <w:t>技</w:t>
            </w:r>
            <w:r>
              <w:rPr>
                <w:rFonts w:hint="eastAsia" w:ascii="楷体" w:hAnsi="楷体" w:eastAsia="楷体"/>
                <w:b w:val="0"/>
                <w:bCs w:val="0"/>
                <w:spacing w:val="14"/>
                <w:sz w:val="32"/>
                <w:szCs w:val="32"/>
                <w:highlight w:val="none"/>
                <w:lang w:eastAsia="zh-CN"/>
              </w:rPr>
              <w:t>）字第ZC0025号</w:t>
            </w:r>
          </w:p>
        </w:tc>
      </w:tr>
      <w:tr w14:paraId="7DF7201A">
        <w:tblPrEx>
          <w:tblCellMar>
            <w:top w:w="0" w:type="dxa"/>
            <w:left w:w="108" w:type="dxa"/>
            <w:bottom w:w="0" w:type="dxa"/>
            <w:right w:w="108" w:type="dxa"/>
          </w:tblCellMar>
        </w:tblPrEx>
        <w:trPr>
          <w:trHeight w:val="1303" w:hRule="atLeast"/>
          <w:jc w:val="center"/>
        </w:trPr>
        <w:tc>
          <w:tcPr>
            <w:tcW w:w="3686" w:type="dxa"/>
            <w:vAlign w:val="center"/>
          </w:tcPr>
          <w:p w14:paraId="1A2AB01B">
            <w:pPr>
              <w:pStyle w:val="8"/>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val="0"/>
                <w:bCs w:val="0"/>
                <w:color w:val="0000FF"/>
                <w:spacing w:val="14"/>
                <w:sz w:val="32"/>
                <w:szCs w:val="32"/>
                <w:highlight w:val="none"/>
              </w:rPr>
            </w:pPr>
            <w:r>
              <w:rPr>
                <w:rFonts w:hint="eastAsia" w:ascii="楷体" w:hAnsi="楷体" w:eastAsia="楷体"/>
                <w:b w:val="0"/>
                <w:bCs w:val="0"/>
                <w:color w:val="auto"/>
                <w:spacing w:val="14"/>
                <w:sz w:val="32"/>
                <w:szCs w:val="32"/>
                <w:highlight w:val="none"/>
              </w:rPr>
              <w:t>电 子 备 案 编 号：</w:t>
            </w:r>
          </w:p>
        </w:tc>
        <w:tc>
          <w:tcPr>
            <w:tcW w:w="5729" w:type="dxa"/>
            <w:vAlign w:val="center"/>
          </w:tcPr>
          <w:p w14:paraId="670E1AE0">
            <w:pPr>
              <w:pStyle w:val="8"/>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b w:val="0"/>
                <w:bCs w:val="0"/>
                <w:color w:val="0000FF"/>
                <w:spacing w:val="-11"/>
                <w:sz w:val="32"/>
                <w:szCs w:val="32"/>
                <w:highlight w:val="none"/>
              </w:rPr>
            </w:pPr>
            <w:r>
              <w:rPr>
                <w:rFonts w:hint="eastAsia" w:ascii="楷体" w:hAnsi="楷体" w:eastAsia="楷体" w:cs="Times New Roman"/>
                <w:b w:val="0"/>
                <w:bCs w:val="0"/>
                <w:color w:val="auto"/>
                <w:spacing w:val="-11"/>
                <w:sz w:val="32"/>
                <w:szCs w:val="32"/>
                <w:highlight w:val="none"/>
                <w:lang w:eastAsia="zh-CN"/>
              </w:rPr>
              <w:t>详见备案页</w:t>
            </w:r>
          </w:p>
        </w:tc>
      </w:tr>
      <w:tr w14:paraId="65E1A38F">
        <w:tblPrEx>
          <w:tblCellMar>
            <w:top w:w="0" w:type="dxa"/>
            <w:left w:w="108" w:type="dxa"/>
            <w:bottom w:w="0" w:type="dxa"/>
            <w:right w:w="108" w:type="dxa"/>
          </w:tblCellMar>
        </w:tblPrEx>
        <w:trPr>
          <w:trHeight w:val="1134" w:hRule="atLeast"/>
          <w:jc w:val="center"/>
        </w:trPr>
        <w:tc>
          <w:tcPr>
            <w:tcW w:w="3686" w:type="dxa"/>
            <w:vAlign w:val="center"/>
          </w:tcPr>
          <w:p w14:paraId="6AF41026">
            <w:pPr>
              <w:pStyle w:val="8"/>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3" w:hangingChars="498"/>
              <w:jc w:val="distribute"/>
              <w:rPr>
                <w:rFonts w:ascii="楷体" w:hAnsi="楷体" w:eastAsia="楷体"/>
                <w:b w:val="0"/>
                <w:bCs w:val="0"/>
                <w:spacing w:val="14"/>
                <w:sz w:val="32"/>
                <w:szCs w:val="32"/>
                <w:highlight w:val="none"/>
              </w:rPr>
            </w:pPr>
            <w:r>
              <w:rPr>
                <w:rFonts w:ascii="楷体" w:hAnsi="楷体" w:eastAsia="楷体"/>
                <w:b w:val="0"/>
                <w:bCs w:val="0"/>
                <w:spacing w:val="14"/>
                <w:sz w:val="32"/>
                <w:szCs w:val="32"/>
                <w:highlight w:val="none"/>
              </w:rPr>
              <w:t>提交估价报告日期：</w:t>
            </w:r>
          </w:p>
        </w:tc>
        <w:tc>
          <w:tcPr>
            <w:tcW w:w="5729" w:type="dxa"/>
            <w:vAlign w:val="center"/>
          </w:tcPr>
          <w:p w14:paraId="0B8323D2">
            <w:pPr>
              <w:pStyle w:val="8"/>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b w:val="0"/>
                <w:bCs w:val="0"/>
                <w:spacing w:val="14"/>
                <w:sz w:val="32"/>
                <w:szCs w:val="32"/>
                <w:highlight w:val="none"/>
                <w:lang w:eastAsia="zh-CN"/>
              </w:rPr>
            </w:pPr>
            <w:r>
              <w:rPr>
                <w:rFonts w:hint="eastAsia" w:ascii="楷体" w:hAnsi="楷体" w:eastAsia="楷体" w:cs="楷体"/>
                <w:b w:val="0"/>
                <w:bCs w:val="0"/>
                <w:spacing w:val="-20"/>
                <w:sz w:val="32"/>
                <w:szCs w:val="32"/>
                <w:highlight w:val="none"/>
                <w:lang w:eastAsia="zh-CN"/>
              </w:rPr>
              <w:t>二〇二</w:t>
            </w:r>
            <w:r>
              <w:rPr>
                <w:rFonts w:hint="eastAsia" w:ascii="楷体" w:hAnsi="楷体" w:eastAsia="楷体" w:cs="楷体"/>
                <w:b w:val="0"/>
                <w:bCs w:val="0"/>
                <w:spacing w:val="-20"/>
                <w:sz w:val="32"/>
                <w:szCs w:val="32"/>
                <w:highlight w:val="none"/>
                <w:lang w:val="en-US" w:eastAsia="zh-CN"/>
              </w:rPr>
              <w:t>六</w:t>
            </w:r>
            <w:r>
              <w:rPr>
                <w:rFonts w:hint="eastAsia" w:ascii="楷体" w:hAnsi="楷体" w:eastAsia="楷体" w:cs="楷体"/>
                <w:b w:val="0"/>
                <w:bCs w:val="0"/>
                <w:spacing w:val="-20"/>
                <w:sz w:val="32"/>
                <w:szCs w:val="32"/>
                <w:highlight w:val="none"/>
                <w:lang w:eastAsia="zh-CN"/>
              </w:rPr>
              <w:t>年</w:t>
            </w:r>
            <w:r>
              <w:rPr>
                <w:rFonts w:hint="eastAsia" w:ascii="楷体" w:hAnsi="楷体" w:eastAsia="楷体" w:cs="楷体"/>
                <w:b w:val="0"/>
                <w:bCs w:val="0"/>
                <w:spacing w:val="-20"/>
                <w:sz w:val="32"/>
                <w:szCs w:val="32"/>
                <w:highlight w:val="none"/>
                <w:lang w:val="en-US" w:eastAsia="zh-CN"/>
              </w:rPr>
              <w:t>六</w:t>
            </w:r>
            <w:r>
              <w:rPr>
                <w:rFonts w:hint="eastAsia" w:ascii="楷体" w:hAnsi="楷体" w:eastAsia="楷体" w:cs="楷体"/>
                <w:b w:val="0"/>
                <w:bCs w:val="0"/>
                <w:spacing w:val="-20"/>
                <w:sz w:val="32"/>
                <w:szCs w:val="32"/>
                <w:highlight w:val="none"/>
                <w:lang w:eastAsia="zh-CN"/>
              </w:rPr>
              <w:t>月</w:t>
            </w:r>
            <w:r>
              <w:rPr>
                <w:rFonts w:hint="eastAsia" w:ascii="楷体" w:hAnsi="楷体" w:eastAsia="楷体" w:cs="楷体"/>
                <w:b w:val="0"/>
                <w:bCs w:val="0"/>
                <w:spacing w:val="-20"/>
                <w:sz w:val="32"/>
                <w:szCs w:val="32"/>
                <w:highlight w:val="none"/>
                <w:lang w:val="en-US" w:eastAsia="zh-CN"/>
              </w:rPr>
              <w:t>五</w:t>
            </w:r>
            <w:r>
              <w:rPr>
                <w:rFonts w:hint="eastAsia" w:ascii="楷体" w:hAnsi="楷体" w:eastAsia="楷体" w:cs="楷体"/>
                <w:b w:val="0"/>
                <w:bCs w:val="0"/>
                <w:spacing w:val="-20"/>
                <w:sz w:val="32"/>
                <w:szCs w:val="32"/>
                <w:highlight w:val="none"/>
                <w:lang w:eastAsia="zh-CN"/>
              </w:rPr>
              <w:t>日</w:t>
            </w:r>
          </w:p>
        </w:tc>
      </w:tr>
    </w:tbl>
    <w:p w14:paraId="4C5E4F37">
      <w:pPr>
        <w:spacing w:line="520" w:lineRule="exact"/>
        <w:rPr>
          <w:b w:val="0"/>
          <w:bCs w:val="0"/>
          <w:sz w:val="32"/>
          <w:highlight w:val="none"/>
        </w:rPr>
      </w:pPr>
    </w:p>
    <w:tbl>
      <w:tblPr>
        <w:tblStyle w:val="15"/>
        <w:tblpPr w:leftFromText="180" w:rightFromText="180" w:vertAnchor="text" w:horzAnchor="page" w:tblpX="1312" w:tblpY="729"/>
        <w:tblOverlap w:val="never"/>
        <w:tblW w:w="9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7"/>
        <w:gridCol w:w="8063"/>
      </w:tblGrid>
      <w:tr w14:paraId="21E8B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rPr>
        <w:tc>
          <w:tcPr>
            <w:tcW w:w="1697" w:type="dxa"/>
            <w:vAlign w:val="center"/>
          </w:tcPr>
          <w:p w14:paraId="4F1B2582">
            <w:pPr>
              <w:keepNext w:val="0"/>
              <w:keepLines w:val="0"/>
              <w:suppressLineNumbers w:val="0"/>
              <w:spacing w:before="0" w:beforeAutospacing="0" w:after="0" w:afterAutospacing="0" w:line="360" w:lineRule="auto"/>
              <w:ind w:left="0" w:right="0"/>
              <w:jc w:val="distribute"/>
              <w:rPr>
                <w:rFonts w:ascii="楷体" w:hAnsi="楷体" w:eastAsia="楷体"/>
                <w:b w:val="0"/>
                <w:bCs w:val="0"/>
                <w:spacing w:val="14"/>
                <w:sz w:val="32"/>
                <w:szCs w:val="32"/>
                <w:highlight w:val="none"/>
              </w:rPr>
            </w:pPr>
            <w:r>
              <w:rPr>
                <w:rFonts w:hint="eastAsia" w:ascii="楷体" w:hAnsi="楷体" w:eastAsia="楷体"/>
                <w:b w:val="0"/>
                <w:bCs w:val="0"/>
                <w:spacing w:val="14"/>
                <w:sz w:val="32"/>
                <w:szCs w:val="32"/>
                <w:highlight w:val="none"/>
              </w:rPr>
              <w:t>关键词：</w:t>
            </w:r>
          </w:p>
        </w:tc>
        <w:tc>
          <w:tcPr>
            <w:tcW w:w="8063" w:type="dxa"/>
            <w:vAlign w:val="center"/>
          </w:tcPr>
          <w:p w14:paraId="18D77049">
            <w:pPr>
              <w:keepNext w:val="0"/>
              <w:keepLines w:val="0"/>
              <w:suppressLineNumbers w:val="0"/>
              <w:spacing w:before="0" w:beforeAutospacing="0" w:after="0" w:afterAutospacing="0" w:line="360" w:lineRule="auto"/>
              <w:ind w:left="0" w:right="0"/>
              <w:rPr>
                <w:rFonts w:hint="default" w:ascii="楷体" w:hAnsi="楷体" w:eastAsia="楷体"/>
                <w:b w:val="0"/>
                <w:bCs w:val="0"/>
                <w:spacing w:val="14"/>
                <w:sz w:val="32"/>
                <w:szCs w:val="32"/>
                <w:highlight w:val="none"/>
                <w:lang w:val="en-US" w:eastAsia="zh-CN"/>
              </w:rPr>
            </w:pPr>
            <w:r>
              <w:rPr>
                <w:rFonts w:hint="eastAsia" w:ascii="楷体" w:hAnsi="楷体" w:eastAsia="楷体"/>
                <w:b w:val="0"/>
                <w:bCs w:val="0"/>
                <w:spacing w:val="14"/>
                <w:sz w:val="32"/>
                <w:szCs w:val="32"/>
                <w:highlight w:val="none"/>
                <w:lang w:val="en-US" w:eastAsia="zh-CN"/>
              </w:rPr>
              <w:t>永州市道县</w:t>
            </w:r>
          </w:p>
        </w:tc>
      </w:tr>
      <w:tr w14:paraId="3EB92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697" w:type="dxa"/>
            <w:vAlign w:val="center"/>
          </w:tcPr>
          <w:p w14:paraId="5C448620">
            <w:pPr>
              <w:keepNext w:val="0"/>
              <w:keepLines w:val="0"/>
              <w:suppressLineNumbers w:val="0"/>
              <w:spacing w:before="0" w:beforeAutospacing="0" w:after="0" w:afterAutospacing="0" w:line="360" w:lineRule="auto"/>
              <w:ind w:left="0" w:right="0"/>
              <w:rPr>
                <w:rFonts w:ascii="楷体" w:hAnsi="楷体" w:eastAsia="楷体"/>
                <w:b w:val="0"/>
                <w:bCs w:val="0"/>
                <w:spacing w:val="14"/>
                <w:sz w:val="32"/>
                <w:szCs w:val="32"/>
                <w:highlight w:val="none"/>
              </w:rPr>
            </w:pPr>
          </w:p>
        </w:tc>
        <w:tc>
          <w:tcPr>
            <w:tcW w:w="8063" w:type="dxa"/>
            <w:vAlign w:val="center"/>
          </w:tcPr>
          <w:p w14:paraId="4D1A4099">
            <w:pPr>
              <w:keepNext w:val="0"/>
              <w:keepLines w:val="0"/>
              <w:suppressLineNumbers w:val="0"/>
              <w:spacing w:before="0" w:beforeAutospacing="0" w:after="0" w:afterAutospacing="0" w:line="360" w:lineRule="auto"/>
              <w:ind w:left="0" w:right="0"/>
              <w:rPr>
                <w:rFonts w:hint="default" w:ascii="楷体" w:hAnsi="楷体" w:eastAsia="楷体"/>
                <w:b w:val="0"/>
                <w:bCs w:val="0"/>
                <w:spacing w:val="14"/>
                <w:sz w:val="32"/>
                <w:szCs w:val="32"/>
                <w:highlight w:val="none"/>
                <w:lang w:val="en-US" w:eastAsia="zh-CN"/>
              </w:rPr>
            </w:pPr>
            <w:r>
              <w:rPr>
                <w:rFonts w:hint="eastAsia" w:ascii="楷体" w:hAnsi="楷体" w:eastAsia="楷体"/>
                <w:b w:val="0"/>
                <w:bCs w:val="0"/>
                <w:spacing w:val="14"/>
                <w:sz w:val="32"/>
                <w:szCs w:val="32"/>
                <w:highlight w:val="none"/>
                <w:lang w:val="en-US" w:eastAsia="zh-CN"/>
              </w:rPr>
              <w:t>出让</w:t>
            </w:r>
          </w:p>
        </w:tc>
      </w:tr>
      <w:tr w14:paraId="3CE44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rPr>
        <w:tc>
          <w:tcPr>
            <w:tcW w:w="1697" w:type="dxa"/>
            <w:vAlign w:val="center"/>
          </w:tcPr>
          <w:p w14:paraId="20F0D39E">
            <w:pPr>
              <w:keepNext w:val="0"/>
              <w:keepLines w:val="0"/>
              <w:suppressLineNumbers w:val="0"/>
              <w:spacing w:before="0" w:beforeAutospacing="0" w:after="0" w:afterAutospacing="0" w:line="360" w:lineRule="auto"/>
              <w:ind w:left="0" w:right="0"/>
              <w:rPr>
                <w:rFonts w:ascii="楷体" w:hAnsi="楷体" w:eastAsia="楷体"/>
                <w:b w:val="0"/>
                <w:bCs w:val="0"/>
                <w:spacing w:val="14"/>
                <w:sz w:val="32"/>
                <w:szCs w:val="32"/>
                <w:highlight w:val="none"/>
              </w:rPr>
            </w:pPr>
          </w:p>
        </w:tc>
        <w:tc>
          <w:tcPr>
            <w:tcW w:w="8063" w:type="dxa"/>
            <w:vAlign w:val="center"/>
          </w:tcPr>
          <w:p w14:paraId="2A0AE912">
            <w:pPr>
              <w:keepNext w:val="0"/>
              <w:keepLines w:val="0"/>
              <w:suppressLineNumbers w:val="0"/>
              <w:spacing w:before="0" w:beforeAutospacing="0" w:after="0" w:afterAutospacing="0" w:line="360" w:lineRule="auto"/>
              <w:ind w:left="0" w:right="0"/>
              <w:rPr>
                <w:rFonts w:hint="eastAsia" w:ascii="楷体" w:hAnsi="楷体" w:eastAsia="楷体"/>
                <w:b w:val="0"/>
                <w:bCs w:val="0"/>
                <w:spacing w:val="14"/>
                <w:sz w:val="32"/>
                <w:szCs w:val="32"/>
                <w:highlight w:val="none"/>
                <w:lang w:eastAsia="zh-CN"/>
              </w:rPr>
            </w:pPr>
            <w:r>
              <w:rPr>
                <w:rFonts w:hint="eastAsia" w:ascii="楷体" w:hAnsi="楷体" w:eastAsia="楷体"/>
                <w:b w:val="0"/>
                <w:bCs w:val="0"/>
                <w:spacing w:val="14"/>
                <w:sz w:val="32"/>
                <w:szCs w:val="32"/>
                <w:highlight w:val="none"/>
                <w:lang w:eastAsia="zh-CN"/>
              </w:rPr>
              <w:t>湖南兆财不动产规划评估有限公司</w:t>
            </w:r>
          </w:p>
        </w:tc>
      </w:tr>
      <w:tr w14:paraId="70487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697" w:type="dxa"/>
            <w:vAlign w:val="center"/>
          </w:tcPr>
          <w:p w14:paraId="6407B171">
            <w:pPr>
              <w:keepNext w:val="0"/>
              <w:keepLines w:val="0"/>
              <w:suppressLineNumbers w:val="0"/>
              <w:spacing w:before="0" w:beforeAutospacing="0" w:after="0" w:afterAutospacing="0" w:line="360" w:lineRule="auto"/>
              <w:ind w:left="0" w:right="0"/>
              <w:rPr>
                <w:rFonts w:ascii="楷体" w:hAnsi="楷体" w:eastAsia="楷体"/>
                <w:b w:val="0"/>
                <w:bCs w:val="0"/>
                <w:spacing w:val="14"/>
                <w:sz w:val="32"/>
                <w:szCs w:val="32"/>
                <w:highlight w:val="none"/>
              </w:rPr>
            </w:pPr>
          </w:p>
        </w:tc>
        <w:tc>
          <w:tcPr>
            <w:tcW w:w="8063" w:type="dxa"/>
            <w:vAlign w:val="center"/>
          </w:tcPr>
          <w:p w14:paraId="35060695">
            <w:pPr>
              <w:keepNext w:val="0"/>
              <w:keepLines w:val="0"/>
              <w:suppressLineNumbers w:val="0"/>
              <w:spacing w:before="0" w:beforeAutospacing="0" w:after="0" w:afterAutospacing="0" w:line="360" w:lineRule="auto"/>
              <w:ind w:left="0" w:right="0"/>
              <w:rPr>
                <w:rFonts w:hint="eastAsia" w:ascii="楷体" w:hAnsi="楷体" w:eastAsia="楷体"/>
                <w:b w:val="0"/>
                <w:bCs w:val="0"/>
                <w:spacing w:val="14"/>
                <w:sz w:val="32"/>
                <w:szCs w:val="32"/>
                <w:highlight w:val="none"/>
                <w:lang w:eastAsia="zh-CN"/>
              </w:rPr>
            </w:pPr>
            <w:r>
              <w:rPr>
                <w:rFonts w:hint="eastAsia" w:ascii="楷体" w:hAnsi="楷体" w:eastAsia="楷体" w:cs="楷体"/>
                <w:b w:val="0"/>
                <w:bCs w:val="0"/>
                <w:spacing w:val="-20"/>
                <w:sz w:val="32"/>
                <w:szCs w:val="32"/>
                <w:highlight w:val="none"/>
                <w:lang w:eastAsia="zh-CN"/>
              </w:rPr>
              <w:t>二〇二</w:t>
            </w:r>
            <w:r>
              <w:rPr>
                <w:rFonts w:hint="eastAsia" w:ascii="楷体" w:hAnsi="楷体" w:eastAsia="楷体" w:cs="楷体"/>
                <w:b w:val="0"/>
                <w:bCs w:val="0"/>
                <w:spacing w:val="-20"/>
                <w:sz w:val="32"/>
                <w:szCs w:val="32"/>
                <w:highlight w:val="none"/>
                <w:lang w:val="en-US" w:eastAsia="zh-CN"/>
              </w:rPr>
              <w:t>六</w:t>
            </w:r>
            <w:r>
              <w:rPr>
                <w:rFonts w:hint="eastAsia" w:ascii="楷体" w:hAnsi="楷体" w:eastAsia="楷体" w:cs="楷体"/>
                <w:b w:val="0"/>
                <w:bCs w:val="0"/>
                <w:spacing w:val="-20"/>
                <w:sz w:val="32"/>
                <w:szCs w:val="32"/>
                <w:highlight w:val="none"/>
                <w:lang w:eastAsia="zh-CN"/>
              </w:rPr>
              <w:t>年</w:t>
            </w:r>
          </w:p>
        </w:tc>
      </w:tr>
    </w:tbl>
    <w:p w14:paraId="6DD7AAB7">
      <w:pPr>
        <w:pStyle w:val="21"/>
        <w:spacing w:before="120" w:beforeLines="50" w:after="240" w:afterLines="100" w:line="440" w:lineRule="exact"/>
        <w:ind w:firstLine="643"/>
        <w:jc w:val="center"/>
        <w:outlineLvl w:val="0"/>
        <w:rPr>
          <w:rFonts w:ascii="宋体" w:hAnsi="宋体" w:eastAsia="宋体" w:cs="仿宋_GB2312"/>
          <w:b/>
          <w:bCs/>
          <w:sz w:val="32"/>
          <w:szCs w:val="32"/>
          <w:highlight w:val="none"/>
        </w:rPr>
      </w:pPr>
      <w:bookmarkStart w:id="43" w:name="_Toc15638"/>
      <w:r>
        <w:rPr>
          <w:rFonts w:hint="eastAsia" w:ascii="宋体" w:hAnsi="宋体" w:eastAsia="宋体" w:cs="仿宋_GB2312"/>
          <w:b/>
          <w:bCs/>
          <w:sz w:val="32"/>
          <w:szCs w:val="32"/>
          <w:highlight w:val="none"/>
        </w:rPr>
        <w:t>土地估价技术报告（评估工作底稿）</w:t>
      </w:r>
      <w:bookmarkEnd w:id="43"/>
    </w:p>
    <w:p w14:paraId="73CF586B">
      <w:pPr>
        <w:pStyle w:val="21"/>
        <w:spacing w:before="120" w:beforeLines="50" w:after="240" w:afterLines="100" w:line="440" w:lineRule="exact"/>
        <w:ind w:firstLine="0" w:firstLineChars="0"/>
        <w:jc w:val="center"/>
        <w:outlineLvl w:val="0"/>
        <w:rPr>
          <w:rFonts w:ascii="宋体" w:hAnsi="宋体" w:eastAsia="宋体" w:cs="宋体"/>
          <w:b/>
          <w:bCs/>
          <w:color w:val="auto"/>
          <w:sz w:val="32"/>
          <w:szCs w:val="32"/>
          <w:highlight w:val="none"/>
        </w:rPr>
      </w:pPr>
      <w:bookmarkStart w:id="44" w:name="_Toc16480"/>
      <w:r>
        <w:rPr>
          <w:rFonts w:hint="eastAsia" w:ascii="宋体" w:hAnsi="宋体" w:eastAsia="宋体" w:cs="宋体"/>
          <w:b/>
          <w:bCs/>
          <w:color w:val="auto"/>
          <w:sz w:val="32"/>
          <w:szCs w:val="32"/>
          <w:highlight w:val="none"/>
        </w:rPr>
        <w:t>第一部分  摘要</w:t>
      </w:r>
      <w:bookmarkEnd w:id="44"/>
    </w:p>
    <w:p w14:paraId="36FB867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val="0"/>
          <w:bCs w:val="0"/>
          <w:color w:val="auto"/>
          <w:sz w:val="28"/>
          <w:szCs w:val="28"/>
          <w:highlight w:val="none"/>
          <w:lang w:val="en-GB" w:eastAsia="zh-CN"/>
        </w:rPr>
      </w:pPr>
      <w:bookmarkStart w:id="45" w:name="_Toc31048"/>
      <w:r>
        <w:rPr>
          <w:rFonts w:hint="eastAsia" w:ascii="仿宋_GB2312" w:hAnsi="仿宋_GB2312" w:eastAsia="仿宋_GB2312" w:cs="仿宋_GB2312"/>
          <w:b/>
          <w:bCs/>
          <w:color w:val="auto"/>
          <w:sz w:val="28"/>
          <w:szCs w:val="28"/>
          <w:highlight w:val="none"/>
          <w:lang w:val="en-GB" w:eastAsia="zh-CN"/>
        </w:rPr>
        <w:t>一、估价项目名称</w:t>
      </w:r>
      <w:bookmarkEnd w:id="45"/>
    </w:p>
    <w:p w14:paraId="2B955637">
      <w:pPr>
        <w:pStyle w:val="13"/>
        <w:keepNext w:val="0"/>
        <w:keepLines w:val="0"/>
        <w:pageBreakBefore w:val="0"/>
        <w:widowControl w:val="0"/>
        <w:kinsoku/>
        <w:wordWrap/>
        <w:overflowPunct/>
        <w:topLinePunct w:val="0"/>
        <w:autoSpaceDE w:val="0"/>
        <w:autoSpaceDN w:val="0"/>
        <w:bidi w:val="0"/>
        <w:adjustRightInd w:val="0"/>
        <w:snapToGrid w:val="0"/>
        <w:spacing w:line="480" w:lineRule="exact"/>
        <w:textAlignment w:val="auto"/>
        <w:rPr>
          <w:rFonts w:hint="eastAsia" w:ascii="仿宋_GB2312" w:hAnsi="仿宋_GB2312" w:eastAsia="仿宋_GB2312" w:cs="仿宋_GB2312"/>
          <w:b w:val="0"/>
          <w:bCs w:val="0"/>
          <w:color w:val="auto"/>
          <w:kern w:val="2"/>
          <w:sz w:val="28"/>
          <w:szCs w:val="28"/>
          <w:highlight w:val="none"/>
          <w:lang w:val="en-US" w:eastAsia="zh-CN" w:bidi="ar-SA"/>
        </w:rPr>
      </w:pPr>
      <w:r>
        <w:rPr>
          <w:rFonts w:hint="eastAsia" w:ascii="仿宋_GB2312" w:hAnsi="仿宋_GB2312" w:cs="仿宋_GB2312"/>
          <w:b w:val="0"/>
          <w:bCs w:val="0"/>
          <w:color w:val="000000" w:themeColor="text1"/>
          <w:kern w:val="0"/>
          <w:sz w:val="28"/>
          <w:szCs w:val="28"/>
          <w:highlight w:val="none"/>
          <w:lang w:val="en-US" w:eastAsia="zh-CN"/>
          <w14:textFill>
            <w14:solidFill>
              <w14:schemeClr w14:val="tx1"/>
            </w14:solidFill>
          </w14:textFill>
        </w:rPr>
        <w:t>道县自然资源局办理土地使用权出让手续涉及的位于道县西洲街道宝珍街六栋九号的一宗住宅用途国有建设用地使用权市场价格评估</w:t>
      </w:r>
      <w:r>
        <w:rPr>
          <w:rFonts w:hint="eastAsia" w:ascii="仿宋_GB2312" w:hAnsi="仿宋_GB2312" w:eastAsia="仿宋_GB2312" w:cs="仿宋_GB2312"/>
          <w:b w:val="0"/>
          <w:bCs w:val="0"/>
          <w:color w:val="auto"/>
          <w:kern w:val="2"/>
          <w:sz w:val="28"/>
          <w:szCs w:val="28"/>
          <w:highlight w:val="none"/>
          <w:lang w:val="en-US" w:eastAsia="zh-CN" w:bidi="ar-SA"/>
        </w:rPr>
        <w:t>（永州市道县）</w:t>
      </w:r>
    </w:p>
    <w:p w14:paraId="03D5CD03">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color w:val="auto"/>
          <w:sz w:val="28"/>
          <w:szCs w:val="28"/>
          <w:highlight w:val="none"/>
          <w:lang w:val="en-GB" w:eastAsia="zh-CN"/>
        </w:rPr>
      </w:pPr>
      <w:bookmarkStart w:id="46" w:name="_Toc26475"/>
      <w:r>
        <w:rPr>
          <w:rFonts w:hint="eastAsia" w:ascii="仿宋_GB2312" w:hAnsi="仿宋_GB2312" w:eastAsia="仿宋_GB2312" w:cs="仿宋_GB2312"/>
          <w:b/>
          <w:bCs/>
          <w:color w:val="auto"/>
          <w:sz w:val="28"/>
          <w:szCs w:val="28"/>
          <w:highlight w:val="none"/>
          <w:lang w:val="en-US" w:eastAsia="zh-CN"/>
        </w:rPr>
        <w:t>二、</w:t>
      </w:r>
      <w:r>
        <w:rPr>
          <w:rFonts w:hint="eastAsia" w:ascii="仿宋_GB2312" w:hAnsi="仿宋_GB2312" w:eastAsia="仿宋_GB2312" w:cs="仿宋_GB2312"/>
          <w:b/>
          <w:bCs/>
          <w:color w:val="auto"/>
          <w:sz w:val="28"/>
          <w:szCs w:val="28"/>
          <w:highlight w:val="none"/>
          <w:lang w:val="en-GB" w:eastAsia="zh-CN"/>
        </w:rPr>
        <w:t>委托估价方</w:t>
      </w:r>
      <w:bookmarkEnd w:id="46"/>
    </w:p>
    <w:p w14:paraId="7C7C949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sz w:val="28"/>
          <w:szCs w:val="28"/>
          <w:lang w:val="en-US" w:eastAsia="zh-CN"/>
        </w:rPr>
      </w:pPr>
      <w:bookmarkStart w:id="47" w:name="_Toc28381"/>
      <w:r>
        <w:rPr>
          <w:rFonts w:hint="eastAsia" w:ascii="仿宋_GB2312" w:hAnsi="仿宋_GB2312" w:eastAsia="仿宋_GB2312" w:cs="仿宋_GB2312"/>
          <w:bCs/>
          <w:sz w:val="28"/>
          <w:szCs w:val="28"/>
          <w:lang w:val="en-GB" w:eastAsia="zh-CN"/>
        </w:rPr>
        <w:t>委托估价方</w:t>
      </w:r>
      <w:r>
        <w:rPr>
          <w:rFonts w:hint="eastAsia" w:ascii="仿宋_GB2312" w:hAnsi="仿宋_GB2312" w:eastAsia="仿宋_GB2312" w:cs="仿宋_GB2312"/>
          <w:bCs/>
          <w:sz w:val="28"/>
          <w:szCs w:val="28"/>
          <w:lang w:val="en-US" w:eastAsia="zh-CN"/>
        </w:rPr>
        <w:t xml:space="preserve">：道县自然资源局 </w:t>
      </w:r>
    </w:p>
    <w:p w14:paraId="322548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sz w:val="28"/>
          <w:szCs w:val="28"/>
          <w:lang w:val="en-US" w:eastAsia="zh-CN"/>
        </w:rPr>
      </w:pPr>
      <w:r>
        <w:rPr>
          <w:rFonts w:hint="eastAsia" w:ascii="仿宋_GB2312" w:hAnsi="仿宋_GB2312" w:eastAsia="仿宋_GB2312" w:cs="仿宋_GB2312"/>
          <w:bCs/>
          <w:sz w:val="28"/>
          <w:szCs w:val="28"/>
          <w:lang w:val="en-US" w:eastAsia="zh-CN"/>
        </w:rPr>
        <w:t>社会统一信用代码：11431124006598189Q</w:t>
      </w:r>
    </w:p>
    <w:p w14:paraId="0FE5232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lang w:val="en-US" w:eastAsia="zh-CN"/>
        </w:rPr>
      </w:pPr>
      <w:r>
        <w:rPr>
          <w:rFonts w:hint="eastAsia" w:ascii="仿宋_GB2312" w:hAnsi="仿宋_GB2312" w:eastAsia="仿宋_GB2312" w:cs="仿宋_GB2312"/>
          <w:bCs/>
          <w:sz w:val="28"/>
          <w:szCs w:val="28"/>
          <w:lang w:val="en-US" w:eastAsia="zh-CN"/>
        </w:rPr>
        <w:t>负责人：</w:t>
      </w:r>
      <w:r>
        <w:rPr>
          <w:rFonts w:hint="eastAsia" w:ascii="仿宋_GB2312" w:hAnsi="仿宋_GB2312" w:eastAsia="仿宋_GB2312" w:cs="仿宋_GB2312"/>
          <w:bCs/>
          <w:color w:val="auto"/>
          <w:sz w:val="28"/>
          <w:szCs w:val="28"/>
          <w:lang w:val="en-US" w:eastAsia="zh-CN"/>
        </w:rPr>
        <w:t>杨安良</w:t>
      </w:r>
    </w:p>
    <w:p w14:paraId="57AA535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sz w:val="28"/>
          <w:szCs w:val="28"/>
          <w:lang w:val="en-US" w:eastAsia="zh-CN"/>
        </w:rPr>
      </w:pPr>
      <w:r>
        <w:rPr>
          <w:rFonts w:hint="eastAsia" w:ascii="仿宋_GB2312" w:hAnsi="仿宋_GB2312" w:eastAsia="仿宋_GB2312" w:cs="仿宋_GB2312"/>
          <w:bCs/>
          <w:sz w:val="28"/>
          <w:szCs w:val="28"/>
          <w:lang w:val="en-US" w:eastAsia="zh-CN"/>
        </w:rPr>
        <w:t>机构性质：机关</w:t>
      </w:r>
    </w:p>
    <w:p w14:paraId="1F80586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Cs/>
          <w:sz w:val="28"/>
          <w:szCs w:val="28"/>
          <w:lang w:val="en-US" w:eastAsia="zh-CN"/>
        </w:rPr>
      </w:pPr>
      <w:r>
        <w:rPr>
          <w:rFonts w:hint="eastAsia" w:ascii="仿宋_GB2312" w:hAnsi="仿宋_GB2312" w:eastAsia="仿宋_GB2312" w:cs="仿宋_GB2312"/>
          <w:bCs/>
          <w:sz w:val="28"/>
          <w:szCs w:val="28"/>
          <w:lang w:val="en-US" w:eastAsia="zh-CN"/>
        </w:rPr>
        <w:t>机构地址：道县道州北路153号</w:t>
      </w:r>
    </w:p>
    <w:p w14:paraId="1CAFD295">
      <w:pPr>
        <w:spacing w:line="460" w:lineRule="exact"/>
        <w:ind w:firstLine="560" w:firstLineChars="200"/>
        <w:outlineLvl w:val="9"/>
        <w:rPr>
          <w:rFonts w:ascii="仿宋_GB2312" w:eastAsia="仿宋_GB2312"/>
          <w:color w:val="000000" w:themeColor="text1"/>
          <w:sz w:val="28"/>
          <w:szCs w:val="30"/>
          <w14:textFill>
            <w14:solidFill>
              <w14:schemeClr w14:val="tx1"/>
            </w14:solidFill>
          </w14:textFill>
        </w:rPr>
      </w:pPr>
      <w:r>
        <w:rPr>
          <w:rFonts w:hint="eastAsia" w:ascii="仿宋_GB2312" w:eastAsia="仿宋_GB2312"/>
          <w:color w:val="000000" w:themeColor="text1"/>
          <w:sz w:val="28"/>
          <w:szCs w:val="30"/>
          <w14:textFill>
            <w14:solidFill>
              <w14:schemeClr w14:val="tx1"/>
            </w14:solidFill>
          </w14:textFill>
        </w:rPr>
        <w:t>联 系 人：</w:t>
      </w:r>
      <w:r>
        <w:rPr>
          <w:rFonts w:hint="eastAsia" w:ascii="仿宋_GB2312" w:eastAsia="仿宋_GB2312"/>
          <w:color w:val="000000" w:themeColor="text1"/>
          <w:sz w:val="28"/>
          <w:szCs w:val="30"/>
          <w:lang w:val="en-US" w:eastAsia="zh-CN"/>
          <w14:textFill>
            <w14:solidFill>
              <w14:schemeClr w14:val="tx1"/>
            </w14:solidFill>
          </w14:textFill>
        </w:rPr>
        <w:t>周</w:t>
      </w:r>
      <w:r>
        <w:rPr>
          <w:rFonts w:hint="eastAsia" w:ascii="仿宋_GB2312" w:eastAsia="仿宋_GB2312"/>
          <w:color w:val="000000" w:themeColor="text1"/>
          <w:sz w:val="28"/>
          <w:szCs w:val="30"/>
          <w14:textFill>
            <w14:solidFill>
              <w14:schemeClr w14:val="tx1"/>
            </w14:solidFill>
          </w14:textFill>
        </w:rPr>
        <w:t>先生</w:t>
      </w:r>
    </w:p>
    <w:p w14:paraId="7D29EDB4">
      <w:pPr>
        <w:spacing w:line="460" w:lineRule="exact"/>
        <w:ind w:firstLine="560" w:firstLineChars="200"/>
        <w:outlineLvl w:val="9"/>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联系电话：13874668219</w:t>
      </w:r>
    </w:p>
    <w:p w14:paraId="561BBA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sz w:val="28"/>
          <w:szCs w:val="28"/>
          <w:lang w:val="en-US" w:eastAsia="zh-CN"/>
        </w:rPr>
      </w:pPr>
      <w:r>
        <w:rPr>
          <w:rFonts w:hint="eastAsia" w:ascii="仿宋_GB2312" w:hAnsi="仿宋_GB2312" w:eastAsia="仿宋_GB2312" w:cs="仿宋_GB2312"/>
          <w:bCs/>
          <w:sz w:val="28"/>
          <w:szCs w:val="28"/>
          <w:lang w:val="en-US" w:eastAsia="zh-CN"/>
        </w:rPr>
        <w:t>邮    编：425300</w:t>
      </w:r>
    </w:p>
    <w:p w14:paraId="3A1D54C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highlight w:val="none"/>
          <w:lang w:val="en-US" w:eastAsia="zh-CN"/>
        </w:rPr>
      </w:pPr>
      <w:r>
        <w:rPr>
          <w:rFonts w:hint="eastAsia" w:ascii="仿宋_GB2312" w:hAnsi="仿宋_GB2312" w:eastAsia="仿宋_GB2312" w:cs="仿宋_GB2312"/>
          <w:bCs/>
          <w:sz w:val="28"/>
          <w:szCs w:val="28"/>
          <w:lang w:val="en-GB" w:eastAsia="zh-CN"/>
        </w:rPr>
        <w:t>与估价对象土地使用者之间的关系：</w:t>
      </w:r>
      <w:r>
        <w:rPr>
          <w:rFonts w:hint="eastAsia" w:ascii="仿宋_GB2312" w:hAnsi="仿宋_GB2312" w:eastAsia="仿宋_GB2312" w:cs="仿宋_GB2312"/>
          <w:bCs/>
          <w:sz w:val="28"/>
          <w:szCs w:val="28"/>
          <w:lang w:val="en-US" w:eastAsia="zh-CN"/>
        </w:rPr>
        <w:t>委托方为土地出让实施单位，土地使用者拟通过出让确定</w:t>
      </w:r>
      <w:r>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t>。</w:t>
      </w:r>
    </w:p>
    <w:p w14:paraId="58B898B9">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color w:val="auto"/>
          <w:sz w:val="28"/>
          <w:szCs w:val="28"/>
          <w:highlight w:val="none"/>
          <w:lang w:val="en-GB" w:eastAsia="zh-CN"/>
        </w:rPr>
      </w:pPr>
      <w:r>
        <w:rPr>
          <w:rFonts w:hint="eastAsia" w:ascii="仿宋_GB2312" w:hAnsi="仿宋_GB2312" w:eastAsia="仿宋_GB2312" w:cs="仿宋_GB2312"/>
          <w:b/>
          <w:bCs/>
          <w:color w:val="auto"/>
          <w:sz w:val="28"/>
          <w:szCs w:val="28"/>
          <w:highlight w:val="none"/>
          <w:lang w:val="en-US" w:eastAsia="zh-CN"/>
        </w:rPr>
        <w:t>三、受委托估价方</w:t>
      </w:r>
      <w:bookmarkEnd w:id="47"/>
    </w:p>
    <w:p w14:paraId="28EC2EC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名    称：湖南兆财不动产规划评估有限公司</w:t>
      </w:r>
    </w:p>
    <w:p w14:paraId="5C5120B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类    型：有限责任公司（自然人投资或控股）</w:t>
      </w:r>
    </w:p>
    <w:p w14:paraId="4047D00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法定代表人：</w:t>
      </w:r>
      <w:r>
        <w:rPr>
          <w:rFonts w:hint="eastAsia" w:ascii="仿宋_GB2312" w:hAnsi="仿宋_GB2312" w:eastAsia="仿宋_GB2312" w:cs="仿宋_GB2312"/>
          <w:b w:val="0"/>
          <w:bCs w:val="0"/>
          <w:color w:val="auto"/>
          <w:sz w:val="28"/>
          <w:szCs w:val="28"/>
          <w:highlight w:val="none"/>
          <w:lang w:val="en-US" w:eastAsia="zh-CN"/>
        </w:rPr>
        <w:t>彭翀</w:t>
      </w:r>
    </w:p>
    <w:p w14:paraId="066E5E2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注册资本：贰佰万元整</w:t>
      </w:r>
    </w:p>
    <w:p w14:paraId="2ADB809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成立日期：20</w:t>
      </w:r>
      <w:r>
        <w:rPr>
          <w:rFonts w:hint="eastAsia" w:ascii="仿宋_GB2312" w:hAnsi="仿宋_GB2312" w:eastAsia="仿宋_GB2312" w:cs="仿宋_GB2312"/>
          <w:b w:val="0"/>
          <w:bCs w:val="0"/>
          <w:color w:val="auto"/>
          <w:sz w:val="28"/>
          <w:szCs w:val="28"/>
          <w:highlight w:val="none"/>
          <w:lang w:val="en-US" w:eastAsia="zh-CN"/>
        </w:rPr>
        <w:t>21</w:t>
      </w:r>
      <w:r>
        <w:rPr>
          <w:rFonts w:hint="eastAsia" w:ascii="仿宋_GB2312" w:hAnsi="仿宋_GB2312" w:eastAsia="仿宋_GB2312" w:cs="仿宋_GB2312"/>
          <w:b w:val="0"/>
          <w:bCs w:val="0"/>
          <w:color w:val="auto"/>
          <w:sz w:val="28"/>
          <w:szCs w:val="28"/>
          <w:highlight w:val="none"/>
          <w:lang w:val="en-GB" w:eastAsia="zh-CN"/>
        </w:rPr>
        <w:t>年</w:t>
      </w:r>
      <w:r>
        <w:rPr>
          <w:rFonts w:hint="eastAsia" w:ascii="仿宋_GB2312" w:hAnsi="仿宋_GB2312" w:eastAsia="仿宋_GB2312" w:cs="仿宋_GB2312"/>
          <w:b w:val="0"/>
          <w:bCs w:val="0"/>
          <w:color w:val="auto"/>
          <w:sz w:val="28"/>
          <w:szCs w:val="28"/>
          <w:highlight w:val="none"/>
          <w:lang w:val="en-US" w:eastAsia="zh-CN"/>
        </w:rPr>
        <w:t>11</w:t>
      </w:r>
      <w:r>
        <w:rPr>
          <w:rFonts w:hint="eastAsia" w:ascii="仿宋_GB2312" w:hAnsi="仿宋_GB2312" w:eastAsia="仿宋_GB2312" w:cs="仿宋_GB2312"/>
          <w:b w:val="0"/>
          <w:bCs w:val="0"/>
          <w:color w:val="auto"/>
          <w:sz w:val="28"/>
          <w:szCs w:val="28"/>
          <w:highlight w:val="none"/>
          <w:lang w:val="en-GB" w:eastAsia="zh-CN"/>
        </w:rPr>
        <w:t>月</w:t>
      </w:r>
      <w:r>
        <w:rPr>
          <w:rFonts w:hint="eastAsia" w:ascii="仿宋_GB2312" w:hAnsi="仿宋_GB2312" w:eastAsia="仿宋_GB2312" w:cs="仿宋_GB2312"/>
          <w:b w:val="0"/>
          <w:bCs w:val="0"/>
          <w:color w:val="auto"/>
          <w:sz w:val="28"/>
          <w:szCs w:val="28"/>
          <w:highlight w:val="none"/>
          <w:lang w:val="en-US" w:eastAsia="zh-CN"/>
        </w:rPr>
        <w:t>22</w:t>
      </w:r>
      <w:r>
        <w:rPr>
          <w:rFonts w:hint="eastAsia" w:ascii="仿宋_GB2312" w:hAnsi="仿宋_GB2312" w:eastAsia="仿宋_GB2312" w:cs="仿宋_GB2312"/>
          <w:b w:val="0"/>
          <w:bCs w:val="0"/>
          <w:color w:val="auto"/>
          <w:sz w:val="28"/>
          <w:szCs w:val="28"/>
          <w:highlight w:val="none"/>
          <w:lang w:val="en-GB" w:eastAsia="zh-CN"/>
        </w:rPr>
        <w:t>日</w:t>
      </w:r>
    </w:p>
    <w:p w14:paraId="66536C0C">
      <w:pPr>
        <w:keepNext w:val="0"/>
        <w:keepLines w:val="0"/>
        <w:pageBreakBefore w:val="0"/>
        <w:widowControl w:val="0"/>
        <w:kinsoku/>
        <w:wordWrap/>
        <w:overflowPunct/>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GB" w:eastAsia="zh-CN"/>
        </w:rPr>
        <w:t>机构</w:t>
      </w:r>
      <w:r>
        <w:rPr>
          <w:rFonts w:hint="eastAsia" w:ascii="仿宋_GB2312" w:hAnsi="仿宋_GB2312" w:eastAsia="仿宋_GB2312" w:cs="仿宋_GB2312"/>
          <w:b w:val="0"/>
          <w:bCs w:val="0"/>
          <w:color w:val="auto"/>
          <w:sz w:val="28"/>
          <w:szCs w:val="28"/>
          <w:highlight w:val="none"/>
          <w:lang w:val="en-US" w:eastAsia="zh-CN"/>
        </w:rPr>
        <w:t>备案编号</w:t>
      </w:r>
      <w:r>
        <w:rPr>
          <w:rFonts w:hint="eastAsia" w:ascii="仿宋_GB2312" w:hAnsi="仿宋_GB2312" w:eastAsia="仿宋_GB2312" w:cs="仿宋_GB2312"/>
          <w:b w:val="0"/>
          <w:bCs w:val="0"/>
          <w:color w:val="auto"/>
          <w:sz w:val="28"/>
          <w:szCs w:val="28"/>
          <w:highlight w:val="none"/>
          <w:lang w:val="en-GB" w:eastAsia="zh-CN"/>
        </w:rPr>
        <w:t>：</w:t>
      </w:r>
      <w:r>
        <w:rPr>
          <w:rFonts w:hint="eastAsia" w:ascii="仿宋_GB2312" w:hAnsi="仿宋_GB2312" w:eastAsia="仿宋_GB2312" w:cs="仿宋_GB2312"/>
          <w:b w:val="0"/>
          <w:bCs w:val="0"/>
          <w:color w:val="auto"/>
          <w:sz w:val="28"/>
          <w:szCs w:val="28"/>
          <w:highlight w:val="none"/>
          <w:lang w:val="en-US" w:eastAsia="zh-CN"/>
        </w:rPr>
        <w:t>2022430010</w:t>
      </w:r>
    </w:p>
    <w:p w14:paraId="6235E5AF">
      <w:pPr>
        <w:keepNext w:val="0"/>
        <w:keepLines w:val="0"/>
        <w:pageBreakBefore w:val="0"/>
        <w:widowControl w:val="0"/>
        <w:kinsoku/>
        <w:wordWrap/>
        <w:overflowPunct/>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联 系 人：</w:t>
      </w:r>
      <w:r>
        <w:rPr>
          <w:rFonts w:hint="eastAsia" w:ascii="仿宋_GB2312" w:hAnsi="仿宋_GB2312" w:eastAsia="仿宋_GB2312" w:cs="仿宋_GB2312"/>
          <w:b w:val="0"/>
          <w:bCs w:val="0"/>
          <w:color w:val="auto"/>
          <w:sz w:val="28"/>
          <w:szCs w:val="28"/>
          <w:highlight w:val="none"/>
          <w:lang w:val="en-US" w:eastAsia="zh-CN"/>
        </w:rPr>
        <w:t>彭翀</w:t>
      </w:r>
    </w:p>
    <w:p w14:paraId="523DD7C7">
      <w:pPr>
        <w:keepNext w:val="0"/>
        <w:keepLines w:val="0"/>
        <w:pageBreakBefore w:val="0"/>
        <w:widowControl w:val="0"/>
        <w:kinsoku/>
        <w:wordWrap/>
        <w:overflowPunct/>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GB" w:eastAsia="zh-CN"/>
        </w:rPr>
        <w:t>联系电话：</w:t>
      </w:r>
      <w:r>
        <w:rPr>
          <w:rFonts w:hint="eastAsia" w:ascii="仿宋_GB2312" w:hAnsi="仿宋_GB2312" w:eastAsia="仿宋_GB2312" w:cs="仿宋_GB2312"/>
          <w:b w:val="0"/>
          <w:bCs w:val="0"/>
          <w:color w:val="auto"/>
          <w:sz w:val="28"/>
          <w:szCs w:val="28"/>
          <w:highlight w:val="none"/>
          <w:lang w:val="en-US" w:eastAsia="zh-CN"/>
        </w:rPr>
        <w:t>15388005188</w:t>
      </w:r>
    </w:p>
    <w:p w14:paraId="3980F956">
      <w:pPr>
        <w:keepNext w:val="0"/>
        <w:keepLines w:val="0"/>
        <w:pageBreakBefore w:val="0"/>
        <w:widowControl w:val="0"/>
        <w:kinsoku/>
        <w:wordWrap/>
        <w:overflowPunct/>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邮    编：4100</w:t>
      </w:r>
      <w:r>
        <w:rPr>
          <w:rFonts w:hint="eastAsia" w:ascii="仿宋_GB2312" w:hAnsi="仿宋_GB2312" w:eastAsia="仿宋_GB2312" w:cs="仿宋_GB2312"/>
          <w:b w:val="0"/>
          <w:bCs w:val="0"/>
          <w:color w:val="auto"/>
          <w:sz w:val="28"/>
          <w:szCs w:val="28"/>
          <w:highlight w:val="none"/>
          <w:lang w:val="en-US" w:eastAsia="zh-CN"/>
        </w:rPr>
        <w:t>00</w:t>
      </w:r>
    </w:p>
    <w:p w14:paraId="38E66F40">
      <w:pPr>
        <w:keepNext w:val="0"/>
        <w:keepLines w:val="0"/>
        <w:pageBreakBefore w:val="0"/>
        <w:widowControl w:val="0"/>
        <w:numPr>
          <w:ilvl w:val="0"/>
          <w:numId w:val="0"/>
        </w:numPr>
        <w:kinsoku/>
        <w:wordWrap/>
        <w:overflowPunct/>
        <w:topLinePunct w:val="0"/>
        <w:autoSpaceDE w:val="0"/>
        <w:autoSpaceDN w:val="0"/>
        <w:bidi w:val="0"/>
        <w:adjustRightInd w:val="0"/>
        <w:snapToGrid w:val="0"/>
        <w:spacing w:line="500" w:lineRule="exact"/>
        <w:ind w:left="0" w:leftChars="0" w:firstLine="560" w:firstLineChars="200"/>
        <w:textAlignment w:val="auto"/>
        <w:outlineLvl w:val="1"/>
        <w:rPr>
          <w:rFonts w:hint="eastAsia" w:ascii="仿宋_GB2312" w:hAnsi="仿宋_GB2312" w:eastAsia="仿宋_GB2312" w:cs="仿宋_GB2312"/>
          <w:b w:val="0"/>
          <w:bCs w:val="0"/>
          <w:color w:val="auto"/>
          <w:sz w:val="28"/>
          <w:szCs w:val="28"/>
          <w:highlight w:val="none"/>
          <w:lang w:val="en-GB" w:eastAsia="zh-CN"/>
        </w:rPr>
      </w:pPr>
      <w:bookmarkStart w:id="48" w:name="_Toc20956"/>
      <w:r>
        <w:rPr>
          <w:rFonts w:hint="eastAsia" w:ascii="仿宋_GB2312" w:hAnsi="仿宋_GB2312" w:eastAsia="仿宋_GB2312" w:cs="仿宋_GB2312"/>
          <w:b w:val="0"/>
          <w:bCs w:val="0"/>
          <w:color w:val="auto"/>
          <w:kern w:val="2"/>
          <w:sz w:val="28"/>
          <w:szCs w:val="28"/>
          <w:lang w:val="en-US" w:eastAsia="zh-CN" w:bidi="ar-SA"/>
        </w:rPr>
        <w:t>四</w:t>
      </w:r>
      <w:r>
        <w:rPr>
          <w:rFonts w:hint="eastAsia" w:ascii="仿宋_GB2312" w:hAnsi="仿宋_GB2312" w:eastAsia="仿宋_GB2312" w:cs="仿宋_GB2312"/>
          <w:b w:val="0"/>
          <w:bCs w:val="0"/>
          <w:color w:val="auto"/>
          <w:kern w:val="2"/>
          <w:sz w:val="28"/>
          <w:szCs w:val="28"/>
          <w:lang w:val="en-GB" w:eastAsia="zh-CN" w:bidi="ar-SA"/>
        </w:rPr>
        <w:t>、</w:t>
      </w:r>
      <w:r>
        <w:rPr>
          <w:rFonts w:hint="eastAsia" w:ascii="仿宋_GB2312" w:hAnsi="仿宋_GB2312" w:eastAsia="仿宋_GB2312" w:cs="仿宋_GB2312"/>
          <w:b w:val="0"/>
          <w:bCs w:val="0"/>
          <w:color w:val="auto"/>
          <w:sz w:val="28"/>
          <w:szCs w:val="28"/>
          <w:highlight w:val="none"/>
          <w:lang w:val="en-GB" w:eastAsia="zh-CN"/>
        </w:rPr>
        <w:t>估价目的</w:t>
      </w:r>
    </w:p>
    <w:p w14:paraId="3BB13D3D">
      <w:pPr>
        <w:keepNext w:val="0"/>
        <w:keepLines w:val="0"/>
        <w:pageBreakBefore w:val="0"/>
        <w:widowControl w:val="0"/>
        <w:kinsoku/>
        <w:wordWrap/>
        <w:overflowPunct/>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30"/>
          <w:highlight w:val="none"/>
          <w:lang w:val="en-GB" w:eastAsia="zh-CN"/>
          <w14:textFill>
            <w14:solidFill>
              <w14:schemeClr w14:val="tx1"/>
            </w14:solidFill>
          </w14:textFill>
        </w:rPr>
      </w:pPr>
      <w:r>
        <w:rPr>
          <w:rFonts w:hint="eastAsia" w:ascii="仿宋_GB2312" w:hAnsi="仿宋_GB2312" w:eastAsia="仿宋_GB2312" w:cs="仿宋_GB2312"/>
          <w:bCs/>
          <w:color w:val="auto"/>
          <w:kern w:val="0"/>
          <w:sz w:val="28"/>
          <w:szCs w:val="28"/>
          <w:highlight w:val="none"/>
          <w:lang w:val="en-US" w:eastAsia="zh-CN"/>
        </w:rPr>
        <w:t>根据</w:t>
      </w:r>
      <w:r>
        <w:rPr>
          <w:rFonts w:hint="eastAsia" w:ascii="仿宋_GB2312" w:hAnsi="仿宋_GB2312" w:eastAsia="仿宋_GB2312" w:cs="仿宋_GB2312"/>
          <w:bCs/>
          <w:color w:val="auto"/>
          <w:kern w:val="0"/>
          <w:sz w:val="28"/>
          <w:szCs w:val="28"/>
          <w:highlight w:val="none"/>
          <w:lang w:val="en-GB" w:eastAsia="zh-CN"/>
        </w:rPr>
        <w:t>《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w:t>
      </w:r>
      <w:r>
        <w:rPr>
          <w:rFonts w:hint="eastAsia" w:ascii="仿宋_GB2312" w:hAnsi="仿宋_GB2312" w:eastAsia="仿宋_GB2312" w:cs="仿宋_GB2312"/>
          <w:bCs/>
          <w:color w:val="auto"/>
          <w:kern w:val="0"/>
          <w:sz w:val="28"/>
          <w:szCs w:val="28"/>
          <w:highlight w:val="none"/>
          <w:lang w:val="en-US" w:eastAsia="zh-CN"/>
        </w:rPr>
        <w:t>委托方提供的《评估委托书》，</w:t>
      </w:r>
      <w:r>
        <w:rPr>
          <w:rFonts w:hint="default" w:ascii="仿宋_GB2312" w:hAnsi="仿宋_GB2312" w:eastAsia="仿宋_GB2312" w:cs="仿宋_GB2312"/>
          <w:bCs/>
          <w:color w:val="auto"/>
          <w:kern w:val="0"/>
          <w:sz w:val="28"/>
          <w:szCs w:val="28"/>
          <w:highlight w:val="none"/>
          <w:lang w:val="en-US" w:eastAsia="zh-CN"/>
        </w:rPr>
        <w:t>道县</w:t>
      </w:r>
      <w:r>
        <w:rPr>
          <w:rFonts w:hint="eastAsia" w:ascii="仿宋_GB2312" w:hAnsi="仿宋_GB2312" w:eastAsia="仿宋_GB2312" w:cs="仿宋_GB2312"/>
          <w:bCs/>
          <w:color w:val="auto"/>
          <w:kern w:val="0"/>
          <w:sz w:val="28"/>
          <w:szCs w:val="28"/>
          <w:highlight w:val="none"/>
          <w:lang w:val="en-US" w:eastAsia="zh-CN"/>
        </w:rPr>
        <w:t>自然资源局</w:t>
      </w:r>
      <w:r>
        <w:rPr>
          <w:rFonts w:hint="eastAsia" w:ascii="仿宋_GB2312" w:hAnsi="仿宋_GB2312" w:eastAsia="仿宋_GB2312" w:cs="仿宋_GB2312"/>
          <w:bCs/>
          <w:color w:val="auto"/>
          <w:kern w:val="0"/>
          <w:sz w:val="28"/>
          <w:szCs w:val="28"/>
          <w:highlight w:val="none"/>
          <w:lang w:val="en-GB" w:eastAsia="zh-CN"/>
        </w:rPr>
        <w:t>拟出让涉及的位于</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道县西洲街道宝珍街六栋九号</w:t>
      </w:r>
      <w:r>
        <w:rPr>
          <w:rFonts w:hint="eastAsia" w:ascii="仿宋_GB2312" w:hAnsi="仿宋_GB2312" w:eastAsia="仿宋_GB2312" w:cs="仿宋_GB2312"/>
          <w:bCs/>
          <w:color w:val="auto"/>
          <w:kern w:val="0"/>
          <w:sz w:val="28"/>
          <w:szCs w:val="28"/>
          <w:highlight w:val="none"/>
          <w:lang w:val="en-GB" w:eastAsia="zh-CN"/>
        </w:rPr>
        <w:t>的一宗国有土地使用权</w:t>
      </w:r>
      <w:r>
        <w:rPr>
          <w:rFonts w:hint="eastAsia" w:ascii="仿宋_GB2312" w:hAnsi="仿宋_GB2312" w:eastAsia="仿宋_GB2312" w:cs="仿宋_GB2312"/>
          <w:bCs/>
          <w:color w:val="auto"/>
          <w:kern w:val="0"/>
          <w:sz w:val="28"/>
          <w:szCs w:val="28"/>
          <w:highlight w:val="none"/>
          <w:lang w:val="en-US" w:eastAsia="zh-CN"/>
        </w:rPr>
        <w:t>，特</w:t>
      </w:r>
      <w:r>
        <w:rPr>
          <w:rFonts w:hint="eastAsia" w:ascii="仿宋_GB2312" w:hAnsi="仿宋_GB2312" w:eastAsia="仿宋_GB2312" w:cs="仿宋_GB2312"/>
          <w:bCs/>
          <w:color w:val="auto"/>
          <w:kern w:val="0"/>
          <w:sz w:val="28"/>
          <w:szCs w:val="28"/>
          <w:highlight w:val="none"/>
          <w:lang w:val="en-GB" w:eastAsia="zh-CN"/>
        </w:rPr>
        <w:t>委托湖南兆财不动产规划评估有限公司对该土地使用权市场价格进行评估，为</w:t>
      </w:r>
      <w:r>
        <w:rPr>
          <w:rFonts w:hint="eastAsia" w:ascii="仿宋_GB2312" w:hAnsi="仿宋_GB2312" w:eastAsia="仿宋_GB2312" w:cs="仿宋_GB2312"/>
          <w:bCs/>
          <w:color w:val="auto"/>
          <w:kern w:val="0"/>
          <w:sz w:val="28"/>
          <w:szCs w:val="28"/>
          <w:highlight w:val="none"/>
          <w:lang w:val="en-US" w:eastAsia="zh-CN"/>
        </w:rPr>
        <w:t>土地出让方</w:t>
      </w:r>
      <w:r>
        <w:rPr>
          <w:rFonts w:hint="eastAsia" w:ascii="仿宋_GB2312" w:hAnsi="仿宋_GB2312" w:eastAsia="仿宋_GB2312" w:cs="仿宋_GB2312"/>
          <w:bCs/>
          <w:color w:val="auto"/>
          <w:kern w:val="0"/>
          <w:sz w:val="28"/>
          <w:szCs w:val="28"/>
          <w:highlight w:val="none"/>
          <w:lang w:val="en-GB" w:eastAsia="zh-CN"/>
        </w:rPr>
        <w:t>集体决策</w:t>
      </w:r>
      <w:r>
        <w:rPr>
          <w:rFonts w:hint="eastAsia" w:ascii="仿宋_GB2312" w:hAnsi="仿宋_GB2312" w:eastAsia="仿宋_GB2312" w:cs="仿宋_GB2312"/>
          <w:bCs/>
          <w:color w:val="auto"/>
          <w:kern w:val="0"/>
          <w:sz w:val="28"/>
          <w:szCs w:val="28"/>
          <w:highlight w:val="none"/>
          <w:lang w:val="en-US" w:eastAsia="zh-CN"/>
        </w:rPr>
        <w:t>确定估价对象出让底价提供国有出让</w:t>
      </w:r>
      <w:r>
        <w:rPr>
          <w:rFonts w:hint="eastAsia" w:ascii="仿宋_GB2312" w:hAnsi="仿宋_GB2312" w:eastAsia="仿宋_GB2312" w:cs="仿宋_GB2312"/>
          <w:sz w:val="28"/>
          <w:lang w:val="en-US" w:eastAsia="zh-CN"/>
        </w:rPr>
        <w:t>建设用地使用权市场价格参考依据</w:t>
      </w:r>
      <w:r>
        <w:rPr>
          <w:rFonts w:hint="eastAsia" w:ascii="仿宋_GB2312" w:hAnsi="仿宋_GB2312" w:eastAsia="仿宋_GB2312" w:cs="仿宋_GB2312"/>
          <w:color w:val="000000" w:themeColor="text1"/>
          <w:kern w:val="0"/>
          <w:sz w:val="28"/>
          <w:szCs w:val="30"/>
          <w:highlight w:val="none"/>
          <w:lang w:eastAsia="zh-CN"/>
          <w14:textFill>
            <w14:solidFill>
              <w14:schemeClr w14:val="tx1"/>
            </w14:solidFill>
          </w14:textFill>
        </w:rPr>
        <w:t>。</w:t>
      </w:r>
    </w:p>
    <w:p w14:paraId="46B01681">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color w:val="auto"/>
          <w:sz w:val="28"/>
          <w:szCs w:val="28"/>
          <w:highlight w:val="none"/>
          <w:lang w:val="en-GB" w:eastAsia="zh-CN"/>
        </w:rPr>
      </w:pPr>
      <w:r>
        <w:rPr>
          <w:rFonts w:hint="eastAsia" w:ascii="仿宋_GB2312" w:hAnsi="仿宋_GB2312" w:eastAsia="仿宋_GB2312" w:cs="仿宋_GB2312"/>
          <w:b/>
          <w:bCs/>
          <w:color w:val="auto"/>
          <w:sz w:val="28"/>
          <w:szCs w:val="28"/>
          <w:highlight w:val="none"/>
          <w:lang w:val="en-US" w:eastAsia="zh-CN"/>
        </w:rPr>
        <w:t>五、估价依据</w:t>
      </w:r>
      <w:bookmarkEnd w:id="48"/>
    </w:p>
    <w:p w14:paraId="70AD3C06">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（一）国家相关法律、法规及行政规章</w:t>
      </w:r>
    </w:p>
    <w:p w14:paraId="50BEBC2B">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1、《中华人民共和国民法典》（2020年5月28日第十三届全国人民代表大会第三次会议通过，2020年5月28日中华人民共和国主席令第四十五号公布，自2021年1月1日起施行）；</w:t>
      </w:r>
    </w:p>
    <w:p w14:paraId="15852B1A">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2、《中华人民共和国资产评估法》（2016年7月2日第十二届全国人民代表大会常务委员会第二十一次会议通过，2016年7月2日中华人民共和国主席令第四十六号公布，自2016年12月1日起施行）；</w:t>
      </w:r>
    </w:p>
    <w:p w14:paraId="2F194F14">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3、《中华人民共和国土地管理法》（1986年6月25日第六届全国人民代表大会常务委员会第十六次会议通过，中华人民共和国主席令第四十一号公布；根据2019年8月26日《全国人民代表大会常务委员会关于修改&lt;中华人民共和国土地管理法&gt;、&lt;中华人民共和国城市房地产管理法&gt;的决定》第三次修正，2019年8月26日中华人民共和国主席令第三十二号公布，自2020年1月1日起施行）；</w:t>
      </w:r>
    </w:p>
    <w:p w14:paraId="1B4C9DE3">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4、《中华人民共和国城市房地产管理法》（1994年7月5日第八届全国人民代表大会常务委员会第八次会议通过，中华人民共和国主席令第二十九号公布；根据2019年8月26日第十三届全国人民代表大会常务委员会第十二次会议《关于修改〈中华人民共和国土地管理法〉、〈中华人民共和国城市房地产管理法〉的决定》第三次修正，2019年8月26日中华人民共和国主席令第三十二号公布，自2020年1月1日起施行）；</w:t>
      </w:r>
    </w:p>
    <w:p w14:paraId="55A46455">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中华人民共和国城乡规划法》（2007年10月28日第十届全国人民代表大会常务委员会第三十次会通过，中华人民共和国主席令第二十九号公布；根据2019年4月23日第十三届全国人民代表大会常务委员会第十次会议《关于修改&lt;中华人民共和国建筑法&gt;等八部法律的决定》第二次修正，2019年4月23日中华人民共和国主席令第二十九号公布，自本决定公布之日起施行）；</w:t>
      </w:r>
    </w:p>
    <w:p w14:paraId="1C840024">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6</w:t>
      </w:r>
      <w:r>
        <w:rPr>
          <w:rFonts w:hint="eastAsia" w:ascii="仿宋_GB2312" w:hAnsi="仿宋_GB2312" w:eastAsia="仿宋_GB2312" w:cs="仿宋_GB2312"/>
          <w:sz w:val="28"/>
          <w:szCs w:val="28"/>
          <w:highlight w:val="none"/>
        </w:rPr>
        <w:t>、《中华人民共和国契税法》（2020年8月11日第十三届全国人民代表大会常务委员会第二十一次会议通过，中华人民共和国主席令第52号公布，自2021年9月1日起施行）；</w:t>
      </w:r>
    </w:p>
    <w:p w14:paraId="2C51524C">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7</w:t>
      </w:r>
      <w:r>
        <w:rPr>
          <w:rFonts w:hint="eastAsia" w:ascii="仿宋_GB2312" w:hAnsi="仿宋_GB2312" w:eastAsia="仿宋_GB2312" w:cs="仿宋_GB2312"/>
          <w:sz w:val="28"/>
          <w:szCs w:val="28"/>
          <w:highlight w:val="none"/>
        </w:rPr>
        <w:t>、《中华人民共和国城市维护建设税法》（2020年8月11日第十三届全国人民代表大会常务委员会第二十一次会议通过，中华人民共和国主席令第51号公布，自2021年9月1日起施行）；</w:t>
      </w:r>
    </w:p>
    <w:p w14:paraId="27C2D8F4">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8</w:t>
      </w:r>
      <w:r>
        <w:rPr>
          <w:rFonts w:hint="eastAsia" w:ascii="仿宋_GB2312" w:hAnsi="仿宋_GB2312" w:eastAsia="仿宋_GB2312" w:cs="仿宋_GB2312"/>
          <w:sz w:val="28"/>
          <w:szCs w:val="28"/>
          <w:highlight w:val="none"/>
        </w:rPr>
        <w:t>、《中华人民共和国印花税法》（2021年6月10日第十三届全国人民代表大会常务委员会第二十九次会议通过，自2022年7月1日起施行）</w:t>
      </w:r>
      <w:r>
        <w:rPr>
          <w:rFonts w:hint="eastAsia" w:ascii="仿宋_GB2312" w:hAnsi="仿宋_GB2312" w:eastAsia="仿宋_GB2312" w:cs="仿宋_GB2312"/>
          <w:sz w:val="28"/>
          <w:szCs w:val="28"/>
          <w:highlight w:val="none"/>
          <w:lang w:eastAsia="zh-CN"/>
        </w:rPr>
        <w:t>；</w:t>
      </w:r>
    </w:p>
    <w:p w14:paraId="089C64E7">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jc w:val="left"/>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、《城市房地产开发经营管理条例》（1998年7月20日中华人民共和国国务院令第248号发布</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根据2020年11月29日《国务院关于修改和废止部分行政法规的决定》第五次修订）；</w:t>
      </w:r>
    </w:p>
    <w:p w14:paraId="3BDF0F23">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、《中华人民共和国城镇国有土地使用权出让和转让暂行条例》（1990年5月19日中华人民共和国国务院令第55号发布，自发布之日起施行；根据2020年11月29日中华人民共和国国务院令第732号修订）；</w:t>
      </w:r>
    </w:p>
    <w:p w14:paraId="08EA1202">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11</w:t>
      </w:r>
      <w:r>
        <w:rPr>
          <w:rFonts w:hint="eastAsia" w:ascii="仿宋_GB2312" w:hAnsi="仿宋_GB2312" w:eastAsia="仿宋_GB2312" w:cs="仿宋_GB2312"/>
          <w:sz w:val="28"/>
          <w:szCs w:val="28"/>
          <w:highlight w:val="none"/>
        </w:rPr>
        <w:t>、《中华人民共和国土地管理法实施条例》（中华人民共和国国务院令第256号，2021年7月2日中华人民共和国国务院令第743号第三次修订）；</w:t>
      </w:r>
    </w:p>
    <w:p w14:paraId="240FD3B8">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、《不动产登记暂行条例》（2014年11月24日中华人民共和国国务院令第656号公布，自2015年3月1日起施行；根据20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年3月</w:t>
      </w: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日中华人民共和国国务院令第7</w:t>
      </w:r>
      <w:r>
        <w:rPr>
          <w:rFonts w:hint="eastAsia" w:ascii="仿宋_GB2312" w:hAnsi="仿宋_GB2312" w:eastAsia="仿宋_GB2312" w:cs="仿宋_GB2312"/>
          <w:sz w:val="28"/>
          <w:szCs w:val="28"/>
          <w:highlight w:val="none"/>
          <w:lang w:val="en-US" w:eastAsia="zh-CN"/>
        </w:rPr>
        <w:t>77</w:t>
      </w:r>
      <w:r>
        <w:rPr>
          <w:rFonts w:hint="eastAsia" w:ascii="仿宋_GB2312" w:hAnsi="仿宋_GB2312" w:eastAsia="仿宋_GB2312" w:cs="仿宋_GB2312"/>
          <w:sz w:val="28"/>
          <w:szCs w:val="28"/>
          <w:highlight w:val="none"/>
        </w:rPr>
        <w:t>号《国务院关于修改和废止部分行政法规的决定》第</w:t>
      </w:r>
      <w:r>
        <w:rPr>
          <w:rFonts w:hint="eastAsia" w:ascii="仿宋_GB2312" w:hAnsi="仿宋_GB2312" w:eastAsia="仿宋_GB2312" w:cs="仿宋_GB2312"/>
          <w:sz w:val="28"/>
          <w:szCs w:val="28"/>
          <w:highlight w:val="none"/>
          <w:lang w:val="en-US" w:eastAsia="zh-CN"/>
        </w:rPr>
        <w:t>二</w:t>
      </w:r>
      <w:r>
        <w:rPr>
          <w:rFonts w:hint="eastAsia" w:ascii="仿宋_GB2312" w:hAnsi="仿宋_GB2312" w:eastAsia="仿宋_GB2312" w:cs="仿宋_GB2312"/>
          <w:sz w:val="28"/>
          <w:szCs w:val="28"/>
          <w:highlight w:val="none"/>
        </w:rPr>
        <w:t>次修订）；</w:t>
      </w:r>
    </w:p>
    <w:p w14:paraId="72BE7AD5">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、《国务院关于深化改革严格土地管理的决定》（国发〔2004〕28号，2004年10月21日）；</w:t>
      </w:r>
    </w:p>
    <w:p w14:paraId="79113715">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、《国务院关于加强土地调控有关问题的通知》（国发〔2006〕31号，2006年8月31日）；</w:t>
      </w:r>
    </w:p>
    <w:p w14:paraId="276CAD89">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15</w:t>
      </w:r>
      <w:r>
        <w:rPr>
          <w:rFonts w:hint="eastAsia" w:ascii="仿宋_GB2312" w:hAnsi="仿宋_GB2312" w:eastAsia="仿宋_GB2312" w:cs="仿宋_GB2312"/>
          <w:sz w:val="28"/>
          <w:szCs w:val="28"/>
          <w:highlight w:val="none"/>
        </w:rPr>
        <w:t>、《国务院办公厅关于完善建设用地使用权转让、出租、抵押二级市场的指导意见》（国办发〔2019〕34号，2019年07月19日）；</w:t>
      </w:r>
    </w:p>
    <w:p w14:paraId="7F3FC4BA">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16</w:t>
      </w:r>
      <w:r>
        <w:rPr>
          <w:rFonts w:hint="eastAsia" w:ascii="仿宋_GB2312" w:hAnsi="仿宋_GB2312" w:eastAsia="仿宋_GB2312" w:cs="仿宋_GB2312"/>
          <w:sz w:val="28"/>
          <w:szCs w:val="28"/>
          <w:highlight w:val="none"/>
        </w:rPr>
        <w:t>、《协议出让国有土地使用权规定》（国土资源部令第21号，2003年8月1号）；</w:t>
      </w:r>
    </w:p>
    <w:p w14:paraId="7B35472B">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17</w:t>
      </w:r>
      <w:r>
        <w:rPr>
          <w:rFonts w:hint="eastAsia" w:ascii="仿宋_GB2312" w:hAnsi="仿宋_GB2312" w:eastAsia="仿宋_GB2312" w:cs="仿宋_GB2312"/>
          <w:sz w:val="28"/>
          <w:szCs w:val="28"/>
          <w:highlight w:val="none"/>
        </w:rPr>
        <w:t>、《协议出让国有土地使用权规范》（试行）（国土资发〔2006〕114号，2006年5月31号）；</w:t>
      </w:r>
    </w:p>
    <w:p w14:paraId="04B2C165">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18</w:t>
      </w:r>
      <w:r>
        <w:rPr>
          <w:rFonts w:hint="eastAsia" w:ascii="仿宋_GB2312" w:hAnsi="仿宋_GB2312" w:eastAsia="仿宋_GB2312" w:cs="仿宋_GB2312"/>
          <w:sz w:val="28"/>
          <w:szCs w:val="28"/>
          <w:highlight w:val="none"/>
        </w:rPr>
        <w:t>、《国土资源部关于进一步加强城市地价动态监测工作的通知》（国土资发[2008]51号，2008年3月11日）；</w:t>
      </w:r>
    </w:p>
    <w:p w14:paraId="085C6454">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19</w:t>
      </w:r>
      <w:r>
        <w:rPr>
          <w:rFonts w:hint="eastAsia" w:ascii="仿宋_GB2312" w:hAnsi="仿宋_GB2312" w:eastAsia="仿宋_GB2312" w:cs="仿宋_GB2312"/>
          <w:sz w:val="28"/>
          <w:szCs w:val="28"/>
          <w:highlight w:val="none"/>
        </w:rPr>
        <w:t>、《国土资源部关于坚持和完善土地招标拍卖挂牌出让制度的意见》（国土资发〔2011〕63号，2011年5月13日）；</w:t>
      </w:r>
    </w:p>
    <w:p w14:paraId="22871EDD">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20</w:t>
      </w:r>
      <w:r>
        <w:rPr>
          <w:rFonts w:hint="eastAsia" w:ascii="仿宋_GB2312" w:hAnsi="仿宋_GB2312" w:eastAsia="仿宋_GB2312" w:cs="仿宋_GB2312"/>
          <w:sz w:val="28"/>
          <w:szCs w:val="28"/>
          <w:highlight w:val="none"/>
        </w:rPr>
        <w:t>、《国土资源部办公厅关于实施电子化备案完善土地估价报告备案制度的通知》（国土资厅发[2012]35号，2012年6月14日）；</w:t>
      </w:r>
    </w:p>
    <w:p w14:paraId="4367A10C">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21</w:t>
      </w:r>
      <w:r>
        <w:rPr>
          <w:rFonts w:hint="eastAsia" w:ascii="仿宋_GB2312" w:hAnsi="仿宋_GB2312" w:eastAsia="仿宋_GB2312" w:cs="仿宋_GB2312"/>
          <w:sz w:val="28"/>
          <w:szCs w:val="28"/>
          <w:highlight w:val="none"/>
        </w:rPr>
        <w:t>、《节约集约利用土地规定》（2014年5月22日国土资源部第61号令公布，根据2019年7月16日自然资源部第2次部务会议《自然资源部第一批废止和修改的部门规章的决定》修正）；</w:t>
      </w:r>
    </w:p>
    <w:p w14:paraId="18B7373D">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22</w:t>
      </w:r>
      <w:r>
        <w:rPr>
          <w:rFonts w:hint="eastAsia" w:ascii="仿宋_GB2312" w:hAnsi="仿宋_GB2312" w:eastAsia="仿宋_GB2312" w:cs="仿宋_GB2312"/>
          <w:sz w:val="28"/>
          <w:szCs w:val="28"/>
          <w:highlight w:val="none"/>
        </w:rPr>
        <w:t>、《不动产登记暂行条例实施细则》（2016年1月1日国土资源部令第63号公布，根据20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w:t>
      </w:r>
      <w:r>
        <w:rPr>
          <w:rFonts w:hint="eastAsia" w:ascii="仿宋_GB2312" w:hAnsi="仿宋_GB2312" w:eastAsia="仿宋_GB2312" w:cs="仿宋_GB2312"/>
          <w:sz w:val="28"/>
          <w:szCs w:val="28"/>
          <w:highlight w:val="none"/>
          <w:lang w:val="en-US" w:eastAsia="zh-CN"/>
        </w:rPr>
        <w:t>5</w:t>
      </w:r>
      <w:r>
        <w:rPr>
          <w:rFonts w:hint="eastAsia" w:ascii="仿宋_GB2312" w:hAnsi="仿宋_GB2312" w:eastAsia="仿宋_GB2312" w:cs="仿宋_GB2312"/>
          <w:sz w:val="28"/>
          <w:szCs w:val="28"/>
          <w:highlight w:val="none"/>
        </w:rPr>
        <w:t>月</w:t>
      </w: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日自然资源部第2次部务会议《自然资源部关于第六批修改的部门规章的决定》修正）；</w:t>
      </w:r>
    </w:p>
    <w:p w14:paraId="7199B086">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sz w:val="28"/>
          <w:szCs w:val="28"/>
          <w:highlight w:val="none"/>
          <w:lang w:val="en-US" w:eastAsia="zh-CN"/>
        </w:rPr>
        <w:t>23</w:t>
      </w:r>
      <w:r>
        <w:rPr>
          <w:rFonts w:hint="eastAsia" w:ascii="仿宋_GB2312" w:hAnsi="仿宋_GB2312" w:eastAsia="仿宋_GB2312" w:cs="仿宋_GB2312"/>
          <w:sz w:val="28"/>
          <w:szCs w:val="28"/>
          <w:highlight w:val="none"/>
        </w:rPr>
        <w:t>、《国土资源部关于贯彻实施&lt;中华人民共和国资产评估法&gt;的通知》（国土资发[2016]181号，2016年11月25日）；</w:t>
      </w:r>
    </w:p>
    <w:p w14:paraId="504CBF9F">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24</w:t>
      </w:r>
      <w:r>
        <w:rPr>
          <w:rFonts w:hint="eastAsia" w:ascii="仿宋_GB2312" w:hAnsi="仿宋_GB2312" w:eastAsia="仿宋_GB2312" w:cs="仿宋_GB2312"/>
          <w:color w:val="000000"/>
          <w:sz w:val="28"/>
          <w:szCs w:val="28"/>
          <w:highlight w:val="none"/>
        </w:rPr>
        <w:t>、《国土资源部 国家发展和改革委员会 财政部 住房和城乡建设部 农业部 中国人民银行 国家林业局 中国银行业监督管理委员会关于扩大国有土地有偿使用范围的意见》（国土资规[2016]20号，2016年12月31日）；</w:t>
      </w:r>
    </w:p>
    <w:p w14:paraId="5C63065F">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25</w:t>
      </w:r>
      <w:r>
        <w:rPr>
          <w:rFonts w:hint="eastAsia" w:ascii="仿宋_GB2312" w:hAnsi="仿宋_GB2312" w:eastAsia="仿宋_GB2312" w:cs="仿宋_GB2312"/>
          <w:color w:val="000000"/>
          <w:sz w:val="28"/>
          <w:szCs w:val="28"/>
          <w:highlight w:val="none"/>
        </w:rPr>
        <w:t>、《国土资源部办公厅关于发布&lt;国有建设用地使用权出让地价评估技术规范&gt;的通知》（国土资厅发[2018]4号，2018年4月9日）；</w:t>
      </w:r>
    </w:p>
    <w:p w14:paraId="4EDDD7B2">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26</w:t>
      </w:r>
      <w:r>
        <w:rPr>
          <w:rFonts w:hint="eastAsia" w:ascii="仿宋_GB2312" w:hAnsi="仿宋_GB2312" w:eastAsia="仿宋_GB2312" w:cs="仿宋_GB2312"/>
          <w:color w:val="000000"/>
          <w:sz w:val="28"/>
          <w:szCs w:val="28"/>
          <w:highlight w:val="none"/>
        </w:rPr>
        <w:t>、《自然资源部办公厅关于印发&lt;产业用地政策实施工作指引（2019年版）&gt;的通知》（自然资办发[2019]31号，2019年4月24日）；</w:t>
      </w:r>
    </w:p>
    <w:p w14:paraId="5ADA2FEE">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27、</w:t>
      </w:r>
      <w:r>
        <w:rPr>
          <w:rFonts w:hint="eastAsia" w:ascii="仿宋_GB2312" w:hAnsi="仿宋_GB2312" w:eastAsia="仿宋_GB2312" w:cs="仿宋_GB2312"/>
          <w:color w:val="000000"/>
          <w:sz w:val="28"/>
          <w:szCs w:val="28"/>
          <w:highlight w:val="none"/>
        </w:rPr>
        <w:t>《自然资源部办公厅关于做好2021年度自然资源评价评估有关工作的通知》（自然资办发〔2021〕39号，2021年5月12日）；</w:t>
      </w:r>
    </w:p>
    <w:p w14:paraId="31C930EE">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28</w:t>
      </w:r>
      <w:r>
        <w:rPr>
          <w:rFonts w:hint="eastAsia" w:ascii="仿宋_GB2312" w:hAnsi="仿宋_GB2312" w:eastAsia="仿宋_GB2312" w:cs="仿宋_GB2312"/>
          <w:color w:val="000000"/>
          <w:sz w:val="28"/>
          <w:szCs w:val="28"/>
          <w:highlight w:val="none"/>
        </w:rPr>
        <w:t>、《自然资源部办公厅关于做好2022年度自然资源评价评估有工作的通知》（自然资办发〔2022〕13号，2022年4月13日）；</w:t>
      </w:r>
    </w:p>
    <w:p w14:paraId="3DDBF3C8">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29</w:t>
      </w:r>
      <w:r>
        <w:rPr>
          <w:rFonts w:hint="eastAsia" w:ascii="仿宋_GB2312" w:hAnsi="仿宋_GB2312" w:eastAsia="仿宋_GB2312" w:cs="仿宋_GB2312"/>
          <w:color w:val="000000"/>
          <w:sz w:val="28"/>
          <w:szCs w:val="28"/>
          <w:highlight w:val="none"/>
        </w:rPr>
        <w:t xml:space="preserve">、《自然资源部办公厅关于土地估价机构备案工作的通知》（自然资办发〔2022〕42号，2022年9月27日）； </w:t>
      </w:r>
    </w:p>
    <w:p w14:paraId="6F64DE6D">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lang w:val="en-US" w:eastAsia="zh-CN"/>
        </w:rPr>
      </w:pPr>
      <w:r>
        <w:rPr>
          <w:rFonts w:hint="eastAsia" w:ascii="仿宋_GB2312" w:hAnsi="仿宋_GB2312" w:eastAsia="仿宋_GB2312" w:cs="仿宋_GB2312"/>
          <w:color w:val="000000"/>
          <w:sz w:val="28"/>
          <w:szCs w:val="28"/>
          <w:highlight w:val="none"/>
          <w:lang w:val="en-US" w:eastAsia="zh-CN"/>
        </w:rPr>
        <w:t>30、《自然资源部办公厅关于做好2024年住宅用地供应有关工作的通知》（自然资办函〔2024〕918号，2024年4月29日）；</w:t>
      </w:r>
    </w:p>
    <w:p w14:paraId="3602BF5B">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46" w:firstLineChars="195"/>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31</w:t>
      </w:r>
      <w:r>
        <w:rPr>
          <w:rFonts w:hint="eastAsia" w:ascii="仿宋_GB2312" w:hAnsi="仿宋_GB2312" w:eastAsia="仿宋_GB2312" w:cs="仿宋_GB2312"/>
          <w:bCs/>
          <w:iCs/>
          <w:sz w:val="28"/>
          <w:szCs w:val="28"/>
          <w:highlight w:val="none"/>
        </w:rPr>
        <w:t>、《关于全面推开营业税改征增值税试点的通知》（财税〔2016〕36号，2016年3月23日）；</w:t>
      </w:r>
    </w:p>
    <w:p w14:paraId="1E629438">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32</w:t>
      </w:r>
      <w:r>
        <w:rPr>
          <w:rFonts w:hint="eastAsia" w:ascii="仿宋_GB2312" w:hAnsi="仿宋_GB2312" w:eastAsia="仿宋_GB2312" w:cs="仿宋_GB2312"/>
          <w:bCs/>
          <w:iCs/>
          <w:sz w:val="28"/>
          <w:szCs w:val="28"/>
          <w:highlight w:val="none"/>
        </w:rPr>
        <w:t>、《关于全面推开营业税改征增值税试点有关税收征收管理事项的公告》（国家税务总局公告2016年第23号，2016年4月19日）；</w:t>
      </w:r>
    </w:p>
    <w:p w14:paraId="591F8F57">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33</w:t>
      </w:r>
      <w:r>
        <w:rPr>
          <w:rFonts w:hint="eastAsia" w:ascii="仿宋_GB2312" w:hAnsi="仿宋_GB2312" w:eastAsia="仿宋_GB2312" w:cs="仿宋_GB2312"/>
          <w:bCs/>
          <w:iCs/>
          <w:sz w:val="28"/>
          <w:szCs w:val="28"/>
          <w:highlight w:val="none"/>
        </w:rPr>
        <w:t>、《关于营改增后契税、房产税、土地增值税、个人所得税计税依据问题的通知》（财税[2016]43号，2016年4月25日）；</w:t>
      </w:r>
    </w:p>
    <w:p w14:paraId="0009F808">
      <w:pPr>
        <w:keepNext w:val="0"/>
        <w:keepLines w:val="0"/>
        <w:pageBreakBefore w:val="0"/>
        <w:widowControl w:val="0"/>
        <w:kinsoku/>
        <w:wordWrap/>
        <w:overflowPunct/>
        <w:topLinePunct w:val="0"/>
        <w:autoSpaceDE w:val="0"/>
        <w:autoSpaceDN w:val="0"/>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34</w:t>
      </w:r>
      <w:r>
        <w:rPr>
          <w:rFonts w:hint="eastAsia" w:ascii="仿宋_GB2312" w:hAnsi="仿宋_GB2312" w:eastAsia="仿宋_GB2312" w:cs="仿宋_GB2312"/>
          <w:bCs/>
          <w:iCs/>
          <w:sz w:val="28"/>
          <w:szCs w:val="28"/>
          <w:highlight w:val="none"/>
        </w:rPr>
        <w:t>、《财政部税务总局关于调整增值税税率的通知》[财税（2018）32号，2018年5月1日]；</w:t>
      </w:r>
    </w:p>
    <w:p w14:paraId="0A97A99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iCs/>
          <w:sz w:val="28"/>
          <w:szCs w:val="28"/>
          <w:highlight w:val="none"/>
          <w:lang w:val="en-US" w:eastAsia="zh-CN"/>
        </w:rPr>
        <w:t>35</w:t>
      </w:r>
      <w:r>
        <w:rPr>
          <w:rFonts w:hint="eastAsia" w:ascii="仿宋_GB2312" w:hAnsi="仿宋_GB2312" w:eastAsia="仿宋_GB2312" w:cs="仿宋_GB2312"/>
          <w:bCs/>
          <w:iCs/>
          <w:sz w:val="28"/>
          <w:szCs w:val="28"/>
          <w:highlight w:val="none"/>
        </w:rPr>
        <w:t>、《财政部 税务总局 海关总署关于深化增值税改革有关政策的公告》（财政部 税务总局 海关总署公告2019年第39号，2019年3月20日）</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7898C22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36.其他有关的国家相关法律、法规及行政规章。</w:t>
      </w:r>
    </w:p>
    <w:p w14:paraId="719C1E2B">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4CE10CF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3D3B88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7716A1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8B3453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555F3DD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2E30951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63B5EA8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0CDD409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w:t>
      </w:r>
      <w:r>
        <w:rPr>
          <w:rFonts w:hint="eastAsia" w:ascii="仿宋_GB2312" w:hAnsi="Times New Roman" w:eastAsia="仿宋_GB2312" w:cs="Times New Roman"/>
          <w:b w:val="0"/>
          <w:bCs w:val="0"/>
          <w:sz w:val="28"/>
          <w:szCs w:val="30"/>
          <w:highlight w:val="none"/>
          <w:lang w:val="en-GB"/>
        </w:rPr>
        <w:t>《湖南省发展和改革委员会关于我省公共资源交易服务收费的通知》（湘发改价费〔</w:t>
      </w:r>
      <w:r>
        <w:rPr>
          <w:rFonts w:hint="eastAsia" w:ascii="仿宋_GB2312" w:cs="Times New Roman"/>
          <w:b w:val="0"/>
          <w:bCs w:val="0"/>
          <w:sz w:val="28"/>
          <w:szCs w:val="30"/>
          <w:highlight w:val="none"/>
          <w:lang w:val="en-US" w:eastAsia="zh-CN"/>
        </w:rPr>
        <w:t>2024</w:t>
      </w:r>
      <w:r>
        <w:rPr>
          <w:rFonts w:hint="eastAsia" w:ascii="仿宋_GB2312" w:hAnsi="Times New Roman" w:eastAsia="仿宋_GB2312" w:cs="Times New Roman"/>
          <w:b w:val="0"/>
          <w:bCs w:val="0"/>
          <w:sz w:val="28"/>
          <w:szCs w:val="30"/>
          <w:highlight w:val="none"/>
          <w:lang w:val="en-GB"/>
        </w:rPr>
        <w:t>〕</w:t>
      </w:r>
      <w:r>
        <w:rPr>
          <w:rFonts w:hint="eastAsia" w:ascii="仿宋_GB2312" w:cs="Times New Roman"/>
          <w:b w:val="0"/>
          <w:bCs w:val="0"/>
          <w:sz w:val="28"/>
          <w:szCs w:val="30"/>
          <w:highlight w:val="none"/>
          <w:lang w:val="en-US" w:eastAsia="zh-CN"/>
        </w:rPr>
        <w:t>292</w:t>
      </w:r>
      <w:r>
        <w:rPr>
          <w:rFonts w:hint="eastAsia" w:ascii="仿宋_GB2312" w:hAnsi="Times New Roman" w:eastAsia="仿宋_GB2312" w:cs="Times New Roman"/>
          <w:b w:val="0"/>
          <w:bCs w:val="0"/>
          <w:sz w:val="28"/>
          <w:szCs w:val="30"/>
          <w:highlight w:val="none"/>
          <w:lang w:val="en-GB"/>
        </w:rPr>
        <w:t>号，20</w:t>
      </w:r>
      <w:r>
        <w:rPr>
          <w:rFonts w:hint="eastAsia" w:ascii="仿宋_GB2312" w:cs="Times New Roman"/>
          <w:b w:val="0"/>
          <w:bCs w:val="0"/>
          <w:sz w:val="28"/>
          <w:szCs w:val="30"/>
          <w:highlight w:val="none"/>
          <w:lang w:val="en-US" w:eastAsia="zh-CN"/>
        </w:rPr>
        <w:t>24</w:t>
      </w:r>
      <w:r>
        <w:rPr>
          <w:rFonts w:hint="eastAsia" w:ascii="仿宋_GB2312" w:hAnsi="Times New Roman" w:eastAsia="仿宋_GB2312" w:cs="Times New Roman"/>
          <w:b w:val="0"/>
          <w:bCs w:val="0"/>
          <w:sz w:val="28"/>
          <w:szCs w:val="30"/>
          <w:highlight w:val="none"/>
          <w:lang w:val="en-GB"/>
        </w:rPr>
        <w:t>年5月</w:t>
      </w:r>
      <w:r>
        <w:rPr>
          <w:rFonts w:hint="eastAsia" w:ascii="仿宋_GB2312" w:cs="Times New Roman"/>
          <w:b w:val="0"/>
          <w:bCs w:val="0"/>
          <w:sz w:val="28"/>
          <w:szCs w:val="30"/>
          <w:highlight w:val="none"/>
          <w:lang w:val="en-US" w:eastAsia="zh-CN"/>
        </w:rPr>
        <w:t>3</w:t>
      </w:r>
      <w:r>
        <w:rPr>
          <w:rFonts w:hint="eastAsia" w:ascii="仿宋_GB2312" w:hAnsi="Times New Roman" w:eastAsia="仿宋_GB2312" w:cs="Times New Roman"/>
          <w:b w:val="0"/>
          <w:bCs w:val="0"/>
          <w:sz w:val="28"/>
          <w:szCs w:val="30"/>
          <w:highlight w:val="none"/>
          <w:lang w:val="en-GB"/>
        </w:rPr>
        <w:t>日）</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775E4F8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5294D71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》（湘政发〔2024〕1号，2024年1月31日）；</w:t>
      </w:r>
    </w:p>
    <w:p w14:paraId="4513205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11.</w:t>
      </w:r>
      <w:r>
        <w:rPr>
          <w:rFonts w:hint="eastAsia" w:eastAsia="仿宋_GB2312"/>
          <w:b w:val="0"/>
          <w:bCs w:val="0"/>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b w:val="0"/>
          <w:bCs w:val="0"/>
          <w:color w:val="000000" w:themeColor="text1"/>
          <w:sz w:val="28"/>
          <w:szCs w:val="28"/>
          <w:highlight w:val="none"/>
          <w:lang w:val="en-US" w:eastAsia="zh-CN"/>
          <w14:textFill>
            <w14:solidFill>
              <w14:schemeClr w14:val="tx1"/>
            </w14:solidFill>
          </w14:textFill>
        </w:rPr>
        <w:t>2024年2月1日</w:t>
      </w:r>
      <w:r>
        <w:rPr>
          <w:rFonts w:hint="eastAsia" w:eastAsia="仿宋_GB2312"/>
          <w:b w:val="0"/>
          <w:bCs w:val="0"/>
          <w:color w:val="000000" w:themeColor="text1"/>
          <w:sz w:val="28"/>
          <w:szCs w:val="28"/>
          <w:highlight w:val="none"/>
          <w:lang w:eastAsia="zh-CN"/>
          <w14:textFill>
            <w14:solidFill>
              <w14:schemeClr w14:val="tx1"/>
            </w14:solidFill>
          </w14:textFill>
        </w:rPr>
        <w:t>）；</w:t>
      </w:r>
    </w:p>
    <w:p w14:paraId="41BA8B3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t>；</w:t>
      </w:r>
    </w:p>
    <w:p w14:paraId="6D897B3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湖南省财政厅</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湖南省发展和改革委员会</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湖南省自然资源厅关于印发</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&lt;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湖南省耕地开垦费征收使用管理办法</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&gt;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的通知</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（湘财税〔2025〕17号）</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p>
    <w:p w14:paraId="07362C9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《关于调整新增建设用地土地有偿使用费征收管理有关政策的通知》（湘财综[2018]42号）</w:t>
      </w:r>
      <w:r>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t>；</w:t>
      </w:r>
    </w:p>
    <w:p w14:paraId="27BE22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15.</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《湖南省人民代表大会常务委员会关于湖南省耕地占用税适用税额的决定》(已经湖南省第十三届人民代表大会常务委员会第十二次会议通过，2019年7月31日)</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p>
    <w:p w14:paraId="61BEB9B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p>
    <w:p w14:paraId="2A095F7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17.《湖南省财政厅 国家税务总局湖南省税务局 湖南省林业局 中国人民银行湖南省分行关于印发&lt;湖南省森林植被恢复费征收使用管理实施办法&gt;的通知》（湘财税〔2024〕10号）；</w:t>
      </w:r>
    </w:p>
    <w:p w14:paraId="42438BB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18.</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湖南省财政厅</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湖南省发展和改革委员会</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湖南省自然资源厅关于印发</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&lt;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湖南省耕地开垦费征收使用管理办法</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&gt;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的通知</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（湘财税〔2025〕17号）</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p>
    <w:p w14:paraId="3E12CD9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sz w:val="28"/>
          <w:szCs w:val="28"/>
          <w:highlight w:val="none"/>
          <w:lang w:val="en-US" w:eastAsia="zh-CN"/>
        </w:rPr>
        <w:t>19</w:t>
      </w:r>
      <w:r>
        <w:rPr>
          <w:rFonts w:hint="eastAsia" w:ascii="仿宋_GB2312" w:hAnsi="仿宋_GB2312" w:eastAsia="仿宋_GB2312" w:cs="仿宋_GB2312"/>
          <w:sz w:val="28"/>
          <w:szCs w:val="28"/>
          <w:highlight w:val="none"/>
        </w:rPr>
        <w:t>、《湖南省自然资源厅办公室关于转发&lt;自然资源部办公厅关于做好2022年度自然资源评价评估有工作的通知&gt;的通知》（湘自资办发[2022]40号，2022年5月15日）；</w:t>
      </w:r>
    </w:p>
    <w:p w14:paraId="174A3B8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20.《道县国土空间总体规划（2021-2035年）》；</w:t>
      </w:r>
    </w:p>
    <w:p w14:paraId="71A8C30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21.《道县2024年国民经济和社会发展统计公报》；</w:t>
      </w:r>
    </w:p>
    <w:p w14:paraId="15A1B17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p>
    <w:p w14:paraId="472374D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eastAsia="宋体"/>
          <w:b w:val="0"/>
          <w:bCs w:val="0"/>
          <w:color w:val="000000" w:themeColor="text1"/>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23.湖南省人民政府、永州市人民政府、道县人民政府及有关部门颁布的其他有关政策、规定、实施办法、通知等法规文件</w:t>
      </w:r>
      <w:r>
        <w:rPr>
          <w:rFonts w:hint="eastAsia"/>
          <w:b w:val="0"/>
          <w:bCs w:val="0"/>
          <w:color w:val="000000" w:themeColor="text1"/>
          <w:highlight w:val="none"/>
          <w:lang w:eastAsia="zh-CN"/>
          <w14:textFill>
            <w14:solidFill>
              <w14:schemeClr w14:val="tx1"/>
            </w14:solidFill>
          </w14:textFill>
        </w:rPr>
        <w:t>。</w:t>
      </w:r>
    </w:p>
    <w:p w14:paraId="27B9AABD">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（三）采用的技术规程及标准</w:t>
      </w:r>
    </w:p>
    <w:p w14:paraId="0181183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0F38F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69AFDC0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67C86F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228757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449FAC9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1C2F67C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FBB8B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8.《国有建设用地使用权出让地价评估技术规范》；</w:t>
      </w:r>
    </w:p>
    <w:p w14:paraId="3F384F9A">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9.《土地估价参数调查测算指引》（T/CREVA 1101-2023）；</w:t>
      </w:r>
    </w:p>
    <w:p w14:paraId="773575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iCs/>
          <w:sz w:val="28"/>
          <w:szCs w:val="28"/>
          <w:highlight w:val="none"/>
          <w:lang w:val="en-US" w:eastAsia="zh-CN"/>
        </w:rPr>
        <w:t>10.</w:t>
      </w:r>
      <w:r>
        <w:rPr>
          <w:rFonts w:hint="eastAsia" w:ascii="仿宋_GB2312" w:hAnsi="仿宋_GB2312" w:eastAsia="仿宋_GB2312" w:cs="仿宋_GB2312"/>
          <w:bCs/>
          <w:iCs/>
          <w:sz w:val="28"/>
          <w:szCs w:val="28"/>
          <w:highlight w:val="none"/>
        </w:rPr>
        <w:t>《土地估价报告审查技术规范》（DB43T 1693-2019）</w:t>
      </w:r>
      <w:r>
        <w:rPr>
          <w:rFonts w:hint="eastAsia" w:ascii="仿宋_GB2312" w:hAnsi="仿宋_GB2312" w:eastAsia="仿宋_GB2312" w:cs="仿宋_GB2312"/>
          <w:bCs/>
          <w:iCs/>
          <w:sz w:val="28"/>
          <w:szCs w:val="28"/>
          <w:highlight w:val="none"/>
          <w:lang w:eastAsia="zh-CN"/>
        </w:rPr>
        <w:t>；</w:t>
      </w:r>
    </w:p>
    <w:p w14:paraId="452DD93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11.中国地价信息服务平台地价动态监测网数据。</w:t>
      </w:r>
    </w:p>
    <w:p w14:paraId="660EE0CD">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9"/>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（四）委托估价方提供的资料</w:t>
      </w:r>
    </w:p>
    <w:p w14:paraId="56DC3E0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1.估价对象《评估委托书》；</w:t>
      </w:r>
    </w:p>
    <w:p w14:paraId="341AB14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2.估价对象《宗地图》；</w:t>
      </w:r>
    </w:p>
    <w:p w14:paraId="135791D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3.估价对象《房屋所有权证存根》（道县房权证道江镇00008864号）；</w:t>
      </w:r>
    </w:p>
    <w:p w14:paraId="13168BD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4.估价对象《房屋所有权证存根》（道县房权证道江镇字第000027号）；</w:t>
      </w:r>
    </w:p>
    <w:p w14:paraId="5546C00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5.估价对象《不动产“登记难”问题专题会议纪要》（道县集中化解工作领导小组办公室，2026年3月11日）；</w:t>
      </w:r>
    </w:p>
    <w:p w14:paraId="0928E89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6.估价对象《不动产测绘报告书》；</w:t>
      </w:r>
    </w:p>
    <w:p w14:paraId="4A989C9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7.委托估价方提供的其它与土地估价相关的资料。</w:t>
      </w:r>
    </w:p>
    <w:p w14:paraId="40870C83">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9"/>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（五）受托估价方掌握的有关资料及土地估价师实地勘查、调查所获取的资料。</w:t>
      </w:r>
    </w:p>
    <w:p w14:paraId="3AEAF5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1.估价对象宗地现场查勘表;</w:t>
      </w:r>
    </w:p>
    <w:p w14:paraId="0667719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2.估价对象现状利用资料（宗地照片、位置示意图）;</w:t>
      </w:r>
    </w:p>
    <w:p w14:paraId="40D0FBF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3.宗地内外基础设施调查收集的资料;</w:t>
      </w:r>
    </w:p>
    <w:p w14:paraId="3F8F275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4.收益还原法比较实例所处位置、照片等资料；</w:t>
      </w:r>
    </w:p>
    <w:p w14:paraId="099BE6E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32EAFD4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6.宗地所在区域房地产市场情况；</w:t>
      </w:r>
    </w:p>
    <w:p w14:paraId="51E217A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7.宗地所在区域土地市场交易情况；</w:t>
      </w:r>
    </w:p>
    <w:p w14:paraId="0ECEF38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sz w:val="28"/>
          <w:szCs w:val="28"/>
          <w:highlight w:val="none"/>
          <w:lang w:val="en-US" w:eastAsia="zh-CN"/>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8.估价人员现场调查收集的其它相关资料。</w:t>
      </w:r>
    </w:p>
    <w:p w14:paraId="7D526610">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bCs/>
          <w:color w:val="auto"/>
          <w:sz w:val="28"/>
          <w:szCs w:val="28"/>
          <w:highlight w:val="none"/>
          <w:lang w:val="en-US" w:eastAsia="zh-CN"/>
        </w:rPr>
      </w:pPr>
      <w:bookmarkStart w:id="49" w:name="_Toc9140"/>
      <w:r>
        <w:rPr>
          <w:rFonts w:hint="eastAsia" w:ascii="仿宋_GB2312" w:hAnsi="仿宋_GB2312" w:eastAsia="仿宋_GB2312" w:cs="仿宋_GB2312"/>
          <w:b/>
          <w:bCs/>
          <w:color w:val="auto"/>
          <w:kern w:val="2"/>
          <w:sz w:val="28"/>
          <w:szCs w:val="28"/>
          <w:lang w:val="en-US" w:eastAsia="zh-CN" w:bidi="ar-SA"/>
        </w:rPr>
        <w:t>六、</w:t>
      </w:r>
      <w:r>
        <w:rPr>
          <w:rFonts w:hint="eastAsia" w:ascii="仿宋_GB2312" w:hAnsi="仿宋_GB2312" w:eastAsia="仿宋_GB2312" w:cs="仿宋_GB2312"/>
          <w:b/>
          <w:bCs/>
          <w:color w:val="auto"/>
          <w:sz w:val="28"/>
          <w:szCs w:val="28"/>
          <w:highlight w:val="none"/>
          <w:lang w:val="en-US" w:eastAsia="zh-CN"/>
        </w:rPr>
        <w:t>估价期日</w:t>
      </w:r>
      <w:bookmarkEnd w:id="49"/>
    </w:p>
    <w:p w14:paraId="329D038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kern w:val="0"/>
          <w:sz w:val="28"/>
          <w:szCs w:val="28"/>
          <w:lang w:val="en-US" w:eastAsia="zh-CN"/>
        </w:rPr>
        <w:t>根</w:t>
      </w:r>
      <w:r>
        <w:rPr>
          <w:rFonts w:hint="eastAsia" w:ascii="仿宋_GB2312" w:hAnsi="仿宋_GB2312" w:eastAsia="仿宋_GB2312" w:cs="仿宋_GB2312"/>
          <w:b w:val="0"/>
          <w:bCs w:val="0"/>
          <w:color w:val="000000" w:themeColor="text1"/>
          <w:kern w:val="0"/>
          <w:sz w:val="28"/>
          <w:szCs w:val="28"/>
          <w:lang w:val="en-US" w:eastAsia="zh-CN"/>
          <w14:textFill>
            <w14:solidFill>
              <w14:schemeClr w14:val="tx1"/>
            </w14:solidFill>
          </w14:textFill>
        </w:rPr>
        <w:t>据</w:t>
      </w:r>
      <w:r>
        <w:rPr>
          <w:rFonts w:hint="eastAsia" w:ascii="仿宋_GB2312" w:hAnsi="仿宋_GB2312" w:eastAsia="仿宋_GB2312" w:cs="仿宋_GB2312"/>
          <w:b w:val="0"/>
          <w:bCs w:val="0"/>
          <w:color w:val="000000" w:themeColor="text1"/>
          <w:kern w:val="0"/>
          <w:sz w:val="28"/>
          <w:szCs w:val="28"/>
          <w:lang w:val="en-GB" w:eastAsia="zh-CN"/>
          <w14:textFill>
            <w14:solidFill>
              <w14:schemeClr w14:val="tx1"/>
            </w14:solidFill>
          </w14:textFill>
        </w:rPr>
        <w:t>本次估价目的</w:t>
      </w:r>
      <w:r>
        <w:rPr>
          <w:rFonts w:hint="eastAsia" w:ascii="仿宋_GB2312" w:hAnsi="仿宋_GB2312" w:eastAsia="仿宋_GB2312" w:cs="仿宋_GB2312"/>
          <w:b w:val="0"/>
          <w:bCs w:val="0"/>
          <w:color w:val="000000" w:themeColor="text1"/>
          <w:kern w:val="0"/>
          <w:sz w:val="28"/>
          <w:szCs w:val="28"/>
          <w:lang w:val="en-US" w:eastAsia="zh-CN"/>
          <w14:textFill>
            <w14:solidFill>
              <w14:schemeClr w14:val="tx1"/>
            </w14:solidFill>
          </w14:textFill>
        </w:rPr>
        <w:t>及</w:t>
      </w:r>
      <w:r>
        <w:rPr>
          <w:rFonts w:hint="eastAsia" w:ascii="仿宋_GB2312" w:hAnsi="仿宋_GB2312" w:eastAsia="仿宋_GB2312" w:cs="仿宋_GB2312"/>
          <w:b w:val="0"/>
          <w:bCs w:val="0"/>
          <w:color w:val="000000" w:themeColor="text1"/>
          <w:kern w:val="0"/>
          <w:sz w:val="28"/>
          <w:lang w:val="en-US" w:eastAsia="zh-CN"/>
          <w14:textFill>
            <w14:solidFill>
              <w14:schemeClr w14:val="tx1"/>
            </w14:solidFill>
          </w14:textFill>
        </w:rPr>
        <w:t>《评估委托书》</w:t>
      </w:r>
      <w:r>
        <w:rPr>
          <w:rFonts w:hint="eastAsia" w:ascii="仿宋_GB2312" w:hAnsi="仿宋_GB2312" w:eastAsia="仿宋_GB2312" w:cs="仿宋_GB2312"/>
          <w:b w:val="0"/>
          <w:bCs w:val="0"/>
          <w:color w:val="000000" w:themeColor="text1"/>
          <w:kern w:val="0"/>
          <w:sz w:val="28"/>
          <w:szCs w:val="28"/>
          <w:lang w:val="en-US" w:eastAsia="zh-CN"/>
          <w14:textFill>
            <w14:solidFill>
              <w14:schemeClr w14:val="tx1"/>
            </w14:solidFill>
          </w14:textFill>
        </w:rPr>
        <w:t>的约定</w:t>
      </w:r>
      <w:r>
        <w:rPr>
          <w:rFonts w:hint="eastAsia" w:ascii="仿宋_GB2312" w:hAnsi="仿宋_GB2312" w:eastAsia="仿宋_GB2312" w:cs="仿宋_GB2312"/>
          <w:b w:val="0"/>
          <w:bCs w:val="0"/>
          <w:color w:val="000000" w:themeColor="text1"/>
          <w:kern w:val="0"/>
          <w:sz w:val="28"/>
          <w:szCs w:val="28"/>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kern w:val="0"/>
          <w:sz w:val="28"/>
          <w:szCs w:val="28"/>
          <w:lang w:val="en-US" w:eastAsia="zh-CN"/>
          <w14:textFill>
            <w14:solidFill>
              <w14:schemeClr w14:val="tx1"/>
            </w14:solidFill>
          </w14:textFill>
        </w:rPr>
        <w:t>本次估价设定</w:t>
      </w:r>
      <w:r>
        <w:rPr>
          <w:rFonts w:hint="eastAsia" w:ascii="仿宋_GB2312" w:hAnsi="仿宋_GB2312" w:eastAsia="仿宋_GB2312" w:cs="仿宋_GB2312"/>
          <w:b w:val="0"/>
          <w:bCs w:val="0"/>
          <w:color w:val="000000" w:themeColor="text1"/>
          <w:kern w:val="0"/>
          <w:sz w:val="28"/>
          <w:szCs w:val="28"/>
          <w:lang w:val="en-GB" w:eastAsia="zh-CN"/>
          <w14:textFill>
            <w14:solidFill>
              <w14:schemeClr w14:val="tx1"/>
            </w14:solidFill>
          </w14:textFill>
        </w:rPr>
        <w:t>估价期日为2026年6月1日</w:t>
      </w:r>
      <w:r>
        <w:rPr>
          <w:rFonts w:hint="eastAsia" w:ascii="仿宋_GB2312" w:hAnsi="仿宋_GB2312" w:eastAsia="仿宋_GB2312" w:cs="仿宋_GB2312"/>
          <w:b w:val="0"/>
          <w:bCs w:val="0"/>
          <w:sz w:val="28"/>
          <w:szCs w:val="28"/>
          <w:lang w:eastAsia="zh-CN"/>
        </w:rPr>
        <w:t>。</w:t>
      </w:r>
    </w:p>
    <w:p w14:paraId="1167183B">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bCs/>
          <w:color w:val="auto"/>
          <w:sz w:val="28"/>
          <w:szCs w:val="28"/>
          <w:highlight w:val="none"/>
          <w:lang w:val="en-US" w:eastAsia="zh-CN"/>
        </w:rPr>
      </w:pPr>
      <w:bookmarkStart w:id="50" w:name="_Toc4657"/>
      <w:r>
        <w:rPr>
          <w:rFonts w:hint="eastAsia" w:ascii="仿宋_GB2312" w:hAnsi="仿宋_GB2312" w:eastAsia="仿宋_GB2312" w:cs="仿宋_GB2312"/>
          <w:b/>
          <w:bCs/>
          <w:color w:val="auto"/>
          <w:kern w:val="2"/>
          <w:sz w:val="28"/>
          <w:szCs w:val="28"/>
          <w:lang w:val="en-US" w:eastAsia="zh-CN" w:bidi="ar-SA"/>
        </w:rPr>
        <w:t>七、</w:t>
      </w:r>
      <w:r>
        <w:rPr>
          <w:rFonts w:hint="eastAsia" w:ascii="仿宋_GB2312" w:hAnsi="仿宋_GB2312" w:eastAsia="仿宋_GB2312" w:cs="仿宋_GB2312"/>
          <w:b/>
          <w:bCs/>
          <w:color w:val="auto"/>
          <w:sz w:val="28"/>
          <w:szCs w:val="28"/>
          <w:highlight w:val="none"/>
          <w:lang w:val="en-US" w:eastAsia="zh-CN"/>
        </w:rPr>
        <w:t>估价日期</w:t>
      </w:r>
      <w:bookmarkEnd w:id="50"/>
    </w:p>
    <w:p w14:paraId="39A0558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eastAsia="zh-CN"/>
        </w:rPr>
      </w:pPr>
      <w:bookmarkStart w:id="51" w:name="_Toc23645"/>
      <w:r>
        <w:rPr>
          <w:rFonts w:hint="eastAsia" w:ascii="仿宋_GB2312" w:hAnsi="仿宋_GB2312" w:eastAsia="仿宋_GB2312" w:cs="仿宋_GB2312"/>
          <w:b w:val="0"/>
          <w:bCs w:val="0"/>
          <w:color w:val="auto"/>
          <w:sz w:val="28"/>
          <w:szCs w:val="28"/>
          <w:highlight w:val="none"/>
          <w:lang w:eastAsia="zh-CN"/>
        </w:rPr>
        <w:t>2026年6月1日至2026年6月5日</w:t>
      </w:r>
    </w:p>
    <w:p w14:paraId="0BD2BBE1">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八、地价定义</w:t>
      </w:r>
      <w:bookmarkEnd w:id="51"/>
    </w:p>
    <w:p w14:paraId="6BBBA2C7">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kern w:val="0"/>
          <w:sz w:val="28"/>
          <w:highlight w:val="none"/>
          <w:lang w:val="en-US" w:eastAsia="zh-CN"/>
        </w:rPr>
      </w:pPr>
      <w:r>
        <w:rPr>
          <w:rFonts w:hint="eastAsia" w:ascii="仿宋_GB2312" w:hAnsi="仿宋_GB2312" w:eastAsia="仿宋_GB2312" w:cs="仿宋_GB2312"/>
          <w:b w:val="0"/>
          <w:bCs w:val="0"/>
          <w:kern w:val="0"/>
          <w:sz w:val="28"/>
          <w:szCs w:val="28"/>
          <w:highlight w:val="none"/>
          <w:lang w:eastAsia="zh-CN"/>
        </w:rPr>
        <w:t>根据</w:t>
      </w:r>
      <w:r>
        <w:rPr>
          <w:rFonts w:hint="eastAsia" w:ascii="仿宋_GB2312" w:hAnsi="仿宋_GB2312" w:eastAsia="仿宋_GB2312" w:cs="仿宋_GB2312"/>
          <w:b w:val="0"/>
          <w:bCs w:val="0"/>
          <w:kern w:val="0"/>
          <w:sz w:val="28"/>
          <w:szCs w:val="28"/>
          <w:highlight w:val="none"/>
          <w:lang w:val="en-US" w:eastAsia="zh-CN"/>
        </w:rPr>
        <w:t>委托方</w:t>
      </w:r>
      <w:r>
        <w:rPr>
          <w:rFonts w:hint="eastAsia" w:ascii="仿宋_GB2312" w:hAnsi="仿宋_GB2312" w:eastAsia="仿宋_GB2312" w:cs="仿宋_GB2312"/>
          <w:b w:val="0"/>
          <w:bCs w:val="0"/>
          <w:kern w:val="0"/>
          <w:sz w:val="28"/>
          <w:szCs w:val="28"/>
          <w:highlight w:val="none"/>
          <w:lang w:eastAsia="zh-CN"/>
        </w:rPr>
        <w:t>出具的</w:t>
      </w:r>
      <w:r>
        <w:rPr>
          <w:rFonts w:hint="eastAsia" w:ascii="仿宋_GB2312" w:hAnsi="仿宋_GB2312" w:eastAsia="仿宋_GB2312" w:cs="仿宋_GB2312"/>
          <w:b w:val="0"/>
          <w:bCs w:val="0"/>
          <w:kern w:val="0"/>
          <w:sz w:val="28"/>
          <w:szCs w:val="28"/>
          <w:highlight w:val="none"/>
          <w:lang w:val="en-US" w:eastAsia="zh-CN"/>
        </w:rPr>
        <w:t>《评估委托书》</w:t>
      </w:r>
      <w:r>
        <w:rPr>
          <w:rFonts w:hint="eastAsia" w:ascii="仿宋_GB2312" w:hAnsi="仿宋_GB2312" w:eastAsia="仿宋_GB2312" w:cs="仿宋_GB2312"/>
          <w:b w:val="0"/>
          <w:bCs w:val="0"/>
          <w:kern w:val="0"/>
          <w:sz w:val="28"/>
          <w:szCs w:val="28"/>
          <w:highlight w:val="none"/>
          <w:lang w:eastAsia="zh-CN"/>
        </w:rPr>
        <w:t>及现场勘查状况，估价对象</w:t>
      </w:r>
      <w:r>
        <w:rPr>
          <w:rFonts w:hint="eastAsia" w:ascii="仿宋_GB2312" w:hAnsi="仿宋_GB2312" w:eastAsia="仿宋_GB2312" w:cs="仿宋_GB2312"/>
          <w:b w:val="0"/>
          <w:bCs w:val="0"/>
          <w:kern w:val="0"/>
          <w:sz w:val="28"/>
          <w:szCs w:val="28"/>
          <w:highlight w:val="none"/>
          <w:lang w:val="en-US" w:eastAsia="zh-CN"/>
        </w:rPr>
        <w:t>土地面积为</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50平方米</w:t>
      </w:r>
      <w:r>
        <w:rPr>
          <w:rFonts w:hint="eastAsia" w:ascii="仿宋_GB2312" w:hAnsi="仿宋_GB2312" w:eastAsia="仿宋_GB2312" w:cs="仿宋_GB2312"/>
          <w:b w:val="0"/>
          <w:bCs w:val="0"/>
          <w:kern w:val="0"/>
          <w:sz w:val="28"/>
          <w:szCs w:val="28"/>
          <w:highlight w:val="none"/>
          <w:lang w:val="en-US" w:eastAsia="zh-CN"/>
        </w:rPr>
        <w:t>，设定</w:t>
      </w:r>
      <w:r>
        <w:rPr>
          <w:rFonts w:hint="eastAsia" w:ascii="仿宋_GB2312" w:hAnsi="仿宋_GB2312" w:eastAsia="仿宋_GB2312" w:cs="仿宋_GB2312"/>
          <w:b w:val="0"/>
          <w:bCs w:val="0"/>
          <w:kern w:val="0"/>
          <w:sz w:val="28"/>
          <w:szCs w:val="28"/>
          <w:highlight w:val="none"/>
          <w:lang w:eastAsia="zh-CN"/>
        </w:rPr>
        <w:t>用途为</w:t>
      </w:r>
      <w:r>
        <w:rPr>
          <w:rFonts w:hint="eastAsia" w:ascii="仿宋_GB2312" w:hAnsi="仿宋_GB2312" w:eastAsia="仿宋_GB2312" w:cs="仿宋_GB2312"/>
          <w:b w:val="0"/>
          <w:bCs w:val="0"/>
          <w:kern w:val="0"/>
          <w:sz w:val="28"/>
          <w:szCs w:val="28"/>
          <w:highlight w:val="none"/>
          <w:lang w:val="en-US" w:eastAsia="zh-CN"/>
        </w:rPr>
        <w:t>住宅用地</w:t>
      </w:r>
      <w:r>
        <w:rPr>
          <w:rFonts w:hint="eastAsia" w:ascii="仿宋_GB2312" w:hAnsi="仿宋_GB2312" w:eastAsia="仿宋_GB2312" w:cs="仿宋_GB2312"/>
          <w:b w:val="0"/>
          <w:bCs w:val="0"/>
          <w:kern w:val="0"/>
          <w:sz w:val="28"/>
          <w:szCs w:val="28"/>
          <w:highlight w:val="none"/>
          <w:lang w:eastAsia="zh-CN"/>
        </w:rPr>
        <w:t>，至估价期日，估价对象现状为</w:t>
      </w:r>
      <w:r>
        <w:rPr>
          <w:rFonts w:hint="eastAsia" w:ascii="仿宋_GB2312" w:hAnsi="仿宋_GB2312" w:eastAsia="仿宋_GB2312" w:cs="仿宋_GB2312"/>
          <w:b w:val="0"/>
          <w:bCs w:val="0"/>
          <w:kern w:val="0"/>
          <w:sz w:val="28"/>
          <w:szCs w:val="28"/>
          <w:highlight w:val="none"/>
          <w:lang w:val="en-US" w:eastAsia="zh-CN"/>
        </w:rPr>
        <w:t>已</w:t>
      </w:r>
      <w:r>
        <w:rPr>
          <w:rFonts w:hint="eastAsia" w:ascii="仿宋_GB2312" w:hAnsi="仿宋_GB2312" w:eastAsia="仿宋_GB2312" w:cs="仿宋_GB2312"/>
          <w:b w:val="0"/>
          <w:bCs w:val="0"/>
          <w:kern w:val="0"/>
          <w:sz w:val="28"/>
          <w:szCs w:val="28"/>
          <w:highlight w:val="none"/>
          <w:lang w:eastAsia="zh-CN"/>
        </w:rPr>
        <w:t>开发建设用地，土地开发程度为宗地红线外“五通”（即通路、通电、供水、排水、通讯），宗地红线内场地平整</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w:t>
      </w:r>
    </w:p>
    <w:p w14:paraId="5AFABC6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1.估价期日的</w:t>
      </w:r>
      <w:r>
        <w:rPr>
          <w:rFonts w:hint="eastAsia" w:ascii="仿宋_GB2312" w:hAnsi="仿宋_GB2312" w:eastAsia="仿宋_GB2312" w:cs="仿宋_GB2312"/>
          <w:b w:val="0"/>
          <w:bCs w:val="0"/>
          <w:kern w:val="0"/>
          <w:sz w:val="28"/>
          <w:szCs w:val="28"/>
          <w:highlight w:val="none"/>
          <w:lang w:eastAsia="zh-CN"/>
        </w:rPr>
        <w:t>设定</w:t>
      </w:r>
    </w:p>
    <w:p w14:paraId="1055D13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lang w:val="en-US" w:eastAsia="zh-CN"/>
        </w:rPr>
        <w:t>根据</w:t>
      </w:r>
      <w:r>
        <w:rPr>
          <w:rFonts w:hint="eastAsia" w:ascii="仿宋_GB2312" w:hAnsi="仿宋_GB2312" w:eastAsia="仿宋_GB2312" w:cs="仿宋_GB2312"/>
          <w:b w:val="0"/>
          <w:bCs w:val="0"/>
          <w:kern w:val="0"/>
          <w:sz w:val="28"/>
          <w:szCs w:val="28"/>
          <w:lang w:val="en-GB" w:eastAsia="zh-CN"/>
        </w:rPr>
        <w:t>本次估价目的</w:t>
      </w:r>
      <w:r>
        <w:rPr>
          <w:rFonts w:hint="eastAsia" w:ascii="仿宋_GB2312" w:hAnsi="仿宋_GB2312" w:eastAsia="仿宋_GB2312" w:cs="仿宋_GB2312"/>
          <w:b w:val="0"/>
          <w:bCs w:val="0"/>
          <w:kern w:val="0"/>
          <w:sz w:val="28"/>
          <w:szCs w:val="28"/>
          <w:lang w:val="en-US" w:eastAsia="zh-CN"/>
        </w:rPr>
        <w:t>及</w:t>
      </w:r>
      <w:r>
        <w:rPr>
          <w:rFonts w:hint="eastAsia" w:ascii="仿宋_GB2312" w:hAnsi="仿宋_GB2312" w:eastAsia="仿宋_GB2312" w:cs="仿宋_GB2312"/>
          <w:b w:val="0"/>
          <w:bCs w:val="0"/>
          <w:kern w:val="0"/>
          <w:sz w:val="28"/>
          <w:lang w:val="en-US" w:eastAsia="zh-CN"/>
        </w:rPr>
        <w:t>《评估委托书》</w:t>
      </w:r>
      <w:r>
        <w:rPr>
          <w:rFonts w:hint="eastAsia" w:ascii="仿宋_GB2312" w:hAnsi="仿宋_GB2312" w:eastAsia="仿宋_GB2312" w:cs="仿宋_GB2312"/>
          <w:b w:val="0"/>
          <w:bCs w:val="0"/>
          <w:kern w:val="0"/>
          <w:sz w:val="28"/>
          <w:szCs w:val="28"/>
          <w:lang w:val="en-US" w:eastAsia="zh-CN"/>
        </w:rPr>
        <w:t>的约定</w:t>
      </w:r>
      <w:r>
        <w:rPr>
          <w:rFonts w:hint="eastAsia" w:ascii="仿宋_GB2312" w:hAnsi="仿宋_GB2312" w:eastAsia="仿宋_GB2312" w:cs="仿宋_GB2312"/>
          <w:b w:val="0"/>
          <w:bCs w:val="0"/>
          <w:kern w:val="0"/>
          <w:sz w:val="28"/>
          <w:szCs w:val="28"/>
          <w:lang w:val="en-GB" w:eastAsia="zh-CN"/>
        </w:rPr>
        <w:t>，</w:t>
      </w:r>
      <w:r>
        <w:rPr>
          <w:rFonts w:hint="eastAsia" w:ascii="仿宋_GB2312" w:hAnsi="仿宋_GB2312" w:eastAsia="仿宋_GB2312" w:cs="仿宋_GB2312"/>
          <w:b w:val="0"/>
          <w:bCs w:val="0"/>
          <w:kern w:val="0"/>
          <w:sz w:val="28"/>
          <w:szCs w:val="28"/>
          <w:lang w:val="en-US" w:eastAsia="zh-CN"/>
        </w:rPr>
        <w:t>本次估价设定</w:t>
      </w:r>
      <w:r>
        <w:rPr>
          <w:rFonts w:hint="eastAsia" w:ascii="仿宋_GB2312" w:hAnsi="仿宋_GB2312" w:eastAsia="仿宋_GB2312" w:cs="仿宋_GB2312"/>
          <w:b w:val="0"/>
          <w:bCs w:val="0"/>
          <w:kern w:val="0"/>
          <w:sz w:val="28"/>
          <w:szCs w:val="28"/>
          <w:lang w:val="en-GB" w:eastAsia="zh-CN"/>
        </w:rPr>
        <w:t>估价期日为2026年6月1日</w:t>
      </w:r>
      <w:r>
        <w:rPr>
          <w:rFonts w:hint="eastAsia" w:ascii="仿宋_GB2312" w:hAnsi="仿宋_GB2312" w:eastAsia="仿宋_GB2312" w:cs="仿宋_GB2312"/>
          <w:b w:val="0"/>
          <w:bCs w:val="0"/>
          <w:kern w:val="0"/>
          <w:sz w:val="28"/>
          <w:szCs w:val="28"/>
          <w:highlight w:val="none"/>
          <w:lang w:eastAsia="zh-CN"/>
        </w:rPr>
        <w:t>。</w:t>
      </w:r>
    </w:p>
    <w:p w14:paraId="36E2295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2.土地用途的设定</w:t>
      </w:r>
    </w:p>
    <w:p w14:paraId="3FE821F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根据土地估价师现场勘查，估价对象现状</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已开发建设，地上有一栋4层住宅楼</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。根据</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，估价对象</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设定土地</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用途为</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根据《土地利用现状分类》(GB/T21010-2017，2017年11月01日)和估价目的</w:t>
      </w:r>
      <w:r>
        <w:rPr>
          <w:rFonts w:hint="eastAsia" w:ascii="仿宋_GB2312" w:hAnsi="仿宋_GB2312" w:eastAsia="仿宋_GB2312" w:cs="仿宋_GB2312"/>
          <w:b w:val="0"/>
          <w:bCs w:val="0"/>
          <w:kern w:val="0"/>
          <w:sz w:val="28"/>
          <w:szCs w:val="28"/>
          <w:highlight w:val="none"/>
          <w:lang w:eastAsia="zh-CN"/>
        </w:rPr>
        <w:t>，</w:t>
      </w:r>
      <w:r>
        <w:rPr>
          <w:rFonts w:hint="eastAsia" w:ascii="仿宋_GB2312" w:hAnsi="仿宋_GB2312" w:eastAsia="仿宋_GB2312" w:cs="仿宋_GB2312"/>
          <w:b w:val="0"/>
          <w:bCs w:val="0"/>
          <w:kern w:val="0"/>
          <w:sz w:val="28"/>
          <w:szCs w:val="28"/>
          <w:highlight w:val="none"/>
          <w:lang w:val="en-US" w:eastAsia="zh-CN"/>
        </w:rPr>
        <w:t>结合《评估委托书》</w:t>
      </w:r>
      <w:r>
        <w:rPr>
          <w:rFonts w:hint="eastAsia" w:ascii="仿宋_GB2312" w:hAnsi="仿宋_GB2312" w:eastAsia="仿宋_GB2312" w:cs="仿宋_GB2312"/>
          <w:b w:val="0"/>
          <w:bCs w:val="0"/>
          <w:kern w:val="0"/>
          <w:sz w:val="28"/>
          <w:szCs w:val="28"/>
          <w:highlight w:val="none"/>
          <w:lang w:eastAsia="zh-CN"/>
        </w:rPr>
        <w:t>本次评估设定土地用途为</w:t>
      </w:r>
      <w:r>
        <w:rPr>
          <w:rFonts w:hint="eastAsia" w:ascii="仿宋_GB2312" w:hAnsi="仿宋_GB2312" w:eastAsia="仿宋_GB2312" w:cs="仿宋_GB2312"/>
          <w:b w:val="0"/>
          <w:bCs w:val="0"/>
          <w:kern w:val="0"/>
          <w:sz w:val="28"/>
          <w:szCs w:val="28"/>
          <w:highlight w:val="none"/>
          <w:lang w:val="en-US" w:eastAsia="zh-CN"/>
        </w:rPr>
        <w:t>住宅用地</w:t>
      </w:r>
      <w:r>
        <w:rPr>
          <w:rFonts w:hint="eastAsia" w:ascii="仿宋_GB2312" w:hAnsi="仿宋_GB2312" w:eastAsia="仿宋_GB2312" w:cs="仿宋_GB2312"/>
          <w:b w:val="0"/>
          <w:bCs w:val="0"/>
          <w:kern w:val="0"/>
          <w:sz w:val="28"/>
          <w:szCs w:val="28"/>
          <w:highlight w:val="none"/>
          <w:lang w:eastAsia="zh-CN"/>
        </w:rPr>
        <w:t>。</w:t>
      </w:r>
    </w:p>
    <w:p w14:paraId="0E64EB6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3.土地使用权类型</w:t>
      </w:r>
      <w:r>
        <w:rPr>
          <w:rFonts w:hint="eastAsia" w:ascii="仿宋_GB2312" w:hAnsi="仿宋_GB2312" w:eastAsia="仿宋_GB2312" w:cs="仿宋_GB2312"/>
          <w:b w:val="0"/>
          <w:bCs w:val="0"/>
          <w:kern w:val="0"/>
          <w:sz w:val="28"/>
          <w:szCs w:val="28"/>
          <w:highlight w:val="none"/>
          <w:lang w:val="en-US" w:eastAsia="zh-CN"/>
        </w:rPr>
        <w:t>的</w:t>
      </w:r>
      <w:r>
        <w:rPr>
          <w:rFonts w:hint="eastAsia" w:ascii="仿宋_GB2312" w:hAnsi="仿宋_GB2312" w:eastAsia="仿宋_GB2312" w:cs="仿宋_GB2312"/>
          <w:b w:val="0"/>
          <w:bCs w:val="0"/>
          <w:kern w:val="0"/>
          <w:sz w:val="28"/>
          <w:szCs w:val="28"/>
          <w:highlight w:val="none"/>
          <w:lang w:eastAsia="zh-CN"/>
        </w:rPr>
        <w:t>设定</w:t>
      </w:r>
    </w:p>
    <w:p w14:paraId="52D674E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估价对象于估价期日内为国有存量用地，</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自然资源局拟以现状条件出让估价对象的土地使用权，根据此次评估目的，设定估价对象土地使用权类型为出让。</w:t>
      </w:r>
    </w:p>
    <w:p w14:paraId="090EA25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4.土地使用年期的设定</w:t>
      </w:r>
    </w:p>
    <w:p w14:paraId="3CD9E39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FF0000"/>
          <w:kern w:val="0"/>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本次评估根据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《评估委托书》约定和估价目的，设定土地使用权年限为住宅用地70年。</w:t>
      </w:r>
    </w:p>
    <w:p w14:paraId="783B69B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5.土地开发程度的设定</w:t>
      </w:r>
    </w:p>
    <w:p w14:paraId="2E5EE57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根据土地估价师实地勘查，估价对象于估价期日2026年6月1日实际开发程度为宗地红线外“五通”（即通路、通电、供水、排水、通讯），宗地红线内场地平整。结合估价目的及实际情况，本次评估设定土地开发程度为宗地红线外“五通”（即通路、通电、供水、排水、通讯），宗地红线内场地平整。</w:t>
      </w:r>
    </w:p>
    <w:p w14:paraId="36C4DFE6">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val="en-US" w:eastAsia="zh-CN"/>
        </w:rPr>
        <w:t>6.</w:t>
      </w:r>
      <w:r>
        <w:rPr>
          <w:rFonts w:hint="eastAsia" w:ascii="仿宋_GB2312" w:hAnsi="仿宋_GB2312" w:eastAsia="仿宋_GB2312" w:cs="仿宋_GB2312"/>
          <w:b w:val="0"/>
          <w:bCs w:val="0"/>
          <w:kern w:val="0"/>
          <w:sz w:val="28"/>
          <w:szCs w:val="28"/>
          <w:highlight w:val="none"/>
          <w:lang w:eastAsia="zh-CN"/>
        </w:rPr>
        <w:t>用地利用条件的设定</w:t>
      </w:r>
    </w:p>
    <w:p w14:paraId="1CE4A04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highlight w:val="none"/>
          <w:lang w:eastAsia="zh-CN"/>
        </w:rPr>
      </w:pP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估价对象在估价期日土地利用现状为</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已开发建设</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地上有一栋4层住宅建筑，根据《不动产测绘报告书》，建筑面积205.45平方米，整栋为住宅，根据《宗地图》，估价对象土地面积50平方米，则容积率为4.11，本次评估设定容积率为4.11</w:t>
      </w:r>
      <w:r>
        <w:rPr>
          <w:rFonts w:hint="eastAsia" w:ascii="仿宋_GB2312" w:hAnsi="仿宋_GB2312" w:eastAsia="仿宋_GB2312" w:cs="仿宋_GB2312"/>
          <w:b w:val="0"/>
          <w:bCs w:val="0"/>
          <w:color w:val="0000FF"/>
          <w:kern w:val="0"/>
          <w:sz w:val="28"/>
          <w:szCs w:val="28"/>
          <w:highlight w:val="none"/>
          <w:lang w:eastAsia="zh-CN"/>
        </w:rPr>
        <w:t>。</w:t>
      </w:r>
    </w:p>
    <w:p w14:paraId="1BDA900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7.价格类型的设定</w:t>
      </w:r>
    </w:p>
    <w:p w14:paraId="1C68CF1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kern w:val="0"/>
          <w:sz w:val="28"/>
          <w:szCs w:val="28"/>
          <w:highlight w:val="none"/>
          <w:lang w:eastAsia="zh-CN"/>
        </w:rPr>
      </w:pPr>
      <w:r>
        <w:rPr>
          <w:rFonts w:hint="eastAsia" w:ascii="仿宋_GB2312" w:hAnsi="仿宋_GB2312" w:eastAsia="仿宋_GB2312" w:cs="仿宋_GB2312"/>
          <w:b w:val="0"/>
          <w:bCs w:val="0"/>
          <w:kern w:val="0"/>
          <w:sz w:val="28"/>
          <w:szCs w:val="28"/>
          <w:highlight w:val="none"/>
          <w:lang w:eastAsia="zh-CN"/>
        </w:rPr>
        <w:t>根据委托</w:t>
      </w:r>
      <w:r>
        <w:rPr>
          <w:rFonts w:hint="eastAsia" w:ascii="仿宋_GB2312" w:hAnsi="仿宋_GB2312" w:eastAsia="仿宋_GB2312" w:cs="仿宋_GB2312"/>
          <w:b w:val="0"/>
          <w:bCs w:val="0"/>
          <w:color w:val="auto"/>
          <w:kern w:val="0"/>
          <w:sz w:val="28"/>
          <w:highlight w:val="none"/>
          <w:lang w:val="en-US" w:eastAsia="zh-CN"/>
        </w:rPr>
        <w:t>方提供的资料及</w:t>
      </w:r>
      <w:r>
        <w:rPr>
          <w:rFonts w:hint="eastAsia" w:ascii="仿宋_GB2312" w:hAnsi="仿宋_GB2312" w:eastAsia="仿宋_GB2312" w:cs="仿宋_GB2312"/>
          <w:b w:val="0"/>
          <w:bCs w:val="0"/>
          <w:kern w:val="0"/>
          <w:sz w:val="28"/>
          <w:szCs w:val="28"/>
          <w:highlight w:val="none"/>
          <w:lang w:eastAsia="zh-CN"/>
        </w:rPr>
        <w:t>估价人员调查所获取的资料，估价对象为国有出让建设用地使用权，未设立抵押权、租赁权、地役权、地上权等附加权利。本次评估设定估价对象为未设立抵押权、租赁权、地役权、地上权等附加权利下的国有建设用地使用权。</w:t>
      </w:r>
    </w:p>
    <w:p w14:paraId="1A81386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kern w:val="0"/>
          <w:sz w:val="28"/>
          <w:highlight w:val="none"/>
          <w:lang w:val="en-US" w:eastAsia="zh-CN"/>
        </w:rPr>
      </w:pPr>
      <w:r>
        <w:rPr>
          <w:rFonts w:hint="eastAsia" w:ascii="仿宋_GB2312" w:hAnsi="仿宋_GB2312" w:eastAsia="仿宋_GB2312" w:cs="仿宋_GB2312"/>
          <w:b w:val="0"/>
          <w:bCs w:val="0"/>
          <w:kern w:val="0"/>
          <w:sz w:val="28"/>
          <w:szCs w:val="28"/>
          <w:highlight w:val="none"/>
          <w:lang w:eastAsia="zh-CN"/>
        </w:rPr>
        <w:t>综上所述，</w:t>
      </w:r>
      <w:r>
        <w:rPr>
          <w:rFonts w:hint="eastAsia" w:ascii="仿宋_GB2312" w:hAnsi="仿宋_GB2312" w:eastAsia="仿宋_GB2312" w:cs="仿宋_GB2312"/>
          <w:b w:val="0"/>
          <w:bCs w:val="0"/>
          <w:color w:val="auto"/>
          <w:kern w:val="0"/>
          <w:sz w:val="28"/>
          <w:highlight w:val="none"/>
          <w:lang w:val="en-US" w:eastAsia="zh-CN"/>
        </w:rPr>
        <w:t>本次估价的地价内涵是指：估价对象在公开市场条件下，于估价期日2026年6月1日，土地面积50平方米，土地用途设定为住宅用地，出让使用年期为住宅用地70年，容积率为4.11，土地开发程度设定为</w:t>
      </w:r>
      <w:r>
        <w:rPr>
          <w:rFonts w:hint="eastAsia" w:ascii="仿宋_GB2312" w:hAnsi="仿宋_GB2312" w:eastAsia="仿宋_GB2312" w:cs="仿宋_GB2312"/>
          <w:b w:val="0"/>
          <w:bCs w:val="0"/>
          <w:kern w:val="0"/>
          <w:sz w:val="28"/>
          <w:szCs w:val="28"/>
          <w:highlight w:val="none"/>
          <w:lang w:eastAsia="zh-CN"/>
        </w:rPr>
        <w:t>宗地红线外“五通”（即通路、通电、供水、排水、通讯），宗地红线内场地平整</w:t>
      </w:r>
      <w:r>
        <w:rPr>
          <w:rFonts w:hint="eastAsia" w:ascii="仿宋_GB2312" w:hAnsi="仿宋_GB2312" w:eastAsia="仿宋_GB2312" w:cs="仿宋_GB2312"/>
          <w:b w:val="0"/>
          <w:bCs w:val="0"/>
          <w:color w:val="auto"/>
          <w:kern w:val="0"/>
          <w:sz w:val="28"/>
          <w:highlight w:val="none"/>
          <w:lang w:val="en-US" w:eastAsia="zh-CN"/>
        </w:rPr>
        <w:t>下的土地使用权市场价格。</w:t>
      </w:r>
    </w:p>
    <w:p w14:paraId="64E09DCA">
      <w:pPr>
        <w:overflowPunct w:val="0"/>
        <w:autoSpaceDE w:val="0"/>
        <w:autoSpaceDN w:val="0"/>
        <w:snapToGrid w:val="0"/>
        <w:spacing w:line="540" w:lineRule="exact"/>
        <w:jc w:val="center"/>
        <w:rPr>
          <w:rFonts w:hint="eastAsia" w:ascii="仿宋_GB2312" w:hAnsi="仿宋_GB2312" w:eastAsia="仿宋_GB2312" w:cs="仿宋_GB2312"/>
          <w:b/>
          <w:sz w:val="24"/>
        </w:rPr>
      </w:pPr>
      <w:r>
        <w:rPr>
          <w:rFonts w:hint="eastAsia" w:ascii="仿宋_GB2312" w:hAnsi="仿宋_GB2312" w:eastAsia="仿宋_GB2312" w:cs="仿宋_GB2312"/>
          <w:b/>
          <w:sz w:val="24"/>
        </w:rPr>
        <w:t>估价对象地价定义一览表</w:t>
      </w:r>
    </w:p>
    <w:tbl>
      <w:tblPr>
        <w:tblStyle w:val="1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3"/>
        <w:gridCol w:w="541"/>
        <w:gridCol w:w="880"/>
        <w:gridCol w:w="921"/>
        <w:gridCol w:w="751"/>
        <w:gridCol w:w="629"/>
        <w:gridCol w:w="780"/>
        <w:gridCol w:w="795"/>
        <w:gridCol w:w="1018"/>
        <w:gridCol w:w="1112"/>
        <w:gridCol w:w="537"/>
      </w:tblGrid>
      <w:tr w14:paraId="2E3E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324" w:type="pct"/>
            <w:noWrap w:val="0"/>
            <w:vAlign w:val="center"/>
          </w:tcPr>
          <w:p w14:paraId="2BCE5B6C">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宗地编号</w:t>
            </w:r>
          </w:p>
        </w:tc>
        <w:tc>
          <w:tcPr>
            <w:tcW w:w="317" w:type="pct"/>
            <w:noWrap w:val="0"/>
            <w:vAlign w:val="center"/>
          </w:tcPr>
          <w:p w14:paraId="779C80B2">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b/>
                <w:snapToGrid w:val="0"/>
                <w:sz w:val="20"/>
                <w:szCs w:val="20"/>
              </w:rPr>
            </w:pPr>
            <w:r>
              <w:rPr>
                <w:rFonts w:hint="eastAsia" w:ascii="仿宋_GB2312" w:hAnsi="仿宋_GB2312" w:eastAsia="仿宋_GB2312" w:cs="仿宋_GB2312"/>
                <w:spacing w:val="-20"/>
                <w:sz w:val="20"/>
                <w:szCs w:val="20"/>
              </w:rPr>
              <w:t>土地使用证编号</w:t>
            </w:r>
          </w:p>
        </w:tc>
        <w:tc>
          <w:tcPr>
            <w:tcW w:w="516" w:type="pct"/>
            <w:noWrap w:val="0"/>
            <w:vAlign w:val="center"/>
          </w:tcPr>
          <w:p w14:paraId="4FC3DD3E">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估价期日土地使用权性质</w:t>
            </w:r>
          </w:p>
        </w:tc>
        <w:tc>
          <w:tcPr>
            <w:tcW w:w="540" w:type="pct"/>
            <w:noWrap w:val="0"/>
            <w:vAlign w:val="center"/>
          </w:tcPr>
          <w:p w14:paraId="00C28D65">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估价设定土地使用权性质</w:t>
            </w:r>
          </w:p>
        </w:tc>
        <w:tc>
          <w:tcPr>
            <w:tcW w:w="440" w:type="pct"/>
            <w:noWrap w:val="0"/>
            <w:vAlign w:val="center"/>
          </w:tcPr>
          <w:p w14:paraId="3A159536">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待估宗地实际用途</w:t>
            </w:r>
          </w:p>
        </w:tc>
        <w:tc>
          <w:tcPr>
            <w:tcW w:w="369" w:type="pct"/>
            <w:noWrap w:val="0"/>
            <w:vAlign w:val="center"/>
          </w:tcPr>
          <w:p w14:paraId="0857B7C3">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估价期日的规划用途</w:t>
            </w:r>
          </w:p>
        </w:tc>
        <w:tc>
          <w:tcPr>
            <w:tcW w:w="457" w:type="pct"/>
            <w:noWrap w:val="0"/>
            <w:vAlign w:val="center"/>
          </w:tcPr>
          <w:p w14:paraId="29C9A81F">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估价设定用途</w:t>
            </w:r>
          </w:p>
        </w:tc>
        <w:tc>
          <w:tcPr>
            <w:tcW w:w="466" w:type="pct"/>
            <w:noWrap w:val="0"/>
            <w:vAlign w:val="center"/>
          </w:tcPr>
          <w:p w14:paraId="368FD689">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估价设定使用年限</w:t>
            </w:r>
          </w:p>
        </w:tc>
        <w:tc>
          <w:tcPr>
            <w:tcW w:w="597" w:type="pct"/>
            <w:noWrap w:val="0"/>
            <w:vAlign w:val="center"/>
          </w:tcPr>
          <w:p w14:paraId="29B4F5A3">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估价期日实际土地开发程度</w:t>
            </w:r>
          </w:p>
        </w:tc>
        <w:tc>
          <w:tcPr>
            <w:tcW w:w="652" w:type="pct"/>
            <w:noWrap w:val="0"/>
            <w:vAlign w:val="center"/>
          </w:tcPr>
          <w:p w14:paraId="184CCA4C">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估价设定土地开发程度</w:t>
            </w:r>
          </w:p>
        </w:tc>
        <w:tc>
          <w:tcPr>
            <w:tcW w:w="315" w:type="pct"/>
            <w:noWrap w:val="0"/>
            <w:vAlign w:val="center"/>
          </w:tcPr>
          <w:p w14:paraId="5AB10FDC">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设定容积率</w:t>
            </w:r>
          </w:p>
        </w:tc>
      </w:tr>
      <w:tr w14:paraId="03724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jc w:val="center"/>
        </w:trPr>
        <w:tc>
          <w:tcPr>
            <w:tcW w:w="324" w:type="pct"/>
            <w:noWrap w:val="0"/>
            <w:vAlign w:val="center"/>
          </w:tcPr>
          <w:p w14:paraId="2424423D">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default"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w:t>
            </w:r>
          </w:p>
        </w:tc>
        <w:tc>
          <w:tcPr>
            <w:tcW w:w="317" w:type="pct"/>
            <w:noWrap w:val="0"/>
            <w:vAlign w:val="center"/>
          </w:tcPr>
          <w:p w14:paraId="033BEC3D">
            <w:pPr>
              <w:keepNext w:val="0"/>
              <w:keepLines w:val="0"/>
              <w:pageBreakBefore w:val="0"/>
              <w:widowControl/>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kern w:val="0"/>
                <w:sz w:val="20"/>
                <w:szCs w:val="20"/>
                <w:lang w:val="en-US" w:eastAsia="zh-CN"/>
              </w:rPr>
            </w:pPr>
            <w:r>
              <w:rPr>
                <w:rFonts w:hint="eastAsia" w:ascii="仿宋_GB2312" w:hAnsi="仿宋_GB2312" w:eastAsia="仿宋_GB2312" w:cs="仿宋_GB2312"/>
                <w:kern w:val="0"/>
                <w:sz w:val="20"/>
                <w:szCs w:val="20"/>
                <w:lang w:val="en-US" w:eastAsia="zh-CN"/>
              </w:rPr>
              <w:t>/</w:t>
            </w:r>
          </w:p>
        </w:tc>
        <w:tc>
          <w:tcPr>
            <w:tcW w:w="516" w:type="pct"/>
            <w:noWrap w:val="0"/>
            <w:vAlign w:val="center"/>
          </w:tcPr>
          <w:p w14:paraId="3CF6E1EE">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rPr>
            </w:pPr>
            <w:r>
              <w:rPr>
                <w:rFonts w:hint="eastAsia" w:ascii="仿宋_GB2312" w:hAnsi="仿宋_GB2312" w:eastAsia="仿宋_GB2312" w:cs="仿宋_GB2312"/>
                <w:spacing w:val="-20"/>
                <w:sz w:val="20"/>
                <w:szCs w:val="20"/>
              </w:rPr>
              <w:t>国有存量建设用地</w:t>
            </w:r>
          </w:p>
        </w:tc>
        <w:tc>
          <w:tcPr>
            <w:tcW w:w="540" w:type="pct"/>
            <w:noWrap w:val="0"/>
            <w:vAlign w:val="center"/>
          </w:tcPr>
          <w:p w14:paraId="1900F260">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国有出让土地</w:t>
            </w:r>
          </w:p>
        </w:tc>
        <w:tc>
          <w:tcPr>
            <w:tcW w:w="440" w:type="pct"/>
            <w:noWrap w:val="0"/>
            <w:vAlign w:val="center"/>
          </w:tcPr>
          <w:p w14:paraId="00DF08AA">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住宅用地</w:t>
            </w:r>
          </w:p>
        </w:tc>
        <w:tc>
          <w:tcPr>
            <w:tcW w:w="369" w:type="pct"/>
            <w:noWrap w:val="0"/>
            <w:vAlign w:val="center"/>
          </w:tcPr>
          <w:p w14:paraId="708D63CC">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default"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w:t>
            </w:r>
          </w:p>
        </w:tc>
        <w:tc>
          <w:tcPr>
            <w:tcW w:w="457" w:type="pct"/>
            <w:noWrap w:val="0"/>
            <w:vAlign w:val="center"/>
          </w:tcPr>
          <w:p w14:paraId="26DDEB1E">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eastAsia"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住宅用地</w:t>
            </w:r>
          </w:p>
        </w:tc>
        <w:tc>
          <w:tcPr>
            <w:tcW w:w="466" w:type="pct"/>
            <w:noWrap w:val="0"/>
            <w:vAlign w:val="center"/>
          </w:tcPr>
          <w:p w14:paraId="5F5713BC">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default"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住宅用地70年</w:t>
            </w:r>
          </w:p>
        </w:tc>
        <w:tc>
          <w:tcPr>
            <w:tcW w:w="597" w:type="pct"/>
            <w:noWrap w:val="0"/>
            <w:vAlign w:val="center"/>
          </w:tcPr>
          <w:p w14:paraId="4DDE53FF">
            <w:pPr>
              <w:keepNext w:val="0"/>
              <w:keepLines w:val="0"/>
              <w:pageBreakBefore w:val="0"/>
              <w:kinsoku/>
              <w:wordWrap/>
              <w:topLinePunct w:val="0"/>
              <w:bidi w:val="0"/>
              <w:adjustRightInd w:val="0"/>
              <w:snapToGrid w:val="0"/>
              <w:spacing w:line="240" w:lineRule="exact"/>
              <w:jc w:val="center"/>
              <w:textAlignment w:val="auto"/>
              <w:rPr>
                <w:rFonts w:hint="eastAsia" w:ascii="仿宋_GB2312" w:hAnsi="仿宋_GB2312" w:eastAsia="仿宋_GB2312" w:cs="仿宋_GB2312"/>
                <w:snapToGrid w:val="0"/>
                <w:sz w:val="20"/>
                <w:szCs w:val="20"/>
              </w:rPr>
            </w:pPr>
            <w:r>
              <w:rPr>
                <w:rFonts w:hint="eastAsia" w:ascii="仿宋_GB2312" w:hAnsi="仿宋_GB2312" w:eastAsia="仿宋_GB2312" w:cs="仿宋_GB2312"/>
                <w:snapToGrid w:val="0"/>
                <w:sz w:val="20"/>
                <w:szCs w:val="20"/>
              </w:rPr>
              <w:t>宗地红线外“五通”，红线内场地平整</w:t>
            </w:r>
          </w:p>
        </w:tc>
        <w:tc>
          <w:tcPr>
            <w:tcW w:w="652" w:type="pct"/>
            <w:noWrap w:val="0"/>
            <w:vAlign w:val="center"/>
          </w:tcPr>
          <w:p w14:paraId="37AF74A6">
            <w:pPr>
              <w:keepNext w:val="0"/>
              <w:keepLines w:val="0"/>
              <w:pageBreakBefore w:val="0"/>
              <w:kinsoku/>
              <w:wordWrap/>
              <w:topLinePunct w:val="0"/>
              <w:bidi w:val="0"/>
              <w:adjustRightInd w:val="0"/>
              <w:snapToGrid w:val="0"/>
              <w:spacing w:line="240" w:lineRule="exact"/>
              <w:jc w:val="center"/>
              <w:textAlignment w:val="auto"/>
              <w:rPr>
                <w:rFonts w:hint="eastAsia" w:ascii="仿宋_GB2312" w:hAnsi="仿宋_GB2312" w:eastAsia="仿宋_GB2312" w:cs="仿宋_GB2312"/>
                <w:snapToGrid w:val="0"/>
                <w:sz w:val="20"/>
                <w:szCs w:val="20"/>
              </w:rPr>
            </w:pPr>
            <w:r>
              <w:rPr>
                <w:rFonts w:hint="eastAsia" w:ascii="仿宋_GB2312" w:hAnsi="仿宋_GB2312" w:eastAsia="仿宋_GB2312" w:cs="仿宋_GB2312"/>
                <w:snapToGrid w:val="0"/>
                <w:sz w:val="20"/>
                <w:szCs w:val="20"/>
              </w:rPr>
              <w:t>宗地红线外“五通”，红线内场地平整</w:t>
            </w:r>
          </w:p>
        </w:tc>
        <w:tc>
          <w:tcPr>
            <w:tcW w:w="315" w:type="pct"/>
            <w:noWrap w:val="0"/>
            <w:vAlign w:val="center"/>
          </w:tcPr>
          <w:p w14:paraId="21A0B634">
            <w:pPr>
              <w:keepNext w:val="0"/>
              <w:keepLines w:val="0"/>
              <w:pageBreakBefore w:val="0"/>
              <w:kinsoku/>
              <w:wordWrap/>
              <w:overflowPunct w:val="0"/>
              <w:topLinePunct w:val="0"/>
              <w:autoSpaceDE w:val="0"/>
              <w:autoSpaceDN w:val="0"/>
              <w:bidi w:val="0"/>
              <w:snapToGrid w:val="0"/>
              <w:spacing w:line="240" w:lineRule="exact"/>
              <w:jc w:val="center"/>
              <w:textAlignment w:val="auto"/>
              <w:rPr>
                <w:rFonts w:hint="default" w:ascii="仿宋_GB2312" w:hAnsi="仿宋_GB2312" w:eastAsia="仿宋_GB2312" w:cs="仿宋_GB2312"/>
                <w:spacing w:val="-20"/>
                <w:sz w:val="20"/>
                <w:szCs w:val="20"/>
                <w:lang w:val="en-US" w:eastAsia="zh-CN"/>
              </w:rPr>
            </w:pPr>
            <w:r>
              <w:rPr>
                <w:rFonts w:hint="eastAsia" w:ascii="仿宋_GB2312" w:hAnsi="仿宋_GB2312" w:eastAsia="仿宋_GB2312" w:cs="仿宋_GB2312"/>
                <w:spacing w:val="-20"/>
                <w:sz w:val="20"/>
                <w:szCs w:val="20"/>
                <w:lang w:val="en-US" w:eastAsia="zh-CN"/>
              </w:rPr>
              <w:t>4.11</w:t>
            </w:r>
          </w:p>
        </w:tc>
      </w:tr>
    </w:tbl>
    <w:p w14:paraId="57D5DDFA">
      <w:pPr>
        <w:keepNext w:val="0"/>
        <w:keepLines w:val="0"/>
        <w:pageBreakBefore w:val="0"/>
        <w:widowControl w:val="0"/>
        <w:kinsoku/>
        <w:wordWrap/>
        <w:overflowPunct/>
        <w:topLinePunct w:val="0"/>
        <w:autoSpaceDE w:val="0"/>
        <w:autoSpaceDN w:val="0"/>
        <w:bidi w:val="0"/>
        <w:adjustRightInd w:val="0"/>
        <w:snapToGrid w:val="0"/>
        <w:spacing w:line="520" w:lineRule="exact"/>
        <w:ind w:firstLine="560" w:firstLineChars="200"/>
        <w:textAlignment w:val="auto"/>
        <w:outlineLvl w:val="9"/>
        <w:rPr>
          <w:rFonts w:hint="eastAsia" w:ascii="仿宋_GB2312" w:hAnsi="仿宋_GB2312" w:eastAsia="仿宋_GB2312" w:cs="仿宋_GB2312"/>
          <w:b w:val="0"/>
          <w:bCs w:val="0"/>
          <w:color w:val="auto"/>
          <w:kern w:val="0"/>
          <w:sz w:val="28"/>
          <w:szCs w:val="28"/>
          <w:highlight w:val="none"/>
          <w:lang w:val="en-US" w:eastAsia="zh-CN"/>
        </w:rPr>
      </w:pPr>
    </w:p>
    <w:p w14:paraId="638B3827">
      <w:pPr>
        <w:keepNext w:val="0"/>
        <w:keepLines w:val="0"/>
        <w:pageBreakBefore w:val="0"/>
        <w:widowControl w:val="0"/>
        <w:kinsoku/>
        <w:wordWrap/>
        <w:overflowPunct/>
        <w:topLinePunct w:val="0"/>
        <w:autoSpaceDE w:val="0"/>
        <w:autoSpaceDN w:val="0"/>
        <w:bidi w:val="0"/>
        <w:adjustRightInd w:val="0"/>
        <w:snapToGrid w:val="0"/>
        <w:spacing w:line="520" w:lineRule="exact"/>
        <w:ind w:firstLine="562" w:firstLineChars="200"/>
        <w:textAlignment w:val="auto"/>
        <w:outlineLvl w:val="1"/>
        <w:rPr>
          <w:rFonts w:hint="eastAsia" w:ascii="仿宋_GB2312" w:hAnsi="仿宋_GB2312" w:eastAsia="仿宋_GB2312" w:cs="仿宋_GB2312"/>
          <w:b/>
          <w:bCs/>
          <w:color w:val="auto"/>
          <w:sz w:val="28"/>
          <w:szCs w:val="28"/>
          <w:highlight w:val="none"/>
          <w:lang w:val="en-US" w:eastAsia="zh-CN"/>
        </w:rPr>
      </w:pPr>
      <w:bookmarkStart w:id="52" w:name="_Toc14307"/>
      <w:r>
        <w:rPr>
          <w:rFonts w:hint="eastAsia" w:ascii="仿宋_GB2312" w:hAnsi="仿宋_GB2312" w:eastAsia="仿宋_GB2312" w:cs="仿宋_GB2312"/>
          <w:b/>
          <w:bCs/>
          <w:color w:val="auto"/>
          <w:sz w:val="28"/>
          <w:szCs w:val="28"/>
          <w:highlight w:val="none"/>
          <w:lang w:val="en-US" w:eastAsia="zh-CN"/>
        </w:rPr>
        <w:t>九、估价结果</w:t>
      </w:r>
      <w:bookmarkEnd w:id="52"/>
    </w:p>
    <w:p w14:paraId="33041544">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3"/>
        <w:rPr>
          <w:rFonts w:hint="default"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bCs/>
          <w:sz w:val="28"/>
          <w:szCs w:val="28"/>
          <w:lang w:val="en-US" w:eastAsia="zh-CN"/>
        </w:rPr>
        <w:t>一</w:t>
      </w: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bCs/>
          <w:sz w:val="28"/>
          <w:szCs w:val="28"/>
          <w:lang w:val="en-US" w:eastAsia="zh-CN"/>
        </w:rPr>
        <w:t>估价结论</w:t>
      </w:r>
    </w:p>
    <w:p w14:paraId="275FF3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kern w:val="2"/>
          <w:sz w:val="28"/>
          <w:highlight w:val="none"/>
          <w:lang w:val="en-US" w:eastAsia="zh-CN" w:bidi="ar-SA"/>
        </w:rPr>
        <w:t>经估价人员现场查勘和对当地不动产市场分析，按照土地估价的基本原则和估价程序，选择合适的估价方法，在公开市场条件下于估价期日2026年6月1日，满足全部地价定义条件下的国有出让土地使用权价格估价结果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（币种：人民币）</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w:t>
      </w:r>
    </w:p>
    <w:p w14:paraId="50E93802">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宗地数量：共一宗</w:t>
      </w:r>
    </w:p>
    <w:p w14:paraId="0DCCA471">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估价对象</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土地</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总</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面积：</w:t>
      </w:r>
      <w:r>
        <w:rPr>
          <w:rFonts w:hint="eastAsia" w:ascii="仿宋_GB2312" w:hAnsi="仿宋_GB2312" w:eastAsia="仿宋_GB2312" w:cs="仿宋_GB2312"/>
          <w:b/>
          <w:bCs/>
          <w:color w:val="000000" w:themeColor="text1"/>
          <w:kern w:val="0"/>
          <w:sz w:val="28"/>
          <w:szCs w:val="28"/>
          <w:highlight w:val="none"/>
          <w:lang w:val="en-US" w:eastAsia="zh-CN"/>
          <w14:textFill>
            <w14:solidFill>
              <w14:schemeClr w14:val="tx1"/>
            </w14:solidFill>
          </w14:textFill>
        </w:rPr>
        <w:t>50</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平方米</w:t>
      </w:r>
    </w:p>
    <w:p w14:paraId="5D82C4CD">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kern w:val="0"/>
          <w:sz w:val="28"/>
          <w:szCs w:val="28"/>
          <w:highlight w:val="none"/>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估价对象土地单价：2800元/平方米</w:t>
      </w:r>
      <w:r>
        <w:rPr>
          <w:rFonts w:hint="eastAsia" w:ascii="仿宋_GB2312" w:hAnsi="仿宋_GB2312" w:eastAsia="仿宋_GB2312" w:cs="仿宋_GB2312"/>
          <w:b/>
          <w:bCs/>
          <w:kern w:val="0"/>
          <w:sz w:val="28"/>
          <w:szCs w:val="28"/>
          <w:highlight w:val="none"/>
        </w:rPr>
        <w:t>（折合</w:t>
      </w:r>
      <w:r>
        <w:rPr>
          <w:rFonts w:hint="eastAsia" w:ascii="仿宋_GB2312" w:hAnsi="仿宋_GB2312" w:eastAsia="仿宋_GB2312" w:cs="仿宋_GB2312"/>
          <w:b/>
          <w:bCs/>
          <w:kern w:val="0"/>
          <w:sz w:val="28"/>
          <w:szCs w:val="28"/>
          <w:highlight w:val="none"/>
          <w:lang w:val="en-US" w:eastAsia="zh-CN"/>
        </w:rPr>
        <w:t>186.67</w:t>
      </w:r>
      <w:r>
        <w:rPr>
          <w:rFonts w:hint="eastAsia" w:ascii="仿宋_GB2312" w:hAnsi="仿宋_GB2312" w:eastAsia="仿宋_GB2312" w:cs="仿宋_GB2312"/>
          <w:b/>
          <w:bCs/>
          <w:kern w:val="0"/>
          <w:sz w:val="28"/>
          <w:szCs w:val="28"/>
          <w:highlight w:val="none"/>
        </w:rPr>
        <w:t>万元/亩）</w:t>
      </w:r>
    </w:p>
    <w:p w14:paraId="35B277C6">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kern w:val="0"/>
          <w:sz w:val="28"/>
          <w:szCs w:val="28"/>
          <w:highlight w:val="none"/>
          <w:lang w:val="en-US" w:eastAsia="zh-CN"/>
        </w:rPr>
      </w:pPr>
      <w:r>
        <w:rPr>
          <w:rFonts w:hint="eastAsia" w:ascii="仿宋_GB2312" w:hAnsi="仿宋_GB2312" w:eastAsia="仿宋_GB2312" w:cs="仿宋_GB2312"/>
          <w:b/>
          <w:bCs/>
          <w:kern w:val="0"/>
          <w:sz w:val="28"/>
          <w:szCs w:val="28"/>
          <w:highlight w:val="none"/>
          <w:lang w:val="en-US" w:eastAsia="zh-CN"/>
        </w:rPr>
        <w:t>估价对象楼面地价：681.27</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元/平方米</w:t>
      </w:r>
    </w:p>
    <w:p w14:paraId="5D847568">
      <w:pPr>
        <w:keepNext w:val="0"/>
        <w:keepLines w:val="0"/>
        <w:pageBreakBefore w:val="0"/>
        <w:widowControl w:val="0"/>
        <w:kinsoku/>
        <w:wordWrap/>
        <w:overflowPunct/>
        <w:topLinePunct w:val="0"/>
        <w:autoSpaceDE/>
        <w:autoSpaceDN/>
        <w:bidi w:val="0"/>
        <w:spacing w:line="480" w:lineRule="exact"/>
        <w:ind w:left="0" w:leftChars="0" w:firstLine="562" w:firstLineChars="200"/>
        <w:textAlignment w:val="auto"/>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估计对象土地</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总价：</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14.0</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万元</w:t>
      </w:r>
    </w:p>
    <w:p w14:paraId="47CE04AF">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大写：</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人民币壹拾肆万元整</w:t>
      </w:r>
    </w:p>
    <w:p w14:paraId="7A94EF02">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详见《土地估价结果一览</w:t>
      </w: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表》</w:t>
      </w:r>
    </w:p>
    <w:p w14:paraId="48F4EB47">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（二）出让底价建议</w:t>
      </w:r>
    </w:p>
    <w:p w14:paraId="012C61A9">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根据道县土地市场情况及有关法律法规和政策规定，该地区土地出让底价由选定的估价机构的估价结果、基准地价水平及具体宗地的实际情况综合确定。建议估价对象出让底价与本次估价结果相一致，具体由出让方根据出让土地的实际情况综合确定。</w:t>
      </w:r>
    </w:p>
    <w:p w14:paraId="2DCD70AE">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建议出让地价的理由：</w:t>
      </w:r>
    </w:p>
    <w:p w14:paraId="3DFBC7FB">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w:t>
      </w:r>
      <w:r>
        <w:rPr>
          <w:rFonts w:hint="eastAsia" w:ascii="仿宋_GB2312" w:hAnsi="仿宋_GB2312" w:eastAsia="仿宋_GB2312" w:cs="仿宋_GB2312"/>
          <w:color w:val="auto"/>
          <w:sz w:val="28"/>
          <w:szCs w:val="30"/>
          <w:highlight w:val="none"/>
          <w:lang w:eastAsia="zh-CN"/>
        </w:rPr>
        <w:t>本次评估采用</w:t>
      </w:r>
      <w:r>
        <w:rPr>
          <w:rFonts w:hint="eastAsia" w:ascii="仿宋_GB2312" w:hAnsi="仿宋_GB2312" w:eastAsia="仿宋_GB2312" w:cs="仿宋_GB2312"/>
          <w:color w:val="auto"/>
          <w:sz w:val="28"/>
          <w:szCs w:val="30"/>
          <w:highlight w:val="none"/>
          <w:lang w:val="en-US" w:eastAsia="zh-CN"/>
        </w:rPr>
        <w:t>成本逼近法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分别进行测算，综合考虑评估宗地所在区域的地价水平，</w:t>
      </w:r>
      <w:r>
        <w:rPr>
          <w:rFonts w:hint="default" w:ascii="仿宋_GB2312" w:hAnsi="仿宋_GB2312" w:eastAsia="仿宋_GB2312" w:cs="仿宋_GB2312"/>
          <w:color w:val="auto"/>
          <w:sz w:val="28"/>
          <w:szCs w:val="30"/>
          <w:highlight w:val="none"/>
          <w:lang w:eastAsia="zh-CN"/>
        </w:rPr>
        <w:t>成本逼近法是以土地开发所耗费的成本构成来推算土地价格的方法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sz w:val="28"/>
          <w:szCs w:val="28"/>
        </w:rPr>
        <w:t>收益还原法是在估算估价对象在未来每年预期纯收益（正常年纯收益）的基础上，以一定的土地还原率，将评估对象在未来每年的纯收益折算为估价期日收益总和的一种方法</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color w:val="auto"/>
          <w:sz w:val="28"/>
          <w:szCs w:val="30"/>
          <w:highlight w:val="none"/>
          <w:lang w:eastAsia="zh-CN"/>
        </w:rPr>
        <w:t>能够比较真实的反映估价对象的客观合理的市场价格；</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可信度高，</w:t>
      </w:r>
      <w:r>
        <w:rPr>
          <w:rFonts w:hint="eastAsia" w:ascii="仿宋_GB2312" w:hAnsi="仿宋_GB2312" w:eastAsia="仿宋_GB2312" w:cs="仿宋_GB2312"/>
          <w:color w:val="auto"/>
          <w:sz w:val="28"/>
          <w:szCs w:val="30"/>
          <w:highlight w:val="none"/>
          <w:lang w:val="en-US" w:eastAsia="zh-CN"/>
        </w:rPr>
        <w:t>因此取收益还原法</w:t>
      </w:r>
      <w:r>
        <w:rPr>
          <w:rFonts w:hint="eastAsia" w:ascii="仿宋_GB2312" w:hAnsi="仿宋_GB2312" w:eastAsia="仿宋_GB2312" w:cs="仿宋_GB2312"/>
          <w:color w:val="auto"/>
          <w:sz w:val="28"/>
          <w:szCs w:val="30"/>
          <w:highlight w:val="none"/>
          <w:lang w:eastAsia="zh-CN"/>
        </w:rPr>
        <w:t>估价结果为最终结果</w:t>
      </w: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w:t>
      </w:r>
    </w:p>
    <w:p w14:paraId="32502A7C">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2.通过湖南省国土资源网上交易系统、中国土地交易市场网查询，道县近期通过“招拍挂”途径出让的估价对象周边土地单位面积地价与估价结果较为接近，估价结果符合该区域规划发展的趋势。</w:t>
      </w:r>
    </w:p>
    <w:p w14:paraId="68181F52">
      <w:pPr>
        <w:keepNext w:val="0"/>
        <w:keepLines w:val="0"/>
        <w:pageBreakBefore w:val="0"/>
        <w:widowControl w:val="0"/>
        <w:kinsoku/>
        <w:wordWrap/>
        <w:overflowPunct/>
        <w:topLinePunct w:val="0"/>
        <w:autoSpaceDE w:val="0"/>
        <w:autoSpaceDN w:val="0"/>
        <w:bidi w:val="0"/>
        <w:adjustRightInd w:val="0"/>
        <w:snapToGrid w:val="0"/>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根据《国土资源部办公厅关于印发&lt;国有建设用地使用权出让地价评估技术规范&gt;的通知》（国土资厅发[2018]4号，2018年4月9日施行）文件要求，“在土地估价报告的‘估价结果’部分，应有明确的底价决策建议及理由”，本次评估选用了两种估价方法分别对估价对象进行了评估，并结合宗地所处区域同类用地价变化情况确定最终评估结果，该评估结果符合宗地所处区域同类用地价客观真实水平，且目前估价对象所在区域地价水平基本平稳。因此，本次估价对象出让建议底价为人民币</w:t>
      </w:r>
      <w:r>
        <w:rPr>
          <w:rFonts w:hint="eastAsia" w:ascii="仿宋_GB2312" w:eastAsia="仿宋_GB2312" w:cs="Times New Roman"/>
          <w:b w:val="0"/>
          <w:bCs w:val="0"/>
          <w:color w:val="000000" w:themeColor="text1"/>
          <w:sz w:val="28"/>
          <w:szCs w:val="22"/>
          <w:highlight w:val="none"/>
          <w:lang w:val="en-US" w:eastAsia="zh-CN"/>
          <w14:textFill>
            <w14:solidFill>
              <w14:schemeClr w14:val="tx1"/>
            </w14:solidFill>
          </w14:textFill>
        </w:rPr>
        <w:t>壹拾肆万</w:t>
      </w: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元整[¥</w:t>
      </w:r>
      <w:r>
        <w:rPr>
          <w:rFonts w:hint="eastAsia" w:ascii="仿宋_GB2312" w:eastAsia="仿宋_GB2312" w:cs="Times New Roman"/>
          <w:b w:val="0"/>
          <w:bCs w:val="0"/>
          <w:color w:val="000000" w:themeColor="text1"/>
          <w:sz w:val="28"/>
          <w:szCs w:val="22"/>
          <w:highlight w:val="none"/>
          <w:lang w:val="en-US" w:eastAsia="zh-CN"/>
          <w14:textFill>
            <w14:solidFill>
              <w14:schemeClr w14:val="tx1"/>
            </w14:solidFill>
          </w14:textFill>
        </w:rPr>
        <w:t>14.0</w:t>
      </w:r>
      <w:r>
        <w:rPr>
          <w:rFonts w:hint="eastAsia" w:ascii="仿宋_GB2312" w:hAnsi="Times New Roman" w:eastAsia="仿宋_GB2312" w:cs="Times New Roman"/>
          <w:b w:val="0"/>
          <w:bCs w:val="0"/>
          <w:color w:val="000000" w:themeColor="text1"/>
          <w:sz w:val="28"/>
          <w:szCs w:val="22"/>
          <w:highlight w:val="none"/>
          <w:lang w:val="en-US" w:eastAsia="zh-CN"/>
          <w14:textFill>
            <w14:solidFill>
              <w14:schemeClr w14:val="tx1"/>
            </w14:solidFill>
          </w14:textFill>
        </w:rPr>
        <w:t>万元整]。该建议底价不含契税、交易服务费等价外税费。</w:t>
      </w:r>
    </w:p>
    <w:p w14:paraId="599F8CCD">
      <w:pPr>
        <w:pStyle w:val="18"/>
        <w:rPr>
          <w:rFonts w:hint="eastAsia" w:ascii="仿宋_GB2312" w:hAnsi="仿宋_GB2312" w:eastAsia="仿宋_GB2312" w:cs="仿宋_GB2312"/>
          <w:b w:val="0"/>
          <w:bCs w:val="0"/>
          <w:color w:val="auto"/>
          <w:sz w:val="28"/>
          <w:szCs w:val="28"/>
          <w:highlight w:val="none"/>
          <w:lang w:val="en-GB" w:eastAsia="zh-CN"/>
        </w:rPr>
      </w:pPr>
    </w:p>
    <w:p w14:paraId="479C495C">
      <w:pPr>
        <w:keepNext w:val="0"/>
        <w:keepLines w:val="0"/>
        <w:pageBreakBefore w:val="0"/>
        <w:widowControl w:val="0"/>
        <w:kinsoku/>
        <w:wordWrap/>
        <w:overflowPunct/>
        <w:topLinePunct w:val="0"/>
        <w:autoSpaceDE/>
        <w:autoSpaceDN/>
        <w:bidi w:val="0"/>
        <w:adjustRightInd w:val="0"/>
        <w:snapToGrid w:val="0"/>
        <w:spacing w:line="480" w:lineRule="exact"/>
        <w:jc w:val="both"/>
        <w:textAlignment w:val="auto"/>
        <w:rPr>
          <w:rFonts w:hint="eastAsia" w:ascii="仿宋_GB2312" w:hAnsi="仿宋_GB2312" w:eastAsia="仿宋_GB2312" w:cs="仿宋_GB2312"/>
          <w:b w:val="0"/>
          <w:bCs w:val="0"/>
          <w:color w:val="auto"/>
          <w:sz w:val="21"/>
          <w:szCs w:val="21"/>
          <w:highlight w:val="none"/>
          <w:lang w:val="en-US" w:eastAsia="zh-CN"/>
        </w:rPr>
      </w:pPr>
    </w:p>
    <w:p w14:paraId="44C4A2EF">
      <w:pPr>
        <w:rPr>
          <w:rFonts w:hint="eastAsia" w:ascii="仿宋_GB2312" w:hAnsi="仿宋_GB2312" w:eastAsia="仿宋_GB2312" w:cs="仿宋_GB2312"/>
          <w:b w:val="0"/>
          <w:bCs w:val="0"/>
          <w:color w:val="auto"/>
          <w:sz w:val="21"/>
          <w:szCs w:val="21"/>
          <w:highlight w:val="none"/>
          <w:lang w:val="en-US" w:eastAsia="zh-CN"/>
        </w:rPr>
        <w:sectPr>
          <w:headerReference r:id="rId16" w:type="default"/>
          <w:footerReference r:id="rId17" w:type="default"/>
          <w:pgSz w:w="11906" w:h="16838"/>
          <w:pgMar w:top="1440" w:right="1800" w:bottom="1440" w:left="1800" w:header="851" w:footer="992" w:gutter="0"/>
          <w:pgNumType w:fmt="decimal"/>
          <w:cols w:space="0" w:num="1"/>
          <w:rtlGutter w:val="0"/>
          <w:docGrid w:type="lines" w:linePitch="312" w:charSpace="0"/>
        </w:sectPr>
      </w:pPr>
    </w:p>
    <w:p w14:paraId="48347854">
      <w:pPr>
        <w:spacing w:line="520" w:lineRule="exact"/>
        <w:ind w:left="538" w:hanging="537" w:hangingChars="192"/>
        <w:jc w:val="center"/>
        <w:outlineLvl w:val="2"/>
        <w:rPr>
          <w:rFonts w:ascii="仿宋_GB2312" w:eastAsia="仿宋_GB2312"/>
          <w:b w:val="0"/>
          <w:bCs w:val="0"/>
          <w:sz w:val="28"/>
          <w:highlight w:val="none"/>
        </w:rPr>
      </w:pPr>
      <w:r>
        <w:rPr>
          <w:rFonts w:hint="eastAsia" w:ascii="仿宋_GB2312" w:eastAsia="仿宋_GB2312"/>
          <w:b w:val="0"/>
          <w:bCs w:val="0"/>
          <w:sz w:val="28"/>
          <w:highlight w:val="none"/>
        </w:rPr>
        <w:t xml:space="preserve">   </w:t>
      </w:r>
      <w:bookmarkStart w:id="53" w:name="_Toc18019"/>
      <w:r>
        <w:rPr>
          <w:rFonts w:hint="eastAsia" w:ascii="仿宋_GB2312" w:eastAsia="仿宋_GB2312"/>
          <w:b w:val="0"/>
          <w:bCs w:val="0"/>
          <w:sz w:val="28"/>
          <w:highlight w:val="none"/>
        </w:rPr>
        <w:t>土地估价结果一览表</w:t>
      </w:r>
      <w:bookmarkEnd w:id="53"/>
    </w:p>
    <w:p w14:paraId="2AA4C62B">
      <w:pPr>
        <w:spacing w:line="240" w:lineRule="exact"/>
        <w:ind w:left="-2478" w:leftChars="-1180" w:right="-227" w:firstLine="2625" w:firstLineChars="1250"/>
        <w:rPr>
          <w:rFonts w:hint="eastAsia" w:ascii="仿宋_GB2312" w:hAnsi="仿宋_GB2312" w:eastAsia="仿宋_GB2312" w:cs="仿宋_GB2312"/>
          <w:b w:val="0"/>
          <w:bCs w:val="0"/>
          <w:szCs w:val="21"/>
          <w:highlight w:val="none"/>
          <w:lang w:eastAsia="zh-CN"/>
        </w:rPr>
      </w:pPr>
      <w:r>
        <w:rPr>
          <w:rFonts w:hint="eastAsia" w:ascii="仿宋_GB2312" w:hAnsi="仿宋_GB2312" w:eastAsia="仿宋_GB2312" w:cs="仿宋_GB2312"/>
          <w:b w:val="0"/>
          <w:bCs w:val="0"/>
          <w:szCs w:val="21"/>
          <w:highlight w:val="none"/>
        </w:rPr>
        <w:t xml:space="preserve">估价机构：湖南兆财不动产规划评估有限公司                                                         </w:t>
      </w:r>
      <w:r>
        <w:rPr>
          <w:rFonts w:hint="eastAsia" w:ascii="仿宋_GB2312" w:hAnsi="仿宋_GB2312" w:eastAsia="仿宋_GB2312" w:cs="仿宋_GB2312"/>
          <w:b w:val="0"/>
          <w:bCs w:val="0"/>
          <w:szCs w:val="21"/>
          <w:highlight w:val="none"/>
          <w:lang w:val="en-US" w:eastAsia="zh-CN"/>
        </w:rPr>
        <w:t xml:space="preserve">     </w:t>
      </w:r>
      <w:r>
        <w:rPr>
          <w:rFonts w:hint="eastAsia" w:ascii="仿宋_GB2312" w:hAnsi="仿宋_GB2312" w:eastAsia="仿宋_GB2312" w:cs="仿宋_GB2312"/>
          <w:b w:val="0"/>
          <w:bCs w:val="0"/>
          <w:szCs w:val="21"/>
          <w:highlight w:val="none"/>
        </w:rPr>
        <w:t xml:space="preserve"> 估价期日：</w:t>
      </w:r>
      <w:r>
        <w:rPr>
          <w:rFonts w:hint="eastAsia" w:ascii="仿宋_GB2312" w:hAnsi="仿宋_GB2312" w:eastAsia="仿宋_GB2312" w:cs="仿宋_GB2312"/>
          <w:b w:val="0"/>
          <w:bCs w:val="0"/>
          <w:szCs w:val="21"/>
          <w:highlight w:val="none"/>
          <w:lang w:eastAsia="zh-CN"/>
        </w:rPr>
        <w:t>2026年</w:t>
      </w:r>
      <w:r>
        <w:rPr>
          <w:rFonts w:hint="eastAsia" w:ascii="仿宋_GB2312" w:hAnsi="仿宋_GB2312" w:eastAsia="仿宋_GB2312" w:cs="仿宋_GB2312"/>
          <w:b w:val="0"/>
          <w:bCs w:val="0"/>
          <w:szCs w:val="21"/>
          <w:highlight w:val="none"/>
          <w:lang w:val="en-US" w:eastAsia="zh-CN"/>
        </w:rPr>
        <w:t>06</w:t>
      </w:r>
      <w:r>
        <w:rPr>
          <w:rFonts w:hint="eastAsia" w:ascii="仿宋_GB2312" w:hAnsi="仿宋_GB2312" w:eastAsia="仿宋_GB2312" w:cs="仿宋_GB2312"/>
          <w:b w:val="0"/>
          <w:bCs w:val="0"/>
          <w:szCs w:val="21"/>
          <w:highlight w:val="none"/>
          <w:lang w:eastAsia="zh-CN"/>
        </w:rPr>
        <w:t>月</w:t>
      </w:r>
      <w:r>
        <w:rPr>
          <w:rFonts w:hint="eastAsia" w:ascii="仿宋_GB2312" w:hAnsi="仿宋_GB2312" w:eastAsia="仿宋_GB2312" w:cs="仿宋_GB2312"/>
          <w:b w:val="0"/>
          <w:bCs w:val="0"/>
          <w:szCs w:val="21"/>
          <w:highlight w:val="none"/>
          <w:lang w:val="en-US" w:eastAsia="zh-CN"/>
        </w:rPr>
        <w:t>01</w:t>
      </w:r>
      <w:r>
        <w:rPr>
          <w:rFonts w:hint="eastAsia" w:ascii="仿宋_GB2312" w:hAnsi="仿宋_GB2312" w:eastAsia="仿宋_GB2312" w:cs="仿宋_GB2312"/>
          <w:b w:val="0"/>
          <w:bCs w:val="0"/>
          <w:szCs w:val="21"/>
          <w:highlight w:val="none"/>
          <w:lang w:eastAsia="zh-CN"/>
        </w:rPr>
        <w:t>日</w:t>
      </w:r>
    </w:p>
    <w:p w14:paraId="546D9158">
      <w:pPr>
        <w:spacing w:line="240" w:lineRule="exact"/>
        <w:ind w:right="-227" w:firstLine="105" w:firstLineChars="50"/>
        <w:rPr>
          <w:rFonts w:hint="default" w:ascii="仿宋_GB2312" w:hAnsi="仿宋_GB2312" w:eastAsia="仿宋_GB2312" w:cs="仿宋_GB2312"/>
          <w:b w:val="0"/>
          <w:bCs w:val="0"/>
          <w:szCs w:val="21"/>
          <w:highlight w:val="none"/>
          <w:lang w:val="en-US" w:eastAsia="zh-CN"/>
        </w:rPr>
      </w:pPr>
      <w:r>
        <w:rPr>
          <w:rFonts w:hint="eastAsia" w:ascii="仿宋_GB2312" w:hAnsi="仿宋_GB2312" w:eastAsia="仿宋_GB2312" w:cs="仿宋_GB2312"/>
          <w:b w:val="0"/>
          <w:bCs w:val="0"/>
          <w:szCs w:val="21"/>
          <w:highlight w:val="none"/>
        </w:rPr>
        <w:t>估价报告编号：</w:t>
      </w:r>
      <w:r>
        <w:rPr>
          <w:rFonts w:hint="eastAsia" w:ascii="仿宋_GB2312" w:eastAsia="仿宋_GB2312"/>
          <w:b w:val="0"/>
          <w:bCs w:val="0"/>
          <w:spacing w:val="-6"/>
          <w:highlight w:val="none"/>
          <w:lang w:eastAsia="zh-CN"/>
        </w:rPr>
        <w:t>（湖南）湘兆财土地[202</w:t>
      </w:r>
      <w:r>
        <w:rPr>
          <w:rFonts w:hint="eastAsia" w:ascii="仿宋_GB2312" w:eastAsia="仿宋_GB2312"/>
          <w:b w:val="0"/>
          <w:bCs w:val="0"/>
          <w:spacing w:val="-6"/>
          <w:highlight w:val="none"/>
          <w:lang w:val="en-US" w:eastAsia="zh-CN"/>
        </w:rPr>
        <w:t>6</w:t>
      </w:r>
      <w:r>
        <w:rPr>
          <w:rFonts w:hint="eastAsia" w:ascii="仿宋_GB2312" w:eastAsia="仿宋_GB2312"/>
          <w:b w:val="0"/>
          <w:bCs w:val="0"/>
          <w:spacing w:val="-6"/>
          <w:highlight w:val="none"/>
          <w:lang w:eastAsia="zh-CN"/>
        </w:rPr>
        <w:t>]（</w:t>
      </w:r>
      <w:r>
        <w:rPr>
          <w:rFonts w:hint="eastAsia" w:ascii="仿宋_GB2312" w:eastAsia="仿宋_GB2312"/>
          <w:b w:val="0"/>
          <w:bCs w:val="0"/>
          <w:spacing w:val="-6"/>
          <w:highlight w:val="none"/>
          <w:lang w:val="en-US" w:eastAsia="zh-CN"/>
        </w:rPr>
        <w:t>技</w:t>
      </w:r>
      <w:r>
        <w:rPr>
          <w:rFonts w:hint="eastAsia" w:ascii="仿宋_GB2312" w:eastAsia="仿宋_GB2312"/>
          <w:b w:val="0"/>
          <w:bCs w:val="0"/>
          <w:spacing w:val="-6"/>
          <w:highlight w:val="none"/>
          <w:lang w:eastAsia="zh-CN"/>
        </w:rPr>
        <w:t>）字第ZC0025号</w:t>
      </w:r>
      <w:r>
        <w:rPr>
          <w:rFonts w:hint="eastAsia" w:ascii="仿宋_GB2312" w:eastAsia="仿宋_GB2312"/>
          <w:b w:val="0"/>
          <w:bCs w:val="0"/>
          <w:szCs w:val="21"/>
          <w:highlight w:val="none"/>
        </w:rPr>
        <w:t xml:space="preserve"> </w:t>
      </w:r>
      <w:r>
        <w:rPr>
          <w:rFonts w:hint="eastAsia" w:ascii="仿宋_GB2312" w:hAnsi="仿宋_GB2312" w:eastAsia="仿宋_GB2312" w:cs="仿宋_GB2312"/>
          <w:b w:val="0"/>
          <w:bCs w:val="0"/>
          <w:szCs w:val="21"/>
          <w:highlight w:val="none"/>
        </w:rPr>
        <w:t xml:space="preserve">       </w:t>
      </w:r>
      <w:r>
        <w:rPr>
          <w:rFonts w:hint="eastAsia" w:ascii="仿宋_GB2312" w:hAnsi="仿宋_GB2312" w:eastAsia="仿宋_GB2312" w:cs="仿宋_GB2312"/>
          <w:b w:val="0"/>
          <w:bCs w:val="0"/>
          <w:szCs w:val="21"/>
          <w:highlight w:val="none"/>
          <w:lang w:val="en-US" w:eastAsia="zh-CN"/>
        </w:rPr>
        <w:t xml:space="preserve">        </w:t>
      </w:r>
      <w:r>
        <w:rPr>
          <w:rFonts w:hint="eastAsia" w:ascii="仿宋_GB2312" w:hAnsi="仿宋_GB2312" w:eastAsia="仿宋_GB2312" w:cs="仿宋_GB2312"/>
          <w:b w:val="0"/>
          <w:bCs w:val="0"/>
          <w:szCs w:val="21"/>
          <w:highlight w:val="none"/>
        </w:rPr>
        <w:t xml:space="preserve"> 估价目的：</w:t>
      </w:r>
      <w:r>
        <w:rPr>
          <w:rFonts w:hint="eastAsia" w:ascii="仿宋_GB2312" w:hAnsi="仿宋_GB2312" w:eastAsia="仿宋_GB2312" w:cs="仿宋_GB2312"/>
          <w:b w:val="0"/>
          <w:bCs w:val="0"/>
          <w:szCs w:val="21"/>
          <w:highlight w:val="none"/>
          <w:lang w:val="en-US" w:eastAsia="zh-CN"/>
        </w:rPr>
        <w:t xml:space="preserve">出让   </w:t>
      </w:r>
      <w:r>
        <w:rPr>
          <w:rFonts w:hint="eastAsia" w:ascii="仿宋_GB2312" w:hAnsi="仿宋_GB2312" w:eastAsia="仿宋_GB2312" w:cs="仿宋_GB2312"/>
          <w:b w:val="0"/>
          <w:bCs w:val="0"/>
          <w:szCs w:val="21"/>
          <w:highlight w:val="none"/>
        </w:rPr>
        <w:t xml:space="preserve">    </w:t>
      </w:r>
      <w:r>
        <w:rPr>
          <w:rFonts w:hint="eastAsia" w:ascii="仿宋_GB2312" w:hAnsi="仿宋_GB2312" w:eastAsia="仿宋_GB2312" w:cs="仿宋_GB2312"/>
          <w:b w:val="0"/>
          <w:bCs w:val="0"/>
          <w:szCs w:val="21"/>
          <w:highlight w:val="none"/>
          <w:lang w:val="en-US" w:eastAsia="zh-CN"/>
        </w:rPr>
        <w:t xml:space="preserve">    </w:t>
      </w:r>
      <w:r>
        <w:rPr>
          <w:rFonts w:hint="eastAsia" w:ascii="仿宋_GB2312" w:hAnsi="仿宋_GB2312" w:eastAsia="仿宋_GB2312" w:cs="仿宋_GB2312"/>
          <w:b w:val="0"/>
          <w:bCs w:val="0"/>
          <w:szCs w:val="21"/>
          <w:highlight w:val="none"/>
        </w:rPr>
        <w:t xml:space="preserve">     估价期日的土地使用权性质：</w:t>
      </w:r>
      <w:r>
        <w:rPr>
          <w:rFonts w:hint="eastAsia" w:ascii="仿宋_GB2312" w:hAnsi="仿宋_GB2312" w:eastAsia="仿宋_GB2312" w:cs="仿宋_GB2312"/>
          <w:b w:val="0"/>
          <w:bCs w:val="0"/>
          <w:szCs w:val="21"/>
          <w:highlight w:val="none"/>
          <w:lang w:val="en-US" w:eastAsia="zh-CN"/>
        </w:rPr>
        <w:t>拟出让</w:t>
      </w:r>
    </w:p>
    <w:tbl>
      <w:tblPr>
        <w:tblStyle w:val="14"/>
        <w:tblW w:w="508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0"/>
        <w:gridCol w:w="614"/>
        <w:gridCol w:w="941"/>
        <w:gridCol w:w="716"/>
        <w:gridCol w:w="737"/>
        <w:gridCol w:w="628"/>
        <w:gridCol w:w="659"/>
        <w:gridCol w:w="371"/>
        <w:gridCol w:w="584"/>
        <w:gridCol w:w="559"/>
        <w:gridCol w:w="1182"/>
        <w:gridCol w:w="1273"/>
        <w:gridCol w:w="853"/>
        <w:gridCol w:w="838"/>
        <w:gridCol w:w="883"/>
        <w:gridCol w:w="898"/>
        <w:gridCol w:w="734"/>
        <w:gridCol w:w="872"/>
      </w:tblGrid>
      <w:tr w14:paraId="61DA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371" w:type="pct"/>
            <w:vMerge w:val="restar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F933C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估价期日土地使用者</w:t>
            </w:r>
          </w:p>
        </w:tc>
        <w:tc>
          <w:tcPr>
            <w:tcW w:w="21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B6180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宗地</w:t>
            </w:r>
          </w:p>
          <w:p w14:paraId="4ED097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编号</w:t>
            </w:r>
          </w:p>
        </w:tc>
        <w:tc>
          <w:tcPr>
            <w:tcW w:w="326"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05D84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宗地</w:t>
            </w:r>
          </w:p>
          <w:p w14:paraId="27BAA9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名称</w:t>
            </w:r>
          </w:p>
        </w:tc>
        <w:tc>
          <w:tcPr>
            <w:tcW w:w="248"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15963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土地使用证编号</w:t>
            </w:r>
          </w:p>
        </w:tc>
        <w:tc>
          <w:tcPr>
            <w:tcW w:w="702" w:type="pct"/>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14:paraId="428B7C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估价期日的用途</w:t>
            </w:r>
          </w:p>
        </w:tc>
        <w:tc>
          <w:tcPr>
            <w:tcW w:w="525" w:type="pct"/>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14:paraId="5D0E5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容积率</w:t>
            </w:r>
          </w:p>
        </w:tc>
        <w:tc>
          <w:tcPr>
            <w:tcW w:w="410"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767FE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估价期日实际土地开发程度</w:t>
            </w:r>
          </w:p>
        </w:tc>
        <w:tc>
          <w:tcPr>
            <w:tcW w:w="44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E65B8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估价设定土地开发程度</w:t>
            </w:r>
          </w:p>
        </w:tc>
        <w:tc>
          <w:tcPr>
            <w:tcW w:w="295"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0253E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剩余土地使用权年期（年）</w:t>
            </w:r>
          </w:p>
        </w:tc>
        <w:tc>
          <w:tcPr>
            <w:tcW w:w="290"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2935D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面积(㎡)</w:t>
            </w:r>
          </w:p>
        </w:tc>
        <w:tc>
          <w:tcPr>
            <w:tcW w:w="306"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1D867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地面地价(元/㎡)</w:t>
            </w:r>
          </w:p>
        </w:tc>
        <w:tc>
          <w:tcPr>
            <w:tcW w:w="31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B0B4F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楼面地价(元/㎡)</w:t>
            </w:r>
          </w:p>
        </w:tc>
        <w:tc>
          <w:tcPr>
            <w:tcW w:w="25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7777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总价</w:t>
            </w:r>
          </w:p>
          <w:p w14:paraId="3DB8AA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(万元)</w:t>
            </w:r>
          </w:p>
        </w:tc>
        <w:tc>
          <w:tcPr>
            <w:tcW w:w="30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F3C2C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备注</w:t>
            </w:r>
          </w:p>
        </w:tc>
      </w:tr>
      <w:tr w14:paraId="2B638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37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216F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21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28412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326"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3A890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248"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5C88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2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6167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证载（或批准）</w:t>
            </w:r>
          </w:p>
        </w:tc>
        <w:tc>
          <w:tcPr>
            <w:tcW w:w="2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3E9A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实际</w:t>
            </w:r>
          </w:p>
        </w:tc>
        <w:tc>
          <w:tcPr>
            <w:tcW w:w="2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64FE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设定</w:t>
            </w:r>
          </w:p>
        </w:tc>
        <w:tc>
          <w:tcPr>
            <w:tcW w:w="1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EB21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规划</w:t>
            </w:r>
          </w:p>
        </w:tc>
        <w:tc>
          <w:tcPr>
            <w:tcW w:w="20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6B12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实际</w:t>
            </w:r>
          </w:p>
        </w:tc>
        <w:tc>
          <w:tcPr>
            <w:tcW w:w="19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E405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r>
              <w:rPr>
                <w:rFonts w:hint="eastAsia" w:ascii="仿宋_GB2312" w:hAnsi="仿宋_GB2312" w:eastAsia="仿宋_GB2312" w:cs="仿宋_GB2312"/>
                <w:b w:val="0"/>
                <w:bCs w:val="0"/>
                <w:color w:val="000000"/>
                <w:spacing w:val="-10"/>
                <w:sz w:val="20"/>
                <w:szCs w:val="20"/>
                <w:highlight w:val="none"/>
              </w:rPr>
              <w:t>设定</w:t>
            </w:r>
          </w:p>
        </w:tc>
        <w:tc>
          <w:tcPr>
            <w:tcW w:w="410"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DE7A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44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D538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295"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CA1C2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290"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8CB5F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306"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57F2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31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46A89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25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CFC2B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c>
          <w:tcPr>
            <w:tcW w:w="30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00790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10"/>
                <w:sz w:val="20"/>
                <w:szCs w:val="20"/>
                <w:highlight w:val="none"/>
              </w:rPr>
            </w:pPr>
          </w:p>
        </w:tc>
      </w:tr>
      <w:tr w14:paraId="3C3FA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17" w:hRule="atLeast"/>
          <w:jc w:val="center"/>
        </w:trPr>
        <w:tc>
          <w:tcPr>
            <w:tcW w:w="37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F5B1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snapToGrid w:val="0"/>
                <w:sz w:val="20"/>
                <w:szCs w:val="20"/>
              </w:rPr>
              <w:t>拟以出让方式确定土地使用权人</w:t>
            </w:r>
          </w:p>
        </w:tc>
        <w:tc>
          <w:tcPr>
            <w:tcW w:w="21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F030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w:t>
            </w:r>
          </w:p>
        </w:tc>
        <w:tc>
          <w:tcPr>
            <w:tcW w:w="3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33C5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道县西洲街道宝珍街六栋九号宗地</w:t>
            </w:r>
          </w:p>
        </w:tc>
        <w:tc>
          <w:tcPr>
            <w:tcW w:w="2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20D2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auto"/>
                <w:sz w:val="20"/>
                <w:szCs w:val="20"/>
                <w:highlight w:val="none"/>
                <w:lang w:val="en-US" w:eastAsia="zh-CN"/>
              </w:rPr>
              <w:t>/</w:t>
            </w:r>
          </w:p>
        </w:tc>
        <w:tc>
          <w:tcPr>
            <w:tcW w:w="2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AAD6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w:t>
            </w:r>
          </w:p>
        </w:tc>
        <w:tc>
          <w:tcPr>
            <w:tcW w:w="2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DAC8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住宅用地</w:t>
            </w:r>
          </w:p>
        </w:tc>
        <w:tc>
          <w:tcPr>
            <w:tcW w:w="228" w:type="pct"/>
            <w:tcBorders>
              <w:top w:val="single" w:color="000000" w:sz="4" w:space="0"/>
              <w:left w:val="single" w:color="000000" w:sz="4" w:space="0"/>
              <w:right w:val="single" w:color="000000" w:sz="4" w:space="0"/>
            </w:tcBorders>
            <w:shd w:val="clear" w:color="auto" w:fill="FFFFFF"/>
            <w:vAlign w:val="center"/>
          </w:tcPr>
          <w:p w14:paraId="277A1E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住宅用地</w:t>
            </w:r>
          </w:p>
        </w:tc>
        <w:tc>
          <w:tcPr>
            <w:tcW w:w="1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7E8C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w:t>
            </w:r>
          </w:p>
        </w:tc>
        <w:tc>
          <w:tcPr>
            <w:tcW w:w="20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4AD6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4.11</w:t>
            </w:r>
          </w:p>
        </w:tc>
        <w:tc>
          <w:tcPr>
            <w:tcW w:w="19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7327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4.11</w:t>
            </w:r>
          </w:p>
        </w:tc>
        <w:tc>
          <w:tcPr>
            <w:tcW w:w="4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C9A8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20"/>
                <w:sz w:val="20"/>
                <w:szCs w:val="20"/>
                <w:highlight w:val="none"/>
                <w:lang w:val="en-US" w:eastAsia="zh-CN"/>
              </w:rPr>
            </w:pPr>
            <w:r>
              <w:rPr>
                <w:rFonts w:hint="default" w:ascii="仿宋_GB2312" w:hAnsi="仿宋_GB2312" w:eastAsia="仿宋_GB2312" w:cs="仿宋_GB2312"/>
                <w:b w:val="0"/>
                <w:bCs w:val="0"/>
                <w:color w:val="000000"/>
                <w:spacing w:val="-20"/>
                <w:sz w:val="20"/>
                <w:szCs w:val="20"/>
                <w:highlight w:val="none"/>
                <w:lang w:val="en-US" w:eastAsia="zh-CN"/>
              </w:rPr>
              <w:t>宗地红线外“五通”，红线内场地平整</w:t>
            </w:r>
          </w:p>
        </w:tc>
        <w:tc>
          <w:tcPr>
            <w:tcW w:w="4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C031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20"/>
                <w:sz w:val="20"/>
                <w:szCs w:val="20"/>
                <w:highlight w:val="none"/>
                <w:lang w:val="en-US" w:eastAsia="zh-CN"/>
              </w:rPr>
            </w:pPr>
            <w:r>
              <w:rPr>
                <w:rFonts w:hint="default" w:ascii="仿宋_GB2312" w:hAnsi="仿宋_GB2312" w:eastAsia="仿宋_GB2312" w:cs="仿宋_GB2312"/>
                <w:b w:val="0"/>
                <w:bCs w:val="0"/>
                <w:color w:val="000000"/>
                <w:spacing w:val="-20"/>
                <w:sz w:val="20"/>
                <w:szCs w:val="20"/>
                <w:highlight w:val="none"/>
                <w:lang w:val="en-US" w:eastAsia="zh-CN"/>
              </w:rPr>
              <w:t>宗地红线外“五通”，红线内场地平整</w:t>
            </w:r>
          </w:p>
        </w:tc>
        <w:tc>
          <w:tcPr>
            <w:tcW w:w="295" w:type="pct"/>
            <w:tcBorders>
              <w:top w:val="single" w:color="000000" w:sz="4" w:space="0"/>
              <w:left w:val="single" w:color="000000" w:sz="4" w:space="0"/>
              <w:right w:val="single" w:color="000000" w:sz="4" w:space="0"/>
            </w:tcBorders>
            <w:shd w:val="clear" w:color="auto" w:fill="FFFFFF"/>
            <w:vAlign w:val="center"/>
          </w:tcPr>
          <w:p w14:paraId="4660B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70</w:t>
            </w:r>
          </w:p>
        </w:tc>
        <w:tc>
          <w:tcPr>
            <w:tcW w:w="290" w:type="pct"/>
            <w:tcBorders>
              <w:top w:val="single" w:color="000000" w:sz="4" w:space="0"/>
              <w:left w:val="single" w:color="000000" w:sz="4" w:space="0"/>
              <w:right w:val="single" w:color="000000" w:sz="4" w:space="0"/>
            </w:tcBorders>
            <w:shd w:val="clear" w:color="auto" w:fill="FFFFFF"/>
            <w:vAlign w:val="center"/>
          </w:tcPr>
          <w:p w14:paraId="4EB1F6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50</w:t>
            </w:r>
          </w:p>
        </w:tc>
        <w:tc>
          <w:tcPr>
            <w:tcW w:w="306" w:type="pct"/>
            <w:tcBorders>
              <w:top w:val="single" w:color="000000" w:sz="4" w:space="0"/>
              <w:left w:val="single" w:color="000000" w:sz="4" w:space="0"/>
              <w:right w:val="single" w:color="000000" w:sz="4" w:space="0"/>
            </w:tcBorders>
            <w:shd w:val="clear" w:color="auto" w:fill="FFFFFF"/>
            <w:vAlign w:val="center"/>
          </w:tcPr>
          <w:p w14:paraId="69D24A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2800</w:t>
            </w:r>
          </w:p>
        </w:tc>
        <w:tc>
          <w:tcPr>
            <w:tcW w:w="311" w:type="pct"/>
            <w:tcBorders>
              <w:top w:val="single" w:color="000000" w:sz="4" w:space="0"/>
              <w:left w:val="single" w:color="000000" w:sz="4" w:space="0"/>
              <w:right w:val="single" w:color="000000" w:sz="4" w:space="0"/>
            </w:tcBorders>
            <w:shd w:val="clear" w:color="auto" w:fill="FFFFFF"/>
            <w:vAlign w:val="center"/>
          </w:tcPr>
          <w:p w14:paraId="4DE40A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681.27</w:t>
            </w:r>
          </w:p>
        </w:tc>
        <w:tc>
          <w:tcPr>
            <w:tcW w:w="25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4060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b w:val="0"/>
                <w:bCs w:val="0"/>
                <w:color w:val="000000"/>
                <w:spacing w:val="-20"/>
                <w:sz w:val="20"/>
                <w:szCs w:val="20"/>
                <w:highlight w:val="none"/>
                <w:lang w:val="en-US" w:eastAsia="zh-CN"/>
              </w:rPr>
            </w:pPr>
            <w:r>
              <w:rPr>
                <w:rFonts w:hint="eastAsia" w:ascii="仿宋_GB2312" w:hAnsi="仿宋_GB2312" w:eastAsia="仿宋_GB2312" w:cs="仿宋_GB2312"/>
                <w:b w:val="0"/>
                <w:bCs w:val="0"/>
                <w:color w:val="000000"/>
                <w:spacing w:val="-20"/>
                <w:sz w:val="20"/>
                <w:szCs w:val="20"/>
                <w:highlight w:val="none"/>
                <w:lang w:val="en-US" w:eastAsia="zh-CN"/>
              </w:rPr>
              <w:t>14.0</w:t>
            </w:r>
          </w:p>
        </w:tc>
        <w:tc>
          <w:tcPr>
            <w:tcW w:w="30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347B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val="0"/>
                <w:bCs w:val="0"/>
                <w:color w:val="000000"/>
                <w:spacing w:val="-20"/>
                <w:sz w:val="20"/>
                <w:szCs w:val="20"/>
                <w:highlight w:val="none"/>
                <w:lang w:val="en-US" w:eastAsia="zh-CN"/>
              </w:rPr>
            </w:pPr>
            <w:r>
              <w:rPr>
                <w:rFonts w:hint="default" w:ascii="仿宋_GB2312" w:hAnsi="仿宋_GB2312" w:eastAsia="仿宋_GB2312" w:cs="仿宋_GB2312"/>
                <w:b w:val="0"/>
                <w:bCs w:val="0"/>
                <w:color w:val="000000"/>
                <w:spacing w:val="-20"/>
                <w:sz w:val="20"/>
                <w:szCs w:val="20"/>
                <w:highlight w:val="none"/>
                <w:lang w:val="en-US" w:eastAsia="zh-CN"/>
              </w:rPr>
              <w:t>折合</w:t>
            </w:r>
            <w:r>
              <w:rPr>
                <w:rFonts w:hint="eastAsia" w:ascii="仿宋_GB2312" w:hAnsi="仿宋_GB2312" w:eastAsia="仿宋_GB2312" w:cs="仿宋_GB2312"/>
                <w:b w:val="0"/>
                <w:bCs w:val="0"/>
                <w:color w:val="000000"/>
                <w:spacing w:val="-20"/>
                <w:sz w:val="20"/>
                <w:szCs w:val="20"/>
                <w:highlight w:val="none"/>
                <w:lang w:val="en-US" w:eastAsia="zh-CN"/>
              </w:rPr>
              <w:t>186.67</w:t>
            </w:r>
            <w:r>
              <w:rPr>
                <w:rFonts w:hint="default" w:ascii="仿宋_GB2312" w:hAnsi="仿宋_GB2312" w:eastAsia="仿宋_GB2312" w:cs="仿宋_GB2312"/>
                <w:b w:val="0"/>
                <w:bCs w:val="0"/>
                <w:color w:val="000000"/>
                <w:spacing w:val="-20"/>
                <w:sz w:val="20"/>
                <w:szCs w:val="20"/>
                <w:highlight w:val="none"/>
                <w:lang w:val="en-US" w:eastAsia="zh-CN"/>
              </w:rPr>
              <w:t>万元/亩</w:t>
            </w:r>
          </w:p>
        </w:tc>
      </w:tr>
    </w:tbl>
    <w:p w14:paraId="741A3803">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default" w:ascii="仿宋_GB2312" w:hAnsi="仿宋_GB2312" w:eastAsia="仿宋_GB2312" w:cs="仿宋_GB2312"/>
          <w:b w:val="0"/>
          <w:bCs w:val="0"/>
          <w:szCs w:val="21"/>
          <w:highlight w:val="none"/>
          <w:lang w:val="en-US" w:eastAsia="zh-CN"/>
        </w:rPr>
      </w:pPr>
      <w:r>
        <w:rPr>
          <w:rFonts w:hint="eastAsia" w:ascii="仿宋_GB2312" w:hAnsi="仿宋_GB2312" w:eastAsia="仿宋_GB2312" w:cs="仿宋_GB2312"/>
          <w:b w:val="0"/>
          <w:bCs w:val="0"/>
          <w:szCs w:val="21"/>
          <w:highlight w:val="none"/>
        </w:rPr>
        <w:t>注：上表中“</w:t>
      </w:r>
      <w:r>
        <w:rPr>
          <w:rFonts w:hint="eastAsia" w:ascii="仿宋_GB2312" w:hAnsi="仿宋_GB2312" w:eastAsia="仿宋_GB2312" w:cs="仿宋_GB2312"/>
          <w:b w:val="0"/>
          <w:bCs w:val="0"/>
          <w:szCs w:val="21"/>
          <w:highlight w:val="none"/>
          <w:lang w:val="en-US" w:eastAsia="zh-CN"/>
        </w:rPr>
        <w:t>五</w:t>
      </w:r>
      <w:r>
        <w:rPr>
          <w:rFonts w:hint="eastAsia" w:ascii="仿宋_GB2312" w:hAnsi="仿宋_GB2312" w:eastAsia="仿宋_GB2312" w:cs="仿宋_GB2312"/>
          <w:b w:val="0"/>
          <w:bCs w:val="0"/>
          <w:szCs w:val="21"/>
          <w:highlight w:val="none"/>
        </w:rPr>
        <w:t>通”指宗地红外围通路、通电</w:t>
      </w:r>
      <w:r>
        <w:rPr>
          <w:rFonts w:hint="eastAsia" w:ascii="仿宋_GB2312" w:hAnsi="仿宋_GB2312" w:eastAsia="仿宋_GB2312" w:cs="仿宋_GB2312"/>
          <w:b w:val="0"/>
          <w:bCs w:val="0"/>
          <w:szCs w:val="21"/>
          <w:highlight w:val="none"/>
          <w:lang w:eastAsia="zh-CN"/>
        </w:rPr>
        <w:t>、</w:t>
      </w:r>
      <w:r>
        <w:rPr>
          <w:rFonts w:hint="eastAsia" w:ascii="仿宋_GB2312" w:hAnsi="仿宋_GB2312" w:eastAsia="仿宋_GB2312" w:cs="仿宋_GB2312"/>
          <w:b w:val="0"/>
          <w:bCs w:val="0"/>
          <w:szCs w:val="21"/>
          <w:highlight w:val="none"/>
          <w:lang w:val="en-US" w:eastAsia="zh-CN"/>
        </w:rPr>
        <w:t>通讯、供水、排水。</w:t>
      </w:r>
    </w:p>
    <w:p w14:paraId="3E870B13">
      <w:pPr>
        <w:keepNext w:val="0"/>
        <w:keepLines w:val="0"/>
        <w:pageBreakBefore w:val="0"/>
        <w:widowControl w:val="0"/>
        <w:tabs>
          <w:tab w:val="left" w:pos="560"/>
        </w:tabs>
        <w:kinsoku/>
        <w:wordWrap/>
        <w:overflowPunct/>
        <w:topLinePunct w:val="0"/>
        <w:autoSpaceDE/>
        <w:autoSpaceDN/>
        <w:bidi w:val="0"/>
        <w:adjustRightInd/>
        <w:snapToGrid/>
        <w:spacing w:line="260" w:lineRule="exact"/>
        <w:ind w:firstLine="420" w:firstLineChars="200"/>
        <w:textAlignment w:val="auto"/>
        <w:outlineLvl w:val="9"/>
        <w:rPr>
          <w:rFonts w:hint="eastAsia" w:ascii="仿宋_GB2312" w:hAnsi="仿宋_GB2312" w:eastAsia="仿宋_GB2312" w:cs="仿宋_GB2312"/>
          <w:b w:val="0"/>
          <w:bCs w:val="0"/>
          <w:szCs w:val="21"/>
          <w:highlight w:val="none"/>
        </w:rPr>
      </w:pPr>
      <w:r>
        <w:rPr>
          <w:rFonts w:hint="eastAsia" w:ascii="仿宋_GB2312" w:hAnsi="仿宋_GB2312" w:eastAsia="仿宋_GB2312" w:cs="仿宋_GB2312"/>
          <w:b w:val="0"/>
          <w:bCs w:val="0"/>
          <w:szCs w:val="21"/>
          <w:highlight w:val="none"/>
        </w:rPr>
        <w:t>一、上述土地估价结果的限定条</w:t>
      </w:r>
      <w:r>
        <w:rPr>
          <w:rFonts w:hint="eastAsia" w:ascii="仿宋_GB2312" w:hAnsi="仿宋_GB2312" w:eastAsia="仿宋_GB2312" w:cs="仿宋_GB2312"/>
          <w:b w:val="0"/>
          <w:bCs w:val="0"/>
          <w:color w:val="auto"/>
          <w:szCs w:val="21"/>
          <w:highlight w:val="none"/>
        </w:rPr>
        <w:t>件</w:t>
      </w:r>
      <w:r>
        <w:rPr>
          <w:rFonts w:hint="eastAsia" w:ascii="仿宋_GB2312" w:hAnsi="仿宋_GB2312" w:eastAsia="仿宋_GB2312" w:cs="仿宋_GB2312"/>
          <w:b w:val="0"/>
          <w:bCs w:val="0"/>
          <w:color w:val="auto"/>
          <w:szCs w:val="21"/>
          <w:highlight w:val="none"/>
          <w:lang w:eastAsia="zh-CN"/>
        </w:rPr>
        <w:t>：</w:t>
      </w:r>
      <w:r>
        <w:rPr>
          <w:rFonts w:hint="eastAsia" w:ascii="仿宋_GB2312" w:hAnsi="仿宋_GB2312" w:eastAsia="仿宋_GB2312" w:cs="仿宋_GB2312"/>
          <w:b w:val="0"/>
          <w:bCs w:val="0"/>
          <w:color w:val="auto"/>
          <w:szCs w:val="21"/>
          <w:highlight w:val="none"/>
        </w:rPr>
        <w:t>1.根据</w:t>
      </w:r>
      <w:r>
        <w:rPr>
          <w:rFonts w:hint="eastAsia" w:ascii="仿宋_GB2312" w:hAnsi="仿宋_GB2312" w:eastAsia="仿宋_GB2312" w:cs="仿宋_GB2312"/>
          <w:b w:val="0"/>
          <w:bCs w:val="0"/>
          <w:color w:val="auto"/>
          <w:szCs w:val="21"/>
          <w:highlight w:val="none"/>
          <w:lang w:eastAsia="zh-CN"/>
        </w:rPr>
        <w:t>《</w:t>
      </w:r>
      <w:r>
        <w:rPr>
          <w:rFonts w:hint="eastAsia" w:ascii="仿宋_GB2312" w:hAnsi="仿宋_GB2312" w:eastAsia="仿宋_GB2312" w:cs="仿宋_GB2312"/>
          <w:b w:val="0"/>
          <w:bCs w:val="0"/>
          <w:color w:val="auto"/>
          <w:szCs w:val="21"/>
          <w:highlight w:val="none"/>
          <w:lang w:val="en-US" w:eastAsia="zh-CN"/>
        </w:rPr>
        <w:t>评估委托书</w:t>
      </w:r>
      <w:r>
        <w:rPr>
          <w:rFonts w:hint="eastAsia" w:ascii="仿宋_GB2312" w:hAnsi="仿宋_GB2312" w:eastAsia="仿宋_GB2312" w:cs="仿宋_GB2312"/>
          <w:b w:val="0"/>
          <w:bCs w:val="0"/>
          <w:color w:val="auto"/>
          <w:szCs w:val="21"/>
          <w:highlight w:val="none"/>
          <w:lang w:eastAsia="zh-CN"/>
        </w:rPr>
        <w:t>》</w:t>
      </w:r>
      <w:r>
        <w:rPr>
          <w:rFonts w:hint="eastAsia" w:ascii="仿宋_GB2312" w:hAnsi="仿宋_GB2312" w:eastAsia="仿宋_GB2312" w:cs="仿宋_GB2312"/>
          <w:b w:val="0"/>
          <w:bCs w:val="0"/>
          <w:color w:val="auto"/>
          <w:szCs w:val="21"/>
          <w:highlight w:val="none"/>
        </w:rPr>
        <w:t>，估价对象位于</w:t>
      </w:r>
      <w:r>
        <w:rPr>
          <w:rFonts w:hint="eastAsia" w:ascii="仿宋_GB2312" w:hAnsi="仿宋_GB2312" w:eastAsia="仿宋_GB2312" w:cs="仿宋_GB2312"/>
          <w:b w:val="0"/>
          <w:bCs w:val="0"/>
          <w:color w:val="auto"/>
          <w:szCs w:val="21"/>
          <w:highlight w:val="none"/>
          <w:lang w:val="en-US" w:eastAsia="zh-CN"/>
        </w:rPr>
        <w:t>道县西洲街道宝珍街六栋九号</w:t>
      </w:r>
      <w:r>
        <w:rPr>
          <w:rFonts w:hint="eastAsia" w:ascii="仿宋_GB2312" w:hAnsi="仿宋_GB2312" w:eastAsia="仿宋_GB2312" w:cs="仿宋_GB2312"/>
          <w:b w:val="0"/>
          <w:bCs w:val="0"/>
          <w:color w:val="auto"/>
          <w:szCs w:val="21"/>
          <w:highlight w:val="none"/>
          <w:lang w:eastAsia="zh-CN"/>
        </w:rPr>
        <w:t>，</w:t>
      </w:r>
      <w:r>
        <w:rPr>
          <w:rFonts w:hint="eastAsia" w:ascii="仿宋_GB2312" w:hAnsi="仿宋_GB2312" w:eastAsia="仿宋_GB2312" w:cs="仿宋_GB2312"/>
          <w:b w:val="0"/>
          <w:bCs w:val="0"/>
          <w:color w:val="auto"/>
          <w:szCs w:val="21"/>
          <w:highlight w:val="none"/>
        </w:rPr>
        <w:t>估价对象土地所有权为国有，土地使用权性质为</w:t>
      </w:r>
      <w:r>
        <w:rPr>
          <w:rFonts w:hint="eastAsia" w:ascii="仿宋_GB2312" w:hAnsi="仿宋_GB2312" w:eastAsia="仿宋_GB2312" w:cs="仿宋_GB2312"/>
          <w:b w:val="0"/>
          <w:bCs w:val="0"/>
          <w:color w:val="auto"/>
          <w:szCs w:val="21"/>
          <w:highlight w:val="none"/>
          <w:lang w:val="en-US" w:eastAsia="zh-CN"/>
        </w:rPr>
        <w:t>拟出让</w:t>
      </w:r>
      <w:r>
        <w:rPr>
          <w:rFonts w:hint="eastAsia" w:ascii="仿宋_GB2312" w:hAnsi="仿宋_GB2312" w:eastAsia="仿宋_GB2312" w:cs="仿宋_GB2312"/>
          <w:b w:val="0"/>
          <w:bCs w:val="0"/>
          <w:color w:val="auto"/>
          <w:szCs w:val="21"/>
          <w:highlight w:val="none"/>
        </w:rPr>
        <w:t>，土地使用者</w:t>
      </w:r>
      <w:r>
        <w:rPr>
          <w:rFonts w:hint="eastAsia" w:ascii="仿宋_GB2312" w:eastAsia="仿宋_GB2312"/>
          <w:szCs w:val="21"/>
        </w:rPr>
        <w:t>拟通过出让确定</w:t>
      </w:r>
      <w:r>
        <w:rPr>
          <w:rFonts w:hint="eastAsia" w:ascii="仿宋_GB2312" w:hAnsi="仿宋_GB2312" w:eastAsia="仿宋_GB2312" w:cs="仿宋_GB2312"/>
          <w:b w:val="0"/>
          <w:bCs w:val="0"/>
          <w:color w:val="auto"/>
          <w:szCs w:val="21"/>
          <w:highlight w:val="none"/>
        </w:rPr>
        <w:t>。根据委托方提供相关资料和估价人员调查结果</w:t>
      </w:r>
      <w:r>
        <w:rPr>
          <w:rFonts w:hint="eastAsia" w:ascii="仿宋_GB2312" w:hAnsi="仿宋_GB2312" w:eastAsia="仿宋_GB2312" w:cs="仿宋_GB2312"/>
          <w:b w:val="0"/>
          <w:bCs w:val="0"/>
          <w:szCs w:val="21"/>
          <w:highlight w:val="none"/>
        </w:rPr>
        <w:t>，截至估价期日估价对象未有抵押权、地役权、租赁权等他项权利登记，本次评估设定估价对象地上无抵押权、地役权、租赁权等他项权利登记；2.基础设施条件：估价对象土地实际开发程度为宗地红线外“</w:t>
      </w:r>
      <w:r>
        <w:rPr>
          <w:rFonts w:hint="eastAsia" w:ascii="仿宋_GB2312" w:hAnsi="仿宋_GB2312" w:eastAsia="仿宋_GB2312" w:cs="仿宋_GB2312"/>
          <w:b w:val="0"/>
          <w:bCs w:val="0"/>
          <w:szCs w:val="21"/>
          <w:highlight w:val="none"/>
          <w:lang w:val="en-US" w:eastAsia="zh-CN"/>
        </w:rPr>
        <w:t>五通</w:t>
      </w:r>
      <w:r>
        <w:rPr>
          <w:rFonts w:hint="eastAsia" w:ascii="仿宋_GB2312" w:hAnsi="仿宋_GB2312" w:eastAsia="仿宋_GB2312" w:cs="仿宋_GB2312"/>
          <w:b w:val="0"/>
          <w:bCs w:val="0"/>
          <w:szCs w:val="21"/>
          <w:highlight w:val="none"/>
        </w:rPr>
        <w:t>”（即通路、通讯</w:t>
      </w:r>
      <w:r>
        <w:rPr>
          <w:rFonts w:hint="eastAsia" w:ascii="仿宋_GB2312" w:hAnsi="仿宋_GB2312" w:eastAsia="仿宋_GB2312" w:cs="仿宋_GB2312"/>
          <w:b w:val="0"/>
          <w:bCs w:val="0"/>
          <w:szCs w:val="21"/>
          <w:highlight w:val="none"/>
          <w:lang w:eastAsia="zh-CN"/>
        </w:rPr>
        <w:t>、</w:t>
      </w:r>
      <w:r>
        <w:rPr>
          <w:rFonts w:hint="eastAsia" w:ascii="仿宋_GB2312" w:hAnsi="仿宋_GB2312" w:eastAsia="仿宋_GB2312" w:cs="仿宋_GB2312"/>
          <w:b w:val="0"/>
          <w:bCs w:val="0"/>
          <w:szCs w:val="21"/>
          <w:highlight w:val="none"/>
          <w:lang w:val="en-US" w:eastAsia="zh-CN"/>
        </w:rPr>
        <w:t>供水、排水</w:t>
      </w:r>
      <w:r>
        <w:rPr>
          <w:rFonts w:hint="eastAsia" w:ascii="仿宋_GB2312" w:hAnsi="仿宋_GB2312" w:eastAsia="仿宋_GB2312" w:cs="仿宋_GB2312"/>
          <w:b w:val="0"/>
          <w:bCs w:val="0"/>
          <w:szCs w:val="21"/>
          <w:highlight w:val="none"/>
        </w:rPr>
        <w:t>、通讯），</w:t>
      </w:r>
      <w:r>
        <w:rPr>
          <w:rFonts w:hint="eastAsia" w:ascii="仿宋_GB2312" w:hAnsi="仿宋_GB2312" w:eastAsia="仿宋_GB2312" w:cs="仿宋_GB2312"/>
          <w:b w:val="0"/>
          <w:bCs w:val="0"/>
          <w:szCs w:val="21"/>
          <w:highlight w:val="none"/>
          <w:lang w:eastAsia="zh-CN"/>
        </w:rPr>
        <w:t>红线内场地平整</w:t>
      </w:r>
      <w:r>
        <w:rPr>
          <w:rFonts w:hint="eastAsia" w:ascii="仿宋_GB2312" w:hAnsi="仿宋_GB2312" w:eastAsia="仿宋_GB2312" w:cs="仿宋_GB2312"/>
          <w:b w:val="0"/>
          <w:bCs w:val="0"/>
          <w:szCs w:val="21"/>
          <w:highlight w:val="none"/>
          <w:lang w:val="en-US" w:eastAsia="zh-CN"/>
        </w:rPr>
        <w:t>无</w:t>
      </w:r>
      <w:r>
        <w:rPr>
          <w:rFonts w:hint="eastAsia" w:ascii="仿宋_GB2312" w:hAnsi="仿宋_GB2312" w:eastAsia="仿宋_GB2312" w:cs="仿宋_GB2312"/>
          <w:b w:val="0"/>
          <w:bCs w:val="0"/>
          <w:szCs w:val="21"/>
          <w:highlight w:val="none"/>
          <w:lang w:eastAsia="zh-CN"/>
        </w:rPr>
        <w:t>建筑物</w:t>
      </w:r>
      <w:r>
        <w:rPr>
          <w:rFonts w:hint="eastAsia" w:ascii="仿宋_GB2312" w:hAnsi="仿宋_GB2312" w:eastAsia="仿宋_GB2312" w:cs="仿宋_GB2312"/>
          <w:b w:val="0"/>
          <w:bCs w:val="0"/>
          <w:szCs w:val="21"/>
          <w:highlight w:val="none"/>
        </w:rPr>
        <w:t>，详见下表。</w:t>
      </w:r>
    </w:p>
    <w:tbl>
      <w:tblPr>
        <w:tblStyle w:val="14"/>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2129"/>
        <w:gridCol w:w="2429"/>
        <w:gridCol w:w="1652"/>
        <w:gridCol w:w="2191"/>
        <w:gridCol w:w="3906"/>
      </w:tblGrid>
      <w:tr w14:paraId="304B6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655" w:type="pct"/>
            <w:noWrap w:val="0"/>
            <w:vAlign w:val="center"/>
          </w:tcPr>
          <w:p w14:paraId="5730021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val="0"/>
                <w:bCs w:val="0"/>
                <w:snapToGrid w:val="0"/>
                <w:color w:val="auto"/>
                <w:sz w:val="18"/>
                <w:szCs w:val="18"/>
                <w:highlight w:val="none"/>
              </w:rPr>
            </w:pP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地面平整状况</w:t>
            </w:r>
          </w:p>
        </w:tc>
        <w:tc>
          <w:tcPr>
            <w:tcW w:w="751" w:type="pct"/>
            <w:noWrap w:val="0"/>
            <w:vAlign w:val="center"/>
          </w:tcPr>
          <w:p w14:paraId="29A974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周围道路状况</w:t>
            </w:r>
          </w:p>
        </w:tc>
        <w:tc>
          <w:tcPr>
            <w:tcW w:w="857" w:type="pct"/>
            <w:noWrap w:val="0"/>
            <w:vAlign w:val="center"/>
          </w:tcPr>
          <w:p w14:paraId="1302186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供电状况</w:t>
            </w:r>
          </w:p>
        </w:tc>
        <w:tc>
          <w:tcPr>
            <w:tcW w:w="583" w:type="pct"/>
            <w:noWrap w:val="0"/>
            <w:vAlign w:val="center"/>
          </w:tcPr>
          <w:p w14:paraId="10B0529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供水状况</w:t>
            </w:r>
          </w:p>
        </w:tc>
        <w:tc>
          <w:tcPr>
            <w:tcW w:w="773" w:type="pct"/>
            <w:noWrap w:val="0"/>
            <w:vAlign w:val="center"/>
          </w:tcPr>
          <w:p w14:paraId="48547A7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排水状况</w:t>
            </w:r>
          </w:p>
        </w:tc>
        <w:tc>
          <w:tcPr>
            <w:tcW w:w="1378" w:type="pct"/>
            <w:noWrap w:val="0"/>
            <w:vAlign w:val="center"/>
          </w:tcPr>
          <w:p w14:paraId="6C93C1B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val="0"/>
                <w:bCs w:val="0"/>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val="0"/>
                <w:bCs w:val="0"/>
                <w:snapToGrid/>
                <w:color w:val="000000" w:themeColor="text1"/>
                <w:spacing w:val="-10"/>
                <w:sz w:val="21"/>
                <w:szCs w:val="21"/>
                <w:highlight w:val="none"/>
                <w14:textFill>
                  <w14:solidFill>
                    <w14:schemeClr w14:val="tx1"/>
                  </w14:solidFill>
                </w14:textFill>
              </w:rPr>
              <w:t>状况</w:t>
            </w:r>
          </w:p>
        </w:tc>
      </w:tr>
      <w:tr w14:paraId="5EB11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655" w:type="pct"/>
            <w:noWrap w:val="0"/>
            <w:vAlign w:val="center"/>
          </w:tcPr>
          <w:p w14:paraId="2AEA26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 w:hAnsi="仿宋" w:eastAsia="仿宋" w:cs="仿宋"/>
                <w:b w:val="0"/>
                <w:bCs w:val="0"/>
                <w:snapToGrid w:val="0"/>
                <w:color w:val="000000" w:themeColor="text1"/>
                <w:sz w:val="18"/>
                <w:szCs w:val="18"/>
                <w:highlight w:val="none"/>
                <w:lang w:val="en-US" w:eastAsia="zh-CN"/>
                <w14:textFill>
                  <w14:solidFill>
                    <w14:schemeClr w14:val="tx1"/>
                  </w14:solidFill>
                </w14:textFill>
              </w:rPr>
            </w:pPr>
            <w:r>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51" w:type="pct"/>
            <w:noWrap w:val="0"/>
            <w:vAlign w:val="center"/>
          </w:tcPr>
          <w:p w14:paraId="30D24517">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b w:val="0"/>
                <w:bCs w:val="0"/>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pacing w:val="-20"/>
                <w:szCs w:val="21"/>
                <w:highlight w:val="none"/>
                <w:lang w:val="en-US" w:eastAsia="zh-CN"/>
                <w14:textFill>
                  <w14:solidFill>
                    <w14:schemeClr w14:val="tx1"/>
                  </w14:solidFill>
                </w14:textFill>
              </w:rPr>
              <w:t>临宝珍街，沥青路面，路宽约8米，通行较顺畅</w:t>
            </w:r>
          </w:p>
        </w:tc>
        <w:tc>
          <w:tcPr>
            <w:tcW w:w="857" w:type="pct"/>
            <w:noWrap w:val="0"/>
            <w:vAlign w:val="center"/>
          </w:tcPr>
          <w:p w14:paraId="279E6C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t>区域内接市政双回路110KV供电管网，供电保证率高</w:t>
            </w:r>
          </w:p>
        </w:tc>
        <w:tc>
          <w:tcPr>
            <w:tcW w:w="583" w:type="pct"/>
            <w:noWrap w:val="0"/>
            <w:vAlign w:val="center"/>
          </w:tcPr>
          <w:p w14:paraId="4DFA26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3" w:type="pct"/>
            <w:noWrap w:val="0"/>
            <w:vAlign w:val="center"/>
          </w:tcPr>
          <w:p w14:paraId="31EA00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78" w:type="pct"/>
            <w:noWrap w:val="0"/>
            <w:vAlign w:val="center"/>
          </w:tcPr>
          <w:p w14:paraId="0A036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443078D">
      <w:pPr>
        <w:keepNext w:val="0"/>
        <w:keepLines w:val="0"/>
        <w:pageBreakBefore w:val="0"/>
        <w:widowControl w:val="0"/>
        <w:kinsoku/>
        <w:wordWrap/>
        <w:overflowPunct/>
        <w:topLinePunct w:val="0"/>
        <w:autoSpaceDE/>
        <w:autoSpaceDN/>
        <w:bidi w:val="0"/>
        <w:adjustRightInd/>
        <w:snapToGrid/>
        <w:spacing w:line="280" w:lineRule="exact"/>
        <w:ind w:left="420" w:leftChars="200" w:firstLine="0" w:firstLineChars="0"/>
        <w:textAlignment w:val="auto"/>
        <w:outlineLvl w:val="9"/>
        <w:rPr>
          <w:rFonts w:hint="eastAsia" w:ascii="仿宋_GB2312" w:hAnsi="仿宋_GB2312" w:eastAsia="仿宋_GB2312" w:cs="仿宋_GB2312"/>
          <w:b w:val="0"/>
          <w:bCs w:val="0"/>
          <w:color w:val="000000" w:themeColor="text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3.规划限制条件：根据</w:t>
      </w:r>
      <w:r>
        <w:rPr>
          <w:rFonts w:hint="eastAsia" w:ascii="仿宋_GB2312" w:hAnsi="仿宋_GB2312" w:eastAsia="仿宋_GB2312" w:cs="仿宋_GB2312"/>
          <w:b w:val="0"/>
          <w:bCs w:val="0"/>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Cs w:val="21"/>
          <w:highlight w:val="none"/>
          <w:lang w:val="en-US" w:eastAsia="zh-CN"/>
          <w14:textFill>
            <w14:solidFill>
              <w14:schemeClr w14:val="tx1"/>
            </w14:solidFill>
          </w14:textFill>
        </w:rPr>
        <w:t>评估委托书</w:t>
      </w:r>
      <w:r>
        <w:rPr>
          <w:rFonts w:hint="eastAsia" w:ascii="仿宋_GB2312" w:hAnsi="仿宋_GB2312" w:eastAsia="仿宋_GB2312" w:cs="仿宋_GB2312"/>
          <w:b w:val="0"/>
          <w:bCs w:val="0"/>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，估价对象位于</w:t>
      </w:r>
      <w:r>
        <w:rPr>
          <w:rFonts w:hint="eastAsia" w:ascii="仿宋_GB2312" w:hAnsi="仿宋_GB2312" w:eastAsia="仿宋_GB2312" w:cs="仿宋_GB2312"/>
          <w:b w:val="0"/>
          <w:bCs w:val="0"/>
          <w:color w:val="000000" w:themeColor="text1"/>
          <w:szCs w:val="21"/>
          <w:highlight w:val="none"/>
          <w:lang w:val="en-US" w:eastAsia="zh-CN"/>
          <w14:textFill>
            <w14:solidFill>
              <w14:schemeClr w14:val="tx1"/>
            </w14:solidFill>
          </w14:textFill>
        </w:rPr>
        <w:t>道县西洲街道宝珍街六栋九号</w:t>
      </w: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w:t>
      </w:r>
      <w:r>
        <w:rPr>
          <w:rFonts w:hint="eastAsia" w:ascii="仿宋_GB2312" w:hAnsi="仿宋_GB2312" w:eastAsia="仿宋_GB2312" w:cs="仿宋_GB2312"/>
          <w:b w:val="0"/>
          <w:bCs w:val="0"/>
          <w:color w:val="000000" w:themeColor="text1"/>
          <w:szCs w:val="21"/>
          <w:highlight w:val="none"/>
          <w:lang w:val="en-US" w:eastAsia="zh-CN"/>
          <w14:textFill>
            <w14:solidFill>
              <w14:schemeClr w14:val="tx1"/>
            </w14:solidFill>
          </w14:textFill>
        </w:rPr>
        <w:t>土地用途为住宅用地，</w:t>
      </w: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用地面积</w:t>
      </w:r>
      <w:r>
        <w:rPr>
          <w:rFonts w:hint="eastAsia" w:ascii="仿宋_GB2312" w:hAnsi="仿宋_GB2312" w:eastAsia="仿宋_GB2312" w:cs="仿宋_GB2312"/>
          <w:b w:val="0"/>
          <w:bCs w:val="0"/>
          <w:color w:val="000000" w:themeColor="text1"/>
          <w:szCs w:val="21"/>
          <w:highlight w:val="none"/>
          <w:lang w:val="en-US" w:eastAsia="zh-CN"/>
          <w14:textFill>
            <w14:solidFill>
              <w14:schemeClr w14:val="tx1"/>
            </w14:solidFill>
          </w14:textFill>
        </w:rPr>
        <w:t>50平方米，容积率4.11</w:t>
      </w: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w:t>
      </w:r>
    </w:p>
    <w:p w14:paraId="668D8944">
      <w:pPr>
        <w:keepNext w:val="0"/>
        <w:keepLines w:val="0"/>
        <w:pageBreakBefore w:val="0"/>
        <w:widowControl w:val="0"/>
        <w:kinsoku/>
        <w:wordWrap/>
        <w:overflowPunct/>
        <w:topLinePunct w:val="0"/>
        <w:autoSpaceDE/>
        <w:autoSpaceDN/>
        <w:bidi w:val="0"/>
        <w:adjustRightInd/>
        <w:snapToGrid/>
        <w:spacing w:line="280" w:lineRule="exact"/>
        <w:ind w:left="420" w:leftChars="200" w:firstLine="0" w:firstLineChars="0"/>
        <w:textAlignment w:val="auto"/>
        <w:outlineLvl w:val="9"/>
        <w:rPr>
          <w:rFonts w:hint="eastAsia" w:ascii="仿宋_GB2312" w:hAnsi="仿宋_GB2312" w:eastAsia="仿宋_GB2312" w:cs="仿宋_GB2312"/>
          <w:b w:val="0"/>
          <w:bCs w:val="0"/>
          <w:color w:val="000000" w:themeColor="text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4.影响土地价值的其他限定条件：无。</w:t>
      </w:r>
    </w:p>
    <w:p w14:paraId="7C4A02E4">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outlineLvl w:val="9"/>
        <w:rPr>
          <w:rFonts w:hint="eastAsia" w:ascii="仿宋_GB2312" w:hAnsi="仿宋_GB2312" w:eastAsia="仿宋_GB2312" w:cs="仿宋_GB2312"/>
          <w:b w:val="0"/>
          <w:bCs w:val="0"/>
          <w:color w:val="000000" w:themeColor="text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Cs w:val="21"/>
          <w:highlight w:val="none"/>
          <w14:textFill>
            <w14:solidFill>
              <w14:schemeClr w14:val="tx1"/>
            </w14:solidFill>
          </w14:textFill>
        </w:rPr>
        <w:t xml:space="preserve">二、其他需要说明的事项 </w:t>
      </w:r>
    </w:p>
    <w:p w14:paraId="569BAEC5">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outlineLvl w:val="9"/>
        <w:rPr>
          <w:rFonts w:hint="eastAsia" w:ascii="仿宋_GB2312" w:eastAsia="仿宋_GB2312"/>
          <w:b w:val="0"/>
          <w:bCs w:val="0"/>
          <w:color w:val="000000" w:themeColor="text1"/>
          <w:szCs w:val="21"/>
          <w:highlight w:val="none"/>
          <w14:textFill>
            <w14:solidFill>
              <w14:schemeClr w14:val="tx1"/>
            </w14:solidFill>
          </w14:textFill>
        </w:rPr>
      </w:pPr>
      <w:r>
        <w:rPr>
          <w:rFonts w:hint="eastAsia" w:ascii="仿宋_GB2312" w:eastAsia="仿宋_GB2312"/>
          <w:b w:val="0"/>
          <w:bCs w:val="0"/>
          <w:color w:val="000000" w:themeColor="text1"/>
          <w:szCs w:val="21"/>
          <w:highlight w:val="none"/>
          <w14:textFill>
            <w14:solidFill>
              <w14:schemeClr w14:val="tx1"/>
            </w14:solidFill>
          </w14:textFill>
        </w:rPr>
        <w:t>1、评估价格仅</w:t>
      </w:r>
      <w:r>
        <w:rPr>
          <w:rFonts w:hint="eastAsia" w:ascii="仿宋_GB2312" w:eastAsia="仿宋_GB2312"/>
          <w:b w:val="0"/>
          <w:bCs w:val="0"/>
          <w:color w:val="000000" w:themeColor="text1"/>
          <w:szCs w:val="21"/>
          <w:highlight w:val="none"/>
          <w:lang w:val="en-US" w:eastAsia="zh-CN"/>
          <w14:textFill>
            <w14:solidFill>
              <w14:schemeClr w14:val="tx1"/>
            </w14:solidFill>
          </w14:textFill>
        </w:rPr>
        <w:t>为</w:t>
      </w:r>
      <w:r>
        <w:rPr>
          <w:rFonts w:hint="eastAsia" w:ascii="仿宋_GB2312" w:eastAsia="仿宋_GB2312"/>
          <w:szCs w:val="21"/>
        </w:rPr>
        <w:t>土地出让方通过集体决策确定估价对象出让底价提供国有建设用地使用权市场价格参考依据</w:t>
      </w:r>
      <w:r>
        <w:rPr>
          <w:rFonts w:hint="eastAsia" w:ascii="仿宋_GB2312" w:eastAsia="仿宋_GB2312"/>
          <w:b w:val="0"/>
          <w:bCs w:val="0"/>
          <w:color w:val="000000" w:themeColor="text1"/>
          <w:szCs w:val="21"/>
          <w:highlight w:val="none"/>
          <w14:textFill>
            <w14:solidFill>
              <w14:schemeClr w14:val="tx1"/>
            </w14:solidFill>
          </w14:textFill>
        </w:rPr>
        <w:t>。</w:t>
      </w:r>
    </w:p>
    <w:p w14:paraId="31139EF4">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outlineLvl w:val="9"/>
        <w:rPr>
          <w:rFonts w:hint="eastAsia" w:ascii="仿宋_GB2312" w:eastAsia="仿宋_GB2312"/>
          <w:b w:val="0"/>
          <w:bCs w:val="0"/>
          <w:color w:val="000000" w:themeColor="text1"/>
          <w:szCs w:val="21"/>
          <w:highlight w:val="none"/>
          <w14:textFill>
            <w14:solidFill>
              <w14:schemeClr w14:val="tx1"/>
            </w14:solidFill>
          </w14:textFill>
        </w:rPr>
      </w:pPr>
      <w:r>
        <w:rPr>
          <w:rFonts w:hint="eastAsia" w:ascii="仿宋_GB2312" w:eastAsia="仿宋_GB2312"/>
          <w:b w:val="0"/>
          <w:bCs w:val="0"/>
          <w:color w:val="000000" w:themeColor="text1"/>
          <w:szCs w:val="21"/>
          <w:highlight w:val="none"/>
          <w14:textFill>
            <w14:solidFill>
              <w14:schemeClr w14:val="tx1"/>
            </w14:solidFill>
          </w14:textFill>
        </w:rPr>
        <w:t>2、本估价报告有效期自提交估价报告日</w:t>
      </w:r>
      <w:r>
        <w:rPr>
          <w:rFonts w:hint="eastAsia" w:ascii="仿宋_GB2312" w:eastAsia="仿宋_GB2312"/>
          <w:b w:val="0"/>
          <w:bCs w:val="0"/>
          <w:color w:val="000000" w:themeColor="text1"/>
          <w:szCs w:val="21"/>
          <w:highlight w:val="none"/>
          <w:lang w:eastAsia="zh-CN"/>
          <w14:textFill>
            <w14:solidFill>
              <w14:schemeClr w14:val="tx1"/>
            </w14:solidFill>
          </w14:textFill>
        </w:rPr>
        <w:t>2026年6月5日</w:t>
      </w:r>
      <w:r>
        <w:rPr>
          <w:rFonts w:hint="eastAsia" w:ascii="仿宋_GB2312" w:eastAsia="仿宋_GB2312"/>
          <w:b w:val="0"/>
          <w:bCs w:val="0"/>
          <w:color w:val="000000" w:themeColor="text1"/>
          <w:szCs w:val="21"/>
          <w:highlight w:val="none"/>
          <w14:textFill>
            <w14:solidFill>
              <w14:schemeClr w14:val="tx1"/>
            </w14:solidFill>
          </w14:textFill>
        </w:rPr>
        <w:t>至</w:t>
      </w:r>
      <w:r>
        <w:rPr>
          <w:rFonts w:hint="eastAsia" w:ascii="仿宋_GB2312" w:eastAsia="仿宋_GB2312"/>
          <w:b w:val="0"/>
          <w:bCs w:val="0"/>
          <w:color w:val="000000" w:themeColor="text1"/>
          <w:szCs w:val="21"/>
          <w:highlight w:val="none"/>
          <w:lang w:eastAsia="zh-CN"/>
          <w14:textFill>
            <w14:solidFill>
              <w14:schemeClr w14:val="tx1"/>
            </w14:solidFill>
          </w14:textFill>
        </w:rPr>
        <w:t>202</w:t>
      </w:r>
      <w:r>
        <w:rPr>
          <w:rFonts w:hint="eastAsia" w:ascii="仿宋_GB2312" w:eastAsia="仿宋_GB2312"/>
          <w:b w:val="0"/>
          <w:bCs w:val="0"/>
          <w:color w:val="000000" w:themeColor="text1"/>
          <w:szCs w:val="21"/>
          <w:highlight w:val="none"/>
          <w:lang w:val="en-US" w:eastAsia="zh-CN"/>
          <w14:textFill>
            <w14:solidFill>
              <w14:schemeClr w14:val="tx1"/>
            </w14:solidFill>
          </w14:textFill>
        </w:rPr>
        <w:t>7</w:t>
      </w:r>
      <w:r>
        <w:rPr>
          <w:rFonts w:hint="eastAsia" w:ascii="仿宋_GB2312" w:eastAsia="仿宋_GB2312"/>
          <w:b w:val="0"/>
          <w:bCs w:val="0"/>
          <w:color w:val="000000" w:themeColor="text1"/>
          <w:szCs w:val="21"/>
          <w:highlight w:val="none"/>
          <w:lang w:eastAsia="zh-CN"/>
          <w14:textFill>
            <w14:solidFill>
              <w14:schemeClr w14:val="tx1"/>
            </w14:solidFill>
          </w14:textFill>
        </w:rPr>
        <w:t>年</w:t>
      </w:r>
      <w:r>
        <w:rPr>
          <w:rFonts w:hint="eastAsia" w:ascii="仿宋_GB2312" w:eastAsia="仿宋_GB2312"/>
          <w:b w:val="0"/>
          <w:bCs w:val="0"/>
          <w:color w:val="000000" w:themeColor="text1"/>
          <w:szCs w:val="21"/>
          <w:highlight w:val="none"/>
          <w:lang w:val="en-US" w:eastAsia="zh-CN"/>
          <w14:textFill>
            <w14:solidFill>
              <w14:schemeClr w14:val="tx1"/>
            </w14:solidFill>
          </w14:textFill>
        </w:rPr>
        <w:t>6</w:t>
      </w:r>
      <w:r>
        <w:rPr>
          <w:rFonts w:hint="eastAsia" w:ascii="仿宋_GB2312" w:eastAsia="仿宋_GB2312"/>
          <w:b w:val="0"/>
          <w:bCs w:val="0"/>
          <w:color w:val="000000" w:themeColor="text1"/>
          <w:szCs w:val="21"/>
          <w:highlight w:val="none"/>
          <w:lang w:eastAsia="zh-CN"/>
          <w14:textFill>
            <w14:solidFill>
              <w14:schemeClr w14:val="tx1"/>
            </w14:solidFill>
          </w14:textFill>
        </w:rPr>
        <w:t>月</w:t>
      </w:r>
      <w:r>
        <w:rPr>
          <w:rFonts w:hint="eastAsia" w:ascii="仿宋_GB2312" w:eastAsia="仿宋_GB2312"/>
          <w:b w:val="0"/>
          <w:bCs w:val="0"/>
          <w:color w:val="000000" w:themeColor="text1"/>
          <w:szCs w:val="21"/>
          <w:highlight w:val="none"/>
          <w:lang w:val="en-US" w:eastAsia="zh-CN"/>
          <w14:textFill>
            <w14:solidFill>
              <w14:schemeClr w14:val="tx1"/>
            </w14:solidFill>
          </w14:textFill>
        </w:rPr>
        <w:t>4</w:t>
      </w:r>
      <w:r>
        <w:rPr>
          <w:rFonts w:hint="eastAsia" w:ascii="仿宋_GB2312" w:eastAsia="仿宋_GB2312"/>
          <w:b w:val="0"/>
          <w:bCs w:val="0"/>
          <w:color w:val="000000" w:themeColor="text1"/>
          <w:szCs w:val="21"/>
          <w:highlight w:val="none"/>
          <w:lang w:eastAsia="zh-CN"/>
          <w14:textFill>
            <w14:solidFill>
              <w14:schemeClr w14:val="tx1"/>
            </w14:solidFill>
          </w14:textFill>
        </w:rPr>
        <w:t>日</w:t>
      </w:r>
      <w:r>
        <w:rPr>
          <w:rFonts w:hint="eastAsia" w:ascii="仿宋_GB2312" w:eastAsia="仿宋_GB2312"/>
          <w:b w:val="0"/>
          <w:bCs w:val="0"/>
          <w:color w:val="000000" w:themeColor="text1"/>
          <w:szCs w:val="21"/>
          <w:highlight w:val="none"/>
          <w14:textFill>
            <w14:solidFill>
              <w14:schemeClr w14:val="tx1"/>
            </w14:solidFill>
          </w14:textFill>
        </w:rPr>
        <w:t>一年内有效。</w:t>
      </w:r>
    </w:p>
    <w:p w14:paraId="21217FAB">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outlineLvl w:val="9"/>
        <w:rPr>
          <w:rFonts w:hint="eastAsia" w:ascii="仿宋_GB2312" w:eastAsia="仿宋_GB2312"/>
          <w:b w:val="0"/>
          <w:bCs w:val="0"/>
          <w:szCs w:val="21"/>
          <w:highlight w:val="none"/>
        </w:rPr>
      </w:pPr>
      <w:r>
        <w:rPr>
          <w:rFonts w:hint="eastAsia" w:ascii="仿宋_GB2312" w:eastAsia="仿宋_GB2312"/>
          <w:b w:val="0"/>
          <w:bCs w:val="0"/>
          <w:color w:val="000000" w:themeColor="text1"/>
          <w:szCs w:val="21"/>
          <w:highlight w:val="none"/>
          <w14:textFill>
            <w14:solidFill>
              <w14:schemeClr w14:val="tx1"/>
            </w14:solidFill>
          </w14:textFill>
        </w:rPr>
        <w:t>3、此次评估结果是估价对象于估价期日在设定土地用途、设定使用年期、设定容积率、设定开发程度、公开市场条件下的出让土地</w:t>
      </w:r>
      <w:r>
        <w:rPr>
          <w:rFonts w:hint="eastAsia" w:ascii="仿宋_GB2312" w:eastAsia="仿宋_GB2312"/>
          <w:b w:val="0"/>
          <w:bCs w:val="0"/>
          <w:szCs w:val="21"/>
          <w:highlight w:val="none"/>
        </w:rPr>
        <w:t>使用权价格。</w:t>
      </w:r>
    </w:p>
    <w:p w14:paraId="4D8A532E">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outlineLvl w:val="9"/>
        <w:rPr>
          <w:rFonts w:hint="eastAsia" w:ascii="仿宋_GB2312" w:eastAsia="仿宋_GB2312"/>
          <w:b w:val="0"/>
          <w:bCs w:val="0"/>
          <w:szCs w:val="21"/>
          <w:highlight w:val="none"/>
        </w:rPr>
      </w:pPr>
      <w:r>
        <w:rPr>
          <w:rFonts w:hint="eastAsia" w:ascii="仿宋_GB2312" w:eastAsia="仿宋_GB2312"/>
          <w:b w:val="0"/>
          <w:bCs w:val="0"/>
          <w:szCs w:val="21"/>
          <w:highlight w:val="none"/>
        </w:rPr>
        <w:t>4、根据估价对象</w:t>
      </w:r>
      <w:r>
        <w:rPr>
          <w:rFonts w:hint="eastAsia" w:ascii="仿宋_GB2312" w:hAnsi="仿宋_GB2312" w:eastAsia="仿宋_GB2312" w:cs="仿宋_GB2312"/>
          <w:b w:val="0"/>
          <w:bCs w:val="0"/>
          <w:szCs w:val="21"/>
          <w:highlight w:val="none"/>
          <w:lang w:eastAsia="zh-CN"/>
        </w:rPr>
        <w:t>《评估委托书》</w:t>
      </w:r>
      <w:r>
        <w:rPr>
          <w:rFonts w:hint="eastAsia" w:ascii="仿宋_GB2312" w:hAnsi="仿宋_GB2312" w:eastAsia="仿宋_GB2312" w:cs="仿宋_GB2312"/>
          <w:b w:val="0"/>
          <w:bCs w:val="0"/>
          <w:szCs w:val="21"/>
          <w:highlight w:val="none"/>
          <w:lang w:val="en-US" w:eastAsia="zh-CN"/>
        </w:rPr>
        <w:t>和《宗地图》</w:t>
      </w:r>
      <w:r>
        <w:rPr>
          <w:rFonts w:hint="eastAsia" w:ascii="仿宋_GB2312" w:eastAsia="仿宋_GB2312"/>
          <w:b w:val="0"/>
          <w:bCs w:val="0"/>
          <w:szCs w:val="21"/>
          <w:highlight w:val="none"/>
        </w:rPr>
        <w:t>，确定本次评估土地面积为</w:t>
      </w:r>
      <w:r>
        <w:rPr>
          <w:rFonts w:hint="eastAsia" w:ascii="仿宋_GB2312" w:eastAsia="仿宋_GB2312"/>
          <w:b w:val="0"/>
          <w:bCs w:val="0"/>
          <w:szCs w:val="21"/>
          <w:highlight w:val="none"/>
          <w:lang w:val="en-US" w:eastAsia="zh-CN"/>
        </w:rPr>
        <w:t>50平方米</w:t>
      </w:r>
      <w:r>
        <w:rPr>
          <w:rFonts w:hint="eastAsia" w:ascii="仿宋_GB2312" w:eastAsia="仿宋_GB2312"/>
          <w:b w:val="0"/>
          <w:bCs w:val="0"/>
          <w:szCs w:val="21"/>
          <w:highlight w:val="none"/>
        </w:rPr>
        <w:t>，最终出让面积以当地自然资源部门核定面积为准，如土地面积发生变化，则土地价格应做相应的调整。</w:t>
      </w:r>
    </w:p>
    <w:p w14:paraId="274278C0">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outlineLvl w:val="9"/>
        <w:rPr>
          <w:rFonts w:hint="eastAsia" w:ascii="仿宋_GB2312" w:hAnsi="仿宋_GB2312" w:eastAsia="仿宋_GB2312" w:cs="仿宋_GB2312"/>
          <w:b w:val="0"/>
          <w:bCs w:val="0"/>
          <w:szCs w:val="21"/>
          <w:highlight w:val="none"/>
        </w:rPr>
      </w:pPr>
      <w:r>
        <w:rPr>
          <w:rFonts w:hint="eastAsia" w:ascii="仿宋_GB2312" w:eastAsia="仿宋_GB2312"/>
          <w:b w:val="0"/>
          <w:bCs w:val="0"/>
          <w:szCs w:val="21"/>
          <w:highlight w:val="none"/>
        </w:rPr>
        <w:t>5、其他特殊说明事项详见本报告第</w:t>
      </w:r>
      <w:r>
        <w:rPr>
          <w:rFonts w:hint="eastAsia" w:ascii="仿宋_GB2312" w:eastAsia="仿宋_GB2312"/>
          <w:b w:val="0"/>
          <w:bCs w:val="0"/>
          <w:szCs w:val="21"/>
          <w:highlight w:val="none"/>
          <w:lang w:val="en-US" w:eastAsia="zh-CN"/>
        </w:rPr>
        <w:t>一</w:t>
      </w:r>
      <w:r>
        <w:rPr>
          <w:rFonts w:hint="eastAsia" w:ascii="仿宋_GB2312" w:eastAsia="仿宋_GB2312"/>
          <w:b w:val="0"/>
          <w:bCs w:val="0"/>
          <w:szCs w:val="21"/>
          <w:highlight w:val="none"/>
        </w:rPr>
        <w:t>部分第</w:t>
      </w:r>
      <w:r>
        <w:rPr>
          <w:rFonts w:hint="eastAsia" w:ascii="仿宋_GB2312" w:eastAsia="仿宋_GB2312"/>
          <w:b w:val="0"/>
          <w:bCs w:val="0"/>
          <w:szCs w:val="21"/>
          <w:highlight w:val="none"/>
          <w:lang w:val="en-US" w:eastAsia="zh-CN"/>
        </w:rPr>
        <w:t>十</w:t>
      </w:r>
      <w:r>
        <w:rPr>
          <w:rFonts w:hint="eastAsia" w:ascii="仿宋_GB2312" w:eastAsia="仿宋_GB2312"/>
          <w:b w:val="0"/>
          <w:bCs w:val="0"/>
          <w:szCs w:val="21"/>
          <w:highlight w:val="none"/>
        </w:rPr>
        <w:t>项。</w:t>
      </w:r>
      <w:r>
        <w:rPr>
          <w:rFonts w:hint="eastAsia" w:ascii="仿宋_GB2312" w:hAnsi="仿宋_GB2312" w:eastAsia="仿宋_GB2312" w:cs="仿宋_GB2312"/>
          <w:b w:val="0"/>
          <w:bCs w:val="0"/>
          <w:szCs w:val="21"/>
          <w:highlight w:val="none"/>
        </w:rPr>
        <w:t xml:space="preserve"> </w:t>
      </w:r>
    </w:p>
    <w:p w14:paraId="3312B3B6">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b w:val="0"/>
          <w:bCs w:val="0"/>
          <w:szCs w:val="21"/>
          <w:highlight w:val="none"/>
          <w:lang w:val="en-US" w:eastAsia="zh-CN"/>
        </w:rPr>
      </w:pPr>
      <w:r>
        <w:rPr>
          <w:rFonts w:hint="eastAsia" w:ascii="仿宋_GB2312" w:hAnsi="仿宋_GB2312" w:eastAsia="仿宋_GB2312" w:cs="仿宋_GB2312"/>
          <w:b w:val="0"/>
          <w:bCs w:val="0"/>
          <w:szCs w:val="21"/>
          <w:highlight w:val="none"/>
          <w:lang w:eastAsia="zh-CN"/>
        </w:rPr>
        <w:t>湖南兆财不动产规划评估有限公司</w:t>
      </w:r>
      <w:r>
        <w:rPr>
          <w:rFonts w:hint="eastAsia" w:ascii="仿宋_GB2312" w:hAnsi="仿宋_GB2312" w:eastAsia="仿宋_GB2312" w:cs="仿宋_GB2312"/>
          <w:b w:val="0"/>
          <w:bCs w:val="0"/>
          <w:szCs w:val="21"/>
          <w:highlight w:val="none"/>
          <w:lang w:val="en-US" w:eastAsia="zh-CN"/>
        </w:rPr>
        <w:t xml:space="preserve">                                                                                                                                                                                                                    </w:t>
      </w:r>
    </w:p>
    <w:p w14:paraId="147CD87B">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b w:val="0"/>
          <w:bCs w:val="0"/>
          <w:highlight w:val="none"/>
        </w:rPr>
        <w:sectPr>
          <w:endnotePr>
            <w:numFmt w:val="decimal"/>
          </w:endnotePr>
          <w:pgSz w:w="16838" w:h="11906" w:orient="landscape"/>
          <w:pgMar w:top="1417" w:right="1440" w:bottom="1417" w:left="1440" w:header="850" w:footer="850" w:gutter="0"/>
          <w:pgNumType w:fmt="decimal"/>
          <w:cols w:space="720" w:num="1"/>
          <w:docGrid w:linePitch="312" w:charSpace="0"/>
        </w:sectPr>
      </w:pPr>
      <w:r>
        <w:rPr>
          <w:rFonts w:hint="eastAsia" w:ascii="仿宋_GB2312" w:hAnsi="仿宋_GB2312" w:eastAsia="仿宋_GB2312" w:cs="仿宋_GB2312"/>
          <w:b w:val="0"/>
          <w:bCs w:val="0"/>
          <w:szCs w:val="21"/>
          <w:highlight w:val="none"/>
          <w:lang w:val="en-US" w:eastAsia="zh-CN"/>
        </w:rPr>
        <w:t xml:space="preserve">                                                                                                                  2026年6月5日</w:t>
      </w:r>
    </w:p>
    <w:p w14:paraId="0B024E4F">
      <w:pPr>
        <w:pStyle w:val="3"/>
        <w:keepLines w:val="0"/>
        <w:pageBreakBefore w:val="0"/>
        <w:widowControl w:val="0"/>
        <w:kinsoku/>
        <w:wordWrap/>
        <w:overflowPunct/>
        <w:topLinePunct w:val="0"/>
        <w:autoSpaceDE/>
        <w:autoSpaceDN/>
        <w:bidi w:val="0"/>
        <w:spacing w:line="500" w:lineRule="exact"/>
        <w:ind w:left="0" w:right="0" w:firstLine="562" w:firstLineChars="200"/>
        <w:jc w:val="left"/>
        <w:textAlignment w:val="auto"/>
        <w:rPr>
          <w:rFonts w:hint="default" w:ascii="仿宋_GB2312" w:hAnsi="仿宋_GB2312" w:eastAsia="仿宋_GB2312" w:cs="仿宋_GB2312"/>
          <w:b/>
          <w:bCs/>
          <w:color w:val="auto"/>
          <w:kern w:val="2"/>
          <w:sz w:val="28"/>
          <w:szCs w:val="28"/>
          <w:highlight w:val="none"/>
          <w:lang w:val="en-GB" w:eastAsia="zh-CN" w:bidi="ar-SA"/>
        </w:rPr>
      </w:pPr>
      <w:bookmarkStart w:id="54" w:name="_Toc2590"/>
      <w:bookmarkStart w:id="55" w:name="_Toc20425"/>
      <w:bookmarkStart w:id="56" w:name="_Toc4839"/>
      <w:r>
        <w:rPr>
          <w:rFonts w:hint="eastAsia" w:ascii="仿宋_GB2312" w:hAnsi="仿宋_GB2312" w:eastAsia="仿宋_GB2312" w:cs="仿宋_GB2312"/>
          <w:b/>
          <w:bCs/>
          <w:color w:val="auto"/>
          <w:kern w:val="2"/>
          <w:sz w:val="28"/>
          <w:szCs w:val="28"/>
          <w:highlight w:val="none"/>
          <w:lang w:val="en-US" w:eastAsia="zh-CN" w:bidi="ar-SA"/>
        </w:rPr>
        <w:t>十</w:t>
      </w:r>
      <w:r>
        <w:rPr>
          <w:rFonts w:hint="default" w:ascii="仿宋_GB2312" w:hAnsi="仿宋_GB2312" w:eastAsia="仿宋_GB2312" w:cs="仿宋_GB2312"/>
          <w:b/>
          <w:bCs/>
          <w:color w:val="auto"/>
          <w:kern w:val="2"/>
          <w:sz w:val="28"/>
          <w:szCs w:val="28"/>
          <w:highlight w:val="none"/>
          <w:lang w:val="en-GB" w:eastAsia="zh-CN" w:bidi="ar-SA"/>
        </w:rPr>
        <w:t>、需要特殊说明的事项</w:t>
      </w:r>
      <w:bookmarkEnd w:id="54"/>
      <w:bookmarkEnd w:id="55"/>
      <w:bookmarkEnd w:id="56"/>
    </w:p>
    <w:p w14:paraId="33B026CA">
      <w:pPr>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2" w:firstLineChars="200"/>
        <w:textAlignment w:val="auto"/>
        <w:outlineLvl w:val="2"/>
        <w:rPr>
          <w:rFonts w:hint="eastAsia" w:ascii="仿宋_GB2312" w:hAnsi="仿宋_GB2312" w:eastAsia="仿宋_GB2312" w:cs="仿宋_GB2312"/>
          <w:b/>
          <w:bCs/>
          <w:color w:val="auto"/>
          <w:kern w:val="2"/>
          <w:sz w:val="28"/>
          <w:szCs w:val="28"/>
          <w:highlight w:val="none"/>
          <w:lang w:val="en-GB" w:eastAsia="zh-CN" w:bidi="ar-SA"/>
        </w:rPr>
      </w:pPr>
      <w:bookmarkStart w:id="57" w:name="_Toc23550"/>
      <w:bookmarkStart w:id="58" w:name="_Toc19403"/>
      <w:r>
        <w:rPr>
          <w:rFonts w:hint="default" w:ascii="仿宋_GB2312" w:hAnsi="仿宋_GB2312" w:eastAsia="仿宋_GB2312" w:cs="仿宋_GB2312"/>
          <w:b/>
          <w:bCs/>
          <w:color w:val="auto"/>
          <w:kern w:val="2"/>
          <w:sz w:val="28"/>
          <w:szCs w:val="28"/>
          <w:highlight w:val="none"/>
          <w:lang w:val="en-GB" w:eastAsia="zh-CN" w:bidi="ar-SA"/>
        </w:rPr>
        <w:t>（</w:t>
      </w:r>
      <w:r>
        <w:rPr>
          <w:rFonts w:hint="eastAsia" w:ascii="仿宋_GB2312" w:hAnsi="仿宋_GB2312" w:eastAsia="仿宋_GB2312" w:cs="仿宋_GB2312"/>
          <w:b/>
          <w:bCs/>
          <w:color w:val="auto"/>
          <w:kern w:val="2"/>
          <w:sz w:val="28"/>
          <w:szCs w:val="28"/>
          <w:highlight w:val="none"/>
          <w:lang w:val="en-GB" w:eastAsia="zh-CN" w:bidi="ar-SA"/>
        </w:rPr>
        <w:t>一）估价的前提条件和假设条件</w:t>
      </w:r>
    </w:p>
    <w:p w14:paraId="656A0DDD">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snapToGrid w:val="0"/>
          <w:sz w:val="28"/>
          <w:szCs w:val="20"/>
        </w:rPr>
      </w:pPr>
      <w:r>
        <w:rPr>
          <w:rFonts w:hint="eastAsia" w:ascii="仿宋_GB2312" w:hAnsi="仿宋_GB2312" w:eastAsia="仿宋_GB2312" w:cs="仿宋_GB2312"/>
          <w:snapToGrid w:val="0"/>
          <w:sz w:val="28"/>
          <w:szCs w:val="20"/>
        </w:rPr>
        <w:t>1</w:t>
      </w:r>
      <w:r>
        <w:rPr>
          <w:rFonts w:hint="eastAsia" w:ascii="仿宋_GB2312" w:hAnsi="仿宋_GB2312" w:eastAsia="仿宋_GB2312" w:cs="仿宋_GB2312"/>
          <w:snapToGrid w:val="0"/>
          <w:sz w:val="28"/>
          <w:szCs w:val="20"/>
          <w:lang w:val="en-US" w:eastAsia="zh-CN"/>
        </w:rPr>
        <w:t>.</w:t>
      </w:r>
      <w:r>
        <w:rPr>
          <w:rFonts w:hint="eastAsia" w:ascii="仿宋_GB2312" w:hAnsi="仿宋_GB2312" w:eastAsia="仿宋_GB2312" w:cs="仿宋_GB2312"/>
          <w:snapToGrid w:val="0"/>
          <w:sz w:val="28"/>
          <w:szCs w:val="20"/>
        </w:rPr>
        <w:t>估价前提条件</w:t>
      </w:r>
    </w:p>
    <w:p w14:paraId="302D46E1">
      <w:pPr>
        <w:pStyle w:val="13"/>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（1）本次估价以委托方提供的有关资料为重要依据，包括了</w:t>
      </w:r>
      <w:r>
        <w:rPr>
          <w:rFonts w:hint="eastAsia" w:ascii="仿宋_GB2312" w:hAnsi="仿宋_GB2312" w:cs="仿宋_GB2312"/>
          <w:bCs/>
          <w:color w:val="auto"/>
          <w:kern w:val="2"/>
          <w:sz w:val="28"/>
          <w:szCs w:val="28"/>
          <w:highlight w:val="none"/>
          <w:lang w:val="en-GB" w:eastAsia="zh-CN" w:bidi="ar-SA"/>
        </w:rPr>
        <w:t>估价对象《评估委托书》、《不动产“登记难”问题专题会议纪要》（道县集中化解工作领导小组办公室，2026年3月11日）、《房屋所有权证存根》（道县房权证道江镇00008864号）、《房屋所有权证存根》（道县房权证道江镇字第000027号）、《不动产测绘报告书》</w:t>
      </w:r>
      <w:r>
        <w:rPr>
          <w:rFonts w:hint="default" w:ascii="仿宋_GB2312" w:hAnsi="仿宋_GB2312" w:eastAsia="仿宋_GB2312" w:cs="仿宋_GB2312"/>
          <w:bCs/>
          <w:color w:val="auto"/>
          <w:kern w:val="2"/>
          <w:sz w:val="28"/>
          <w:szCs w:val="28"/>
          <w:highlight w:val="none"/>
          <w:lang w:val="en-GB" w:eastAsia="zh-CN" w:bidi="ar-SA"/>
        </w:rPr>
        <w:t>等，并以这些资料的合法性为前提。</w:t>
      </w:r>
    </w:p>
    <w:p w14:paraId="74CF272F">
      <w:pPr>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（2）估价对象与其它生产要素相结合，能满足设定土地使用年限内经营管理的正常进行，保证持续发展。</w:t>
      </w:r>
    </w:p>
    <w:p w14:paraId="3E3C6345">
      <w:pPr>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（3）估价期日地产市场为公正、公开、公平的均衡市场。</w:t>
      </w:r>
    </w:p>
    <w:p w14:paraId="04127B7D">
      <w:pPr>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（4）任何有关估价对象的运作方式、程序符合国家、地方的有关法律、法规。</w:t>
      </w:r>
    </w:p>
    <w:p w14:paraId="0B1D6B6E">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snapToGrid w:val="0"/>
          <w:sz w:val="28"/>
          <w:szCs w:val="20"/>
        </w:rPr>
      </w:pPr>
      <w:r>
        <w:rPr>
          <w:rFonts w:hint="default" w:ascii="仿宋_GB2312" w:hAnsi="仿宋_GB2312" w:eastAsia="仿宋_GB2312" w:cs="仿宋_GB2312"/>
          <w:bCs/>
          <w:color w:val="auto"/>
          <w:kern w:val="2"/>
          <w:sz w:val="28"/>
          <w:szCs w:val="28"/>
          <w:highlight w:val="none"/>
          <w:lang w:val="en-GB" w:eastAsia="zh-CN" w:bidi="ar-SA"/>
        </w:rPr>
        <w:t>（5）估价对象按照设定用途，得到有效合理地利用，并会产生相应的土地收益。</w:t>
      </w:r>
    </w:p>
    <w:p w14:paraId="78599C23">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2</w:t>
      </w:r>
      <w:r>
        <w:rPr>
          <w:rFonts w:hint="eastAsia" w:ascii="仿宋_GB2312" w:hAnsi="仿宋_GB2312" w:eastAsia="仿宋_GB2312" w:cs="仿宋_GB2312"/>
          <w:snapToGrid w:val="0"/>
          <w:kern w:val="0"/>
          <w:sz w:val="28"/>
          <w:szCs w:val="20"/>
          <w:lang w:val="en-US" w:eastAsia="zh-CN"/>
        </w:rPr>
        <w:t>.</w:t>
      </w:r>
      <w:r>
        <w:rPr>
          <w:rFonts w:hint="eastAsia" w:ascii="仿宋_GB2312" w:hAnsi="仿宋_GB2312" w:eastAsia="仿宋_GB2312" w:cs="仿宋_GB2312"/>
          <w:snapToGrid w:val="0"/>
          <w:kern w:val="0"/>
          <w:sz w:val="28"/>
          <w:szCs w:val="20"/>
        </w:rPr>
        <w:t>估价假设条件</w:t>
      </w:r>
    </w:p>
    <w:p w14:paraId="129245F5">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(1)估价期日设定为评估委托之日</w:t>
      </w:r>
      <w:r>
        <w:rPr>
          <w:rFonts w:hint="eastAsia" w:ascii="仿宋_GB2312" w:hAnsi="仿宋_GB2312" w:eastAsia="仿宋_GB2312" w:cs="仿宋_GB2312"/>
          <w:snapToGrid w:val="0"/>
          <w:kern w:val="0"/>
          <w:sz w:val="28"/>
          <w:szCs w:val="20"/>
          <w:lang w:val="en-US" w:eastAsia="zh-CN"/>
        </w:rPr>
        <w:t>2026年6月1日</w:t>
      </w:r>
      <w:r>
        <w:rPr>
          <w:rFonts w:hint="eastAsia" w:ascii="仿宋_GB2312" w:hAnsi="仿宋_GB2312" w:eastAsia="仿宋_GB2312" w:cs="仿宋_GB2312"/>
          <w:snapToGrid w:val="0"/>
          <w:kern w:val="0"/>
          <w:sz w:val="28"/>
          <w:szCs w:val="20"/>
        </w:rPr>
        <w:t>。</w:t>
      </w:r>
    </w:p>
    <w:p w14:paraId="5AEE5AA3">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(2)设定土地用途为住宅用地。</w:t>
      </w:r>
    </w:p>
    <w:p w14:paraId="60874F6E">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(3)设定土地使用年限为住宅</w:t>
      </w:r>
      <w:r>
        <w:rPr>
          <w:rFonts w:hint="eastAsia" w:ascii="仿宋_GB2312" w:hAnsi="仿宋_GB2312" w:eastAsia="仿宋_GB2312" w:cs="仿宋_GB2312"/>
          <w:snapToGrid w:val="0"/>
          <w:kern w:val="0"/>
          <w:sz w:val="28"/>
          <w:szCs w:val="20"/>
          <w:lang w:val="en-US" w:eastAsia="zh-CN"/>
        </w:rPr>
        <w:t>用地70年</w:t>
      </w:r>
      <w:r>
        <w:rPr>
          <w:rFonts w:hint="eastAsia" w:ascii="仿宋_GB2312" w:hAnsi="仿宋_GB2312" w:eastAsia="仿宋_GB2312" w:cs="仿宋_GB2312"/>
          <w:snapToGrid w:val="0"/>
          <w:kern w:val="0"/>
          <w:sz w:val="28"/>
          <w:szCs w:val="20"/>
        </w:rPr>
        <w:t>。</w:t>
      </w:r>
    </w:p>
    <w:p w14:paraId="2152988E">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(4)设定容积率为</w:t>
      </w:r>
      <w:r>
        <w:rPr>
          <w:rFonts w:hint="eastAsia" w:ascii="仿宋_GB2312" w:hAnsi="仿宋_GB2312" w:eastAsia="仿宋_GB2312" w:cs="仿宋_GB2312"/>
          <w:snapToGrid w:val="0"/>
          <w:kern w:val="0"/>
          <w:sz w:val="28"/>
          <w:szCs w:val="20"/>
          <w:lang w:val="en-US" w:eastAsia="zh-CN"/>
        </w:rPr>
        <w:t>4.11</w:t>
      </w:r>
      <w:r>
        <w:rPr>
          <w:rFonts w:hint="eastAsia" w:ascii="仿宋_GB2312" w:hAnsi="仿宋_GB2312" w:eastAsia="仿宋_GB2312" w:cs="仿宋_GB2312"/>
          <w:snapToGrid w:val="0"/>
          <w:kern w:val="0"/>
          <w:sz w:val="28"/>
          <w:szCs w:val="20"/>
        </w:rPr>
        <w:t>。</w:t>
      </w:r>
    </w:p>
    <w:p w14:paraId="3B36CE39">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(5) 设定土地权属性质为国有出让。</w:t>
      </w:r>
    </w:p>
    <w:p w14:paraId="5EEE7DE6">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snapToGrid w:val="0"/>
          <w:kern w:val="0"/>
          <w:sz w:val="28"/>
          <w:szCs w:val="20"/>
        </w:rPr>
      </w:pPr>
      <w:r>
        <w:rPr>
          <w:rFonts w:hint="eastAsia" w:ascii="仿宋_GB2312" w:hAnsi="仿宋_GB2312" w:eastAsia="仿宋_GB2312" w:cs="仿宋_GB2312"/>
          <w:snapToGrid w:val="0"/>
          <w:kern w:val="0"/>
          <w:sz w:val="28"/>
          <w:szCs w:val="20"/>
        </w:rPr>
        <w:t>(6)设定开发程度为</w:t>
      </w:r>
      <w:r>
        <w:rPr>
          <w:rFonts w:hint="eastAsia" w:ascii="仿宋_GB2312" w:hAnsi="仿宋_GB2312" w:eastAsia="仿宋_GB2312" w:cs="仿宋_GB2312"/>
          <w:kern w:val="0"/>
          <w:sz w:val="28"/>
          <w:szCs w:val="28"/>
        </w:rPr>
        <w:t>宗地红线外“五通”(通路、通电、供水、排水、通讯)和红线内场地平整</w:t>
      </w:r>
      <w:r>
        <w:rPr>
          <w:rFonts w:hint="eastAsia" w:ascii="仿宋_GB2312" w:hAnsi="仿宋_GB2312" w:eastAsia="仿宋_GB2312" w:cs="仿宋_GB2312"/>
          <w:snapToGrid w:val="0"/>
          <w:kern w:val="0"/>
          <w:sz w:val="28"/>
          <w:szCs w:val="20"/>
        </w:rPr>
        <w:t>。</w:t>
      </w:r>
    </w:p>
    <w:p w14:paraId="482DAB04">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snapToGrid w:val="0"/>
          <w:kern w:val="0"/>
          <w:sz w:val="28"/>
          <w:szCs w:val="20"/>
        </w:rPr>
        <w:t>若以上任何一项假设条件发生变化，则该价格须重新评估。</w:t>
      </w:r>
    </w:p>
    <w:p w14:paraId="03082832">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2" w:firstLineChars="200"/>
        <w:textAlignment w:val="auto"/>
        <w:outlineLvl w:val="2"/>
        <w:rPr>
          <w:rFonts w:hint="eastAsia" w:ascii="仿宋_GB2312" w:hAnsi="仿宋_GB2312" w:eastAsia="仿宋_GB2312" w:cs="仿宋_GB2312"/>
          <w:b/>
          <w:bCs/>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8"/>
          <w:highlight w:val="none"/>
          <w:lang w:val="en-US" w:eastAsia="zh-CN"/>
          <w14:textFill>
            <w14:solidFill>
              <w14:schemeClr w14:val="tx1"/>
            </w14:solidFill>
          </w14:textFill>
        </w:rPr>
        <w:t>（二）估价结果与估价报告的使用</w:t>
      </w:r>
    </w:p>
    <w:p w14:paraId="3F47902F">
      <w:pPr>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0" w:firstLineChars="200"/>
        <w:textAlignment w:val="auto"/>
        <w:rPr>
          <w:rFonts w:hint="default" w:ascii="仿宋_GB2312" w:hAnsi="仿宋_GB2312" w:eastAsia="仿宋_GB2312" w:cs="仿宋_GB2312"/>
          <w:bCs/>
          <w:color w:val="auto"/>
          <w:kern w:val="0"/>
          <w:sz w:val="28"/>
          <w:szCs w:val="28"/>
          <w:highlight w:val="none"/>
          <w:lang w:val="en-GB" w:eastAsia="zh-CN" w:bidi="ar-SA"/>
        </w:rPr>
      </w:pPr>
      <w:r>
        <w:rPr>
          <w:rFonts w:hint="default" w:ascii="仿宋_GB2312" w:hAnsi="仿宋_GB2312" w:eastAsia="仿宋_GB2312" w:cs="仿宋_GB2312"/>
          <w:bCs/>
          <w:color w:val="auto"/>
          <w:kern w:val="0"/>
          <w:sz w:val="28"/>
          <w:szCs w:val="28"/>
          <w:highlight w:val="none"/>
          <w:lang w:val="en-GB" w:eastAsia="zh-CN" w:bidi="ar-SA"/>
        </w:rPr>
        <w:t>1、估价报告和估价结果发生效力的法律依据</w:t>
      </w:r>
    </w:p>
    <w:p w14:paraId="7257B9E6">
      <w:pPr>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0"/>
          <w:sz w:val="28"/>
          <w:szCs w:val="28"/>
          <w:highlight w:val="none"/>
          <w:lang w:val="en-GB" w:eastAsia="zh-CN" w:bidi="ar-SA"/>
        </w:rPr>
        <w:t>（1）本次估价依据《中华人民共和国资产评估法》及中华人民共和国国家标准《城镇土地估价规程》（GB/T18508-2014）、《国土资源部办公厅关于发布&lt;国有建设用地使</w:t>
      </w:r>
      <w:r>
        <w:rPr>
          <w:rFonts w:hint="default" w:ascii="仿宋_GB2312" w:hAnsi="仿宋_GB2312" w:eastAsia="仿宋_GB2312" w:cs="仿宋_GB2312"/>
          <w:bCs/>
          <w:color w:val="auto"/>
          <w:kern w:val="2"/>
          <w:sz w:val="28"/>
          <w:szCs w:val="28"/>
          <w:highlight w:val="none"/>
          <w:lang w:val="en-GB" w:eastAsia="zh-CN" w:bidi="ar-SA"/>
        </w:rPr>
        <w:t>用权出让地价评估技术规范</w:t>
      </w:r>
      <w:r>
        <w:rPr>
          <w:rFonts w:hint="default" w:ascii="仿宋_GB2312" w:hAnsi="仿宋_GB2312" w:eastAsia="仿宋_GB2312" w:cs="仿宋_GB2312"/>
          <w:bCs/>
          <w:color w:val="auto"/>
          <w:kern w:val="2"/>
          <w:sz w:val="28"/>
          <w:szCs w:val="28"/>
          <w:highlight w:val="none"/>
          <w:lang w:val="en-US" w:eastAsia="zh-CN" w:bidi="ar-SA"/>
        </w:rPr>
        <w:t>&gt;</w:t>
      </w:r>
      <w:r>
        <w:rPr>
          <w:rFonts w:hint="default" w:ascii="仿宋_GB2312" w:hAnsi="仿宋_GB2312" w:eastAsia="仿宋_GB2312" w:cs="仿宋_GB2312"/>
          <w:bCs/>
          <w:color w:val="auto"/>
          <w:kern w:val="2"/>
          <w:sz w:val="28"/>
          <w:szCs w:val="28"/>
          <w:highlight w:val="none"/>
          <w:lang w:val="en-GB" w:eastAsia="zh-CN" w:bidi="ar-SA"/>
        </w:rPr>
        <w:t>的通知》（国土资厅发[2018]4号）等展开评估工作、撰写本估价报告、形成意见和结论。</w:t>
      </w:r>
    </w:p>
    <w:p w14:paraId="1A7BC03A">
      <w:pPr>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（2）估价报告和估价结果的作用依照《中华人民共和国资产评估法》、《中华人民共和国土地管理法》等所列明法律、法规的有关规定发生法律效力。</w:t>
      </w:r>
    </w:p>
    <w:p w14:paraId="6D7B7BEC">
      <w:pPr>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（3）本报告需在取得电子备案号后，由土地估价师、土地机构法定代表人签名及土地估价机构盖章后方能生效。</w:t>
      </w:r>
    </w:p>
    <w:p w14:paraId="57AB4D71">
      <w:pPr>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2、估价报告和估价结果使用的方向及限制条件</w:t>
      </w:r>
    </w:p>
    <w:p w14:paraId="78074560">
      <w:pPr>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（1）本报告仅为委托方</w:t>
      </w:r>
      <w:r>
        <w:rPr>
          <w:rFonts w:hint="eastAsia" w:ascii="仿宋_GB2312" w:hAnsi="仿宋_GB2312" w:eastAsia="仿宋_GB2312" w:cs="仿宋_GB2312"/>
          <w:snapToGrid w:val="0"/>
          <w:sz w:val="28"/>
          <w:szCs w:val="20"/>
          <w:lang w:val="en-US" w:eastAsia="zh-CN"/>
        </w:rPr>
        <w:t>道县自然资源局</w:t>
      </w:r>
      <w:r>
        <w:rPr>
          <w:rFonts w:hint="eastAsia" w:ascii="仿宋_GB2312" w:hAnsi="仿宋_GB2312" w:eastAsia="仿宋_GB2312" w:cs="仿宋_GB2312"/>
          <w:snapToGrid w:val="0"/>
          <w:sz w:val="28"/>
          <w:szCs w:val="20"/>
        </w:rPr>
        <w:t>通过集体决策确定土地出让底价提供参考依据</w:t>
      </w:r>
      <w:r>
        <w:rPr>
          <w:rFonts w:hint="default" w:ascii="仿宋_GB2312" w:hAnsi="仿宋_GB2312" w:eastAsia="仿宋_GB2312" w:cs="仿宋_GB2312"/>
          <w:bCs/>
          <w:color w:val="auto"/>
          <w:kern w:val="2"/>
          <w:sz w:val="28"/>
          <w:szCs w:val="28"/>
          <w:highlight w:val="none"/>
          <w:lang w:val="en-GB" w:eastAsia="zh-CN" w:bidi="ar-SA"/>
        </w:rPr>
        <w:t>，本次评估结果仅用于本次评估目的时才有效，报告使用人或其他第三方因不当引用本评估结果造成的损失，与本评估机构无关。</w:t>
      </w:r>
    </w:p>
    <w:p w14:paraId="2F28F604">
      <w:pPr>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（2）《土地估价报告》和《土地估价技术报告（评估工作底稿）》均提供给委托方使用和土地上级行政主管部门备案审查。</w:t>
      </w:r>
    </w:p>
    <w:p w14:paraId="3F1D912D">
      <w:pPr>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（3）本报告必须完整使用，对仅使用报告中的部分内容所导致的有关损失，估价机构不承担责任。任何单位和个人未经估价机构书面同意，不得以任何形式发表、肢解本报告。</w:t>
      </w:r>
    </w:p>
    <w:p w14:paraId="2225135A">
      <w:pPr>
        <w:pStyle w:val="32"/>
        <w:keepNext w:val="0"/>
        <w:keepLines w:val="0"/>
        <w:pageBreakBefore w:val="0"/>
        <w:widowControl w:val="0"/>
        <w:kinsoku/>
        <w:wordWrap/>
        <w:overflowPunct w:val="0"/>
        <w:topLinePunct w:val="0"/>
        <w:autoSpaceDE w:val="0"/>
        <w:autoSpaceDN w:val="0"/>
        <w:bidi w:val="0"/>
        <w:adjustRightInd w:val="0"/>
        <w:snapToGrid w:val="0"/>
        <w:spacing w:line="50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3、土地估价结果的有效期</w:t>
      </w:r>
    </w:p>
    <w:p w14:paraId="7E356110">
      <w:pPr>
        <w:pStyle w:val="32"/>
        <w:keepNext w:val="0"/>
        <w:keepLines w:val="0"/>
        <w:pageBreakBefore w:val="0"/>
        <w:widowControl w:val="0"/>
        <w:kinsoku/>
        <w:wordWrap/>
        <w:overflowPunct w:val="0"/>
        <w:topLinePunct w:val="0"/>
        <w:autoSpaceDE w:val="0"/>
        <w:autoSpaceDN w:val="0"/>
        <w:bidi w:val="0"/>
        <w:adjustRightInd w:val="0"/>
        <w:snapToGrid w:val="0"/>
        <w:spacing w:line="50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本估价报告和估价结果自报告提交之日起壹年内有效。</w:t>
      </w:r>
    </w:p>
    <w:p w14:paraId="5E6E75BA">
      <w:pPr>
        <w:pStyle w:val="32"/>
        <w:keepNext w:val="0"/>
        <w:keepLines w:val="0"/>
        <w:pageBreakBefore w:val="0"/>
        <w:widowControl w:val="0"/>
        <w:kinsoku/>
        <w:wordWrap/>
        <w:overflowPunct w:val="0"/>
        <w:topLinePunct w:val="0"/>
        <w:autoSpaceDE w:val="0"/>
        <w:autoSpaceDN w:val="0"/>
        <w:bidi w:val="0"/>
        <w:adjustRightInd w:val="0"/>
        <w:snapToGrid w:val="0"/>
        <w:spacing w:line="50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4、估价报告的使用权和解释权</w:t>
      </w:r>
    </w:p>
    <w:p w14:paraId="116E3D72">
      <w:pPr>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本估价报告和估价结果的使用权归委托方所有，湖南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公司对估价结果有解释权。</w:t>
      </w:r>
    </w:p>
    <w:p w14:paraId="4371142C">
      <w:pPr>
        <w:pStyle w:val="32"/>
        <w:keepNext w:val="0"/>
        <w:keepLines w:val="0"/>
        <w:pageBreakBefore w:val="0"/>
        <w:widowControl w:val="0"/>
        <w:kinsoku/>
        <w:wordWrap/>
        <w:overflowPunct w:val="0"/>
        <w:topLinePunct w:val="0"/>
        <w:autoSpaceDE w:val="0"/>
        <w:autoSpaceDN w:val="0"/>
        <w:bidi w:val="0"/>
        <w:adjustRightInd w:val="0"/>
        <w:snapToGrid w:val="0"/>
        <w:spacing w:line="50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5、违规使用土地估价报告和估价结果的法律责任</w:t>
      </w:r>
    </w:p>
    <w:p w14:paraId="640A086C">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rPr>
          <w:rFonts w:hint="eastAsia" w:ascii="仿宋_GB2312" w:hAnsi="仿宋_GB2312" w:eastAsia="仿宋_GB2312" w:cs="仿宋_GB2312"/>
          <w:b w:val="0"/>
          <w:bCs w:val="0"/>
          <w:snapToGrid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Cs/>
          <w:snapToGrid w:val="0"/>
          <w:color w:val="auto"/>
          <w:kern w:val="0"/>
          <w:sz w:val="28"/>
          <w:szCs w:val="28"/>
          <w:highlight w:val="none"/>
          <w:lang w:val="en-GB" w:eastAsia="zh-CN" w:bidi="ar-SA"/>
        </w:rPr>
        <w:t>违背规定或超越本报告特定目的及限制条件使用本土地估价报告和土地估价结果，土地估价机构不承担任何法律责任。</w:t>
      </w:r>
    </w:p>
    <w:p w14:paraId="59120033">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2" w:firstLineChars="200"/>
        <w:textAlignment w:val="auto"/>
        <w:outlineLvl w:val="2"/>
        <w:rPr>
          <w:rFonts w:hint="eastAsia" w:ascii="仿宋_GB2312" w:hAnsi="仿宋_GB2312" w:eastAsia="仿宋_GB2312" w:cs="仿宋_GB2312"/>
          <w:b/>
          <w:bCs/>
          <w:snapToGrid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
          <w:bCs/>
          <w:snapToGrid w:val="0"/>
          <w:color w:val="000000" w:themeColor="text1"/>
          <w:kern w:val="0"/>
          <w:sz w:val="28"/>
          <w:szCs w:val="28"/>
          <w:highlight w:val="none"/>
          <w:lang w:val="en-US" w:eastAsia="zh-CN"/>
          <w14:textFill>
            <w14:solidFill>
              <w14:schemeClr w14:val="tx1"/>
            </w14:solidFill>
          </w14:textFill>
        </w:rPr>
        <w:t>（三）需要特殊说明的事项</w:t>
      </w:r>
    </w:p>
    <w:p w14:paraId="60A796EF">
      <w:pPr>
        <w:pStyle w:val="32"/>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7"/>
        <w:textAlignment w:val="auto"/>
        <w:rPr>
          <w:rFonts w:hint="eastAsia" w:ascii="仿宋_GB2312" w:hAnsi="仿宋_GB2312" w:eastAsia="仿宋_GB2312" w:cs="仿宋_GB2312"/>
          <w:bCs/>
          <w:color w:val="auto"/>
          <w:kern w:val="2"/>
          <w:sz w:val="28"/>
          <w:szCs w:val="28"/>
          <w:highlight w:val="none"/>
          <w:lang w:val="en-US" w:eastAsia="zh-CN" w:bidi="ar-SA"/>
        </w:rPr>
      </w:pPr>
      <w:r>
        <w:rPr>
          <w:rFonts w:hint="eastAsia" w:ascii="仿宋_GB2312" w:hAnsi="仿宋_GB2312" w:eastAsia="仿宋_GB2312" w:cs="仿宋_GB2312"/>
          <w:bCs/>
          <w:color w:val="auto"/>
          <w:kern w:val="2"/>
          <w:sz w:val="28"/>
          <w:szCs w:val="28"/>
          <w:highlight w:val="none"/>
          <w:lang w:val="en-US" w:eastAsia="zh-CN" w:bidi="ar-SA"/>
        </w:rPr>
        <w:t>1.评估依据资料来源情况说明</w:t>
      </w:r>
    </w:p>
    <w:p w14:paraId="01E6CB12">
      <w:pPr>
        <w:pStyle w:val="32"/>
        <w:keepNext w:val="0"/>
        <w:keepLines w:val="0"/>
        <w:pageBreakBefore w:val="0"/>
        <w:widowControl w:val="0"/>
        <w:kinsoku/>
        <w:wordWrap/>
        <w:overflowPunct w:val="0"/>
        <w:topLinePunct w:val="0"/>
        <w:autoSpaceDE w:val="0"/>
        <w:autoSpaceDN w:val="0"/>
        <w:bidi w:val="0"/>
        <w:adjustRightInd w:val="0"/>
        <w:snapToGrid w:val="0"/>
        <w:spacing w:line="500" w:lineRule="exact"/>
        <w:ind w:right="0" w:firstLine="567"/>
        <w:textAlignment w:val="auto"/>
        <w:rPr>
          <w:rFonts w:hint="eastAsia" w:ascii="仿宋_GB2312" w:hAnsi="仿宋_GB2312" w:eastAsia="仿宋_GB2312" w:cs="仿宋_GB2312"/>
          <w:b w:val="0"/>
          <w:bCs w:val="0"/>
          <w:snapToGrid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auto"/>
          <w:kern w:val="2"/>
          <w:sz w:val="28"/>
          <w:szCs w:val="28"/>
          <w:highlight w:val="none"/>
          <w:lang w:val="en-US" w:eastAsia="zh-CN" w:bidi="ar-SA"/>
        </w:rPr>
        <w:t>（1）</w:t>
      </w:r>
      <w:r>
        <w:rPr>
          <w:rFonts w:hint="eastAsia" w:ascii="仿宋_GB2312" w:hAnsi="仿宋_GB2312" w:eastAsia="仿宋_GB2312" w:cs="仿宋_GB2312"/>
          <w:bCs/>
          <w:color w:val="auto"/>
          <w:kern w:val="2"/>
          <w:sz w:val="28"/>
          <w:szCs w:val="28"/>
          <w:highlight w:val="none"/>
          <w:lang w:val="en-GB" w:eastAsia="zh-CN" w:bidi="ar-SA"/>
        </w:rPr>
        <w:t>估价对象的</w:t>
      </w:r>
      <w:r>
        <w:rPr>
          <w:rFonts w:hint="eastAsia" w:ascii="仿宋_GB2312" w:hAnsi="仿宋_GB2312" w:cs="仿宋_GB2312"/>
          <w:bCs/>
          <w:color w:val="auto"/>
          <w:kern w:val="2"/>
          <w:sz w:val="28"/>
          <w:szCs w:val="28"/>
          <w:highlight w:val="none"/>
          <w:lang w:val="en-GB" w:eastAsia="zh-CN" w:bidi="ar-SA"/>
        </w:rPr>
        <w:t>《评估委托书》、《不动产“登记难”问题专题会议纪要》（道县集中化解工作领导小组办公室，2026年3月11日）、《房屋所有权证存根》（道县房权证道江镇00008864号）、《房屋所有权证存根》（道县房权证道江镇字第000027号）、《不动产测绘报告书》</w:t>
      </w:r>
      <w:r>
        <w:rPr>
          <w:rFonts w:hint="eastAsia" w:ascii="仿宋_GB2312" w:hAnsi="仿宋_GB2312" w:eastAsia="仿宋_GB2312" w:cs="仿宋_GB2312"/>
          <w:bCs/>
          <w:color w:val="auto"/>
          <w:kern w:val="2"/>
          <w:sz w:val="28"/>
          <w:szCs w:val="28"/>
          <w:highlight w:val="none"/>
          <w:lang w:val="en-GB" w:eastAsia="zh-CN" w:bidi="ar-SA"/>
        </w:rPr>
        <w:t>等资料由委托方提供，现场估价人员已进行核对确认，为保证本报告所使用评估数据的准确性、有效性，委托方需要对所提供资料的真实性负责；估价机构对所收集</w:t>
      </w:r>
      <w:r>
        <w:rPr>
          <w:rFonts w:hint="eastAsia" w:ascii="仿宋_GB2312" w:hAnsi="仿宋_GB2312" w:eastAsia="仿宋_GB2312" w:cs="仿宋_GB2312"/>
          <w:bCs/>
          <w:snapToGrid w:val="0"/>
          <w:color w:val="auto"/>
          <w:kern w:val="0"/>
          <w:sz w:val="28"/>
          <w:szCs w:val="28"/>
          <w:highlight w:val="none"/>
          <w:lang w:val="en-GB" w:eastAsia="zh-CN" w:bidi="ar-SA"/>
        </w:rPr>
        <w:t>资料的真实性、准确性负责</w:t>
      </w:r>
      <w:r>
        <w:rPr>
          <w:rFonts w:hint="eastAsia" w:ascii="仿宋_GB2312" w:hAnsi="仿宋_GB2312" w:eastAsia="仿宋_GB2312" w:cs="仿宋_GB2312"/>
          <w:b w:val="0"/>
          <w:bCs w:val="0"/>
          <w:snapToGrid w:val="0"/>
          <w:color w:val="000000" w:themeColor="text1"/>
          <w:kern w:val="0"/>
          <w:sz w:val="28"/>
          <w:szCs w:val="28"/>
          <w:highlight w:val="none"/>
          <w:lang w:val="en-US" w:eastAsia="zh-CN"/>
          <w14:textFill>
            <w14:solidFill>
              <w14:schemeClr w14:val="tx1"/>
            </w14:solidFill>
          </w14:textFill>
        </w:rPr>
        <w:t>。</w:t>
      </w:r>
    </w:p>
    <w:p w14:paraId="16CFC88F">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snapToGrid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385138B2">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28"/>
          <w:szCs w:val="28"/>
          <w:highlight w:val="none"/>
          <w:lang w:val="en-US" w:eastAsia="zh-CN"/>
          <w14:textFill>
            <w14:solidFill>
              <w14:schemeClr w14:val="tx1"/>
            </w14:solidFill>
          </w14:textFill>
        </w:rPr>
        <w:t>（3）区域经济发展状况、统计数据、城市规划资料、基准地价资料、估价中的相关参数资料等由湖南兆财不动产规划评估有限公司土地估价师通过查阅政府部门相关文件及公开</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媒体资讯等途径获取。</w:t>
      </w:r>
    </w:p>
    <w:p w14:paraId="0E19C4D2">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（4）湖南兆财不动产规划评估有限公司土地估价师结合执业经验，对上述相关评估资料的真实性、合法性、有效性、适用性进行了尽职核实和专业判断。</w:t>
      </w:r>
    </w:p>
    <w:p w14:paraId="74AE0F40">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320980A6">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2.对估价结果和估价工作可能影响的变化事项</w:t>
      </w:r>
    </w:p>
    <w:p w14:paraId="6B951E5F">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727B377">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5A874788">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20E4CAEF">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3.估价对象的特殊性、估价中未考虑的因素及采取的特殊处理</w:t>
      </w:r>
    </w:p>
    <w:p w14:paraId="589C874E">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（1）估价对象的特殊性及采取的特殊性处理</w:t>
      </w:r>
    </w:p>
    <w:p w14:paraId="39F5E605">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①</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道县城镇基准地价的颁布实施时间为2019年11月22日，</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基准地价基准日为2019年5月1日，</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批准文号为道政函〔2019〕85号,文件名称为《关于更新城区基准地价和制订11个建制镇基准地价的通告》（道政函〔2019〕85号，2019年11月22日），批准机关为道县人民政府，估价期日为2026年6月1日，距估价期日超过</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七</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    </w:t>
      </w:r>
    </w:p>
    <w:p w14:paraId="6358924A">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w:t>
      </w:r>
    </w:p>
    <w:p w14:paraId="24A036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故本次评估只能选择成本逼近法作为评估方法之一。</w:t>
      </w:r>
    </w:p>
    <w:p w14:paraId="254CA712">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②根据《不动产“登记难”问题专题会议纪要》（道县集中化解工作领导小组办公室，2026年3月11日），估价对象于1996年7月已办商住用地批准书，土地使用人何双珠、用地面积50m</w:t>
      </w:r>
      <w:r>
        <w:rPr>
          <w:rFonts w:hint="eastAsia" w:ascii="仿宋_GB2312" w:hAnsi="仿宋_GB2312" w:eastAsia="仿宋_GB2312" w:cs="仿宋_GB2312"/>
          <w:b w:val="0"/>
          <w:bCs w:val="0"/>
          <w:color w:val="000000" w:themeColor="text1"/>
          <w:sz w:val="28"/>
          <w:szCs w:val="28"/>
          <w:highlight w:val="none"/>
          <w:vertAlign w:val="superscript"/>
          <w:lang w:val="en-US" w:eastAsia="zh-CN"/>
          <w14:textFill>
            <w14:solidFill>
              <w14:schemeClr w14:val="tx1"/>
            </w14:solidFill>
          </w14:textFill>
        </w:rPr>
        <w:t>2</w:t>
      </w:r>
      <w:r>
        <w:rPr>
          <w:rFonts w:hint="eastAsia" w:ascii="仿宋_GB2312" w:hAnsi="仿宋_GB2312" w:eastAsia="仿宋_GB2312" w:cs="仿宋_GB2312"/>
          <w:b w:val="0"/>
          <w:bCs w:val="0"/>
          <w:color w:val="000000" w:themeColor="text1"/>
          <w:sz w:val="28"/>
          <w:szCs w:val="28"/>
          <w:highlight w:val="none"/>
          <w:vertAlign w:val="baseline"/>
          <w:lang w:val="en-US" w:eastAsia="zh-CN"/>
          <w14:textFill>
            <w14:solidFill>
              <w14:schemeClr w14:val="tx1"/>
            </w14:solidFill>
          </w14:textFill>
        </w:rPr>
        <w:t>，有《房屋所有权证存根》（道县房权证道江镇字第000027号），登记房屋所有权人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何双朱、3层、建筑面积172.05m</w:t>
      </w:r>
      <w:r>
        <w:rPr>
          <w:rFonts w:hint="eastAsia" w:ascii="仿宋_GB2312" w:hAnsi="仿宋_GB2312" w:eastAsia="仿宋_GB2312" w:cs="仿宋_GB2312"/>
          <w:b w:val="0"/>
          <w:bCs w:val="0"/>
          <w:color w:val="000000" w:themeColor="text1"/>
          <w:sz w:val="28"/>
          <w:szCs w:val="28"/>
          <w:highlight w:val="none"/>
          <w:vertAlign w:val="superscript"/>
          <w:lang w:val="en-US" w:eastAsia="zh-CN"/>
          <w14:textFill>
            <w14:solidFill>
              <w14:schemeClr w14:val="tx1"/>
            </w14:solidFill>
          </w14:textFill>
        </w:rPr>
        <w:t>2</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该房屋由何双珠之子唐槐宇名义在2003年4月出售给欧日计，2003年4月28日办理《房屋所有权证存根》（道县房权证道江镇00008864号），登记房屋所有权人为欧日计。至估价期日，估价对象房产已转移登记过户，用地手续不完善末过户。未交土地出让金，未签订土地出让合同及办理土地初始登记。因此本次设定估价对象为国有储备土地，拟以出让方式确定土地使用权人。</w:t>
      </w:r>
    </w:p>
    <w:p w14:paraId="5A856F1A">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（2）估价中未考虑的因素</w:t>
      </w:r>
    </w:p>
    <w:p w14:paraId="4D8EAFF6">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本次估价结果是反映评估宗地在本次估价目的下的公开市场价格水平，估价时没有考虑未来国家宏观经济政策发生变化、市场供应变化、市场结构转变、遇有自然力和其他不可抗力等因素对土地使用权价值的影响，也没有考虑特殊交易方式下的特殊交易价格等对评估价值的影响。当上述条件发生变化时，评估结果应做相应调整。</w:t>
      </w:r>
    </w:p>
    <w:p w14:paraId="34AF1E18">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5、其他需要特殊说明的事项</w:t>
      </w:r>
    </w:p>
    <w:p w14:paraId="009B3905">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（1）土地使用权价格权利设定：根据评估目的，此次评估价格是在设定宗地无任何他项权利存在情况下的正常出让土地使用权价格。</w:t>
      </w:r>
    </w:p>
    <w:p w14:paraId="09663546">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33C08FCB">
      <w:pPr>
        <w:keepNext w:val="0"/>
        <w:keepLines w:val="0"/>
        <w:pageBreakBefore w:val="0"/>
        <w:widowControl w:val="0"/>
        <w:kinsoku/>
        <w:wordWrap/>
        <w:overflowPunct w:val="0"/>
        <w:topLinePunct w:val="0"/>
        <w:autoSpaceDE w:val="0"/>
        <w:autoSpaceDN w:val="0"/>
        <w:bidi w:val="0"/>
        <w:adjustRightInd w:val="0"/>
        <w:snapToGrid w:val="0"/>
        <w:spacing w:line="50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（3）本报告所示货币种类为人民币。</w:t>
      </w:r>
    </w:p>
    <w:p w14:paraId="69748AF0">
      <w:pPr>
        <w:keepLines w:val="0"/>
        <w:pageBreakBefore w:val="0"/>
        <w:widowControl w:val="0"/>
        <w:kinsoku/>
        <w:wordWrap/>
        <w:topLinePunct w:val="0"/>
        <w:bidi w:val="0"/>
        <w:spacing w:line="500" w:lineRule="exact"/>
        <w:textAlignment w:val="auto"/>
        <w:rPr>
          <w:rFonts w:hint="default" w:ascii="仿宋_GB2312" w:hAnsi="仿宋_GB2312" w:eastAsia="仿宋_GB2312" w:cs="仿宋_GB2312"/>
          <w:b w:val="0"/>
          <w:bCs w:val="0"/>
          <w:color w:val="auto"/>
          <w:kern w:val="2"/>
          <w:sz w:val="28"/>
          <w:szCs w:val="28"/>
          <w:highlight w:val="none"/>
          <w:lang w:val="en-GB" w:eastAsia="zh-CN" w:bidi="ar-SA"/>
        </w:rPr>
      </w:pPr>
      <w:r>
        <w:rPr>
          <w:rFonts w:hint="default" w:ascii="仿宋_GB2312" w:hAnsi="仿宋_GB2312" w:eastAsia="仿宋_GB2312" w:cs="仿宋_GB2312"/>
          <w:b w:val="0"/>
          <w:bCs w:val="0"/>
          <w:color w:val="auto"/>
          <w:kern w:val="2"/>
          <w:sz w:val="28"/>
          <w:szCs w:val="28"/>
          <w:highlight w:val="none"/>
          <w:lang w:val="en-GB" w:eastAsia="zh-CN" w:bidi="ar-SA"/>
        </w:rPr>
        <w:br w:type="page"/>
      </w:r>
    </w:p>
    <w:p w14:paraId="62EC9FBA">
      <w:pPr>
        <w:ind w:firstLine="562" w:firstLineChars="200"/>
        <w:outlineLvl w:val="1"/>
        <w:rPr>
          <w:rFonts w:hint="default" w:ascii="仿宋_GB2312" w:hAnsi="仿宋_GB2312" w:eastAsia="仿宋_GB2312" w:cs="仿宋_GB2312"/>
          <w:b/>
          <w:bCs/>
          <w:color w:val="auto"/>
          <w:kern w:val="2"/>
          <w:sz w:val="28"/>
          <w:szCs w:val="28"/>
          <w:highlight w:val="none"/>
          <w:lang w:val="en-GB" w:eastAsia="zh-CN" w:bidi="ar-SA"/>
        </w:rPr>
      </w:pPr>
      <w:bookmarkStart w:id="59" w:name="_Toc7768"/>
      <w:r>
        <w:rPr>
          <w:rFonts w:hint="default" w:ascii="仿宋_GB2312" w:hAnsi="仿宋_GB2312" w:eastAsia="仿宋_GB2312" w:cs="仿宋_GB2312"/>
          <w:b/>
          <w:bCs/>
          <w:color w:val="auto"/>
          <w:kern w:val="2"/>
          <w:sz w:val="28"/>
          <w:szCs w:val="28"/>
          <w:highlight w:val="none"/>
          <w:lang w:val="en-GB" w:eastAsia="zh-CN" w:bidi="ar-SA"/>
        </w:rPr>
        <w:t>十一、土地估价师签字</w:t>
      </w:r>
      <w:bookmarkEnd w:id="57"/>
      <w:bookmarkEnd w:id="58"/>
      <w:bookmarkEnd w:id="59"/>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9965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1641" w:type="pct"/>
            <w:tcBorders>
              <w:tl2br w:val="nil"/>
              <w:tr2bl w:val="nil"/>
            </w:tcBorders>
            <w:vAlign w:val="center"/>
          </w:tcPr>
          <w:p w14:paraId="71109A33">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b w:val="0"/>
                <w:bCs w:val="0"/>
                <w:sz w:val="28"/>
                <w:szCs w:val="18"/>
                <w:highlight w:val="none"/>
              </w:rPr>
            </w:pPr>
            <w:r>
              <w:rPr>
                <w:rFonts w:hint="eastAsia" w:ascii="仿宋_GB2312" w:hAnsi="仿宋_GB2312" w:eastAsia="仿宋_GB2312" w:cs="仿宋_GB2312"/>
                <w:b w:val="0"/>
                <w:bCs w:val="0"/>
                <w:sz w:val="28"/>
                <w:szCs w:val="18"/>
                <w:highlight w:val="none"/>
              </w:rPr>
              <w:t>估价师姓名</w:t>
            </w:r>
          </w:p>
        </w:tc>
        <w:tc>
          <w:tcPr>
            <w:tcW w:w="1716" w:type="pct"/>
            <w:tcBorders>
              <w:tl2br w:val="nil"/>
              <w:tr2bl w:val="nil"/>
            </w:tcBorders>
            <w:vAlign w:val="center"/>
          </w:tcPr>
          <w:p w14:paraId="152C403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b w:val="0"/>
                <w:bCs w:val="0"/>
                <w:sz w:val="28"/>
                <w:szCs w:val="18"/>
                <w:highlight w:val="none"/>
              </w:rPr>
            </w:pPr>
            <w:r>
              <w:rPr>
                <w:rFonts w:hint="eastAsia" w:ascii="仿宋_GB2312" w:hAnsi="仿宋_GB2312" w:eastAsia="仿宋_GB2312" w:cs="仿宋_GB2312"/>
                <w:b w:val="0"/>
                <w:bCs w:val="0"/>
                <w:sz w:val="28"/>
                <w:szCs w:val="18"/>
                <w:highlight w:val="none"/>
              </w:rPr>
              <w:t>土地估价师资格证号</w:t>
            </w:r>
          </w:p>
        </w:tc>
        <w:tc>
          <w:tcPr>
            <w:tcW w:w="1642" w:type="pct"/>
            <w:tcBorders>
              <w:tl2br w:val="nil"/>
              <w:tr2bl w:val="nil"/>
            </w:tcBorders>
            <w:vAlign w:val="center"/>
          </w:tcPr>
          <w:p w14:paraId="765A3CED">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b w:val="0"/>
                <w:bCs w:val="0"/>
                <w:sz w:val="28"/>
                <w:szCs w:val="18"/>
                <w:highlight w:val="none"/>
              </w:rPr>
            </w:pPr>
            <w:r>
              <w:rPr>
                <w:rFonts w:hint="eastAsia" w:ascii="仿宋_GB2312" w:hAnsi="仿宋_GB2312" w:eastAsia="仿宋_GB2312" w:cs="仿宋_GB2312"/>
                <w:b w:val="0"/>
                <w:bCs w:val="0"/>
                <w:sz w:val="28"/>
                <w:szCs w:val="18"/>
                <w:highlight w:val="none"/>
              </w:rPr>
              <w:t>签    字</w:t>
            </w:r>
          </w:p>
        </w:tc>
      </w:tr>
      <w:tr w14:paraId="6D362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1641" w:type="pct"/>
            <w:tcBorders>
              <w:tl2br w:val="nil"/>
              <w:tr2bl w:val="nil"/>
            </w:tcBorders>
            <w:vAlign w:val="center"/>
          </w:tcPr>
          <w:p w14:paraId="2B36C455">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b w:val="0"/>
                <w:bCs w:val="0"/>
                <w:sz w:val="28"/>
                <w:szCs w:val="18"/>
                <w:highlight w:val="none"/>
                <w:lang w:val="en-US" w:eastAsia="zh-CN"/>
              </w:rPr>
            </w:pPr>
            <w:r>
              <w:rPr>
                <w:rFonts w:hint="eastAsia" w:ascii="仿宋_GB2312" w:hAnsi="仿宋_GB2312" w:eastAsia="仿宋_GB2312" w:cs="仿宋_GB2312"/>
                <w:b w:val="0"/>
                <w:bCs w:val="0"/>
                <w:sz w:val="28"/>
                <w:szCs w:val="18"/>
                <w:highlight w:val="none"/>
                <w:lang w:val="en-US" w:eastAsia="zh-CN"/>
              </w:rPr>
              <w:t>谢良元</w:t>
            </w:r>
          </w:p>
        </w:tc>
        <w:tc>
          <w:tcPr>
            <w:tcW w:w="1716" w:type="pct"/>
            <w:tcBorders>
              <w:tl2br w:val="nil"/>
              <w:tr2bl w:val="nil"/>
            </w:tcBorders>
            <w:vAlign w:val="center"/>
          </w:tcPr>
          <w:p w14:paraId="3A782436">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b w:val="0"/>
                <w:bCs w:val="0"/>
                <w:sz w:val="28"/>
                <w:szCs w:val="18"/>
                <w:highlight w:val="none"/>
                <w:lang w:eastAsia="zh-CN"/>
              </w:rPr>
            </w:pPr>
            <w:r>
              <w:rPr>
                <w:rFonts w:hint="eastAsia" w:ascii="仿宋_GB2312" w:hAnsi="仿宋_GB2312" w:eastAsia="仿宋_GB2312" w:cs="仿宋_GB2312"/>
                <w:b w:val="0"/>
                <w:bCs w:val="0"/>
                <w:sz w:val="28"/>
                <w:szCs w:val="18"/>
                <w:highlight w:val="none"/>
                <w:lang w:val="en-US" w:eastAsia="zh-CN"/>
              </w:rPr>
              <w:t>2019430003</w:t>
            </w:r>
          </w:p>
        </w:tc>
        <w:tc>
          <w:tcPr>
            <w:tcW w:w="1642" w:type="pct"/>
            <w:tcBorders>
              <w:tl2br w:val="nil"/>
              <w:tr2bl w:val="nil"/>
            </w:tcBorders>
          </w:tcPr>
          <w:p w14:paraId="5F8335E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b w:val="0"/>
                <w:bCs w:val="0"/>
                <w:sz w:val="28"/>
                <w:szCs w:val="18"/>
                <w:highlight w:val="none"/>
              </w:rPr>
            </w:pPr>
          </w:p>
        </w:tc>
      </w:tr>
      <w:tr w14:paraId="58152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1641" w:type="pct"/>
            <w:tcBorders>
              <w:tl2br w:val="nil"/>
              <w:tr2bl w:val="nil"/>
            </w:tcBorders>
            <w:vAlign w:val="center"/>
          </w:tcPr>
          <w:p w14:paraId="6B4F9B5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b w:val="0"/>
                <w:bCs w:val="0"/>
                <w:sz w:val="28"/>
                <w:szCs w:val="18"/>
                <w:highlight w:val="none"/>
                <w:lang w:val="en-US" w:eastAsia="zh-CN"/>
              </w:rPr>
            </w:pPr>
            <w:r>
              <w:rPr>
                <w:rFonts w:hint="eastAsia" w:ascii="仿宋_GB2312" w:hAnsi="仿宋_GB2312" w:eastAsia="仿宋_GB2312" w:cs="仿宋_GB2312"/>
                <w:b w:val="0"/>
                <w:bCs w:val="0"/>
                <w:sz w:val="28"/>
                <w:szCs w:val="18"/>
                <w:highlight w:val="none"/>
                <w:lang w:val="en-US" w:eastAsia="zh-CN"/>
              </w:rPr>
              <w:t>彭翀</w:t>
            </w:r>
          </w:p>
        </w:tc>
        <w:tc>
          <w:tcPr>
            <w:tcW w:w="1716" w:type="pct"/>
            <w:tcBorders>
              <w:tl2br w:val="nil"/>
              <w:tr2bl w:val="nil"/>
            </w:tcBorders>
            <w:vAlign w:val="center"/>
          </w:tcPr>
          <w:p w14:paraId="75570887">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b w:val="0"/>
                <w:bCs w:val="0"/>
                <w:sz w:val="28"/>
                <w:szCs w:val="18"/>
                <w:highlight w:val="none"/>
                <w:lang w:eastAsia="zh-CN"/>
              </w:rPr>
            </w:pPr>
            <w:r>
              <w:rPr>
                <w:rFonts w:hint="eastAsia" w:ascii="仿宋_GB2312" w:hAnsi="仿宋_GB2312" w:eastAsia="仿宋_GB2312" w:cs="仿宋_GB2312"/>
                <w:b w:val="0"/>
                <w:bCs w:val="0"/>
                <w:sz w:val="28"/>
                <w:szCs w:val="18"/>
                <w:highlight w:val="none"/>
                <w:lang w:val="en-US" w:eastAsia="zh-CN"/>
              </w:rPr>
              <w:t>2004450008</w:t>
            </w:r>
          </w:p>
        </w:tc>
        <w:tc>
          <w:tcPr>
            <w:tcW w:w="1642" w:type="pct"/>
            <w:tcBorders>
              <w:tl2br w:val="nil"/>
              <w:tr2bl w:val="nil"/>
            </w:tcBorders>
          </w:tcPr>
          <w:p w14:paraId="1D92584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b w:val="0"/>
                <w:bCs w:val="0"/>
                <w:sz w:val="28"/>
                <w:szCs w:val="18"/>
                <w:highlight w:val="none"/>
              </w:rPr>
            </w:pPr>
          </w:p>
        </w:tc>
      </w:tr>
    </w:tbl>
    <w:p w14:paraId="0FB7E2C3">
      <w:pPr>
        <w:keepLines w:val="0"/>
        <w:pageBreakBefore w:val="0"/>
        <w:widowControl w:val="0"/>
        <w:kinsoku/>
        <w:wordWrap/>
        <w:overflowPunct/>
        <w:topLinePunct w:val="0"/>
        <w:autoSpaceDE/>
        <w:autoSpaceDN/>
        <w:bidi w:val="0"/>
        <w:spacing w:line="480" w:lineRule="exact"/>
        <w:ind w:right="0" w:firstLine="562" w:firstLineChars="200"/>
        <w:textAlignment w:val="auto"/>
        <w:outlineLvl w:val="1"/>
        <w:rPr>
          <w:rFonts w:hint="eastAsia" w:ascii="仿宋_GB2312" w:hAnsi="仿宋_GB2312" w:eastAsia="仿宋_GB2312" w:cs="仿宋_GB2312"/>
          <w:b w:val="0"/>
          <w:bCs w:val="0"/>
          <w:color w:val="auto"/>
          <w:kern w:val="2"/>
          <w:sz w:val="28"/>
          <w:szCs w:val="28"/>
          <w:highlight w:val="none"/>
          <w:lang w:val="en-GB" w:eastAsia="zh-CN" w:bidi="ar-SA"/>
        </w:rPr>
      </w:pPr>
      <w:bookmarkStart w:id="60" w:name="_Toc9299"/>
      <w:bookmarkStart w:id="61" w:name="_Toc5315"/>
      <w:bookmarkStart w:id="62" w:name="_Toc10447"/>
      <w:r>
        <w:rPr>
          <w:rFonts w:hint="eastAsia" w:ascii="仿宋_GB2312" w:hAnsi="仿宋_GB2312" w:eastAsia="仿宋_GB2312" w:cs="仿宋_GB2312"/>
          <w:b/>
          <w:bCs/>
          <w:color w:val="auto"/>
          <w:kern w:val="2"/>
          <w:sz w:val="28"/>
          <w:szCs w:val="28"/>
          <w:highlight w:val="none"/>
          <w:lang w:val="en-GB" w:eastAsia="zh-CN" w:bidi="ar-SA"/>
        </w:rPr>
        <w:t>十二、土地估价机构</w:t>
      </w:r>
      <w:bookmarkEnd w:id="60"/>
      <w:bookmarkEnd w:id="61"/>
      <w:bookmarkEnd w:id="62"/>
      <w:r>
        <w:rPr>
          <w:rFonts w:hint="eastAsia" w:ascii="仿宋_GB2312" w:hAnsi="仿宋_GB2312" w:eastAsia="仿宋_GB2312" w:cs="仿宋_GB2312"/>
          <w:b/>
          <w:bCs/>
          <w:color w:val="auto"/>
          <w:kern w:val="2"/>
          <w:sz w:val="28"/>
          <w:szCs w:val="28"/>
          <w:highlight w:val="none"/>
          <w:lang w:val="en-GB" w:eastAsia="zh-CN" w:bidi="ar-SA"/>
        </w:rPr>
        <w:t xml:space="preserve">  </w:t>
      </w:r>
      <w:r>
        <w:rPr>
          <w:rFonts w:hint="eastAsia" w:ascii="仿宋_GB2312" w:hAnsi="仿宋_GB2312" w:eastAsia="仿宋_GB2312" w:cs="仿宋_GB2312"/>
          <w:b w:val="0"/>
          <w:bCs w:val="0"/>
          <w:color w:val="auto"/>
          <w:kern w:val="2"/>
          <w:sz w:val="28"/>
          <w:szCs w:val="28"/>
          <w:highlight w:val="none"/>
          <w:lang w:val="en-GB" w:eastAsia="zh-CN" w:bidi="ar-SA"/>
        </w:rPr>
        <w:t xml:space="preserve">              </w:t>
      </w:r>
    </w:p>
    <w:p w14:paraId="2B1703A5">
      <w:pPr>
        <w:keepLines w:val="0"/>
        <w:pageBreakBefore w:val="0"/>
        <w:widowControl w:val="0"/>
        <w:kinsoku/>
        <w:wordWrap/>
        <w:overflowPunct/>
        <w:topLinePunct w:val="0"/>
        <w:autoSpaceDE/>
        <w:autoSpaceDN/>
        <w:bidi w:val="0"/>
        <w:spacing w:line="480" w:lineRule="exact"/>
        <w:ind w:right="0"/>
        <w:textAlignment w:val="auto"/>
        <w:rPr>
          <w:rFonts w:hint="eastAsia" w:ascii="仿宋_GB2312" w:hAnsi="仿宋_GB2312" w:eastAsia="仿宋_GB2312" w:cs="仿宋_GB2312"/>
          <w:b w:val="0"/>
          <w:bCs w:val="0"/>
          <w:color w:val="auto"/>
          <w:kern w:val="2"/>
          <w:sz w:val="28"/>
          <w:szCs w:val="28"/>
          <w:highlight w:val="none"/>
          <w:lang w:val="en-GB" w:eastAsia="zh-CN" w:bidi="ar-SA"/>
        </w:rPr>
      </w:pPr>
      <w:r>
        <w:rPr>
          <w:rFonts w:hint="eastAsia" w:ascii="仿宋_GB2312" w:hAnsi="仿宋_GB2312" w:eastAsia="仿宋_GB2312" w:cs="仿宋_GB2312"/>
          <w:b w:val="0"/>
          <w:bCs w:val="0"/>
          <w:color w:val="auto"/>
          <w:kern w:val="2"/>
          <w:sz w:val="28"/>
          <w:szCs w:val="28"/>
          <w:highlight w:val="none"/>
          <w:lang w:val="en-GB" w:eastAsia="zh-CN" w:bidi="ar-SA"/>
        </w:rPr>
        <w:t xml:space="preserve"> </w:t>
      </w:r>
    </w:p>
    <w:p w14:paraId="086F5309">
      <w:pPr>
        <w:keepLines w:val="0"/>
        <w:pageBreakBefore w:val="0"/>
        <w:widowControl w:val="0"/>
        <w:kinsoku/>
        <w:wordWrap/>
        <w:overflowPunct/>
        <w:topLinePunct w:val="0"/>
        <w:autoSpaceDE/>
        <w:autoSpaceDN/>
        <w:bidi w:val="0"/>
        <w:spacing w:line="480" w:lineRule="exact"/>
        <w:ind w:right="0"/>
        <w:textAlignment w:val="auto"/>
        <w:rPr>
          <w:rFonts w:hint="eastAsia" w:ascii="仿宋_GB2312" w:hAnsi="仿宋_GB2312" w:eastAsia="仿宋_GB2312" w:cs="仿宋_GB2312"/>
          <w:b w:val="0"/>
          <w:bCs w:val="0"/>
          <w:color w:val="auto"/>
          <w:kern w:val="2"/>
          <w:sz w:val="28"/>
          <w:szCs w:val="28"/>
          <w:highlight w:val="none"/>
          <w:lang w:val="en-GB" w:eastAsia="zh-CN" w:bidi="ar-SA"/>
        </w:rPr>
      </w:pPr>
      <w:r>
        <w:rPr>
          <w:rFonts w:hint="eastAsia" w:ascii="仿宋_GB2312" w:hAnsi="仿宋_GB2312" w:eastAsia="仿宋_GB2312" w:cs="仿宋_GB2312"/>
          <w:b w:val="0"/>
          <w:bCs w:val="0"/>
          <w:color w:val="auto"/>
          <w:kern w:val="2"/>
          <w:sz w:val="28"/>
          <w:szCs w:val="28"/>
          <w:highlight w:val="none"/>
          <w:lang w:val="en-GB" w:eastAsia="zh-CN" w:bidi="ar-SA"/>
        </w:rPr>
        <w:t>估价机构法定代表人签字：</w:t>
      </w:r>
    </w:p>
    <w:p w14:paraId="56F9AF5E">
      <w:pPr>
        <w:keepLines w:val="0"/>
        <w:pageBreakBefore w:val="0"/>
        <w:widowControl w:val="0"/>
        <w:kinsoku/>
        <w:wordWrap/>
        <w:overflowPunct/>
        <w:topLinePunct w:val="0"/>
        <w:autoSpaceDE/>
        <w:autoSpaceDN/>
        <w:bidi w:val="0"/>
        <w:spacing w:line="480" w:lineRule="exact"/>
        <w:ind w:right="0"/>
        <w:textAlignment w:val="auto"/>
        <w:rPr>
          <w:rFonts w:hint="eastAsia" w:ascii="仿宋_GB2312" w:hAnsi="仿宋_GB2312" w:eastAsia="仿宋_GB2312" w:cs="仿宋_GB2312"/>
          <w:b w:val="0"/>
          <w:bCs w:val="0"/>
          <w:color w:val="auto"/>
          <w:kern w:val="2"/>
          <w:sz w:val="28"/>
          <w:szCs w:val="28"/>
          <w:highlight w:val="none"/>
          <w:lang w:val="en-GB" w:eastAsia="zh-CN" w:bidi="ar-SA"/>
        </w:rPr>
      </w:pPr>
    </w:p>
    <w:p w14:paraId="56FE67B4">
      <w:pPr>
        <w:pStyle w:val="13"/>
        <w:rPr>
          <w:rFonts w:hint="eastAsia" w:ascii="仿宋_GB2312" w:hAnsi="仿宋_GB2312" w:eastAsia="仿宋_GB2312" w:cs="仿宋_GB2312"/>
          <w:b w:val="0"/>
          <w:bCs w:val="0"/>
          <w:highlight w:val="none"/>
          <w:lang w:val="en-GB" w:eastAsia="zh-CN"/>
        </w:rPr>
      </w:pPr>
    </w:p>
    <w:p w14:paraId="305A06C9">
      <w:pPr>
        <w:keepNext w:val="0"/>
        <w:keepLines w:val="0"/>
        <w:pageBreakBefore w:val="0"/>
        <w:widowControl w:val="0"/>
        <w:kinsoku/>
        <w:wordWrap/>
        <w:overflowPunct/>
        <w:topLinePunct w:val="0"/>
        <w:autoSpaceDE/>
        <w:autoSpaceDN/>
        <w:bidi w:val="0"/>
        <w:adjustRightInd/>
        <w:snapToGrid/>
        <w:spacing w:line="480" w:lineRule="exact"/>
        <w:ind w:right="0"/>
        <w:jc w:val="right"/>
        <w:textAlignment w:val="auto"/>
        <w:rPr>
          <w:rFonts w:hint="eastAsia" w:ascii="仿宋_GB2312" w:hAnsi="仿宋_GB2312" w:eastAsia="仿宋_GB2312" w:cs="仿宋_GB2312"/>
          <w:b w:val="0"/>
          <w:bCs w:val="0"/>
          <w:color w:val="auto"/>
          <w:kern w:val="2"/>
          <w:sz w:val="28"/>
          <w:szCs w:val="28"/>
          <w:highlight w:val="none"/>
          <w:lang w:val="en-GB" w:eastAsia="zh-CN" w:bidi="ar-SA"/>
        </w:rPr>
      </w:pPr>
      <w:r>
        <w:rPr>
          <w:rFonts w:hint="eastAsia" w:ascii="仿宋_GB2312" w:hAnsi="仿宋_GB2312" w:eastAsia="仿宋_GB2312" w:cs="仿宋_GB2312"/>
          <w:b w:val="0"/>
          <w:bCs w:val="0"/>
          <w:color w:val="auto"/>
          <w:kern w:val="2"/>
          <w:sz w:val="28"/>
          <w:szCs w:val="28"/>
          <w:highlight w:val="none"/>
          <w:lang w:val="en-GB" w:eastAsia="zh-CN" w:bidi="ar-SA"/>
        </w:rPr>
        <w:t>湖南</w:t>
      </w:r>
      <w:r>
        <w:rPr>
          <w:rFonts w:hint="eastAsia" w:ascii="仿宋_GB2312" w:hAnsi="仿宋_GB2312" w:eastAsia="仿宋_GB2312" w:cs="仿宋_GB2312"/>
          <w:b w:val="0"/>
          <w:bCs w:val="0"/>
          <w:color w:val="auto"/>
          <w:kern w:val="2"/>
          <w:sz w:val="28"/>
          <w:szCs w:val="28"/>
          <w:highlight w:val="none"/>
          <w:lang w:val="en-US" w:eastAsia="zh-CN" w:bidi="ar-SA"/>
        </w:rPr>
        <w:t>兆财不动产规划评估有限</w:t>
      </w:r>
      <w:r>
        <w:rPr>
          <w:rFonts w:hint="eastAsia" w:ascii="仿宋_GB2312" w:hAnsi="仿宋_GB2312" w:eastAsia="仿宋_GB2312" w:cs="仿宋_GB2312"/>
          <w:b w:val="0"/>
          <w:bCs w:val="0"/>
          <w:color w:val="auto"/>
          <w:kern w:val="2"/>
          <w:sz w:val="28"/>
          <w:szCs w:val="28"/>
          <w:highlight w:val="none"/>
          <w:lang w:val="en-GB" w:eastAsia="zh-CN" w:bidi="ar-SA"/>
        </w:rPr>
        <w:t>公司</w:t>
      </w:r>
    </w:p>
    <w:p w14:paraId="6C36FAFD">
      <w:pPr>
        <w:keepNext w:val="0"/>
        <w:keepLines w:val="0"/>
        <w:pageBreakBefore w:val="0"/>
        <w:widowControl w:val="0"/>
        <w:kinsoku/>
        <w:wordWrap/>
        <w:overflowPunct/>
        <w:topLinePunct w:val="0"/>
        <w:autoSpaceDE/>
        <w:autoSpaceDN/>
        <w:bidi w:val="0"/>
        <w:adjustRightInd/>
        <w:snapToGrid/>
        <w:spacing w:line="480" w:lineRule="exact"/>
        <w:jc w:val="right"/>
        <w:textAlignment w:val="auto"/>
        <w:rPr>
          <w:rFonts w:hint="eastAsia" w:ascii="仿宋_GB2312" w:hAnsi="仿宋_GB2312" w:eastAsia="仿宋_GB2312" w:cs="仿宋_GB2312"/>
          <w:b w:val="0"/>
          <w:bCs w:val="0"/>
          <w:color w:val="auto"/>
          <w:kern w:val="2"/>
          <w:sz w:val="28"/>
          <w:szCs w:val="28"/>
          <w:highlight w:val="none"/>
          <w:lang w:val="en-GB" w:eastAsia="zh-CN" w:bidi="ar-SA"/>
        </w:rPr>
      </w:pPr>
      <w:r>
        <w:rPr>
          <w:rFonts w:hint="eastAsia" w:ascii="仿宋_GB2312" w:hAnsi="仿宋_GB2312" w:eastAsia="仿宋_GB2312" w:cs="仿宋_GB2312"/>
          <w:b w:val="0"/>
          <w:bCs w:val="0"/>
          <w:highlight w:val="none"/>
          <w:lang w:val="en-US" w:eastAsia="zh-CN"/>
        </w:rPr>
        <w:t xml:space="preserve"> </w:t>
      </w:r>
      <w:r>
        <w:rPr>
          <w:rFonts w:hint="eastAsia" w:ascii="仿宋_GB2312" w:hAnsi="仿宋_GB2312" w:eastAsia="仿宋_GB2312" w:cs="仿宋_GB2312"/>
          <w:highlight w:val="none"/>
          <w:lang w:val="en-US" w:eastAsia="zh-CN"/>
        </w:rPr>
        <w:t xml:space="preserve"> </w:t>
      </w:r>
      <w:r>
        <w:rPr>
          <w:rFonts w:hint="eastAsia" w:ascii="仿宋_GB2312" w:hAnsi="仿宋_GB2312" w:eastAsia="仿宋_GB2312" w:cs="仿宋_GB2312"/>
          <w:bCs/>
          <w:color w:val="auto"/>
          <w:kern w:val="2"/>
          <w:sz w:val="28"/>
          <w:szCs w:val="28"/>
          <w:highlight w:val="none"/>
          <w:lang w:val="en-US" w:eastAsia="zh-CN" w:bidi="ar-SA"/>
        </w:rPr>
        <w:t>二〇二六年六月五日</w:t>
      </w:r>
    </w:p>
    <w:p w14:paraId="44068CE2">
      <w:pPr>
        <w:pStyle w:val="2"/>
        <w:keepNext/>
        <w:keepLines w:val="0"/>
        <w:pageBreakBefore w:val="0"/>
        <w:widowControl w:val="0"/>
        <w:kinsoku/>
        <w:wordWrap/>
        <w:overflowPunct/>
        <w:topLinePunct w:val="0"/>
        <w:autoSpaceDE w:val="0"/>
        <w:autoSpaceDN w:val="0"/>
        <w:bidi w:val="0"/>
        <w:adjustRightInd w:val="0"/>
        <w:snapToGrid/>
        <w:spacing w:line="360" w:lineRule="auto"/>
        <w:ind w:right="-113" w:firstLine="0"/>
        <w:jc w:val="center"/>
        <w:textAlignment w:val="bottom"/>
        <w:rPr>
          <w:rFonts w:hint="default" w:ascii="Times New Roman" w:hAnsi="Times New Roman" w:eastAsia="仿宋" w:cs="Times New Roman"/>
          <w:b/>
          <w:bCs/>
          <w:sz w:val="28"/>
          <w:szCs w:val="28"/>
          <w:highlight w:val="none"/>
        </w:rPr>
      </w:pPr>
      <w:r>
        <w:rPr>
          <w:rFonts w:hint="default" w:ascii="Times New Roman" w:hAnsi="Times New Roman" w:eastAsia="仿宋_GB2312" w:cs="Times New Roman"/>
          <w:b w:val="0"/>
          <w:bCs w:val="0"/>
          <w:color w:val="FF0000"/>
          <w:szCs w:val="28"/>
          <w:highlight w:val="none"/>
        </w:rPr>
        <w:br w:type="page"/>
      </w:r>
      <w:bookmarkStart w:id="63" w:name="_Toc29542"/>
      <w:r>
        <w:rPr>
          <w:rFonts w:hint="eastAsia" w:asciiTheme="majorEastAsia" w:hAnsiTheme="majorEastAsia" w:eastAsiaTheme="majorEastAsia" w:cstheme="majorEastAsia"/>
          <w:b/>
          <w:bCs/>
          <w:sz w:val="32"/>
          <w:highlight w:val="none"/>
        </w:rPr>
        <w:t>第二部分  估价对象描述及地价影响因素分析</w:t>
      </w:r>
      <w:bookmarkEnd w:id="63"/>
    </w:p>
    <w:p w14:paraId="5DC51525">
      <w:pPr>
        <w:pStyle w:val="3"/>
        <w:keepLines w:val="0"/>
        <w:pageBreakBefore w:val="0"/>
        <w:widowControl w:val="0"/>
        <w:kinsoku/>
        <w:wordWrap/>
        <w:overflowPunct/>
        <w:topLinePunct w:val="0"/>
        <w:autoSpaceDE/>
        <w:autoSpaceDN/>
        <w:bidi w:val="0"/>
        <w:adjustRightInd w:val="0"/>
        <w:snapToGrid w:val="0"/>
        <w:spacing w:line="480" w:lineRule="exact"/>
        <w:ind w:left="0" w:firstLine="562" w:firstLineChars="200"/>
        <w:jc w:val="left"/>
        <w:textAlignment w:val="auto"/>
        <w:rPr>
          <w:rFonts w:hint="eastAsia" w:ascii="仿宋_GB2312" w:hAnsi="仿宋_GB2312" w:eastAsia="仿宋_GB2312" w:cs="仿宋_GB2312"/>
          <w:b/>
          <w:bCs/>
          <w:sz w:val="28"/>
          <w:szCs w:val="28"/>
          <w:highlight w:val="none"/>
        </w:rPr>
      </w:pPr>
      <w:bookmarkStart w:id="64" w:name="_Toc5791"/>
      <w:r>
        <w:rPr>
          <w:rFonts w:hint="eastAsia" w:ascii="仿宋_GB2312" w:hAnsi="仿宋_GB2312" w:eastAsia="仿宋_GB2312" w:cs="仿宋_GB2312"/>
          <w:b/>
          <w:bCs/>
          <w:sz w:val="28"/>
          <w:szCs w:val="28"/>
          <w:highlight w:val="none"/>
        </w:rPr>
        <w:t>一、估价对象描述</w:t>
      </w:r>
      <w:bookmarkEnd w:id="64"/>
    </w:p>
    <w:p w14:paraId="570DBC4D">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3"/>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GB" w:eastAsia="zh-CN"/>
          <w14:textFill>
            <w14:solidFill>
              <w14:schemeClr w14:val="tx1"/>
            </w14:solidFill>
          </w14:textFill>
        </w:rPr>
        <w:t>（一）土地登记状况</w:t>
      </w:r>
    </w:p>
    <w:p w14:paraId="7B57B6E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土地权利类型：国有建设用地土地使用权；</w:t>
      </w:r>
    </w:p>
    <w:p w14:paraId="4CA481E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.土地权利性质：</w:t>
      </w:r>
      <w:r>
        <w:rPr>
          <w:rFonts w:hint="eastAsia" w:ascii="仿宋_GB2312" w:hAnsi="仿宋_GB2312" w:eastAsia="仿宋_GB2312" w:cs="仿宋_GB2312"/>
          <w:bCs/>
          <w:sz w:val="28"/>
          <w:szCs w:val="28"/>
          <w:lang w:val="en-GB" w:eastAsia="zh-CN"/>
        </w:rPr>
        <w:t>国有储备用地，现拟办理出让手续</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0906A72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.权属来源及权属变更情况：</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估价对象原为国有存量土地，根据</w:t>
      </w:r>
    </w:p>
    <w:p w14:paraId="6F2CEEE2">
      <w:pPr>
        <w:keepNext w:val="0"/>
        <w:keepLines w:val="0"/>
        <w:pageBreakBefore w:val="0"/>
        <w:widowControl w:val="0"/>
        <w:kinsoku/>
        <w:wordWrap/>
        <w:overflowPunct/>
        <w:topLinePunct w:val="0"/>
        <w:autoSpaceDE/>
        <w:autoSpaceDN/>
        <w:bidi w:val="0"/>
        <w:adjustRightInd w:val="0"/>
        <w:snapToGrid w:val="0"/>
        <w:spacing w:line="480" w:lineRule="exact"/>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集中化解房地产办证信访突出问题工作领导小组办公室出具的《不动产“登记难”问题专题会议纪要》（道县集中化解工作领导小组办公室，2026年3月11日），估价对象于估价期日未交土地出让金，未签订土地出让合同。</w:t>
      </w:r>
      <w:r>
        <w:rPr>
          <w:rFonts w:hint="eastAsia" w:ascii="仿宋_GB2312" w:hAnsi="仿宋_GB2312" w:eastAsia="仿宋_GB2312" w:cs="仿宋_GB2312"/>
          <w:bCs/>
          <w:color w:val="auto"/>
          <w:kern w:val="2"/>
          <w:sz w:val="28"/>
          <w:szCs w:val="28"/>
          <w:highlight w:val="none"/>
          <w:lang w:val="en-US" w:eastAsia="zh-CN" w:bidi="ar-SA"/>
        </w:rPr>
        <w:t>现委托方拟对估价对象按现状利用条件办理土地出让手续，并以出让方式确定土地使用者。估价对象于估价期日暂未办理土地登记</w:t>
      </w:r>
      <w:r>
        <w:rPr>
          <w:rFonts w:hint="eastAsia" w:ascii="仿宋_GB2312" w:hAnsi="仿宋_GB2312" w:eastAsia="仿宋_GB2312" w:cs="仿宋_GB2312"/>
          <w:bCs/>
          <w:color w:val="auto"/>
          <w:kern w:val="2"/>
          <w:sz w:val="28"/>
          <w:szCs w:val="28"/>
          <w:highlight w:val="none"/>
          <w:lang w:val="en-GB" w:eastAsia="zh-CN" w:bidi="ar-SA"/>
        </w:rPr>
        <w:t>。</w:t>
      </w:r>
    </w:p>
    <w:p w14:paraId="186E0F4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auto"/>
          <w:sz w:val="28"/>
          <w:szCs w:val="28"/>
          <w:highlight w:val="none"/>
          <w:lang w:val="en-US" w:eastAsia="zh-CN"/>
        </w:rPr>
        <w:t>4</w:t>
      </w:r>
      <w:r>
        <w:rPr>
          <w:rFonts w:hint="eastAsia" w:ascii="仿宋_GB2312" w:hAnsi="仿宋_GB2312" w:eastAsia="仿宋_GB2312" w:cs="仿宋_GB2312"/>
          <w:b w:val="0"/>
          <w:bCs w:val="0"/>
          <w:color w:val="auto"/>
          <w:sz w:val="28"/>
          <w:szCs w:val="28"/>
          <w:highlight w:val="none"/>
          <w:lang w:val="en-GB" w:eastAsia="zh-CN"/>
        </w:rPr>
        <w:t>.地理位置</w:t>
      </w:r>
      <w:r>
        <w:rPr>
          <w:rFonts w:hint="eastAsia" w:ascii="仿宋_GB2312" w:hAnsi="仿宋_GB2312" w:eastAsia="仿宋_GB2312" w:cs="仿宋_GB2312"/>
          <w:b w:val="0"/>
          <w:bCs w:val="0"/>
          <w:color w:val="auto"/>
          <w:sz w:val="28"/>
          <w:szCs w:val="28"/>
          <w:highlight w:val="none"/>
          <w:lang w:val="en-US" w:eastAsia="zh-CN"/>
        </w:rPr>
        <w:t>及坐落</w:t>
      </w:r>
      <w:r>
        <w:rPr>
          <w:rFonts w:hint="eastAsia" w:ascii="仿宋_GB2312" w:hAnsi="仿宋_GB2312" w:eastAsia="仿宋_GB2312" w:cs="仿宋_GB2312"/>
          <w:b w:val="0"/>
          <w:bCs w:val="0"/>
          <w:color w:val="auto"/>
          <w:sz w:val="28"/>
          <w:szCs w:val="28"/>
          <w:highlight w:val="none"/>
          <w:lang w:val="en-GB" w:eastAsia="zh-CN"/>
        </w:rPr>
        <w:t>：</w:t>
      </w:r>
      <w:r>
        <w:rPr>
          <w:rFonts w:hint="eastAsia" w:ascii="仿宋_GB2312" w:hAnsi="仿宋_GB2312" w:eastAsia="仿宋_GB2312" w:cs="仿宋_GB2312"/>
          <w:b w:val="0"/>
          <w:bCs w:val="0"/>
          <w:color w:val="auto"/>
          <w:sz w:val="28"/>
          <w:szCs w:val="28"/>
          <w:highlight w:val="none"/>
          <w:lang w:val="en-US" w:eastAsia="zh-CN"/>
        </w:rPr>
        <w:t>道县西洲街道宝珍街六栋九号</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65BC635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.土地用途：根据</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现场勘查，估价对象现状地上建设有4层住宅建筑，根据《不动产测绘报告书》</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估价对象整栋为住宅，建筑面积205.45平方米。</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根据《评估委托书》，结合《土地利用现状分类》（GB/T 21010-2017），</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本次设定</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土地用途为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69B19CD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.宗地四至：东临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道县第九小学</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巷道</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，西临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，北临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宝珍街</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75FC80D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.使用权面积：根据《评估委托书》</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和《宗地图》</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，宗地面积</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50平方米</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016B67C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级别：道县城镇基准地价的颁布实施时间为2019年11月22日，批准文号为道政函〔2019〕85号,文件名称为《关于更新城区基准地价和制订11个建制镇基准地价的通告》（道政函〔2019〕85号，2019年11月22日），批准机关为道县人民政府，估价期日为2026年6月1日，距估价期日超过六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故暂无土地级别信息</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4290081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 w:val="0"/>
          <w:bCs w:val="0"/>
          <w:color w:val="auto"/>
          <w:kern w:val="0"/>
          <w:sz w:val="28"/>
          <w:szCs w:val="28"/>
          <w:highlight w:val="none"/>
          <w:lang w:val="en-US" w:eastAsia="zh-CN"/>
        </w:rPr>
        <w:t>根据《评估委托书》，估价对象拟出让土地使用年期为住宅用地70年，本次评估根据《评估委托书》约定和估价目的，设定土地使用权年限为住宅用地70年</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68F9C4D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10.权利证书</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登记</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号：</w:t>
      </w:r>
      <w:r>
        <w:rPr>
          <w:rFonts w:hint="eastAsia" w:ascii="仿宋_GB2312" w:hAnsi="仿宋_GB2312" w:eastAsia="仿宋_GB2312" w:cs="仿宋_GB2312"/>
          <w:bCs/>
          <w:color w:val="auto"/>
          <w:kern w:val="2"/>
          <w:sz w:val="28"/>
          <w:szCs w:val="28"/>
          <w:highlight w:val="none"/>
          <w:lang w:val="en-US" w:eastAsia="zh-CN" w:bidi="ar-SA"/>
        </w:rPr>
        <w:t>/</w:t>
      </w:r>
      <w:r>
        <w:rPr>
          <w:rFonts w:hint="eastAsia" w:ascii="仿宋_GB2312" w:hAnsi="仿宋_GB2312" w:eastAsia="仿宋_GB2312" w:cs="仿宋_GB2312"/>
          <w:b w:val="0"/>
          <w:bCs w:val="0"/>
          <w:color w:val="auto"/>
          <w:sz w:val="28"/>
          <w:szCs w:val="28"/>
          <w:highlight w:val="none"/>
          <w:lang w:val="en-GB" w:eastAsia="zh-CN"/>
        </w:rPr>
        <w:t>；</w:t>
      </w:r>
    </w:p>
    <w:p w14:paraId="6B6B626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11.</w:t>
      </w:r>
      <w:r>
        <w:rPr>
          <w:rFonts w:hint="eastAsia" w:ascii="仿宋_GB2312" w:hAnsi="仿宋_GB2312" w:eastAsia="仿宋_GB2312" w:cs="仿宋_GB2312"/>
          <w:b w:val="0"/>
          <w:bCs w:val="0"/>
          <w:color w:val="auto"/>
          <w:sz w:val="28"/>
          <w:szCs w:val="28"/>
          <w:highlight w:val="none"/>
          <w:lang w:val="en-US" w:eastAsia="zh-CN"/>
        </w:rPr>
        <w:t>权利证书编号：</w:t>
      </w:r>
      <w:r>
        <w:rPr>
          <w:rFonts w:hint="eastAsia" w:ascii="仿宋_GB2312" w:hAnsi="仿宋_GB2312" w:eastAsia="仿宋_GB2312" w:cs="仿宋_GB2312"/>
          <w:bCs/>
          <w:color w:val="auto"/>
          <w:kern w:val="2"/>
          <w:sz w:val="28"/>
          <w:szCs w:val="28"/>
          <w:highlight w:val="none"/>
          <w:lang w:val="en-US" w:eastAsia="zh-CN" w:bidi="ar-SA"/>
        </w:rPr>
        <w:t>/</w:t>
      </w:r>
      <w:r>
        <w:rPr>
          <w:rFonts w:hint="eastAsia" w:ascii="仿宋_GB2312" w:hAnsi="仿宋_GB2312" w:eastAsia="仿宋_GB2312" w:cs="仿宋_GB2312"/>
          <w:b w:val="0"/>
          <w:bCs w:val="0"/>
          <w:color w:val="auto"/>
          <w:sz w:val="28"/>
          <w:szCs w:val="28"/>
          <w:highlight w:val="none"/>
          <w:lang w:val="en-GB" w:eastAsia="zh-CN"/>
        </w:rPr>
        <w:t>；</w:t>
      </w:r>
    </w:p>
    <w:p w14:paraId="126960C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12.权利人：</w:t>
      </w:r>
      <w:r>
        <w:rPr>
          <w:rFonts w:hint="eastAsia" w:ascii="仿宋_GB2312" w:hAnsi="仿宋_GB2312" w:eastAsia="仿宋_GB2312" w:cs="仿宋_GB2312"/>
          <w:b w:val="0"/>
          <w:bCs w:val="0"/>
          <w:color w:val="auto"/>
          <w:sz w:val="28"/>
          <w:szCs w:val="28"/>
          <w:highlight w:val="none"/>
          <w:lang w:val="en-US" w:eastAsia="zh-CN"/>
        </w:rPr>
        <w:t>/</w:t>
      </w:r>
      <w:r>
        <w:rPr>
          <w:rFonts w:hint="eastAsia" w:ascii="仿宋_GB2312" w:hAnsi="仿宋_GB2312" w:eastAsia="仿宋_GB2312" w:cs="仿宋_GB2312"/>
          <w:b w:val="0"/>
          <w:bCs w:val="0"/>
          <w:color w:val="auto"/>
          <w:sz w:val="28"/>
          <w:szCs w:val="28"/>
          <w:highlight w:val="none"/>
          <w:lang w:val="en-GB" w:eastAsia="zh-CN"/>
        </w:rPr>
        <w:t>；</w:t>
      </w:r>
    </w:p>
    <w:p w14:paraId="1C9E635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13.登记时间：</w:t>
      </w:r>
      <w:r>
        <w:rPr>
          <w:rFonts w:hint="eastAsia" w:ascii="仿宋_GB2312" w:hAnsi="仿宋_GB2312" w:eastAsia="仿宋_GB2312" w:cs="仿宋_GB2312"/>
          <w:b w:val="0"/>
          <w:bCs w:val="0"/>
          <w:color w:val="auto"/>
          <w:sz w:val="28"/>
          <w:szCs w:val="28"/>
          <w:highlight w:val="none"/>
          <w:lang w:val="en-US" w:eastAsia="zh-CN"/>
        </w:rPr>
        <w:t>/</w:t>
      </w:r>
      <w:r>
        <w:rPr>
          <w:rFonts w:hint="eastAsia" w:ascii="仿宋_GB2312" w:hAnsi="仿宋_GB2312" w:eastAsia="仿宋_GB2312" w:cs="仿宋_GB2312"/>
          <w:b w:val="0"/>
          <w:bCs w:val="0"/>
          <w:color w:val="auto"/>
          <w:sz w:val="28"/>
          <w:szCs w:val="28"/>
          <w:highlight w:val="none"/>
          <w:lang w:val="en-GB" w:eastAsia="zh-CN"/>
        </w:rPr>
        <w:t>；</w:t>
      </w:r>
    </w:p>
    <w:p w14:paraId="50A80C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14.地籍图号：/；</w:t>
      </w:r>
    </w:p>
    <w:p w14:paraId="2BFBE50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15.宗地号：/；</w:t>
      </w:r>
    </w:p>
    <w:p w14:paraId="32B54E9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15458C39">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3"/>
        <w:rPr>
          <w:rFonts w:hint="eastAsia" w:ascii="仿宋_GB2312" w:hAnsi="仿宋_GB2312" w:eastAsia="仿宋_GB2312" w:cs="仿宋_GB2312"/>
          <w:b/>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GB" w:eastAsia="zh-CN"/>
          <w14:textFill>
            <w14:solidFill>
              <w14:schemeClr w14:val="tx1"/>
            </w14:solidFill>
          </w14:textFill>
        </w:rPr>
        <w:t>（二）土地权利状况</w:t>
      </w:r>
    </w:p>
    <w:p w14:paraId="17111B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1.土地所有权状况：于估价期日，估价对象的土地所有权属国家所有；</w:t>
      </w:r>
    </w:p>
    <w:p w14:paraId="5DF3FF6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2.土地使用权状况：根据此次估价目的，估价对象土地使用权人拟通过挂牌出让方式确定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5B0C721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690B28E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3C43274B">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3"/>
        <w:rPr>
          <w:rFonts w:hint="eastAsia" w:ascii="仿宋_GB2312" w:hAnsi="仿宋_GB2312" w:eastAsia="仿宋_GB2312" w:cs="仿宋_GB2312"/>
          <w:b/>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GB" w:eastAsia="zh-CN"/>
          <w14:textFill>
            <w14:solidFill>
              <w14:schemeClr w14:val="tx1"/>
            </w14:solidFill>
          </w14:textFill>
        </w:rPr>
        <w:t>（三）土地利用状况</w:t>
      </w:r>
    </w:p>
    <w:p w14:paraId="3F339F4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1.土地利用现状</w:t>
      </w:r>
    </w:p>
    <w:p w14:paraId="3EC188A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3F8118B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对象位于道县西洲街道宝珍街六栋九号</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1-4层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混合</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不锈钢及木质入户门，铝合金窗户，铁艺防盗网，外墙及屋内地贴瓷砖，简单装修，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建成于1998年，</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28年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22</w:t>
      </w:r>
      <w:r>
        <w:rPr>
          <w:rFonts w:hint="default"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根据《不动产测绘报告书》，建筑面积205.45平方米，根据《宗地图》，估价对象土地面积50平方米，则容积率为4.11，</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4.11。</w:t>
      </w:r>
    </w:p>
    <w:p w14:paraId="2859FB1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估价对象利用现状如下：</w:t>
      </w:r>
    </w:p>
    <w:tbl>
      <w:tblPr>
        <w:tblStyle w:val="14"/>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343B6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11152616">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b w:val="0"/>
                <w:bCs w:val="0"/>
                <w:color w:val="000000" w:themeColor="text1"/>
                <w:sz w:val="28"/>
                <w:szCs w:val="28"/>
                <w:highlight w:val="none"/>
                <w:lang w:eastAsia="zh-CN"/>
                <w14:textFill>
                  <w14:solidFill>
                    <w14:schemeClr w14:val="tx1"/>
                  </w14:solidFill>
                </w14:textFill>
              </w:rPr>
              <w:drawing>
                <wp:inline distT="0" distB="0" distL="114300" distR="114300">
                  <wp:extent cx="2594610" cy="3461385"/>
                  <wp:effectExtent l="0" t="0" r="15240" b="5715"/>
                  <wp:docPr id="10" name="图片 10" descr="现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现场2"/>
                          <pic:cNvPicPr>
                            <a:picLocks noChangeAspect="1"/>
                          </pic:cNvPicPr>
                        </pic:nvPicPr>
                        <pic:blipFill>
                          <a:blip r:embed="rId21"/>
                          <a:stretch>
                            <a:fillRect/>
                          </a:stretch>
                        </pic:blipFill>
                        <pic:spPr>
                          <a:xfrm>
                            <a:off x="0" y="0"/>
                            <a:ext cx="2594610" cy="3461385"/>
                          </a:xfrm>
                          <a:prstGeom prst="rect">
                            <a:avLst/>
                          </a:prstGeom>
                        </pic:spPr>
                      </pic:pic>
                    </a:graphicData>
                  </a:graphic>
                </wp:inline>
              </w:drawing>
            </w:r>
          </w:p>
        </w:tc>
        <w:tc>
          <w:tcPr>
            <w:tcW w:w="2466" w:type="pct"/>
          </w:tcPr>
          <w:p w14:paraId="369A9D95">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b w:val="0"/>
                <w:bCs w:val="0"/>
                <w:color w:val="000000" w:themeColor="text1"/>
                <w:sz w:val="28"/>
                <w:szCs w:val="28"/>
                <w:highlight w:val="none"/>
                <w:lang w:eastAsia="zh-CN"/>
                <w14:textFill>
                  <w14:solidFill>
                    <w14:schemeClr w14:val="tx1"/>
                  </w14:solidFill>
                </w14:textFill>
              </w:rPr>
              <w:drawing>
                <wp:inline distT="0" distB="0" distL="114300" distR="114300">
                  <wp:extent cx="2521585" cy="3363595"/>
                  <wp:effectExtent l="0" t="0" r="12065" b="8255"/>
                  <wp:docPr id="11" name="图片 11" descr="现场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现场4"/>
                          <pic:cNvPicPr>
                            <a:picLocks noChangeAspect="1"/>
                          </pic:cNvPicPr>
                        </pic:nvPicPr>
                        <pic:blipFill>
                          <a:blip r:embed="rId22"/>
                          <a:stretch>
                            <a:fillRect/>
                          </a:stretch>
                        </pic:blipFill>
                        <pic:spPr>
                          <a:xfrm>
                            <a:off x="0" y="0"/>
                            <a:ext cx="2521585" cy="3363595"/>
                          </a:xfrm>
                          <a:prstGeom prst="rect">
                            <a:avLst/>
                          </a:prstGeom>
                        </pic:spPr>
                      </pic:pic>
                    </a:graphicData>
                  </a:graphic>
                </wp:inline>
              </w:drawing>
            </w:r>
          </w:p>
        </w:tc>
      </w:tr>
    </w:tbl>
    <w:p w14:paraId="58BAC44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2.规划利用条件</w:t>
      </w:r>
    </w:p>
    <w:p w14:paraId="0794254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（1）规划利用状况</w:t>
      </w:r>
    </w:p>
    <w:p w14:paraId="176CAFB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根据《评估委托书》，</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委托方拟按现状利用条件办理出让手续，根据现场查勘，估价对象现状已建成住宅建筑，</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根据《不动产测绘报告书》，估价对象建筑面积205.45平方米，根据《宗地图》，估价对象土地面积50平方米，则容积率为4.11</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4.11</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618C6FB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（2）最佳利用</w:t>
      </w:r>
    </w:p>
    <w:p w14:paraId="4C12820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本次评估根据最有效利用原则，设定估价对象为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4.11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78D2219F">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3</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土地闲置状况</w:t>
      </w:r>
    </w:p>
    <w:p w14:paraId="0559CD18">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估价对象为已开发用地，于估价期日属于已供土地，不属于闲置土地。</w:t>
      </w:r>
    </w:p>
    <w:p w14:paraId="4BDF3BB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利用限制和缺陷情况</w:t>
      </w:r>
    </w:p>
    <w:p w14:paraId="27EDB39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788703E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color w:val="auto"/>
          <w:sz w:val="28"/>
          <w:szCs w:val="28"/>
          <w:highlight w:val="none"/>
          <w:lang w:val="en-US" w:eastAsia="zh-CN"/>
        </w:rPr>
      </w:pPr>
      <w:bookmarkStart w:id="65" w:name="_Toc8490"/>
      <w:r>
        <w:rPr>
          <w:rFonts w:hint="default" w:ascii="仿宋_GB2312" w:hAnsi="仿宋_GB2312" w:eastAsia="仿宋_GB2312" w:cs="仿宋_GB2312"/>
          <w:b/>
          <w:bCs/>
          <w:color w:val="auto"/>
          <w:sz w:val="28"/>
          <w:szCs w:val="28"/>
          <w:highlight w:val="none"/>
          <w:lang w:val="en-US" w:eastAsia="zh-CN"/>
        </w:rPr>
        <w:t>二、地价影响因素分析</w:t>
      </w:r>
      <w:bookmarkEnd w:id="65"/>
    </w:p>
    <w:p w14:paraId="78AD837A">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2"/>
        <w:rPr>
          <w:rFonts w:hint="default" w:ascii="仿宋_GB2312" w:hAnsi="仿宋_GB2312" w:eastAsia="仿宋_GB2312" w:cs="仿宋_GB2312"/>
          <w:b/>
          <w:bCs/>
          <w:color w:val="auto"/>
          <w:sz w:val="28"/>
          <w:szCs w:val="28"/>
          <w:highlight w:val="none"/>
          <w:lang w:val="en-US" w:eastAsia="zh-CN"/>
        </w:rPr>
      </w:pPr>
      <w:bookmarkStart w:id="66" w:name="_Toc27988"/>
      <w:r>
        <w:rPr>
          <w:rFonts w:hint="default" w:ascii="仿宋_GB2312" w:hAnsi="仿宋_GB2312" w:eastAsia="仿宋_GB2312" w:cs="仿宋_GB2312"/>
          <w:b/>
          <w:bCs/>
          <w:color w:val="auto"/>
          <w:sz w:val="28"/>
          <w:szCs w:val="28"/>
          <w:highlight w:val="none"/>
          <w:lang w:val="en-US" w:eastAsia="zh-CN"/>
        </w:rPr>
        <w:t>（一）一般因素</w:t>
      </w:r>
      <w:bookmarkEnd w:id="66"/>
    </w:p>
    <w:p w14:paraId="16FB53A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1CFB54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1.城市资源状况</w:t>
      </w:r>
    </w:p>
    <w:p w14:paraId="09F930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（1）地理位置</w:t>
      </w:r>
    </w:p>
    <w:p w14:paraId="0CA9643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2C33E86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（2）地形地貌</w:t>
      </w:r>
    </w:p>
    <w:p w14:paraId="332E811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096AACB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（3）气候</w:t>
      </w:r>
    </w:p>
    <w:p w14:paraId="31A3364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FBCA1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（4）水文</w:t>
      </w:r>
    </w:p>
    <w:p w14:paraId="60C1C5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6605E72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人口</w:t>
      </w:r>
    </w:p>
    <w:p w14:paraId="40E4A47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3B957C9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（6）交通运输</w:t>
      </w:r>
    </w:p>
    <w:p w14:paraId="0E6049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3DA7E2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土地概况</w:t>
      </w:r>
    </w:p>
    <w:p w14:paraId="07DDC70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主要地类数据如下：</w:t>
      </w:r>
    </w:p>
    <w:p w14:paraId="511EF45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27FEEC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E57D6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1DBEE8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D4185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11D115D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6）城镇村及工矿用地190153.80亩(12676.92公顷)。</w:t>
      </w:r>
    </w:p>
    <w:p w14:paraId="77017F1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8389A6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693E296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8）水域及水利设施用地145174.35亩(9678.29公顷)。</w:t>
      </w:r>
    </w:p>
    <w:p w14:paraId="5A6B8F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54228F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2.不动产制度与不动产市场状况</w:t>
      </w:r>
    </w:p>
    <w:p w14:paraId="17594AF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（1）土地制度</w:t>
      </w:r>
    </w:p>
    <w:p w14:paraId="133624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25C3C0D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1）土地所有制</w:t>
      </w:r>
    </w:p>
    <w:p w14:paraId="7C42D64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3EFA0C2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①国有土地</w:t>
      </w:r>
    </w:p>
    <w:p w14:paraId="721C405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C532F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2618CDF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②集体土地</w:t>
      </w:r>
    </w:p>
    <w:p w14:paraId="2BE11A6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1E3168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2）土地管理的基本制度</w:t>
      </w:r>
    </w:p>
    <w:p w14:paraId="4966C86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①实行土地登记制度</w:t>
      </w:r>
    </w:p>
    <w:p w14:paraId="2505735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6CE85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②实行土地有偿有限期使用制度</w:t>
      </w:r>
    </w:p>
    <w:p w14:paraId="3C7273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B1213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18285D5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③实行土地用途管制制度</w:t>
      </w:r>
    </w:p>
    <w:p w14:paraId="2EAD77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3E91D11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④实行耕地保护制度</w:t>
      </w:r>
    </w:p>
    <w:p w14:paraId="37228EF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2E3A1CD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（2）住房制度</w:t>
      </w:r>
    </w:p>
    <w:p w14:paraId="5AD15B0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62C0E3E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2020年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8月18</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人民政府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355129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6329432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（3）地价政策</w:t>
      </w:r>
    </w:p>
    <w:p w14:paraId="208803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%的上调，各等级片区划分有一定微调。</w:t>
      </w:r>
    </w:p>
    <w:p w14:paraId="282EEBD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日）文件执行。</w:t>
      </w:r>
    </w:p>
    <w:p w14:paraId="1558A3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（4）不动产市场状况</w:t>
      </w:r>
    </w:p>
    <w:p w14:paraId="3D0714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1）土地市场状况</w:t>
      </w:r>
    </w:p>
    <w:p w14:paraId="5F770DE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①土地供应总量 </w:t>
      </w:r>
    </w:p>
    <w:p w14:paraId="408C5FF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5F34AA47">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b w:val="0"/>
          <w:bCs w:val="0"/>
          <w:color w:val="000000" w:themeColor="text1"/>
          <w:sz w:val="28"/>
          <w:szCs w:val="30"/>
          <w:highlight w:val="none"/>
          <w14:textFill>
            <w14:solidFill>
              <w14:schemeClr w14:val="tx1"/>
            </w14:solidFill>
          </w14:textFill>
        </w:rPr>
      </w:pPr>
      <w:r>
        <w:rPr>
          <w:rFonts w:hint="eastAsia" w:ascii="仿宋" w:hAnsi="仿宋" w:eastAsia="仿宋" w:cs="仿宋"/>
          <w:b w:val="0"/>
          <w:bCs w:val="0"/>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14"/>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16162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B1BF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C51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9356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52B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总面积（公顷）</w:t>
            </w:r>
          </w:p>
        </w:tc>
      </w:tr>
      <w:tr w14:paraId="00AB8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F5E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B8B9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63F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59E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256.40 </w:t>
            </w:r>
          </w:p>
        </w:tc>
      </w:tr>
      <w:tr w14:paraId="09C97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6379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4ACD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0EB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C01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184.73 </w:t>
            </w:r>
          </w:p>
        </w:tc>
      </w:tr>
      <w:tr w14:paraId="5381D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BEC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DA6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B724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D32F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161.63 </w:t>
            </w:r>
          </w:p>
        </w:tc>
      </w:tr>
      <w:tr w14:paraId="0378C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2BF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39E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17E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B3C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201.93 </w:t>
            </w:r>
          </w:p>
        </w:tc>
      </w:tr>
      <w:tr w14:paraId="064D5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86E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52D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440A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4EC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167.73 </w:t>
            </w:r>
          </w:p>
        </w:tc>
      </w:tr>
      <w:tr w14:paraId="46D10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496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CE6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07CF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A19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972.42</w:t>
            </w:r>
          </w:p>
        </w:tc>
      </w:tr>
      <w:tr w14:paraId="1649A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1D44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178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572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F966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194.49</w:t>
            </w:r>
          </w:p>
        </w:tc>
      </w:tr>
      <w:tr w14:paraId="0AE00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B7E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CC4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3EF0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A9C5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100.00%</w:t>
            </w:r>
          </w:p>
        </w:tc>
      </w:tr>
    </w:tbl>
    <w:p w14:paraId="765A143E">
      <w:pPr>
        <w:pStyle w:val="1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b w:val="0"/>
          <w:bCs w:val="0"/>
          <w:color w:val="000000" w:themeColor="text1"/>
          <w:highlight w:val="none"/>
          <w:lang w:eastAsia="zh-CN"/>
          <w14:textFill>
            <w14:solidFill>
              <w14:schemeClr w14:val="tx1"/>
            </w14:solidFill>
          </w14:textFill>
        </w:rPr>
      </w:pPr>
    </w:p>
    <w:p w14:paraId="087B54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b w:val="0"/>
          <w:bCs w:val="0"/>
          <w:color w:val="000000" w:themeColor="text1"/>
          <w:sz w:val="28"/>
          <w:szCs w:val="30"/>
          <w:highlight w:val="none"/>
          <w:lang w:eastAsia="zh-CN"/>
          <w14:textFill>
            <w14:solidFill>
              <w14:schemeClr w14:val="tx1"/>
            </w14:solidFill>
          </w14:textFill>
        </w:rPr>
      </w:pPr>
      <w:r>
        <w:rPr>
          <w:b w:val="0"/>
          <w:bCs w:val="0"/>
          <w:color w:val="000000" w:themeColor="text1"/>
          <w:highlight w:val="none"/>
          <w14:textFill>
            <w14:solidFill>
              <w14:schemeClr w14:val="tx1"/>
            </w14:solidFill>
          </w14:textFill>
        </w:rPr>
        <w:drawing>
          <wp:inline distT="0" distB="0" distL="114300" distR="114300">
            <wp:extent cx="4654550" cy="2590800"/>
            <wp:effectExtent l="4445" t="4445" r="8255" b="14605"/>
            <wp:docPr id="2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573B41B">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b w:val="0"/>
          <w:bCs w:val="0"/>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b w:val="0"/>
          <w:bCs w:val="0"/>
          <w:color w:val="000000" w:themeColor="text1"/>
          <w:kern w:val="0"/>
          <w:sz w:val="28"/>
          <w:szCs w:val="28"/>
          <w:highlight w:val="none"/>
          <w:lang w:val="en-US" w:eastAsia="zh-CN" w:bidi="ar"/>
          <w14:textFill>
            <w14:solidFill>
              <w14:schemeClr w14:val="tx1"/>
            </w14:solidFill>
          </w14:textFill>
        </w:rPr>
        <w:t>道县2020-2024年土地供应总量图</w:t>
      </w:r>
    </w:p>
    <w:p w14:paraId="25E120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②土地供应结构 </w:t>
      </w:r>
    </w:p>
    <w:p w14:paraId="438555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b w:val="0"/>
          <w:bCs w:val="0"/>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7D2FC4BA">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b w:val="0"/>
          <w:bCs w:val="0"/>
          <w:color w:val="000000" w:themeColor="text1"/>
          <w:sz w:val="28"/>
          <w:szCs w:val="30"/>
          <w:highlight w:val="none"/>
          <w:lang w:val="en-US" w:eastAsia="zh-CN"/>
          <w14:textFill>
            <w14:solidFill>
              <w14:schemeClr w14:val="tx1"/>
            </w14:solidFill>
          </w14:textFill>
        </w:rPr>
      </w:pPr>
      <w:r>
        <w:rPr>
          <w:rFonts w:hint="eastAsia" w:ascii="仿宋_GB2312" w:eastAsia="仿宋_GB2312"/>
          <w:b w:val="0"/>
          <w:bCs w:val="0"/>
          <w:color w:val="000000" w:themeColor="text1"/>
          <w:sz w:val="28"/>
          <w:szCs w:val="30"/>
          <w:highlight w:val="none"/>
          <w:lang w:val="en-US" w:eastAsia="zh-CN"/>
          <w14:textFill>
            <w14:solidFill>
              <w14:schemeClr w14:val="tx1"/>
            </w14:solidFill>
          </w14:textFill>
        </w:rPr>
        <w:t>道县2020-2024年土地供应情况表</w:t>
      </w:r>
    </w:p>
    <w:p w14:paraId="7997C38B">
      <w:pPr>
        <w:pStyle w:val="18"/>
        <w:jc w:val="right"/>
        <w:rPr>
          <w:rFonts w:hint="default"/>
          <w:b w:val="0"/>
          <w:bCs w:val="0"/>
          <w:color w:val="000000" w:themeColor="text1"/>
          <w:highlight w:val="none"/>
          <w:lang w:val="en-US" w:eastAsia="zh-CN"/>
          <w14:textFill>
            <w14:solidFill>
              <w14:schemeClr w14:val="tx1"/>
            </w14:solidFill>
          </w14:textFill>
        </w:rPr>
      </w:pPr>
      <w:r>
        <w:rPr>
          <w:rFonts w:hint="eastAsia" w:ascii="仿宋_GB2312" w:eastAsia="仿宋_GB2312"/>
          <w:b w:val="0"/>
          <w:bCs w:val="0"/>
          <w:color w:val="000000" w:themeColor="text1"/>
          <w:sz w:val="28"/>
          <w:szCs w:val="30"/>
          <w:highlight w:val="none"/>
          <w:lang w:val="en-US" w:eastAsia="zh-CN"/>
          <w14:textFill>
            <w14:solidFill>
              <w14:schemeClr w14:val="tx1"/>
            </w14:solidFill>
          </w14:textFill>
        </w:rPr>
        <w:t>单位：公顷</w:t>
      </w:r>
    </w:p>
    <w:p w14:paraId="3C92D9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b w:val="0"/>
          <w:bCs w:val="0"/>
          <w:color w:val="000000" w:themeColor="text1"/>
          <w:sz w:val="28"/>
          <w:szCs w:val="30"/>
          <w:highlight w:val="none"/>
          <w:lang w:val="en-US" w:eastAsia="zh-CN"/>
          <w14:textFill>
            <w14:solidFill>
              <w14:schemeClr w14:val="tx1"/>
            </w14:solidFill>
          </w14:textFill>
        </w:rPr>
      </w:pPr>
      <w:r>
        <w:rPr>
          <w:b w:val="0"/>
          <w:bCs w:val="0"/>
          <w:color w:val="000000" w:themeColor="text1"/>
          <w:highlight w:val="none"/>
          <w14:textFill>
            <w14:solidFill>
              <w14:schemeClr w14:val="tx1"/>
            </w14:solidFill>
          </w14:textFill>
        </w:rPr>
        <w:drawing>
          <wp:inline distT="0" distB="0" distL="114300" distR="114300">
            <wp:extent cx="5342255" cy="2015490"/>
            <wp:effectExtent l="0" t="0" r="10795" b="381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26"/>
                    <a:stretch>
                      <a:fillRect/>
                    </a:stretch>
                  </pic:blipFill>
                  <pic:spPr>
                    <a:xfrm>
                      <a:off x="0" y="0"/>
                      <a:ext cx="5342255" cy="2015490"/>
                    </a:xfrm>
                    <a:prstGeom prst="rect">
                      <a:avLst/>
                    </a:prstGeom>
                    <a:noFill/>
                    <a:ln>
                      <a:noFill/>
                    </a:ln>
                  </pic:spPr>
                </pic:pic>
              </a:graphicData>
            </a:graphic>
          </wp:inline>
        </w:drawing>
      </w:r>
    </w:p>
    <w:p w14:paraId="005D83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b w:val="0"/>
          <w:bCs w:val="0"/>
          <w:color w:val="000000" w:themeColor="text1"/>
          <w:highlight w:val="none"/>
          <w14:textFill>
            <w14:solidFill>
              <w14:schemeClr w14:val="tx1"/>
            </w14:solidFill>
          </w14:textFill>
        </w:rPr>
      </w:pPr>
    </w:p>
    <w:p w14:paraId="624151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b w:val="0"/>
          <w:bCs w:val="0"/>
          <w:color w:val="000000" w:themeColor="text1"/>
          <w:sz w:val="28"/>
          <w:szCs w:val="30"/>
          <w:highlight w:val="none"/>
          <w:lang w:val="en-US" w:eastAsia="zh-CN"/>
          <w14:textFill>
            <w14:solidFill>
              <w14:schemeClr w14:val="tx1"/>
            </w14:solidFill>
          </w14:textFill>
        </w:rPr>
      </w:pPr>
      <w:r>
        <w:rPr>
          <w:b w:val="0"/>
          <w:bCs w:val="0"/>
          <w:color w:val="000000" w:themeColor="text1"/>
          <w:highlight w:val="none"/>
          <w14:textFill>
            <w14:solidFill>
              <w14:schemeClr w14:val="tx1"/>
            </w14:solidFill>
          </w14:textFill>
        </w:rPr>
        <w:drawing>
          <wp:inline distT="0" distB="0" distL="114300" distR="114300">
            <wp:extent cx="3742055" cy="2219960"/>
            <wp:effectExtent l="4445" t="4445" r="6350" b="23495"/>
            <wp:docPr id="2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9E8DEFF">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b w:val="0"/>
          <w:bCs w:val="0"/>
          <w:color w:val="000000" w:themeColor="text1"/>
          <w:sz w:val="28"/>
          <w:szCs w:val="30"/>
          <w:highlight w:val="none"/>
          <w:lang w:val="en-US" w:eastAsia="zh-CN"/>
          <w14:textFill>
            <w14:solidFill>
              <w14:schemeClr w14:val="tx1"/>
            </w14:solidFill>
          </w14:textFill>
        </w:rPr>
      </w:pPr>
      <w:r>
        <w:rPr>
          <w:rFonts w:hint="eastAsia" w:ascii="仿宋_GB2312" w:eastAsia="仿宋_GB2312"/>
          <w:b w:val="0"/>
          <w:bCs w:val="0"/>
          <w:color w:val="000000" w:themeColor="text1"/>
          <w:sz w:val="28"/>
          <w:szCs w:val="30"/>
          <w:highlight w:val="none"/>
          <w:lang w:val="en-US" w:eastAsia="zh-CN"/>
          <w14:textFill>
            <w14:solidFill>
              <w14:schemeClr w14:val="tx1"/>
            </w14:solidFill>
          </w14:textFill>
        </w:rPr>
        <w:t>道县2020-2024年土地供应结构图</w:t>
      </w:r>
    </w:p>
    <w:p w14:paraId="56C597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③土地供应方式 </w:t>
      </w:r>
    </w:p>
    <w:p w14:paraId="2E0C810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71768AED">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b w:val="0"/>
          <w:bCs w:val="0"/>
          <w:color w:val="000000" w:themeColor="text1"/>
          <w:sz w:val="28"/>
          <w:szCs w:val="30"/>
          <w:highlight w:val="none"/>
          <w:lang w:val="en-US" w:eastAsia="zh-CN"/>
          <w14:textFill>
            <w14:solidFill>
              <w14:schemeClr w14:val="tx1"/>
            </w14:solidFill>
          </w14:textFill>
        </w:rPr>
      </w:pPr>
      <w:r>
        <w:rPr>
          <w:rFonts w:hint="eastAsia" w:ascii="仿宋_GB2312" w:eastAsia="仿宋_GB2312"/>
          <w:b w:val="0"/>
          <w:bCs w:val="0"/>
          <w:color w:val="000000" w:themeColor="text1"/>
          <w:sz w:val="28"/>
          <w:szCs w:val="30"/>
          <w:highlight w:val="none"/>
          <w:lang w:val="en-US" w:eastAsia="zh-CN"/>
          <w14:textFill>
            <w14:solidFill>
              <w14:schemeClr w14:val="tx1"/>
            </w14:solidFill>
          </w14:textFill>
        </w:rPr>
        <w:t>道县2020-2024年土地供应方式情况表</w:t>
      </w:r>
    </w:p>
    <w:p w14:paraId="7C90E395">
      <w:pPr>
        <w:pStyle w:val="18"/>
        <w:jc w:val="right"/>
        <w:rPr>
          <w:rFonts w:hint="default"/>
          <w:b w:val="0"/>
          <w:bCs w:val="0"/>
          <w:color w:val="000000" w:themeColor="text1"/>
          <w:highlight w:val="none"/>
          <w:lang w:val="en-US" w:eastAsia="zh-CN"/>
          <w14:textFill>
            <w14:solidFill>
              <w14:schemeClr w14:val="tx1"/>
            </w14:solidFill>
          </w14:textFill>
        </w:rPr>
      </w:pPr>
      <w:r>
        <w:rPr>
          <w:rFonts w:hint="eastAsia" w:ascii="仿宋_GB2312" w:eastAsia="仿宋_GB2312"/>
          <w:b w:val="0"/>
          <w:bCs w:val="0"/>
          <w:color w:val="000000" w:themeColor="text1"/>
          <w:sz w:val="28"/>
          <w:szCs w:val="30"/>
          <w:highlight w:val="none"/>
          <w:lang w:val="en-US" w:eastAsia="zh-CN"/>
          <w14:textFill>
            <w14:solidFill>
              <w14:schemeClr w14:val="tx1"/>
            </w14:solidFill>
          </w14:textFill>
        </w:rPr>
        <w:t>单位：公顷</w:t>
      </w:r>
    </w:p>
    <w:tbl>
      <w:tblPr>
        <w:tblStyle w:val="1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1708B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D0E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A2E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FCE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B1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供应总量</w:t>
            </w:r>
          </w:p>
        </w:tc>
      </w:tr>
      <w:tr w14:paraId="60F40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D21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C38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350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1588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256.40 </w:t>
            </w:r>
          </w:p>
        </w:tc>
      </w:tr>
      <w:tr w14:paraId="7947E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B418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ECCF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AA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14DD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184.73 </w:t>
            </w:r>
          </w:p>
        </w:tc>
      </w:tr>
      <w:tr w14:paraId="7F896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281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7695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9F5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595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161.63 </w:t>
            </w:r>
          </w:p>
        </w:tc>
      </w:tr>
      <w:tr w14:paraId="424A3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542E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543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AC9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E52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201.93 </w:t>
            </w:r>
          </w:p>
        </w:tc>
      </w:tr>
      <w:tr w14:paraId="5733F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AF90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016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969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C0A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 xml:space="preserve">167.73 </w:t>
            </w:r>
          </w:p>
        </w:tc>
      </w:tr>
      <w:tr w14:paraId="6D563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730F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ABE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553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4A3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972.42</w:t>
            </w:r>
          </w:p>
        </w:tc>
      </w:tr>
    </w:tbl>
    <w:p w14:paraId="2117EDF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④土地供应分布 </w:t>
      </w:r>
    </w:p>
    <w:p w14:paraId="7684704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074C0D0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2）房地产市场状况</w:t>
      </w:r>
    </w:p>
    <w:p w14:paraId="6B0C5FA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6DEED7C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7EA5301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093DDFD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46BF7A5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D37D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3.产业政策</w:t>
      </w:r>
    </w:p>
    <w:p w14:paraId="20AF76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（1）相关产业政策</w:t>
      </w:r>
    </w:p>
    <w:p w14:paraId="19C95D6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0B7D69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79D81FE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7C4B36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ACB56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365A6FD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3B570D6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054B50F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0BFD19E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1ED85F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224CD65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158E98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在帮助企业纾困解难方面有六条措施：</w:t>
      </w:r>
    </w:p>
    <w:p w14:paraId="6375C4E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C22630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37FBC90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39C84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CC27FD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CACE5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272EBE2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2023年5月，道县人民政府关于印发《道县进一步促进房地产市场平稳健康发展的十条措施》的通知，结合道县实际，制定十条措施保障房地产市场健康发展：</w:t>
      </w:r>
    </w:p>
    <w:p w14:paraId="31CCB60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04FF21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21D3FD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493AF07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457929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3F03E0E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1FE978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2010FAC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311B31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28B3E3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E20464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（2）税收政策</w:t>
      </w:r>
    </w:p>
    <w:p w14:paraId="438FBB2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C3900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1）契税</w:t>
      </w:r>
    </w:p>
    <w:p w14:paraId="48F0125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纳税人：转移土地、房屋权属，承受的单位和个人；</w:t>
      </w:r>
    </w:p>
    <w:p w14:paraId="293CF61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869CE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税率：3%—5%</w:t>
      </w:r>
    </w:p>
    <w:p w14:paraId="0CDE9F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涉税阶段：土地获取阶段</w:t>
      </w:r>
    </w:p>
    <w:p w14:paraId="663E19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2）城镇土地使用税</w:t>
      </w:r>
    </w:p>
    <w:p w14:paraId="42E6596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06D8D7F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计税依据：实际占用土地面积；</w:t>
      </w:r>
    </w:p>
    <w:p w14:paraId="61E3AC7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306CF97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纳税义务发生时间：取得土地后次月；</w:t>
      </w:r>
    </w:p>
    <w:p w14:paraId="6345795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涉税阶段：前期准备阶段、建设施工阶段、预售阶段。</w:t>
      </w:r>
    </w:p>
    <w:p w14:paraId="46116C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3）耕地占用税</w:t>
      </w:r>
    </w:p>
    <w:p w14:paraId="4FE1A5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2A54329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计税依据：占用的耕地面积</w:t>
      </w:r>
    </w:p>
    <w:p w14:paraId="3862A4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4CC1E49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涉税阶段：土地获取阶段、前期准备阶段。</w:t>
      </w:r>
    </w:p>
    <w:p w14:paraId="3B97CB9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4）印花税</w:t>
      </w:r>
    </w:p>
    <w:p w14:paraId="734D55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0D4AE49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2E1861C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4E4891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涉税阶段：土地获取阶段、建设施工阶段、预售阶段；</w:t>
      </w:r>
    </w:p>
    <w:p w14:paraId="130C737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5）增值税</w:t>
      </w:r>
    </w:p>
    <w:p w14:paraId="0EB7053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5DAFFC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计税方法：一般计税和简易计税；</w:t>
      </w:r>
    </w:p>
    <w:p w14:paraId="3C6263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预缴增值税：在取得预收款的次月纳税申报期预缴税款</w:t>
      </w:r>
    </w:p>
    <w:p w14:paraId="1546D36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房地产开发企业纳税义务发生时间：</w:t>
      </w:r>
    </w:p>
    <w:p w14:paraId="24F1BD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BA9C31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涉税阶段：预售、销售阶段。</w:t>
      </w:r>
    </w:p>
    <w:p w14:paraId="6CCA4E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6）城市维护建设税</w:t>
      </w:r>
    </w:p>
    <w:p w14:paraId="06511F5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纳税人：缴纳增值税、消费税的单位和个人；</w:t>
      </w:r>
    </w:p>
    <w:p w14:paraId="128ED51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计税依据：纳税人实际缴纳的增值税、消费税税额；</w:t>
      </w:r>
    </w:p>
    <w:p w14:paraId="0F5473F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0F836CF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19EBF47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涉税阶段：预售、销售阶段。</w:t>
      </w:r>
    </w:p>
    <w:p w14:paraId="65FBCE7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7）教育费附加</w:t>
      </w:r>
    </w:p>
    <w:p w14:paraId="1F843CA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纳税人：凡缴纳增值税、消费税的单位和个人，按3%计征；</w:t>
      </w:r>
    </w:p>
    <w:p w14:paraId="0B45F51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计税依据：实际缴纳的增值税、消费税税额；</w:t>
      </w:r>
    </w:p>
    <w:p w14:paraId="6AD9F5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涉税阶段：预售、销售阶段</w:t>
      </w:r>
    </w:p>
    <w:p w14:paraId="4A0329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8）地方教育附加</w:t>
      </w:r>
    </w:p>
    <w:p w14:paraId="62FA834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纳税人：缴纳增值税、消费税的单位和个人，按 2%计征；</w:t>
      </w:r>
    </w:p>
    <w:p w14:paraId="1CCDBCE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计税依据：实际缴纳的增值税、消费税税额；</w:t>
      </w:r>
    </w:p>
    <w:p w14:paraId="2EC13A6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涉税阶段：销售阶段</w:t>
      </w:r>
    </w:p>
    <w:p w14:paraId="5538ADA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9）房产税</w:t>
      </w:r>
    </w:p>
    <w:p w14:paraId="18C66A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纳税人：房屋产权所有人；</w:t>
      </w:r>
    </w:p>
    <w:p w14:paraId="52B6E7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E464E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28E5DC9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涉税阶段：前期准备阶段、建设施工阶段、销售阶段</w:t>
      </w:r>
    </w:p>
    <w:p w14:paraId="00535D1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10）土地增值税</w:t>
      </w:r>
    </w:p>
    <w:p w14:paraId="093549A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0B6D089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3F3AA7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计税依据：对增值额征税，增值额计算要素如下：</w:t>
      </w:r>
    </w:p>
    <w:p w14:paraId="3951ABE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398033F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2F12BB1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689507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2D5F8F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⑤涉税阶段：销售阶段、土增税清算阶段。</w:t>
      </w:r>
    </w:p>
    <w:p w14:paraId="571CF53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11）企业所得税</w:t>
      </w:r>
    </w:p>
    <w:p w14:paraId="4212555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0296B7A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7CD500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58C5D51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49198B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涉税阶段：项目全周期</w:t>
      </w:r>
    </w:p>
    <w:p w14:paraId="40788E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12）个人所得税</w:t>
      </w:r>
    </w:p>
    <w:p w14:paraId="2CC2489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3FB7712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房地产开发企业纳税义务：代扣代缴个人所得税；</w:t>
      </w:r>
    </w:p>
    <w:p w14:paraId="5849FC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涉税阶段：项目全周期</w:t>
      </w:r>
    </w:p>
    <w:p w14:paraId="3AC80AF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目前道县房地产税收政策与国家政策保持完全一致。</w:t>
      </w:r>
    </w:p>
    <w:p w14:paraId="796131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4.城市规划与发展目标</w:t>
      </w:r>
    </w:p>
    <w:p w14:paraId="57452C7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（1）城市规划</w:t>
      </w:r>
    </w:p>
    <w:p w14:paraId="52EE6B4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7784D3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62E087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4560A7A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（2）发展目标</w:t>
      </w:r>
    </w:p>
    <w:p w14:paraId="5DEBB06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2025年目标</w:t>
      </w:r>
    </w:p>
    <w:p w14:paraId="6525260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5ECBD6A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2035年目标</w:t>
      </w:r>
    </w:p>
    <w:p w14:paraId="3752DEA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7A819AB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远景展望目标</w:t>
      </w:r>
    </w:p>
    <w:p w14:paraId="498A6E6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26A086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5.城市社会经济发展状况</w:t>
      </w:r>
    </w:p>
    <w:p w14:paraId="522FEEB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（1）城市经济布局</w:t>
      </w:r>
    </w:p>
    <w:p w14:paraId="3DBB44A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根据道县人民政府网发布的消息，道县目前城市经济布局主要突出以下几个方面：</w:t>
      </w:r>
    </w:p>
    <w:p w14:paraId="3E82064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2D4A3E62">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5386DBA5">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D7EA802">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质增效。完善产业平台配套设施。培育城区内生增长动力和 “</w:t>
      </w:r>
      <w:r>
        <w:rPr>
          <w:rFonts w:hint="eastAsia" w:ascii="仿宋_GB2312" w:hAnsi="仿宋_GB2312" w:cs="仿宋_GB2312"/>
          <w:b w:val="0"/>
          <w:bCs w:val="0"/>
          <w:color w:val="000000" w:themeColor="text1"/>
          <w:sz w:val="28"/>
          <w:szCs w:val="28"/>
          <w:highlight w:val="none"/>
          <w:lang w:val="en-US" w:eastAsia="zh-CN"/>
          <w14:textFill>
            <w14:solidFill>
              <w14:schemeClr w14:val="tx1"/>
            </w14:solidFill>
          </w14:textFill>
        </w:rPr>
        <w:t>造</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3514FF6C">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（2）城市发展水平</w:t>
      </w:r>
    </w:p>
    <w:p w14:paraId="7932B2D1">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17750966">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507510E1">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60D34705">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（3）综合实力</w:t>
      </w:r>
    </w:p>
    <w:p w14:paraId="32F95B8E">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21F1B3C8">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（4）社会储蓄与投资</w:t>
      </w:r>
    </w:p>
    <w:p w14:paraId="342AE6D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48642ED9">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04CA7DB0">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（5）物价变动</w:t>
      </w:r>
    </w:p>
    <w:p w14:paraId="50C94B0F">
      <w:pPr>
        <w:pStyle w:val="13"/>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14E1C50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031EBEB4">
      <w:pPr>
        <w:keepNext w:val="0"/>
        <w:keepLines w:val="0"/>
        <w:pageBreakBefore w:val="0"/>
        <w:widowControl w:val="0"/>
        <w:numPr>
          <w:ilvl w:val="0"/>
          <w:numId w:val="0"/>
        </w:numPr>
        <w:tabs>
          <w:tab w:val="left" w:pos="834"/>
          <w:tab w:val="center" w:pos="4493"/>
        </w:tabs>
        <w:kinsoku/>
        <w:wordWrap/>
        <w:overflowPunct/>
        <w:topLinePunct w:val="0"/>
        <w:autoSpaceDE/>
        <w:autoSpaceDN/>
        <w:bidi w:val="0"/>
        <w:adjustRightInd w:val="0"/>
        <w:snapToGrid w:val="0"/>
        <w:spacing w:line="480" w:lineRule="exact"/>
        <w:ind w:firstLine="562" w:firstLineChars="200"/>
        <w:jc w:val="left"/>
        <w:textAlignment w:val="auto"/>
        <w:outlineLvl w:val="2"/>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kern w:val="2"/>
          <w:sz w:val="28"/>
          <w:szCs w:val="28"/>
          <w:highlight w:val="none"/>
          <w:lang w:val="en-US" w:eastAsia="zh-CN" w:bidi="ar-SA"/>
        </w:rPr>
        <w:t>（二）</w:t>
      </w:r>
      <w:r>
        <w:rPr>
          <w:rFonts w:hint="eastAsia" w:ascii="仿宋_GB2312" w:hAnsi="仿宋_GB2312" w:eastAsia="仿宋_GB2312" w:cs="仿宋_GB2312"/>
          <w:b/>
          <w:bCs/>
          <w:color w:val="auto"/>
          <w:sz w:val="28"/>
          <w:szCs w:val="28"/>
          <w:highlight w:val="none"/>
          <w:lang w:val="en-US" w:eastAsia="zh-CN"/>
        </w:rPr>
        <w:t>区域因素</w:t>
      </w:r>
    </w:p>
    <w:p w14:paraId="357B25B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b w:val="0"/>
          <w:bCs w:val="0"/>
          <w:sz w:val="28"/>
          <w:szCs w:val="30"/>
          <w:highlight w:val="none"/>
          <w:lang w:val="en-US" w:eastAsia="zh-CN"/>
        </w:rPr>
      </w:pPr>
      <w:r>
        <w:rPr>
          <w:rFonts w:hint="eastAsia" w:ascii="仿宋_GB2312" w:hAnsi="仿宋_GB2312" w:eastAsia="仿宋_GB2312" w:cs="仿宋_GB2312"/>
          <w:b w:val="0"/>
          <w:bCs w:val="0"/>
          <w:sz w:val="28"/>
          <w:highlight w:val="none"/>
          <w:lang w:val="en-US" w:eastAsia="zh-CN"/>
        </w:rPr>
        <w:t>影响</w:t>
      </w:r>
      <w:r>
        <w:rPr>
          <w:rFonts w:hint="eastAsia" w:ascii="仿宋_GB2312" w:eastAsia="仿宋_GB2312"/>
          <w:b w:val="0"/>
          <w:bCs w:val="0"/>
          <w:sz w:val="28"/>
          <w:szCs w:val="30"/>
          <w:highlight w:val="none"/>
          <w:lang w:val="en-US" w:eastAsia="zh-CN"/>
        </w:rPr>
        <w:t>估价对象的区域因素主要有：区域概况、交通条件、基础设施条件、环境条件、商服繁华情况、规划限制等。</w:t>
      </w:r>
    </w:p>
    <w:p w14:paraId="3E99994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b w:val="0"/>
          <w:bCs w:val="0"/>
          <w:sz w:val="28"/>
          <w:szCs w:val="30"/>
          <w:highlight w:val="none"/>
          <w:lang w:val="en-US" w:eastAsia="zh-CN"/>
        </w:rPr>
      </w:pPr>
      <w:r>
        <w:rPr>
          <w:rFonts w:hint="eastAsia" w:ascii="仿宋_GB2312" w:eastAsia="仿宋_GB2312"/>
          <w:b w:val="0"/>
          <w:bCs w:val="0"/>
          <w:sz w:val="28"/>
          <w:szCs w:val="30"/>
          <w:highlight w:val="none"/>
          <w:lang w:val="en-US" w:eastAsia="zh-CN"/>
        </w:rPr>
        <w:t>1.区域概况</w:t>
      </w:r>
    </w:p>
    <w:p w14:paraId="18B89A6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eastAsia="仿宋_GB2312"/>
          <w:b w:val="0"/>
          <w:bCs w:val="0"/>
          <w:sz w:val="28"/>
          <w:szCs w:val="30"/>
          <w:highlight w:val="none"/>
          <w:lang w:val="en-US" w:eastAsia="zh-CN"/>
        </w:rPr>
      </w:pPr>
      <w:r>
        <w:rPr>
          <w:rFonts w:hint="eastAsia" w:ascii="仿宋_GB2312" w:eastAsia="仿宋_GB2312"/>
          <w:b w:val="0"/>
          <w:bCs w:val="0"/>
          <w:sz w:val="28"/>
          <w:szCs w:val="30"/>
          <w:highlight w:val="none"/>
          <w:lang w:val="en-US" w:eastAsia="zh-CN"/>
        </w:rPr>
        <w:t xml:space="preserve">（1）区域位置  </w:t>
      </w:r>
    </w:p>
    <w:p w14:paraId="524997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b w:val="0"/>
          <w:bCs w:val="0"/>
          <w:sz w:val="28"/>
          <w:szCs w:val="30"/>
          <w:highlight w:val="none"/>
        </w:rPr>
      </w:pPr>
      <w:r>
        <w:rPr>
          <w:rFonts w:hint="eastAsia" w:ascii="仿宋_GB2312" w:eastAsia="仿宋_GB2312"/>
          <w:b w:val="0"/>
          <w:bCs w:val="0"/>
          <w:sz w:val="28"/>
          <w:szCs w:val="30"/>
          <w:highlight w:val="none"/>
        </w:rPr>
        <w:t>①区域位置、级别及人口：估价对象位于</w:t>
      </w:r>
      <w:r>
        <w:rPr>
          <w:rFonts w:hint="eastAsia" w:ascii="仿宋_GB2312" w:eastAsia="仿宋_GB2312"/>
          <w:b w:val="0"/>
          <w:bCs w:val="0"/>
          <w:sz w:val="28"/>
          <w:szCs w:val="30"/>
          <w:highlight w:val="none"/>
          <w:lang w:val="en-US" w:eastAsia="zh-CN"/>
        </w:rPr>
        <w:t>道县西洲街道宝珍街六栋九号</w:t>
      </w:r>
      <w:r>
        <w:rPr>
          <w:rFonts w:hint="eastAsia" w:ascii="仿宋_GB2312" w:eastAsia="仿宋_GB2312"/>
          <w:b w:val="0"/>
          <w:bCs w:val="0"/>
          <w:sz w:val="28"/>
          <w:szCs w:val="30"/>
          <w:highlight w:val="none"/>
        </w:rPr>
        <w:t>，道县辖7个街道、12个镇、3个乡。县政府驻濂溪街道寇公街66号。截至202</w:t>
      </w:r>
      <w:r>
        <w:rPr>
          <w:rFonts w:hint="eastAsia" w:ascii="仿宋_GB2312" w:eastAsia="仿宋_GB2312"/>
          <w:b w:val="0"/>
          <w:bCs w:val="0"/>
          <w:sz w:val="28"/>
          <w:szCs w:val="30"/>
          <w:highlight w:val="none"/>
          <w:lang w:val="en-US" w:eastAsia="zh-CN"/>
        </w:rPr>
        <w:t>4</w:t>
      </w:r>
      <w:r>
        <w:rPr>
          <w:rFonts w:hint="eastAsia" w:ascii="仿宋_GB2312" w:eastAsia="仿宋_GB2312"/>
          <w:b w:val="0"/>
          <w:bCs w:val="0"/>
          <w:sz w:val="28"/>
          <w:szCs w:val="30"/>
          <w:highlight w:val="none"/>
        </w:rPr>
        <w:t>年末，道县常住人口57.</w:t>
      </w:r>
      <w:r>
        <w:rPr>
          <w:rFonts w:hint="eastAsia" w:ascii="仿宋_GB2312" w:eastAsia="仿宋_GB2312"/>
          <w:b w:val="0"/>
          <w:bCs w:val="0"/>
          <w:sz w:val="28"/>
          <w:szCs w:val="30"/>
          <w:highlight w:val="none"/>
          <w:lang w:val="en-US" w:eastAsia="zh-CN"/>
        </w:rPr>
        <w:t>07</w:t>
      </w:r>
      <w:r>
        <w:rPr>
          <w:rFonts w:hint="eastAsia" w:ascii="仿宋_GB2312" w:eastAsia="仿宋_GB2312"/>
          <w:b w:val="0"/>
          <w:bCs w:val="0"/>
          <w:sz w:val="28"/>
          <w:szCs w:val="30"/>
          <w:highlight w:val="none"/>
        </w:rPr>
        <w:t>万人。</w:t>
      </w:r>
    </w:p>
    <w:p w14:paraId="4BB3E3C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Times New Roman" w:eastAsia="仿宋_GB2312" w:cs="Times New Roman"/>
          <w:b w:val="0"/>
          <w:bCs w:val="0"/>
          <w:sz w:val="28"/>
          <w:szCs w:val="30"/>
          <w:highlight w:val="none"/>
        </w:rPr>
      </w:pPr>
      <w:r>
        <w:rPr>
          <w:rFonts w:hint="eastAsia" w:ascii="仿宋_GB2312" w:hAnsi="Times New Roman" w:eastAsia="仿宋_GB2312" w:cs="Times New Roman"/>
          <w:b w:val="0"/>
          <w:bCs w:val="0"/>
          <w:sz w:val="28"/>
          <w:szCs w:val="30"/>
          <w:highlight w:val="none"/>
          <w:lang w:val="en-US" w:eastAsia="zh-CN"/>
        </w:rPr>
        <w:t>②土地级别：</w:t>
      </w:r>
      <w:r>
        <w:rPr>
          <w:rFonts w:hint="eastAsia" w:ascii="仿宋_GB2312" w:eastAsia="仿宋_GB2312"/>
          <w:b w:val="0"/>
          <w:bCs w:val="0"/>
          <w:color w:val="000000"/>
          <w:sz w:val="28"/>
          <w:highlight w:val="none"/>
        </w:rPr>
        <w:t>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b w:val="0"/>
          <w:bCs w:val="0"/>
          <w:color w:val="000000"/>
          <w:sz w:val="28"/>
          <w:highlight w:val="none"/>
          <w:lang w:eastAsia="zh-CN"/>
        </w:rPr>
        <w:t>，</w:t>
      </w:r>
      <w:r>
        <w:rPr>
          <w:rFonts w:hint="eastAsia" w:ascii="仿宋_GB2312" w:eastAsia="仿宋_GB2312"/>
          <w:b w:val="0"/>
          <w:bCs w:val="0"/>
          <w:color w:val="000000"/>
          <w:sz w:val="28"/>
          <w:highlight w:val="none"/>
          <w:lang w:val="en-US" w:eastAsia="zh-CN"/>
        </w:rPr>
        <w:t>故暂无土地级别信息</w:t>
      </w:r>
      <w:r>
        <w:rPr>
          <w:rFonts w:hint="eastAsia" w:ascii="仿宋_GB2312" w:hAnsi="Times New Roman" w:eastAsia="仿宋_GB2312" w:cs="Times New Roman"/>
          <w:b w:val="0"/>
          <w:bCs w:val="0"/>
          <w:sz w:val="28"/>
          <w:szCs w:val="30"/>
          <w:highlight w:val="none"/>
          <w:lang w:val="en-US" w:eastAsia="zh-CN"/>
        </w:rPr>
        <w:t>。</w:t>
      </w:r>
    </w:p>
    <w:p w14:paraId="367320D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eastAsia="仿宋_GB2312"/>
          <w:b w:val="0"/>
          <w:bCs w:val="0"/>
          <w:sz w:val="28"/>
          <w:szCs w:val="30"/>
          <w:highlight w:val="none"/>
        </w:rPr>
      </w:pPr>
      <w:r>
        <w:rPr>
          <w:rFonts w:hint="eastAsia" w:ascii="仿宋_GB2312" w:hAnsi="Times New Roman" w:eastAsia="仿宋_GB2312" w:cs="Times New Roman"/>
          <w:b w:val="0"/>
          <w:bCs w:val="0"/>
          <w:sz w:val="28"/>
          <w:szCs w:val="30"/>
          <w:highlight w:val="none"/>
          <w:lang w:val="en-US" w:eastAsia="zh-CN"/>
        </w:rPr>
        <w:t>③</w:t>
      </w:r>
      <w:r>
        <w:rPr>
          <w:rFonts w:hint="eastAsia" w:ascii="仿宋_GB2312" w:hAnsi="Times New Roman" w:eastAsia="仿宋_GB2312" w:cs="Times New Roman"/>
          <w:b w:val="0"/>
          <w:bCs w:val="0"/>
          <w:sz w:val="28"/>
          <w:szCs w:val="30"/>
          <w:highlight w:val="none"/>
        </w:rPr>
        <w:t>经济发展：</w:t>
      </w:r>
      <w:r>
        <w:rPr>
          <w:rFonts w:hint="eastAsia" w:ascii="仿宋_GB2312" w:eastAsia="仿宋_GB2312" w:cs="Times New Roman"/>
          <w:b w:val="0"/>
          <w:bCs w:val="0"/>
          <w:sz w:val="28"/>
          <w:szCs w:val="30"/>
          <w:highlight w:val="none"/>
          <w:lang w:val="en-US" w:eastAsia="zh-CN"/>
        </w:rPr>
        <w:t>2024年道县</w:t>
      </w:r>
      <w:r>
        <w:rPr>
          <w:rFonts w:hint="eastAsia" w:ascii="仿宋_GB2312" w:hAnsi="Times New Roman" w:eastAsia="仿宋_GB2312" w:cs="Times New Roman"/>
          <w:b w:val="0"/>
          <w:bCs w:val="0"/>
          <w:sz w:val="28"/>
          <w:szCs w:val="30"/>
          <w:highlight w:val="none"/>
        </w:rPr>
        <w:t>主要经济指标继续保持全市第一方阵，全年完成地区生产总值293.81亿元，增长7.0%。规模工业增加值增长14.0%，固定资产投资增长8.1%，社会消费品零售总额增长6.9%，地方一般公共预算收入完成14.6亿元。县域经济高质量发展在全省同类同档县中排名前列。进出口总额完成19.1亿元，增幅排名全市第1</w:t>
      </w:r>
      <w:r>
        <w:rPr>
          <w:rFonts w:hint="eastAsia" w:ascii="仿宋_GB2312" w:eastAsia="仿宋_GB2312"/>
          <w:b w:val="0"/>
          <w:bCs w:val="0"/>
          <w:sz w:val="28"/>
          <w:szCs w:val="30"/>
          <w:highlight w:val="none"/>
        </w:rPr>
        <w:t>。</w:t>
      </w:r>
    </w:p>
    <w:p w14:paraId="4F83767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Times New Roman" w:eastAsia="仿宋_GB2312" w:cs="Times New Roman"/>
          <w:b w:val="0"/>
          <w:bCs w:val="0"/>
          <w:sz w:val="28"/>
          <w:szCs w:val="30"/>
          <w:highlight w:val="none"/>
          <w:lang w:eastAsia="zh-CN"/>
        </w:rPr>
      </w:pPr>
      <w:r>
        <w:rPr>
          <w:rFonts w:hint="eastAsia" w:ascii="仿宋_GB2312" w:eastAsia="仿宋_GB2312"/>
          <w:b w:val="0"/>
          <w:bCs w:val="0"/>
          <w:sz w:val="28"/>
          <w:szCs w:val="30"/>
          <w:highlight w:val="none"/>
          <w:lang w:val="en-US" w:eastAsia="zh-CN"/>
        </w:rPr>
        <w:t>④</w:t>
      </w:r>
      <w:r>
        <w:rPr>
          <w:rFonts w:hint="eastAsia" w:ascii="仿宋_GB2312" w:eastAsia="仿宋_GB2312"/>
          <w:b w:val="0"/>
          <w:bCs w:val="0"/>
          <w:sz w:val="28"/>
          <w:szCs w:val="30"/>
          <w:highlight w:val="none"/>
        </w:rPr>
        <w:t>区位优势</w:t>
      </w:r>
      <w:r>
        <w:rPr>
          <w:rFonts w:hint="eastAsia" w:ascii="仿宋_GB2312" w:hAnsi="Times New Roman" w:eastAsia="仿宋_GB2312" w:cs="Times New Roman"/>
          <w:b w:val="0"/>
          <w:bCs w:val="0"/>
          <w:sz w:val="28"/>
          <w:szCs w:val="30"/>
          <w:highlight w:val="none"/>
        </w:rPr>
        <w:t>：道县处于湘粤桂三省交汇区</w:t>
      </w:r>
      <w:r>
        <w:rPr>
          <w:rFonts w:hint="eastAsia" w:ascii="仿宋_GB2312" w:hAnsi="Times New Roman" w:eastAsia="仿宋_GB2312" w:cs="Times New Roman"/>
          <w:b w:val="0"/>
          <w:bCs w:val="0"/>
          <w:sz w:val="28"/>
          <w:szCs w:val="30"/>
          <w:highlight w:val="none"/>
          <w:lang w:eastAsia="zh-CN"/>
        </w:rPr>
        <w:t>，是全省以至中部地区对接东盟，融入泛珠三角经济圈、泛北部湾经济圈的重要节点城市。近年来，道县依托独特的区位优势、地理环境和资源禀赋，坚持以新型城镇化的大突破，带动新型工业化、农业现代化的大发展，县域经济突飞猛进，连续多年被评为湖南省县域经济发展先进县。城市现代服务业异军突起，肯德基、苏宁电器、碧桂园等国际国内知名品牌企业纷纷抢滩登陆。文化旅游蓬勃发展，理学文化旅游节品牌效应凸显，以濂溪文化景区为龙头的全域旅游开发建设风生水起。道县被评为中华诗词之乡、中国龙舟之乡，道县入选湖南省旅游资源重点县，清塘镇纳入湖南省特色旅游小镇名录。是湘南国家级承接产业转移示范区核心区、全国加工贸易梯度转移重点承接地、全国粮食生产先进县、全国厚朴生产基地县、全国生猪生产调出大县、全国能繁母牛养殖示范县、全国蔬菜产业重点县、全国生态文明先进县和中国脐橙之乡。</w:t>
      </w:r>
    </w:p>
    <w:p w14:paraId="7F80710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Times New Roman" w:eastAsia="仿宋_GB2312" w:cs="Times New Roman"/>
          <w:b w:val="0"/>
          <w:bCs w:val="0"/>
          <w:color w:val="auto"/>
          <w:sz w:val="28"/>
          <w:szCs w:val="30"/>
          <w:highlight w:val="none"/>
          <w:lang w:val="en-US" w:eastAsia="zh-CN"/>
        </w:rPr>
      </w:pPr>
      <w:r>
        <w:rPr>
          <w:rFonts w:hint="eastAsia" w:ascii="仿宋_GB2312" w:hAnsi="Times New Roman" w:eastAsia="仿宋_GB2312" w:cs="Times New Roman"/>
          <w:b w:val="0"/>
          <w:bCs w:val="0"/>
          <w:sz w:val="28"/>
          <w:szCs w:val="30"/>
          <w:highlight w:val="none"/>
          <w:lang w:val="en-US" w:eastAsia="zh-CN"/>
        </w:rPr>
        <w:t>2</w:t>
      </w:r>
      <w:r>
        <w:rPr>
          <w:rFonts w:hint="eastAsia" w:ascii="仿宋_GB2312" w:hAnsi="Times New Roman" w:eastAsia="仿宋_GB2312" w:cs="Times New Roman"/>
          <w:b w:val="0"/>
          <w:bCs w:val="0"/>
          <w:color w:val="auto"/>
          <w:sz w:val="28"/>
          <w:szCs w:val="30"/>
          <w:highlight w:val="none"/>
          <w:lang w:val="en-US" w:eastAsia="zh-CN"/>
        </w:rPr>
        <w:t>.交通条件</w:t>
      </w:r>
    </w:p>
    <w:p w14:paraId="2AD8832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ascii="仿宋_GB2312" w:eastAsia="仿宋_GB2312"/>
          <w:b w:val="0"/>
          <w:bCs w:val="0"/>
          <w:color w:val="auto"/>
          <w:sz w:val="28"/>
          <w:szCs w:val="30"/>
          <w:highlight w:val="none"/>
        </w:rPr>
      </w:pPr>
      <w:r>
        <w:rPr>
          <w:rFonts w:hint="eastAsia" w:ascii="仿宋_GB2312" w:eastAsia="仿宋_GB2312"/>
          <w:b w:val="0"/>
          <w:bCs w:val="0"/>
          <w:color w:val="auto"/>
          <w:sz w:val="28"/>
          <w:szCs w:val="30"/>
          <w:highlight w:val="none"/>
        </w:rPr>
        <w:t>（1）区域内公共交通状况</w:t>
      </w:r>
    </w:p>
    <w:p w14:paraId="54BD6BD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ascii="仿宋_GB2312" w:eastAsia="仿宋_GB2312"/>
          <w:b w:val="0"/>
          <w:bCs w:val="0"/>
          <w:color w:val="auto"/>
          <w:sz w:val="28"/>
          <w:szCs w:val="30"/>
          <w:highlight w:val="none"/>
        </w:rPr>
      </w:pPr>
      <w:r>
        <w:rPr>
          <w:rFonts w:hint="eastAsia" w:ascii="仿宋_GB2312" w:hAnsi="仿宋_GB2312" w:eastAsia="仿宋_GB2312" w:cs="仿宋_GB2312"/>
          <w:b w:val="0"/>
          <w:bCs w:val="0"/>
          <w:snapToGrid w:val="0"/>
          <w:color w:val="auto"/>
          <w:sz w:val="28"/>
          <w:szCs w:val="28"/>
          <w:highlight w:val="none"/>
        </w:rPr>
        <w:t>估价对象</w:t>
      </w:r>
      <w:r>
        <w:rPr>
          <w:rFonts w:hint="eastAsia" w:ascii="仿宋_GB2312" w:hAnsi="仿宋_GB2312" w:eastAsia="仿宋_GB2312" w:cs="仿宋_GB2312"/>
          <w:b w:val="0"/>
          <w:bCs w:val="0"/>
          <w:snapToGrid w:val="0"/>
          <w:color w:val="auto"/>
          <w:sz w:val="28"/>
          <w:szCs w:val="28"/>
          <w:highlight w:val="none"/>
          <w:lang w:val="en-US" w:eastAsia="zh-CN"/>
        </w:rPr>
        <w:t>北临宝珍街，</w:t>
      </w:r>
      <w:r>
        <w:rPr>
          <w:rFonts w:hint="eastAsia" w:ascii="仿宋_GB2312" w:hAnsi="仿宋_GB2312" w:eastAsia="仿宋_GB2312" w:cs="仿宋_GB2312"/>
          <w:b w:val="0"/>
          <w:bCs w:val="0"/>
          <w:snapToGrid w:val="0"/>
          <w:color w:val="auto"/>
          <w:sz w:val="28"/>
          <w:szCs w:val="28"/>
          <w:highlight w:val="none"/>
        </w:rPr>
        <w:t>区域内有</w:t>
      </w:r>
      <w:r>
        <w:rPr>
          <w:rFonts w:hint="eastAsia" w:ascii="仿宋_GB2312" w:hAnsi="仿宋_GB2312" w:eastAsia="仿宋_GB2312" w:cs="仿宋_GB2312"/>
          <w:b w:val="0"/>
          <w:bCs w:val="0"/>
          <w:snapToGrid w:val="0"/>
          <w:color w:val="auto"/>
          <w:sz w:val="28"/>
          <w:szCs w:val="28"/>
          <w:highlight w:val="none"/>
          <w:lang w:val="en-US" w:eastAsia="zh-CN"/>
        </w:rPr>
        <w:t>爱莲中路、道州中路、潇水中路</w:t>
      </w:r>
      <w:r>
        <w:rPr>
          <w:rFonts w:hint="eastAsia" w:ascii="仿宋_GB2312" w:hAnsi="仿宋_GB2312" w:eastAsia="仿宋_GB2312" w:cs="仿宋_GB2312"/>
          <w:b w:val="0"/>
          <w:bCs w:val="0"/>
          <w:snapToGrid w:val="0"/>
          <w:color w:val="auto"/>
          <w:sz w:val="28"/>
          <w:szCs w:val="28"/>
          <w:highlight w:val="none"/>
        </w:rPr>
        <w:t>等城市主、次干道，</w:t>
      </w:r>
      <w:r>
        <w:rPr>
          <w:rFonts w:hint="eastAsia" w:ascii="仿宋_GB2312" w:hAnsi="仿宋_GB2312" w:eastAsia="仿宋_GB2312" w:cs="仿宋_GB2312"/>
          <w:b w:val="0"/>
          <w:bCs w:val="0"/>
          <w:snapToGrid w:val="0"/>
          <w:color w:val="auto"/>
          <w:sz w:val="28"/>
          <w:szCs w:val="28"/>
          <w:highlight w:val="none"/>
          <w:lang w:val="en-US" w:eastAsia="zh-CN"/>
        </w:rPr>
        <w:t>距营江路口公交站350米，</w:t>
      </w:r>
      <w:r>
        <w:rPr>
          <w:rFonts w:hint="eastAsia" w:ascii="仿宋_GB2312" w:hAnsi="仿宋_GB2312" w:eastAsia="仿宋_GB2312" w:cs="仿宋_GB2312"/>
          <w:b w:val="0"/>
          <w:bCs w:val="0"/>
          <w:snapToGrid w:val="0"/>
          <w:color w:val="auto"/>
          <w:sz w:val="28"/>
          <w:szCs w:val="28"/>
          <w:highlight w:val="none"/>
        </w:rPr>
        <w:t>距离</w:t>
      </w:r>
      <w:r>
        <w:rPr>
          <w:rFonts w:hint="eastAsia" w:ascii="仿宋_GB2312" w:hAnsi="仿宋_GB2312" w:eastAsia="仿宋_GB2312" w:cs="仿宋_GB2312"/>
          <w:b w:val="0"/>
          <w:bCs w:val="0"/>
          <w:snapToGrid w:val="0"/>
          <w:color w:val="auto"/>
          <w:sz w:val="28"/>
          <w:szCs w:val="28"/>
          <w:highlight w:val="none"/>
          <w:lang w:val="en-US" w:eastAsia="zh-CN"/>
        </w:rPr>
        <w:t>道州新车站</w:t>
      </w:r>
      <w:r>
        <w:rPr>
          <w:rFonts w:hint="eastAsia" w:ascii="仿宋_GB2312" w:hAnsi="仿宋_GB2312" w:eastAsia="仿宋_GB2312" w:cs="仿宋_GB2312"/>
          <w:b w:val="0"/>
          <w:bCs w:val="0"/>
          <w:snapToGrid w:val="0"/>
          <w:color w:val="auto"/>
          <w:sz w:val="28"/>
          <w:szCs w:val="28"/>
          <w:highlight w:val="none"/>
        </w:rPr>
        <w:t>约</w:t>
      </w:r>
      <w:r>
        <w:rPr>
          <w:rFonts w:hint="eastAsia" w:ascii="仿宋_GB2312" w:hAnsi="仿宋_GB2312" w:eastAsia="仿宋_GB2312" w:cs="仿宋_GB2312"/>
          <w:b w:val="0"/>
          <w:bCs w:val="0"/>
          <w:snapToGrid w:val="0"/>
          <w:color w:val="auto"/>
          <w:sz w:val="28"/>
          <w:szCs w:val="28"/>
          <w:highlight w:val="none"/>
          <w:lang w:val="en-US" w:eastAsia="zh-CN"/>
        </w:rPr>
        <w:t>570</w:t>
      </w:r>
      <w:r>
        <w:rPr>
          <w:rFonts w:hint="eastAsia" w:ascii="仿宋_GB2312" w:hAnsi="仿宋_GB2312" w:eastAsia="仿宋_GB2312" w:cs="仿宋_GB2312"/>
          <w:b w:val="0"/>
          <w:bCs w:val="0"/>
          <w:snapToGrid w:val="0"/>
          <w:color w:val="auto"/>
          <w:sz w:val="28"/>
          <w:szCs w:val="28"/>
          <w:highlight w:val="none"/>
        </w:rPr>
        <w:t>米，距离</w:t>
      </w:r>
      <w:r>
        <w:rPr>
          <w:rFonts w:hint="eastAsia" w:ascii="仿宋_GB2312" w:hAnsi="仿宋_GB2312" w:eastAsia="仿宋_GB2312" w:cs="仿宋_GB2312"/>
          <w:b w:val="0"/>
          <w:bCs w:val="0"/>
          <w:snapToGrid w:val="0"/>
          <w:color w:val="auto"/>
          <w:sz w:val="28"/>
          <w:szCs w:val="28"/>
          <w:highlight w:val="none"/>
          <w:lang w:val="en-US" w:eastAsia="zh-CN"/>
        </w:rPr>
        <w:t>道贺高速出入口</w:t>
      </w:r>
      <w:r>
        <w:rPr>
          <w:rFonts w:hint="eastAsia" w:ascii="仿宋_GB2312" w:hAnsi="仿宋_GB2312" w:eastAsia="仿宋_GB2312" w:cs="仿宋_GB2312"/>
          <w:b w:val="0"/>
          <w:bCs w:val="0"/>
          <w:snapToGrid w:val="0"/>
          <w:color w:val="auto"/>
          <w:sz w:val="28"/>
          <w:szCs w:val="28"/>
          <w:highlight w:val="none"/>
        </w:rPr>
        <w:t>约</w:t>
      </w:r>
      <w:r>
        <w:rPr>
          <w:rFonts w:hint="eastAsia" w:ascii="仿宋_GB2312" w:hAnsi="仿宋_GB2312" w:eastAsia="仿宋_GB2312" w:cs="仿宋_GB2312"/>
          <w:b w:val="0"/>
          <w:bCs w:val="0"/>
          <w:snapToGrid w:val="0"/>
          <w:color w:val="auto"/>
          <w:sz w:val="28"/>
          <w:szCs w:val="28"/>
          <w:highlight w:val="none"/>
          <w:lang w:val="en-US" w:eastAsia="zh-CN"/>
        </w:rPr>
        <w:t>5900</w:t>
      </w:r>
      <w:r>
        <w:rPr>
          <w:rFonts w:hint="eastAsia" w:ascii="仿宋_GB2312" w:hAnsi="仿宋_GB2312" w:eastAsia="仿宋_GB2312" w:cs="仿宋_GB2312"/>
          <w:b w:val="0"/>
          <w:bCs w:val="0"/>
          <w:snapToGrid w:val="0"/>
          <w:color w:val="auto"/>
          <w:sz w:val="28"/>
          <w:szCs w:val="28"/>
          <w:highlight w:val="none"/>
        </w:rPr>
        <w:t>米，区域内交通便捷度</w:t>
      </w:r>
      <w:r>
        <w:rPr>
          <w:rFonts w:hint="eastAsia" w:ascii="仿宋_GB2312" w:hAnsi="仿宋_GB2312" w:eastAsia="仿宋_GB2312" w:cs="仿宋_GB2312"/>
          <w:b w:val="0"/>
          <w:bCs w:val="0"/>
          <w:snapToGrid w:val="0"/>
          <w:color w:val="auto"/>
          <w:sz w:val="28"/>
          <w:szCs w:val="28"/>
          <w:highlight w:val="none"/>
          <w:lang w:val="en-US" w:eastAsia="zh-CN"/>
        </w:rPr>
        <w:t>较高</w:t>
      </w:r>
      <w:r>
        <w:rPr>
          <w:rFonts w:hint="eastAsia" w:ascii="仿宋_GB2312" w:eastAsia="仿宋_GB2312"/>
          <w:b w:val="0"/>
          <w:bCs w:val="0"/>
          <w:color w:val="auto"/>
          <w:sz w:val="28"/>
          <w:szCs w:val="30"/>
          <w:highlight w:val="none"/>
        </w:rPr>
        <w:t>。</w:t>
      </w:r>
    </w:p>
    <w:p w14:paraId="2D6B7AA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（2）对外交通条件</w:t>
      </w:r>
    </w:p>
    <w:p w14:paraId="098E2FC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eastAsia="仿宋_GB2312"/>
          <w:b w:val="0"/>
          <w:bCs w:val="0"/>
          <w:color w:val="auto"/>
          <w:sz w:val="28"/>
          <w:szCs w:val="30"/>
          <w:highlight w:val="none"/>
        </w:rPr>
      </w:pPr>
      <w:r>
        <w:rPr>
          <w:rFonts w:hint="eastAsia" w:ascii="仿宋_GB2312" w:hAnsi="仿宋_GB2312" w:eastAsia="仿宋_GB2312" w:cs="仿宋_GB2312"/>
          <w:b w:val="0"/>
          <w:bCs w:val="0"/>
          <w:color w:val="auto"/>
          <w:sz w:val="28"/>
          <w:szCs w:val="28"/>
          <w:highlight w:val="none"/>
          <w:lang w:val="en-US" w:eastAsia="zh-CN"/>
        </w:rPr>
        <w:t>①公路：</w:t>
      </w:r>
      <w:r>
        <w:rPr>
          <w:rFonts w:hint="eastAsia" w:ascii="仿宋_GB2312" w:eastAsia="仿宋_GB2312"/>
          <w:b w:val="0"/>
          <w:bCs w:val="0"/>
          <w:color w:val="auto"/>
          <w:sz w:val="28"/>
          <w:szCs w:val="30"/>
          <w:highlight w:val="none"/>
        </w:rPr>
        <w:t>区域的外联道路主要有</w:t>
      </w:r>
      <w:r>
        <w:rPr>
          <w:rFonts w:hint="eastAsia" w:ascii="仿宋_GB2312" w:eastAsia="仿宋_GB2312"/>
          <w:b w:val="0"/>
          <w:bCs w:val="0"/>
          <w:color w:val="auto"/>
          <w:sz w:val="28"/>
          <w:szCs w:val="30"/>
          <w:highlight w:val="none"/>
          <w:lang w:val="en-US" w:eastAsia="zh-CN"/>
        </w:rPr>
        <w:t>道贺高速、夏蓉高速</w:t>
      </w:r>
      <w:r>
        <w:rPr>
          <w:rFonts w:hint="eastAsia" w:ascii="仿宋_GB2312" w:eastAsia="仿宋_GB2312"/>
          <w:b w:val="0"/>
          <w:bCs w:val="0"/>
          <w:color w:val="auto"/>
          <w:sz w:val="28"/>
          <w:szCs w:val="30"/>
          <w:highlight w:val="none"/>
        </w:rPr>
        <w:t>等干线交会，为区域内对外开放奠定了良好的基础，区位优势明显，交通十分便利。</w:t>
      </w:r>
    </w:p>
    <w:p w14:paraId="6CB49C8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②铁路：道州火车站主要线路为益湛铁路，估价对象所在区域中心距离该火车站约2300m。</w:t>
      </w:r>
    </w:p>
    <w:p w14:paraId="52ED494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③高铁：估价对象区域距永州高铁站约103.5km。</w:t>
      </w:r>
    </w:p>
    <w:p w14:paraId="3658420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④航空：估价对象区域距离最近的机场为永州零陵机场约90.5km。</w:t>
      </w:r>
    </w:p>
    <w:p w14:paraId="40B18B9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⑤水运：道县区域境内主要河流为潇水，水位较浅，未形成水运条件，水运主要依托长沙湘江流域。</w:t>
      </w:r>
    </w:p>
    <w:p w14:paraId="32A49EE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3.基础设施和市政公用设施</w:t>
      </w:r>
    </w:p>
    <w:p w14:paraId="01C59B4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（1）供电：区域内接市政双回路110KV供电管网，供电保证率高。</w:t>
      </w:r>
    </w:p>
    <w:p w14:paraId="5DEF1FD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sz w:val="28"/>
          <w:szCs w:val="28"/>
          <w:highlight w:val="none"/>
          <w:lang w:val="en-US" w:eastAsia="zh-CN"/>
        </w:rPr>
      </w:pPr>
      <w:r>
        <w:rPr>
          <w:rFonts w:hint="eastAsia" w:ascii="仿宋_GB2312" w:hAnsi="仿宋_GB2312" w:eastAsia="仿宋_GB2312" w:cs="仿宋_GB2312"/>
          <w:b w:val="0"/>
          <w:bCs w:val="0"/>
          <w:sz w:val="28"/>
          <w:szCs w:val="28"/>
          <w:highlight w:val="none"/>
          <w:lang w:val="en-US" w:eastAsia="zh-CN"/>
        </w:rPr>
        <w:t>（2）通讯：区域内通讯与市政通讯网相联，通讯线路以地下管道为主，辅以架空线路，通讯线路畅通，区内已实现移动电话全国漫游，区内全面铺设了高速宽带通讯光缆。</w:t>
      </w:r>
    </w:p>
    <w:p w14:paraId="09638E3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sz w:val="28"/>
          <w:szCs w:val="28"/>
          <w:highlight w:val="none"/>
          <w:lang w:val="en-US" w:eastAsia="zh-CN"/>
        </w:rPr>
      </w:pPr>
      <w:r>
        <w:rPr>
          <w:rFonts w:hint="eastAsia" w:ascii="仿宋_GB2312" w:hAnsi="仿宋_GB2312" w:eastAsia="仿宋_GB2312" w:cs="仿宋_GB2312"/>
          <w:b w:val="0"/>
          <w:bCs w:val="0"/>
          <w:sz w:val="28"/>
          <w:szCs w:val="28"/>
          <w:highlight w:val="none"/>
          <w:lang w:val="en-US" w:eastAsia="zh-CN"/>
        </w:rPr>
        <w:t>（3）给水：区域内供水主要来自区内的市政供水。自来水供应管道标准φ1000mm、φ800mm、φ600mm，供水保证率高。</w:t>
      </w:r>
    </w:p>
    <w:p w14:paraId="41BD1BD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sz w:val="28"/>
          <w:szCs w:val="28"/>
          <w:highlight w:val="none"/>
          <w:lang w:val="en-US" w:eastAsia="zh-CN"/>
        </w:rPr>
      </w:pPr>
      <w:r>
        <w:rPr>
          <w:rFonts w:hint="eastAsia" w:ascii="仿宋_GB2312" w:hAnsi="仿宋_GB2312" w:eastAsia="仿宋_GB2312" w:cs="仿宋_GB2312"/>
          <w:b w:val="0"/>
          <w:bCs w:val="0"/>
          <w:sz w:val="28"/>
          <w:szCs w:val="28"/>
          <w:highlight w:val="none"/>
          <w:lang w:val="en-US" w:eastAsia="zh-CN"/>
        </w:rPr>
        <w:t>（4）排水：区内排水为雨污分流方式，排污管沿主要道路铺设，以污水处理厂为终结，市政排水体系完备。</w:t>
      </w:r>
    </w:p>
    <w:p w14:paraId="155AD38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sz w:val="28"/>
          <w:szCs w:val="28"/>
          <w:highlight w:val="none"/>
          <w:lang w:val="en-US" w:eastAsia="zh-CN"/>
        </w:rPr>
      </w:pPr>
      <w:r>
        <w:rPr>
          <w:rFonts w:hint="eastAsia" w:ascii="仿宋_GB2312" w:hAnsi="仿宋_GB2312" w:eastAsia="仿宋_GB2312" w:cs="仿宋_GB2312"/>
          <w:b w:val="0"/>
          <w:bCs w:val="0"/>
          <w:sz w:val="28"/>
          <w:szCs w:val="28"/>
          <w:highlight w:val="none"/>
          <w:lang w:val="en-US" w:eastAsia="zh-CN"/>
        </w:rPr>
        <w:t>（5）通气：/。</w:t>
      </w:r>
    </w:p>
    <w:p w14:paraId="1C69721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sz w:val="28"/>
          <w:szCs w:val="28"/>
          <w:highlight w:val="none"/>
          <w:lang w:val="en-US" w:eastAsia="zh-CN"/>
        </w:rPr>
      </w:pPr>
      <w:r>
        <w:rPr>
          <w:rFonts w:hint="eastAsia" w:ascii="仿宋_GB2312" w:hAnsi="仿宋_GB2312" w:eastAsia="仿宋_GB2312" w:cs="仿宋_GB2312"/>
          <w:b w:val="0"/>
          <w:bCs w:val="0"/>
          <w:sz w:val="28"/>
          <w:szCs w:val="28"/>
          <w:highlight w:val="none"/>
          <w:lang w:val="en-US" w:eastAsia="zh-CN"/>
        </w:rPr>
        <w:t>（6）供暖：/。</w:t>
      </w:r>
    </w:p>
    <w:p w14:paraId="02A3209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4.环境条件</w:t>
      </w:r>
    </w:p>
    <w:p w14:paraId="0D0284E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ascii="仿宋_GB2312" w:eastAsia="仿宋_GB2312"/>
          <w:b w:val="0"/>
          <w:bCs w:val="0"/>
          <w:color w:val="auto"/>
          <w:sz w:val="28"/>
          <w:szCs w:val="30"/>
          <w:highlight w:val="none"/>
        </w:rPr>
      </w:pPr>
      <w:r>
        <w:rPr>
          <w:rFonts w:hint="eastAsia" w:ascii="仿宋_GB2312" w:eastAsia="仿宋_GB2312"/>
          <w:b w:val="0"/>
          <w:bCs w:val="0"/>
          <w:color w:val="auto"/>
          <w:sz w:val="28"/>
          <w:szCs w:val="30"/>
          <w:highlight w:val="none"/>
        </w:rPr>
        <w:t>（1）人文环境</w:t>
      </w:r>
    </w:p>
    <w:p w14:paraId="47BAE9D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ascii="仿宋_GB2312" w:eastAsia="仿宋_GB2312"/>
          <w:b w:val="0"/>
          <w:bCs w:val="0"/>
          <w:sz w:val="28"/>
          <w:szCs w:val="30"/>
          <w:highlight w:val="none"/>
        </w:rPr>
      </w:pPr>
      <w:r>
        <w:rPr>
          <w:rFonts w:hint="eastAsia" w:ascii="仿宋_GB2312" w:hAnsi="仿宋_GB2312" w:eastAsia="仿宋_GB2312" w:cs="仿宋_GB2312"/>
          <w:b w:val="0"/>
          <w:bCs w:val="0"/>
          <w:snapToGrid w:val="0"/>
          <w:color w:val="auto"/>
          <w:sz w:val="28"/>
          <w:szCs w:val="28"/>
          <w:highlight w:val="none"/>
        </w:rPr>
        <w:t>区域内有居民受</w:t>
      </w:r>
      <w:r>
        <w:rPr>
          <w:rFonts w:hint="eastAsia" w:ascii="仿宋_GB2312" w:hAnsi="仿宋_GB2312" w:eastAsia="仿宋_GB2312" w:cs="仿宋_GB2312"/>
          <w:b w:val="0"/>
          <w:bCs w:val="0"/>
          <w:snapToGrid w:val="0"/>
          <w:sz w:val="28"/>
          <w:szCs w:val="28"/>
          <w:highlight w:val="none"/>
        </w:rPr>
        <w:t>教育程度较好，人文环境较好</w:t>
      </w:r>
      <w:r>
        <w:rPr>
          <w:rFonts w:hint="eastAsia" w:ascii="仿宋_GB2312" w:eastAsia="仿宋_GB2312"/>
          <w:b w:val="0"/>
          <w:bCs w:val="0"/>
          <w:sz w:val="28"/>
          <w:szCs w:val="30"/>
          <w:highlight w:val="none"/>
        </w:rPr>
        <w:t>。</w:t>
      </w:r>
    </w:p>
    <w:p w14:paraId="6EF0C66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ascii="仿宋_GB2312" w:eastAsia="仿宋_GB2312"/>
          <w:b w:val="0"/>
          <w:bCs w:val="0"/>
          <w:color w:val="auto"/>
          <w:sz w:val="28"/>
          <w:szCs w:val="30"/>
          <w:highlight w:val="none"/>
        </w:rPr>
      </w:pPr>
      <w:r>
        <w:rPr>
          <w:rFonts w:hint="eastAsia" w:ascii="仿宋_GB2312" w:eastAsia="仿宋_GB2312"/>
          <w:b w:val="0"/>
          <w:bCs w:val="0"/>
          <w:color w:val="auto"/>
          <w:sz w:val="28"/>
          <w:szCs w:val="30"/>
          <w:highlight w:val="none"/>
        </w:rPr>
        <w:t>（2）自然环境</w:t>
      </w:r>
    </w:p>
    <w:p w14:paraId="598B4AB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eastAsia="仿宋_GB2312"/>
          <w:b w:val="0"/>
          <w:bCs w:val="0"/>
          <w:color w:val="auto"/>
          <w:sz w:val="28"/>
          <w:szCs w:val="30"/>
          <w:highlight w:val="none"/>
          <w:lang w:val="en-US" w:eastAsia="zh-CN"/>
        </w:rPr>
      </w:pPr>
      <w:r>
        <w:rPr>
          <w:rFonts w:hint="eastAsia" w:ascii="仿宋_GB2312" w:eastAsia="仿宋_GB2312"/>
          <w:b w:val="0"/>
          <w:bCs w:val="0"/>
          <w:color w:val="auto"/>
          <w:sz w:val="28"/>
          <w:szCs w:val="30"/>
          <w:highlight w:val="none"/>
        </w:rPr>
        <w:t>宗地所在区域，地质条件较好，宗地无异常地质现象，地基承载力</w:t>
      </w:r>
      <w:r>
        <w:rPr>
          <w:rFonts w:hint="eastAsia" w:ascii="仿宋_GB2312" w:eastAsia="仿宋_GB2312"/>
          <w:b w:val="0"/>
          <w:bCs w:val="0"/>
          <w:color w:val="auto"/>
          <w:sz w:val="28"/>
          <w:szCs w:val="30"/>
          <w:highlight w:val="none"/>
          <w:lang w:val="en-US" w:eastAsia="zh-CN"/>
        </w:rPr>
        <w:t>大于25</w:t>
      </w:r>
      <w:r>
        <w:rPr>
          <w:rFonts w:hint="eastAsia" w:ascii="仿宋_GB2312" w:eastAsia="仿宋_GB2312"/>
          <w:b w:val="0"/>
          <w:bCs w:val="0"/>
          <w:color w:val="auto"/>
          <w:sz w:val="28"/>
          <w:szCs w:val="30"/>
          <w:highlight w:val="none"/>
        </w:rPr>
        <w:t>吨/平方米，地势平坦。区域内无大型污染性企业，据史料记载，区域内自然灾害率大于100年一遇</w:t>
      </w:r>
      <w:r>
        <w:rPr>
          <w:rFonts w:hint="eastAsia" w:ascii="仿宋_GB2312" w:eastAsia="仿宋_GB2312"/>
          <w:b w:val="0"/>
          <w:bCs w:val="0"/>
          <w:color w:val="auto"/>
          <w:sz w:val="28"/>
          <w:szCs w:val="30"/>
          <w:highlight w:val="none"/>
          <w:lang w:eastAsia="zh-CN"/>
        </w:rPr>
        <w:t>，</w:t>
      </w:r>
      <w:r>
        <w:rPr>
          <w:rFonts w:hint="eastAsia" w:ascii="仿宋_GB2312" w:eastAsia="仿宋_GB2312"/>
          <w:b w:val="0"/>
          <w:bCs w:val="0"/>
          <w:color w:val="auto"/>
          <w:sz w:val="28"/>
          <w:szCs w:val="30"/>
          <w:highlight w:val="none"/>
          <w:lang w:val="en-US" w:eastAsia="zh-CN"/>
        </w:rPr>
        <w:t>自然环境较好。</w:t>
      </w:r>
    </w:p>
    <w:p w14:paraId="21BD3B8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5.商服繁华程度</w:t>
      </w:r>
    </w:p>
    <w:p w14:paraId="2EC00C1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rPr>
        <w:t>宗地所在区域距离</w:t>
      </w:r>
      <w:r>
        <w:rPr>
          <w:rFonts w:hint="eastAsia" w:ascii="仿宋_GB2312" w:hAnsi="仿宋_GB2312" w:eastAsia="仿宋_GB2312" w:cs="仿宋_GB2312"/>
          <w:b w:val="0"/>
          <w:bCs w:val="0"/>
          <w:color w:val="auto"/>
          <w:sz w:val="28"/>
          <w:szCs w:val="28"/>
          <w:highlight w:val="none"/>
          <w:lang w:val="en-US" w:eastAsia="zh-CN"/>
        </w:rPr>
        <w:t>商服中心爱莲商业广场100米</w:t>
      </w:r>
      <w:r>
        <w:rPr>
          <w:rFonts w:hint="eastAsia" w:ascii="仿宋_GB2312" w:hAnsi="仿宋_GB2312" w:eastAsia="仿宋_GB2312" w:cs="仿宋_GB2312"/>
          <w:b w:val="0"/>
          <w:bCs w:val="0"/>
          <w:color w:val="auto"/>
          <w:sz w:val="28"/>
          <w:szCs w:val="28"/>
          <w:highlight w:val="none"/>
        </w:rPr>
        <w:t>，商服繁华影响度</w:t>
      </w:r>
      <w:r>
        <w:rPr>
          <w:rFonts w:hint="eastAsia" w:ascii="仿宋_GB2312" w:hAnsi="仿宋_GB2312" w:eastAsia="仿宋_GB2312" w:cs="仿宋_GB2312"/>
          <w:b w:val="0"/>
          <w:bCs w:val="0"/>
          <w:color w:val="auto"/>
          <w:sz w:val="28"/>
          <w:szCs w:val="28"/>
          <w:highlight w:val="none"/>
          <w:lang w:val="en-US" w:eastAsia="zh-CN"/>
        </w:rPr>
        <w:t>优。</w:t>
      </w:r>
    </w:p>
    <w:p w14:paraId="6BC7124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6.规划限制</w:t>
      </w:r>
    </w:p>
    <w:p w14:paraId="09E59B9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highlight w:val="none"/>
          <w:lang w:val="en-US" w:eastAsia="zh-CN"/>
        </w:rPr>
        <w:t>估价对象所在区域周边土地利用类型主要规划为商服用地、住宅用地，具体的开发建设必须符合规划管理部门的控制性详细规划</w:t>
      </w:r>
      <w:r>
        <w:rPr>
          <w:rFonts w:hint="eastAsia" w:ascii="仿宋_GB2312" w:hAnsi="仿宋_GB2312" w:eastAsia="仿宋_GB2312" w:cs="仿宋_GB2312"/>
          <w:b w:val="0"/>
          <w:bCs w:val="0"/>
          <w:color w:val="auto"/>
          <w:sz w:val="28"/>
          <w:szCs w:val="28"/>
          <w:highlight w:val="none"/>
          <w:lang w:val="en-US" w:eastAsia="zh-CN"/>
        </w:rPr>
        <w:t>。</w:t>
      </w:r>
    </w:p>
    <w:p w14:paraId="1C7DCC6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7.微观区域因素</w:t>
      </w:r>
    </w:p>
    <w:p w14:paraId="0CA6249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估价对象位于道县西洲街道宝珍街六栋九号，估价对象交通由</w:t>
      </w:r>
      <w:r>
        <w:rPr>
          <w:rFonts w:hint="eastAsia" w:ascii="仿宋_GB2312" w:hAnsi="仿宋_GB2312" w:eastAsia="仿宋_GB2312" w:cs="仿宋_GB2312"/>
          <w:b w:val="0"/>
          <w:bCs w:val="0"/>
          <w:snapToGrid w:val="0"/>
          <w:color w:val="auto"/>
          <w:sz w:val="28"/>
          <w:szCs w:val="28"/>
          <w:highlight w:val="none"/>
          <w:lang w:val="en-US" w:eastAsia="zh-CN"/>
        </w:rPr>
        <w:t>宝珍街</w:t>
      </w:r>
      <w:r>
        <w:rPr>
          <w:rFonts w:hint="eastAsia" w:ascii="仿宋_GB2312" w:hAnsi="仿宋_GB2312" w:eastAsia="仿宋_GB2312" w:cs="仿宋_GB2312"/>
          <w:b w:val="0"/>
          <w:bCs w:val="0"/>
          <w:color w:val="auto"/>
          <w:sz w:val="28"/>
          <w:szCs w:val="28"/>
          <w:highlight w:val="none"/>
          <w:lang w:val="en-US" w:eastAsia="zh-CN"/>
        </w:rPr>
        <w:t>构成路网，汇入各条主干道，区域交通条件较优。距最近汽车站（</w:t>
      </w:r>
      <w:r>
        <w:rPr>
          <w:rFonts w:hint="eastAsia" w:ascii="仿宋_GB2312" w:eastAsia="仿宋_GB2312"/>
          <w:b w:val="0"/>
          <w:bCs w:val="0"/>
          <w:color w:val="auto"/>
          <w:sz w:val="28"/>
          <w:szCs w:val="30"/>
          <w:highlight w:val="none"/>
          <w:lang w:val="en-US" w:eastAsia="zh-CN"/>
        </w:rPr>
        <w:t>道州新车站）约</w:t>
      </w:r>
      <w:r>
        <w:rPr>
          <w:rFonts w:hint="eastAsia" w:ascii="仿宋_GB2312" w:hAnsi="仿宋_GB2312" w:eastAsia="仿宋_GB2312" w:cs="仿宋_GB2312"/>
          <w:b w:val="0"/>
          <w:bCs w:val="0"/>
          <w:snapToGrid w:val="0"/>
          <w:color w:val="auto"/>
          <w:sz w:val="28"/>
          <w:szCs w:val="28"/>
          <w:highlight w:val="none"/>
          <w:lang w:val="en-US" w:eastAsia="zh-CN"/>
        </w:rPr>
        <w:t>570</w:t>
      </w:r>
      <w:r>
        <w:rPr>
          <w:rFonts w:hint="eastAsia" w:ascii="仿宋_GB2312" w:hAnsi="仿宋_GB2312" w:eastAsia="仿宋_GB2312" w:cs="仿宋_GB2312"/>
          <w:b w:val="0"/>
          <w:bCs w:val="0"/>
          <w:snapToGrid w:val="0"/>
          <w:color w:val="auto"/>
          <w:sz w:val="28"/>
          <w:szCs w:val="28"/>
          <w:highlight w:val="none"/>
        </w:rPr>
        <w:t>米</w:t>
      </w:r>
      <w:r>
        <w:rPr>
          <w:rFonts w:hint="eastAsia" w:ascii="仿宋_GB2312" w:hAnsi="仿宋_GB2312" w:eastAsia="仿宋_GB2312" w:cs="仿宋_GB2312"/>
          <w:b w:val="0"/>
          <w:bCs w:val="0"/>
          <w:color w:val="auto"/>
          <w:sz w:val="28"/>
          <w:szCs w:val="28"/>
          <w:highlight w:val="none"/>
          <w:lang w:val="en-US" w:eastAsia="zh-CN"/>
        </w:rPr>
        <w:t>，距最近公交车站（营江路口）350米，公交便捷度较优，距离最近火车站（道州火车站）约2300m，距火车站距离较远；区域基础设施状况好，水电综合保障率达95%以上。</w:t>
      </w:r>
    </w:p>
    <w:p w14:paraId="3FB847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综合考虑以上影响地价区域因素，评估分析：估价对象所在区域道路通达度较优，公交便捷度较优，对外交通便利度较优，基础设施齐全，商业繁华影响度优，地质条件好，区域无特殊规划限制。</w:t>
      </w:r>
    </w:p>
    <w:p w14:paraId="78602944">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(三)个别因素</w:t>
      </w:r>
    </w:p>
    <w:p w14:paraId="02DB65DD">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影响宗地的个别因素主要指与土地利用直接有关的宗地自身条件，包括估价对象位置、面积、用途、土地利用现状、宗地形状、地质条件、地势、基础设施条件等。</w:t>
      </w:r>
    </w:p>
    <w:p w14:paraId="64A63966">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1.土地位置</w:t>
      </w:r>
    </w:p>
    <w:p w14:paraId="4BADF303">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估价对象位于</w:t>
      </w:r>
      <w:r>
        <w:rPr>
          <w:rFonts w:hint="eastAsia" w:ascii="仿宋_GB2312" w:hAnsi="仿宋_GB2312" w:cs="仿宋_GB2312"/>
          <w:b w:val="0"/>
          <w:bCs w:val="0"/>
          <w:color w:val="auto"/>
          <w:sz w:val="28"/>
          <w:szCs w:val="28"/>
          <w:highlight w:val="none"/>
          <w:lang w:val="en-US" w:eastAsia="zh-CN"/>
        </w:rPr>
        <w:t>道县西洲街道宝珍街六栋九号</w:t>
      </w:r>
      <w:r>
        <w:rPr>
          <w:rFonts w:hint="eastAsia" w:ascii="仿宋_GB2312" w:hAnsi="仿宋_GB2312" w:eastAsia="仿宋_GB2312" w:cs="仿宋_GB2312"/>
          <w:b w:val="0"/>
          <w:bCs w:val="0"/>
          <w:color w:val="auto"/>
          <w:sz w:val="28"/>
          <w:szCs w:val="28"/>
          <w:highlight w:val="none"/>
          <w:lang w:val="en-US" w:eastAsia="zh-CN"/>
        </w:rPr>
        <w:t>。</w:t>
      </w:r>
    </w:p>
    <w:p w14:paraId="7DF5B412">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2.土地面积</w:t>
      </w:r>
    </w:p>
    <w:p w14:paraId="7C71180A">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根据委托估价方提供的</w:t>
      </w:r>
      <w:r>
        <w:rPr>
          <w:rFonts w:hint="eastAsia" w:ascii="仿宋_GB2312" w:hAnsi="仿宋_GB2312" w:cs="仿宋_GB2312"/>
          <w:b w:val="0"/>
          <w:bCs w:val="0"/>
          <w:color w:val="auto"/>
          <w:sz w:val="28"/>
          <w:szCs w:val="28"/>
          <w:highlight w:val="none"/>
          <w:lang w:val="en-US" w:eastAsia="zh-CN"/>
        </w:rPr>
        <w:t>《评估委托书》和《宗地图》</w:t>
      </w:r>
      <w:r>
        <w:rPr>
          <w:rFonts w:hint="eastAsia" w:ascii="仿宋_GB2312" w:hAnsi="仿宋_GB2312" w:eastAsia="仿宋_GB2312" w:cs="仿宋_GB2312"/>
          <w:b w:val="0"/>
          <w:bCs w:val="0"/>
          <w:color w:val="auto"/>
          <w:sz w:val="28"/>
          <w:szCs w:val="28"/>
          <w:highlight w:val="none"/>
          <w:lang w:val="en-US" w:eastAsia="zh-CN"/>
        </w:rPr>
        <w:t>，估价对象土地面积为</w:t>
      </w:r>
      <w:r>
        <w:rPr>
          <w:rFonts w:hint="eastAsia" w:ascii="仿宋_GB2312" w:hAnsi="仿宋_GB2312" w:cs="仿宋_GB2312"/>
          <w:b w:val="0"/>
          <w:bCs w:val="0"/>
          <w:color w:val="auto"/>
          <w:sz w:val="28"/>
          <w:szCs w:val="28"/>
          <w:highlight w:val="none"/>
          <w:lang w:val="en-US" w:eastAsia="zh-CN"/>
        </w:rPr>
        <w:t>50平方米</w:t>
      </w:r>
      <w:r>
        <w:rPr>
          <w:rFonts w:hint="eastAsia" w:ascii="仿宋_GB2312" w:hAnsi="仿宋_GB2312" w:eastAsia="仿宋_GB2312" w:cs="仿宋_GB2312"/>
          <w:b w:val="0"/>
          <w:bCs w:val="0"/>
          <w:color w:val="auto"/>
          <w:sz w:val="28"/>
          <w:szCs w:val="28"/>
          <w:highlight w:val="none"/>
          <w:lang w:val="en-US" w:eastAsia="zh-CN"/>
        </w:rPr>
        <w:t>，面积</w:t>
      </w:r>
      <w:r>
        <w:rPr>
          <w:rFonts w:hint="eastAsia" w:ascii="仿宋_GB2312" w:hAnsi="仿宋_GB2312" w:cs="仿宋_GB2312"/>
          <w:b w:val="0"/>
          <w:bCs w:val="0"/>
          <w:color w:val="auto"/>
          <w:sz w:val="28"/>
          <w:szCs w:val="28"/>
          <w:highlight w:val="none"/>
          <w:lang w:val="en-US" w:eastAsia="zh-CN"/>
        </w:rPr>
        <w:t>小</w:t>
      </w:r>
      <w:r>
        <w:rPr>
          <w:rFonts w:hint="eastAsia" w:ascii="仿宋_GB2312" w:hAnsi="仿宋_GB2312" w:eastAsia="仿宋_GB2312" w:cs="仿宋_GB2312"/>
          <w:b w:val="0"/>
          <w:bCs w:val="0"/>
          <w:color w:val="auto"/>
          <w:sz w:val="28"/>
          <w:szCs w:val="28"/>
          <w:highlight w:val="none"/>
          <w:lang w:val="en-US" w:eastAsia="zh-CN"/>
        </w:rPr>
        <w:t>，对土地利用</w:t>
      </w:r>
      <w:r>
        <w:rPr>
          <w:rFonts w:hint="eastAsia" w:ascii="仿宋_GB2312" w:hAnsi="仿宋_GB2312" w:cs="仿宋_GB2312"/>
          <w:b w:val="0"/>
          <w:bCs w:val="0"/>
          <w:color w:val="auto"/>
          <w:sz w:val="28"/>
          <w:szCs w:val="28"/>
          <w:highlight w:val="none"/>
          <w:lang w:val="en-US" w:eastAsia="zh-CN"/>
        </w:rPr>
        <w:t>有较大影响</w:t>
      </w:r>
      <w:r>
        <w:rPr>
          <w:rFonts w:hint="eastAsia" w:ascii="仿宋_GB2312" w:hAnsi="仿宋_GB2312" w:eastAsia="仿宋_GB2312" w:cs="仿宋_GB2312"/>
          <w:b w:val="0"/>
          <w:bCs w:val="0"/>
          <w:color w:val="auto"/>
          <w:sz w:val="28"/>
          <w:szCs w:val="28"/>
          <w:highlight w:val="none"/>
          <w:lang w:val="en-US" w:eastAsia="zh-CN"/>
        </w:rPr>
        <w:t>。</w:t>
      </w:r>
    </w:p>
    <w:p w14:paraId="434E9D74">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3.</w:t>
      </w:r>
      <w:r>
        <w:rPr>
          <w:rFonts w:hint="eastAsia" w:ascii="仿宋_GB2312" w:hAnsi="仿宋_GB2312" w:cs="仿宋_GB2312"/>
          <w:b w:val="0"/>
          <w:bCs w:val="0"/>
          <w:color w:val="auto"/>
          <w:sz w:val="28"/>
          <w:szCs w:val="28"/>
          <w:highlight w:val="none"/>
          <w:lang w:val="en-US" w:eastAsia="zh-CN"/>
        </w:rPr>
        <w:t>宗地四至：东临道县第九小学，南临巷道，西临建筑，北临宝珍街</w:t>
      </w:r>
      <w:r>
        <w:rPr>
          <w:rFonts w:hint="eastAsia" w:ascii="仿宋_GB2312" w:hAnsi="仿宋_GB2312" w:eastAsia="仿宋_GB2312" w:cs="仿宋_GB2312"/>
          <w:b w:val="0"/>
          <w:bCs w:val="0"/>
          <w:color w:val="auto"/>
          <w:sz w:val="28"/>
          <w:szCs w:val="28"/>
          <w:highlight w:val="none"/>
          <w:lang w:val="en-US" w:eastAsia="zh-CN"/>
        </w:rPr>
        <w:t>。</w:t>
      </w:r>
    </w:p>
    <w:p w14:paraId="2B9969C9">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4.土地用途</w:t>
      </w:r>
    </w:p>
    <w:p w14:paraId="4C021631">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根据</w:t>
      </w:r>
      <w:r>
        <w:rPr>
          <w:rFonts w:hint="eastAsia" w:ascii="仿宋_GB2312" w:hAnsi="仿宋_GB2312" w:cs="仿宋_GB2312"/>
          <w:b w:val="0"/>
          <w:bCs w:val="0"/>
          <w:color w:val="auto"/>
          <w:sz w:val="28"/>
          <w:szCs w:val="28"/>
          <w:highlight w:val="none"/>
          <w:lang w:val="en-US" w:eastAsia="zh-CN"/>
        </w:rPr>
        <w:t>《评估委托书》</w:t>
      </w:r>
      <w:r>
        <w:rPr>
          <w:rFonts w:hint="eastAsia" w:ascii="仿宋_GB2312" w:hAnsi="仿宋_GB2312" w:eastAsia="仿宋_GB2312" w:cs="仿宋_GB2312"/>
          <w:b w:val="0"/>
          <w:bCs w:val="0"/>
          <w:color w:val="auto"/>
          <w:sz w:val="28"/>
          <w:szCs w:val="28"/>
          <w:highlight w:val="none"/>
          <w:lang w:val="en-US" w:eastAsia="zh-CN"/>
        </w:rPr>
        <w:t>，土地用途为</w:t>
      </w:r>
      <w:r>
        <w:rPr>
          <w:rFonts w:hint="eastAsia" w:ascii="仿宋_GB2312" w:hAnsi="仿宋_GB2312" w:cs="仿宋_GB2312"/>
          <w:b w:val="0"/>
          <w:bCs w:val="0"/>
          <w:color w:val="auto"/>
          <w:sz w:val="28"/>
          <w:szCs w:val="28"/>
          <w:highlight w:val="none"/>
          <w:lang w:val="en-US" w:eastAsia="zh-CN"/>
        </w:rPr>
        <w:t>住宅用地</w:t>
      </w:r>
      <w:r>
        <w:rPr>
          <w:rFonts w:hint="eastAsia" w:ascii="仿宋_GB2312" w:hAnsi="仿宋_GB2312" w:eastAsia="仿宋_GB2312" w:cs="仿宋_GB2312"/>
          <w:b w:val="0"/>
          <w:bCs w:val="0"/>
          <w:color w:val="auto"/>
          <w:sz w:val="28"/>
          <w:szCs w:val="28"/>
          <w:highlight w:val="none"/>
          <w:lang w:val="en-US" w:eastAsia="zh-CN"/>
        </w:rPr>
        <w:t>。</w:t>
      </w:r>
    </w:p>
    <w:p w14:paraId="32239C92">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5.土地形状</w:t>
      </w:r>
    </w:p>
    <w:p w14:paraId="10C1B412">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sz w:val="28"/>
          <w:szCs w:val="20"/>
        </w:rPr>
        <w:t>根据</w:t>
      </w:r>
      <w:r>
        <w:rPr>
          <w:rFonts w:hint="eastAsia" w:ascii="仿宋_GB2312" w:hAnsi="仿宋_GB2312" w:cs="仿宋_GB2312"/>
          <w:sz w:val="28"/>
          <w:szCs w:val="20"/>
          <w:lang w:val="en-US" w:eastAsia="zh-CN"/>
        </w:rPr>
        <w:t>《宗地图》</w:t>
      </w:r>
      <w:r>
        <w:rPr>
          <w:rFonts w:hint="eastAsia" w:ascii="仿宋_GB2312" w:hAnsi="仿宋_GB2312" w:eastAsia="仿宋_GB2312" w:cs="仿宋_GB2312"/>
          <w:sz w:val="28"/>
          <w:szCs w:val="20"/>
        </w:rPr>
        <w:t>，估价对象宗地形状</w:t>
      </w:r>
      <w:r>
        <w:rPr>
          <w:rFonts w:hint="eastAsia" w:ascii="仿宋_GB2312" w:hAnsi="仿宋_GB2312" w:eastAsia="仿宋_GB2312" w:cs="仿宋_GB2312"/>
          <w:sz w:val="28"/>
          <w:szCs w:val="20"/>
          <w:lang w:val="en-US" w:eastAsia="zh-CN"/>
        </w:rPr>
        <w:t>规则</w:t>
      </w:r>
      <w:r>
        <w:rPr>
          <w:rFonts w:hint="eastAsia" w:ascii="仿宋_GB2312" w:hAnsi="仿宋_GB2312" w:eastAsia="仿宋_GB2312" w:cs="仿宋_GB2312"/>
          <w:sz w:val="28"/>
          <w:szCs w:val="20"/>
        </w:rPr>
        <w:t>，有利于宗地利用</w:t>
      </w:r>
      <w:r>
        <w:rPr>
          <w:rFonts w:hint="eastAsia" w:ascii="仿宋_GB2312" w:hAnsi="仿宋_GB2312" w:eastAsia="仿宋_GB2312" w:cs="仿宋_GB2312"/>
          <w:b w:val="0"/>
          <w:bCs w:val="0"/>
          <w:color w:val="auto"/>
          <w:sz w:val="28"/>
          <w:szCs w:val="28"/>
          <w:highlight w:val="none"/>
          <w:lang w:val="en-US" w:eastAsia="zh-CN"/>
        </w:rPr>
        <w:t>。</w:t>
      </w:r>
    </w:p>
    <w:p w14:paraId="5B9F0CC4">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6.地质条件</w:t>
      </w:r>
    </w:p>
    <w:p w14:paraId="5EF7D118">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估价对象地基承载大于25吨/平方米，地质条件优。</w:t>
      </w:r>
    </w:p>
    <w:p w14:paraId="44A5E720">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7.地势条件</w:t>
      </w:r>
    </w:p>
    <w:p w14:paraId="3867AE9C">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根据估价师现场勘查，宗地地势较平坦。</w:t>
      </w:r>
    </w:p>
    <w:p w14:paraId="014FADAE">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8.土地利用条件</w:t>
      </w:r>
    </w:p>
    <w:p w14:paraId="1AA6D5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）土地利用现状</w:t>
      </w:r>
    </w:p>
    <w:p w14:paraId="609C534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21FDD6D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对象位于道县西洲街道宝珍街六栋九号</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1-4层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混合</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不锈钢及木质入户门，铝合金窗户，铁艺防盗网，外墙及屋内地贴瓷砖，简单装修，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建成于1998年，</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28年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22</w:t>
      </w:r>
      <w:r>
        <w:rPr>
          <w:rFonts w:hint="default"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根据《不动产测绘报告书》，建筑面积205.45平方米，根据《宗地图》，估价对象土地面积50平方米，则容积率为4.11，</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4.11。</w:t>
      </w:r>
    </w:p>
    <w:p w14:paraId="58D3AA5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估价对象利用现状如下：</w:t>
      </w:r>
    </w:p>
    <w:tbl>
      <w:tblPr>
        <w:tblStyle w:val="14"/>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3EBAE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546C732C">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b w:val="0"/>
                <w:bCs w:val="0"/>
                <w:color w:val="000000" w:themeColor="text1"/>
                <w:sz w:val="28"/>
                <w:szCs w:val="28"/>
                <w:highlight w:val="none"/>
                <w:lang w:eastAsia="zh-CN"/>
                <w14:textFill>
                  <w14:solidFill>
                    <w14:schemeClr w14:val="tx1"/>
                  </w14:solidFill>
                </w14:textFill>
              </w:rPr>
              <w:drawing>
                <wp:inline distT="0" distB="0" distL="114300" distR="114300">
                  <wp:extent cx="2594610" cy="3461385"/>
                  <wp:effectExtent l="0" t="0" r="15240" b="5715"/>
                  <wp:docPr id="12" name="图片 12" descr="现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现场2"/>
                          <pic:cNvPicPr>
                            <a:picLocks noChangeAspect="1"/>
                          </pic:cNvPicPr>
                        </pic:nvPicPr>
                        <pic:blipFill>
                          <a:blip r:embed="rId21"/>
                          <a:stretch>
                            <a:fillRect/>
                          </a:stretch>
                        </pic:blipFill>
                        <pic:spPr>
                          <a:xfrm>
                            <a:off x="0" y="0"/>
                            <a:ext cx="2594610" cy="3461385"/>
                          </a:xfrm>
                          <a:prstGeom prst="rect">
                            <a:avLst/>
                          </a:prstGeom>
                        </pic:spPr>
                      </pic:pic>
                    </a:graphicData>
                  </a:graphic>
                </wp:inline>
              </w:drawing>
            </w:r>
          </w:p>
        </w:tc>
        <w:tc>
          <w:tcPr>
            <w:tcW w:w="2466" w:type="pct"/>
          </w:tcPr>
          <w:p w14:paraId="47CBF4D7">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b w:val="0"/>
                <w:bCs w:val="0"/>
                <w:color w:val="000000" w:themeColor="text1"/>
                <w:sz w:val="28"/>
                <w:szCs w:val="28"/>
                <w:highlight w:val="none"/>
                <w:lang w:eastAsia="zh-CN"/>
                <w14:textFill>
                  <w14:solidFill>
                    <w14:schemeClr w14:val="tx1"/>
                  </w14:solidFill>
                </w14:textFill>
              </w:rPr>
              <w:drawing>
                <wp:inline distT="0" distB="0" distL="114300" distR="114300">
                  <wp:extent cx="2521585" cy="3363595"/>
                  <wp:effectExtent l="0" t="0" r="12065" b="8255"/>
                  <wp:docPr id="13" name="图片 13" descr="现场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现场4"/>
                          <pic:cNvPicPr>
                            <a:picLocks noChangeAspect="1"/>
                          </pic:cNvPicPr>
                        </pic:nvPicPr>
                        <pic:blipFill>
                          <a:blip r:embed="rId22"/>
                          <a:stretch>
                            <a:fillRect/>
                          </a:stretch>
                        </pic:blipFill>
                        <pic:spPr>
                          <a:xfrm>
                            <a:off x="0" y="0"/>
                            <a:ext cx="2521585" cy="3363595"/>
                          </a:xfrm>
                          <a:prstGeom prst="rect">
                            <a:avLst/>
                          </a:prstGeom>
                        </pic:spPr>
                      </pic:pic>
                    </a:graphicData>
                  </a:graphic>
                </wp:inline>
              </w:drawing>
            </w:r>
          </w:p>
        </w:tc>
      </w:tr>
    </w:tbl>
    <w:p w14:paraId="4EF68C9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）规划利用条件</w:t>
      </w:r>
    </w:p>
    <w:p w14:paraId="42BC26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①</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规划利用状况</w:t>
      </w:r>
    </w:p>
    <w:p w14:paraId="03F465A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根据《评估委托书》，</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委托方拟按现状利用条件办理出让手续，根据现场查勘，估价对象现状已建成住宅建筑，</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根据《不动产测绘报告书》，估价对象建筑面积205.45平方米，根据《宗地图》，估价对象土地面积50平方米，则容积率为4.11</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4.11</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7B29D93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②</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最佳利用</w:t>
      </w:r>
    </w:p>
    <w:p w14:paraId="397E558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本次评估根据最有效利用原则，设定估价对象为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4.11</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w:t>
      </w:r>
    </w:p>
    <w:p w14:paraId="399F6028">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US" w:eastAsia="zh-CN" w:bidi="ar-SA"/>
        </w:rPr>
        <w:t>③</w:t>
      </w:r>
      <w:r>
        <w:rPr>
          <w:rFonts w:hint="default" w:ascii="仿宋_GB2312" w:hAnsi="仿宋_GB2312" w:eastAsia="仿宋_GB2312" w:cs="仿宋_GB2312"/>
          <w:bCs/>
          <w:color w:val="auto"/>
          <w:kern w:val="2"/>
          <w:sz w:val="28"/>
          <w:szCs w:val="28"/>
          <w:highlight w:val="none"/>
          <w:lang w:val="en-GB" w:eastAsia="zh-CN" w:bidi="ar-SA"/>
        </w:rPr>
        <w:t>土地闲置状况</w:t>
      </w:r>
    </w:p>
    <w:p w14:paraId="4096D3C9">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估价对象为已开发用地，于估价期日属于已供土地，不属于闲置土地。</w:t>
      </w:r>
    </w:p>
    <w:p w14:paraId="189F19B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④规划</w:t>
      </w: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利用限制和缺陷情况</w:t>
      </w:r>
    </w:p>
    <w:p w14:paraId="718716B8">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3405EB14">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9.基础设施条件</w:t>
      </w:r>
    </w:p>
    <w:p w14:paraId="3F2784BB">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估价对象宗地实际土地开发程度为宗地红线外“五通”（即通路、通电、供水、排水、通讯），宗地红线内场地平整。</w:t>
      </w:r>
    </w:p>
    <w:p w14:paraId="0E318D1F">
      <w:pPr>
        <w:pStyle w:val="13"/>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（1）通路：临</w:t>
      </w:r>
      <w:r>
        <w:rPr>
          <w:rFonts w:hint="eastAsia" w:ascii="仿宋_GB2312" w:hAnsi="仿宋_GB2312" w:cs="仿宋_GB2312"/>
          <w:b w:val="0"/>
          <w:bCs w:val="0"/>
          <w:color w:val="000000" w:themeColor="text1"/>
          <w:sz w:val="28"/>
          <w:szCs w:val="28"/>
          <w:highlight w:val="none"/>
          <w:lang w:val="en-US" w:eastAsia="zh-CN"/>
          <w14:textFill>
            <w14:solidFill>
              <w14:schemeClr w14:val="tx1"/>
            </w14:solidFill>
          </w14:textFill>
        </w:rPr>
        <w:t>次干道宝珍街</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545A43DA">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（2）供电：区域内接市政双回路110KV供电管网，供电保证率</w:t>
      </w:r>
      <w:r>
        <w:rPr>
          <w:rFonts w:hint="eastAsia" w:ascii="仿宋_GB2312" w:hAnsi="仿宋_GB2312" w:cs="仿宋_GB2312"/>
          <w:b w:val="0"/>
          <w:bCs w:val="0"/>
          <w:color w:val="000000" w:themeColor="text1"/>
          <w:sz w:val="28"/>
          <w:szCs w:val="28"/>
          <w:highlight w:val="none"/>
          <w:lang w:val="en-US" w:eastAsia="zh-CN"/>
          <w14:textFill>
            <w14:solidFill>
              <w14:schemeClr w14:val="tx1"/>
            </w14:solidFill>
          </w14:textFill>
        </w:rPr>
        <w:t>高</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10EE071A">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E6A5E80">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（4）给水：区域内供水主要来自区内的市政供水。</w:t>
      </w:r>
    </w:p>
    <w:p w14:paraId="6F51B176">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（5）排水：宗地外接排水设施，在雨水大的情况下无洪涝和积水。</w:t>
      </w:r>
    </w:p>
    <w:p w14:paraId="16285B95">
      <w:pPr>
        <w:pStyle w:val="13"/>
        <w:keepNext w:val="0"/>
        <w:keepLines w:val="0"/>
        <w:pageBreakBefore w:val="0"/>
        <w:widowControl w:val="0"/>
        <w:kinsoku/>
        <w:wordWrap/>
        <w:overflowPunct/>
        <w:topLinePunct w:val="0"/>
        <w:autoSpaceDE/>
        <w:autoSpaceDN/>
        <w:bidi w:val="0"/>
        <w:spacing w:line="480" w:lineRule="exact"/>
        <w:ind w:left="0" w:leftChars="0" w:firstLine="560" w:firstLineChars="200"/>
        <w:textAlignment w:val="auto"/>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sectPr>
          <w:headerReference r:id="rId18" w:type="first"/>
          <w:footerReference r:id="rId19" w:type="first"/>
          <w:endnotePr>
            <w:numFmt w:val="decimal"/>
          </w:endnotePr>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 w:val="0"/>
          <w:bCs w:val="0"/>
          <w:color w:val="auto"/>
          <w:sz w:val="28"/>
          <w:szCs w:val="28"/>
          <w:highlight w:val="none"/>
          <w:lang w:val="en-US" w:eastAsia="zh-CN"/>
        </w:rPr>
        <w:t>综合考虑以上影响地价的个别因素，评估分析：面积</w:t>
      </w:r>
      <w:r>
        <w:rPr>
          <w:rFonts w:hint="eastAsia" w:ascii="仿宋_GB2312" w:hAnsi="仿宋_GB2312" w:cs="仿宋_GB2312"/>
          <w:b w:val="0"/>
          <w:bCs w:val="0"/>
          <w:color w:val="auto"/>
          <w:sz w:val="28"/>
          <w:szCs w:val="28"/>
          <w:highlight w:val="none"/>
          <w:lang w:val="en-US" w:eastAsia="zh-CN"/>
        </w:rPr>
        <w:t>小</w:t>
      </w:r>
      <w:r>
        <w:rPr>
          <w:rFonts w:hint="eastAsia" w:ascii="仿宋_GB2312" w:hAnsi="仿宋_GB2312" w:eastAsia="仿宋_GB2312" w:cs="仿宋_GB2312"/>
          <w:b w:val="0"/>
          <w:bCs w:val="0"/>
          <w:color w:val="auto"/>
          <w:sz w:val="28"/>
          <w:szCs w:val="28"/>
          <w:highlight w:val="none"/>
          <w:lang w:val="en-US" w:eastAsia="zh-CN"/>
        </w:rPr>
        <w:t>，对土地利用</w:t>
      </w:r>
      <w:r>
        <w:rPr>
          <w:rFonts w:hint="eastAsia" w:ascii="仿宋_GB2312" w:hAnsi="仿宋_GB2312" w:cs="仿宋_GB2312"/>
          <w:b w:val="0"/>
          <w:bCs w:val="0"/>
          <w:color w:val="auto"/>
          <w:sz w:val="28"/>
          <w:szCs w:val="28"/>
          <w:highlight w:val="none"/>
          <w:lang w:val="en-US" w:eastAsia="zh-CN"/>
        </w:rPr>
        <w:t>有较大影响</w:t>
      </w:r>
      <w:r>
        <w:rPr>
          <w:rFonts w:hint="eastAsia" w:ascii="仿宋_GB2312" w:hAnsi="仿宋_GB2312" w:eastAsia="仿宋_GB2312" w:cs="仿宋_GB2312"/>
          <w:b w:val="0"/>
          <w:bCs w:val="0"/>
          <w:color w:val="auto"/>
          <w:sz w:val="28"/>
          <w:szCs w:val="28"/>
          <w:highlight w:val="none"/>
          <w:lang w:val="en-US" w:eastAsia="zh-CN"/>
        </w:rPr>
        <w:t>，宗地形状规则，</w:t>
      </w:r>
      <w:r>
        <w:rPr>
          <w:rFonts w:hint="eastAsia" w:ascii="仿宋_GB2312" w:hAnsi="仿宋_GB2312" w:cs="仿宋_GB2312"/>
          <w:b w:val="0"/>
          <w:bCs w:val="0"/>
          <w:color w:val="auto"/>
          <w:sz w:val="28"/>
          <w:szCs w:val="28"/>
          <w:highlight w:val="none"/>
          <w:lang w:val="en-US" w:eastAsia="zh-CN"/>
        </w:rPr>
        <w:t>有利于土地利用</w:t>
      </w:r>
      <w:r>
        <w:rPr>
          <w:rFonts w:hint="eastAsia" w:ascii="仿宋_GB2312" w:hAnsi="仿宋_GB2312" w:eastAsia="仿宋_GB2312" w:cs="仿宋_GB2312"/>
          <w:b w:val="0"/>
          <w:bCs w:val="0"/>
          <w:color w:val="auto"/>
          <w:sz w:val="28"/>
          <w:szCs w:val="28"/>
          <w:highlight w:val="none"/>
          <w:lang w:val="en-US" w:eastAsia="zh-CN"/>
        </w:rPr>
        <w:t>，地质地势条件优，主要进出道路为</w:t>
      </w:r>
      <w:r>
        <w:rPr>
          <w:rFonts w:hint="eastAsia" w:ascii="仿宋_GB2312" w:hAnsi="仿宋_GB2312" w:cs="仿宋_GB2312"/>
          <w:b w:val="0"/>
          <w:bCs w:val="0"/>
          <w:color w:val="auto"/>
          <w:sz w:val="28"/>
          <w:szCs w:val="28"/>
          <w:highlight w:val="none"/>
          <w:lang w:val="en-US" w:eastAsia="zh-CN"/>
        </w:rPr>
        <w:t>次干道</w:t>
      </w:r>
      <w:r>
        <w:rPr>
          <w:rFonts w:hint="eastAsia" w:ascii="仿宋_GB2312" w:hAnsi="仿宋_GB2312" w:eastAsia="仿宋_GB2312" w:cs="仿宋_GB2312"/>
          <w:b w:val="0"/>
          <w:bCs w:val="0"/>
          <w:color w:val="auto"/>
          <w:sz w:val="28"/>
          <w:szCs w:val="28"/>
          <w:highlight w:val="none"/>
          <w:lang w:val="en-US" w:eastAsia="zh-CN"/>
        </w:rPr>
        <w:t>，道路通达度</w:t>
      </w:r>
      <w:r>
        <w:rPr>
          <w:rFonts w:hint="eastAsia" w:ascii="仿宋_GB2312" w:hAnsi="仿宋_GB2312" w:cs="仿宋_GB2312"/>
          <w:b w:val="0"/>
          <w:bCs w:val="0"/>
          <w:color w:val="auto"/>
          <w:sz w:val="28"/>
          <w:szCs w:val="28"/>
          <w:highlight w:val="none"/>
          <w:lang w:val="en-US" w:eastAsia="zh-CN"/>
        </w:rPr>
        <w:t>劣</w:t>
      </w:r>
      <w:r>
        <w:rPr>
          <w:rFonts w:hint="eastAsia" w:ascii="仿宋_GB2312" w:hAnsi="仿宋_GB2312" w:eastAsia="仿宋_GB2312" w:cs="仿宋_GB2312"/>
          <w:b w:val="0"/>
          <w:bCs w:val="0"/>
          <w:color w:val="auto"/>
          <w:sz w:val="28"/>
          <w:szCs w:val="28"/>
          <w:highlight w:val="none"/>
          <w:lang w:val="en-US" w:eastAsia="zh-CN"/>
        </w:rPr>
        <w:t>，距</w:t>
      </w:r>
      <w:r>
        <w:rPr>
          <w:rFonts w:hint="eastAsia" w:ascii="仿宋_GB2312" w:hAnsi="仿宋_GB2312" w:cs="仿宋_GB2312"/>
          <w:b w:val="0"/>
          <w:bCs w:val="0"/>
          <w:color w:val="auto"/>
          <w:sz w:val="28"/>
          <w:szCs w:val="28"/>
          <w:highlight w:val="none"/>
          <w:lang w:val="en-US" w:eastAsia="zh-CN"/>
        </w:rPr>
        <w:t>长途汽车站距离较近，距</w:t>
      </w:r>
      <w:r>
        <w:rPr>
          <w:rFonts w:hint="eastAsia" w:ascii="仿宋_GB2312" w:hAnsi="仿宋_GB2312" w:eastAsia="仿宋_GB2312" w:cs="仿宋_GB2312"/>
          <w:b w:val="0"/>
          <w:bCs w:val="0"/>
          <w:color w:val="auto"/>
          <w:sz w:val="28"/>
          <w:szCs w:val="28"/>
          <w:highlight w:val="none"/>
          <w:lang w:val="en-US" w:eastAsia="zh-CN"/>
        </w:rPr>
        <w:t>货运火车站距离</w:t>
      </w:r>
      <w:r>
        <w:rPr>
          <w:rFonts w:hint="eastAsia" w:ascii="仿宋_GB2312" w:hAnsi="仿宋_GB2312" w:cs="仿宋_GB2312"/>
          <w:b w:val="0"/>
          <w:bCs w:val="0"/>
          <w:color w:val="auto"/>
          <w:sz w:val="28"/>
          <w:szCs w:val="28"/>
          <w:highlight w:val="none"/>
          <w:lang w:val="en-US" w:eastAsia="zh-CN"/>
        </w:rPr>
        <w:t>远</w:t>
      </w:r>
      <w:r>
        <w:rPr>
          <w:rFonts w:hint="eastAsia" w:ascii="仿宋_GB2312" w:hAnsi="仿宋_GB2312" w:eastAsia="仿宋_GB2312" w:cs="仿宋_GB2312"/>
          <w:b w:val="0"/>
          <w:bCs w:val="0"/>
          <w:color w:val="auto"/>
          <w:sz w:val="28"/>
          <w:szCs w:val="28"/>
          <w:highlight w:val="none"/>
          <w:lang w:val="en-US" w:eastAsia="zh-CN"/>
        </w:rPr>
        <w:t>。估价对象作为设定用途符合有效利用原则，其他个别条件均对宗地产生较有利</w:t>
      </w:r>
      <w:r>
        <w:rPr>
          <w:rFonts w:hint="eastAsia" w:ascii="仿宋_GB2312" w:hAnsi="仿宋_GB2312" w:cs="仿宋_GB2312"/>
          <w:b w:val="0"/>
          <w:bCs w:val="0"/>
          <w:color w:val="auto"/>
          <w:sz w:val="28"/>
          <w:szCs w:val="28"/>
          <w:highlight w:val="none"/>
          <w:lang w:val="en-US" w:eastAsia="zh-CN"/>
        </w:rPr>
        <w:t>影响</w:t>
      </w:r>
      <w:r>
        <w:rPr>
          <w:rFonts w:hint="eastAsia" w:ascii="仿宋_GB2312" w:hAnsi="仿宋_GB2312" w:cs="仿宋_GB2312"/>
          <w:b w:val="0"/>
          <w:bCs w:val="0"/>
          <w:color w:val="000000" w:themeColor="text1"/>
          <w:sz w:val="28"/>
          <w:szCs w:val="28"/>
          <w:highlight w:val="none"/>
          <w:lang w:val="en-US" w:eastAsia="zh-CN"/>
          <w14:textFill>
            <w14:solidFill>
              <w14:schemeClr w14:val="tx1"/>
            </w14:solidFill>
          </w14:textFill>
        </w:rPr>
        <w:t>。</w:t>
      </w:r>
    </w:p>
    <w:p w14:paraId="08665943">
      <w:pPr>
        <w:numPr>
          <w:ilvl w:val="0"/>
          <w:numId w:val="0"/>
        </w:numPr>
        <w:adjustRightInd w:val="0"/>
        <w:snapToGrid w:val="0"/>
        <w:spacing w:line="480" w:lineRule="exact"/>
        <w:jc w:val="center"/>
        <w:outlineLvl w:val="0"/>
        <w:rPr>
          <w:rFonts w:hint="default" w:ascii="Times New Roman" w:hAnsi="Times New Roman" w:eastAsia="仿宋_GB2312" w:cs="Times New Roman"/>
          <w:b/>
          <w:bCs/>
          <w:sz w:val="28"/>
          <w:szCs w:val="28"/>
          <w:highlight w:val="none"/>
        </w:rPr>
      </w:pPr>
      <w:bookmarkStart w:id="67" w:name="_Toc6006"/>
      <w:r>
        <w:rPr>
          <w:rFonts w:hint="eastAsia" w:asciiTheme="majorEastAsia" w:hAnsiTheme="majorEastAsia" w:eastAsiaTheme="majorEastAsia" w:cstheme="majorEastAsia"/>
          <w:b/>
          <w:bCs/>
          <w:sz w:val="32"/>
          <w:szCs w:val="32"/>
          <w:highlight w:val="none"/>
        </w:rPr>
        <w:t>第三部分  土地估价</w:t>
      </w:r>
      <w:bookmarkEnd w:id="67"/>
    </w:p>
    <w:p w14:paraId="64FD685A">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color w:val="auto"/>
          <w:sz w:val="28"/>
          <w:szCs w:val="28"/>
          <w:highlight w:val="none"/>
          <w:lang w:val="en-GB" w:eastAsia="zh-CN"/>
        </w:rPr>
      </w:pPr>
      <w:bookmarkStart w:id="68" w:name="_Toc20130"/>
      <w:r>
        <w:rPr>
          <w:rFonts w:hint="default" w:ascii="仿宋_GB2312" w:hAnsi="仿宋_GB2312" w:eastAsia="仿宋_GB2312" w:cs="仿宋_GB2312"/>
          <w:b/>
          <w:bCs/>
          <w:color w:val="auto"/>
          <w:sz w:val="28"/>
          <w:szCs w:val="28"/>
          <w:highlight w:val="none"/>
          <w:lang w:val="en-GB" w:eastAsia="zh-CN"/>
        </w:rPr>
        <w:t>一、估价原则</w:t>
      </w:r>
      <w:bookmarkEnd w:id="68"/>
    </w:p>
    <w:p w14:paraId="1018054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地价是由其效用、相对稀缺性及有效需求三者相互作用、相互影响所形成的。而这些因素又经常处于变动之中，土地估价必须要对此做细致分析并正确判断其变动趋向，了解土地价格组成的各项因素及各因素之间的相互作用，才能做出正确的估价。我们在本次估价过程中，根据《城镇土地估价规程》及估价对象的具体情况和对应的估价方法，主要遵循以下原则：</w:t>
      </w:r>
    </w:p>
    <w:p w14:paraId="79476FC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1、合法性原则</w:t>
      </w:r>
    </w:p>
    <w:p w14:paraId="4713215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土地估价应以估价对象的合法权益为前提进行。合法权益包括：合法产权、合法使用、合法处分等方面。在合法产权方面，应以国有土地使用证、权属登记和其他合法证件为依据。在合法使用方面，应以使用管制（城市规划、土地用途管制等）为依据。在合法处分方面，应以法律法规和国有土地使用证等容许的处分方式为依据。</w:t>
      </w:r>
    </w:p>
    <w:p w14:paraId="49BDA92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2、替代原则</w:t>
      </w:r>
    </w:p>
    <w:p w14:paraId="73F0F24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根据市场运行规律，在同一商品市场中，商品或提供服务的效用相同或大致相似时，价格低者吸引需求，即有两个以上互有替代性的商品或服务同时存在时，商品或服务的价格是经过相互影响与比较之后来决定的。土地价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0542F6B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GB" w:eastAsia="zh-CN"/>
        </w:rPr>
        <w:t>本次</w:t>
      </w:r>
      <w:r>
        <w:rPr>
          <w:rFonts w:hint="eastAsia" w:ascii="仿宋_GB2312" w:hAnsi="仿宋_GB2312" w:eastAsia="仿宋_GB2312" w:cs="仿宋_GB2312"/>
          <w:b w:val="0"/>
          <w:bCs w:val="0"/>
          <w:color w:val="auto"/>
          <w:sz w:val="28"/>
          <w:szCs w:val="28"/>
          <w:highlight w:val="none"/>
          <w:lang w:val="en-US" w:eastAsia="zh-CN"/>
        </w:rPr>
        <w:t>收益还原法</w:t>
      </w:r>
      <w:r>
        <w:rPr>
          <w:rFonts w:hint="eastAsia" w:ascii="仿宋_GB2312" w:hAnsi="仿宋_GB2312" w:eastAsia="仿宋_GB2312" w:cs="仿宋_GB2312"/>
          <w:b w:val="0"/>
          <w:bCs w:val="0"/>
          <w:color w:val="auto"/>
          <w:sz w:val="28"/>
          <w:szCs w:val="28"/>
          <w:highlight w:val="none"/>
          <w:lang w:val="en-GB" w:eastAsia="zh-CN"/>
        </w:rPr>
        <w:t>中选取的3个案例均处于估价对象所处区域范围，相互之间存在替代性</w:t>
      </w:r>
      <w:r>
        <w:rPr>
          <w:rFonts w:hint="eastAsia" w:ascii="仿宋_GB2312" w:hAnsi="仿宋_GB2312" w:eastAsia="仿宋_GB2312" w:cs="仿宋_GB2312"/>
          <w:b w:val="0"/>
          <w:bCs w:val="0"/>
          <w:color w:val="auto"/>
          <w:sz w:val="28"/>
          <w:szCs w:val="28"/>
          <w:highlight w:val="none"/>
          <w:lang w:val="en-US" w:eastAsia="zh-CN"/>
        </w:rPr>
        <w:t>体现了该原则。</w:t>
      </w:r>
    </w:p>
    <w:p w14:paraId="3712B33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3、需求与供给原则</w:t>
      </w:r>
    </w:p>
    <w:p w14:paraId="780E8F4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在完全的市场竞争中，一般商品的价格都取决于供求的均衡点。供小于求，价格就会提高，否则，价格就会降低。由于土地与一般商品相比，具有独特的人文和自然特性，因此在进行土地估价时既要考虑到所假设的公平市场，又要考虑土地供应的垄断性特征。</w:t>
      </w:r>
    </w:p>
    <w:p w14:paraId="068AA2A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4、预期收益原则</w:t>
      </w:r>
    </w:p>
    <w:p w14:paraId="78CCE04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GB" w:eastAsia="zh-CN"/>
        </w:rPr>
      </w:pPr>
      <w:r>
        <w:rPr>
          <w:rFonts w:hint="eastAsia" w:ascii="仿宋_GB2312" w:hAnsi="仿宋_GB2312" w:eastAsia="仿宋_GB2312" w:cs="仿宋_GB2312"/>
          <w:b w:val="0"/>
          <w:bCs w:val="0"/>
          <w:color w:val="auto"/>
          <w:sz w:val="28"/>
          <w:szCs w:val="28"/>
          <w:highlight w:val="none"/>
          <w:lang w:val="en-GB" w:eastAsia="zh-CN"/>
        </w:rPr>
        <w:t>遵循预期收益原则，是指土地估价应以估价对象在正常利用条件下的未来客观有效的预期收益为依据。收益还原法和剩余法等评估方法以及还原利率的确定、交易实例价格的检查等技术过程都会应用本原则。</w:t>
      </w:r>
    </w:p>
    <w:p w14:paraId="200382D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5、合理有效利用原则</w:t>
      </w:r>
    </w:p>
    <w:p w14:paraId="5D272B4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不同的土地利用方式能为权利人带来不同的收益，土地权利人都期望从其所占有的土地上获取更多的收益，故土地评估应以估价对象在一定的社会经济条件下，最为合理有效的利用方式为前提。首先判断估价对象的土地利用方式是否符合法律法规政策规定、规划限制条件、生态保护要求、市场需求等，再结合估价对象的自身利用条件设定最合理有效的土地利用方式。</w:t>
      </w:r>
    </w:p>
    <w:p w14:paraId="34FB51C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6、价值主导原则</w:t>
      </w:r>
    </w:p>
    <w:p w14:paraId="4A311D8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土地综合质量优劣是对土地价格产生影响的主要因素。</w:t>
      </w:r>
    </w:p>
    <w:p w14:paraId="6032958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本次评估综合考虑了影响估价对象土地价格的自然、社会、经济状况，符合价值主导原则。</w:t>
      </w:r>
    </w:p>
    <w:p w14:paraId="28B1D49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7、审慎原则</w:t>
      </w:r>
    </w:p>
    <w:p w14:paraId="4CF4B91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在评估中确定相关参数和结果时，应分析并充分考虑市场运行状况、有关行业发展状况，以及存在的风险。</w:t>
      </w:r>
    </w:p>
    <w:p w14:paraId="515B86C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8、贡献原则</w:t>
      </w:r>
    </w:p>
    <w:p w14:paraId="7E30F21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土地总收益是土地及其他生产要素共同作用的结果，土地的价格由土地对总收益的贡献大小来决定。</w:t>
      </w:r>
    </w:p>
    <w:p w14:paraId="0838BDF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本次在采用收益还原法时，通过扣除相关成本及其他税费来测算土地价格，体现了贡献原则。</w:t>
      </w:r>
    </w:p>
    <w:p w14:paraId="21E5B0C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9、公开市场原则</w:t>
      </w:r>
    </w:p>
    <w:p w14:paraId="1613274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评估结果在公平、公正、公开的土地市场上可实现。</w:t>
      </w:r>
    </w:p>
    <w:p w14:paraId="0E3FA16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待估宗地按照地价评估的基本原则和估价程序，选择合适的评估方法，评估得到估价对象在设定用途、设定土地使用权类型及土地使用权年限、设定开发程度条件、规划条件下、正常市场条件下的国有出让土地使用权价格，并且评估结果在公平、公正、公开的土地市场上可实现。</w:t>
      </w:r>
    </w:p>
    <w:p w14:paraId="2D4850C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rPr>
      </w:pPr>
      <w:r>
        <w:rPr>
          <w:rFonts w:hint="eastAsia" w:ascii="仿宋_GB2312" w:hAnsi="仿宋_GB2312" w:eastAsia="仿宋_GB2312" w:cs="仿宋_GB2312"/>
          <w:b w:val="0"/>
          <w:bCs w:val="0"/>
          <w:color w:val="auto"/>
          <w:sz w:val="28"/>
          <w:szCs w:val="28"/>
          <w:highlight w:val="none"/>
          <w:lang w:val="en-US" w:eastAsia="zh-CN"/>
        </w:rPr>
        <w:t>总之，在评估过程中，要按国家、地方的有关规定，遵守客观、公正、科学、合法的总原则进行土地价格评估，做到评估过程合理，评估方法科学，评估结果准确，严格保守评估秘密</w:t>
      </w:r>
      <w:r>
        <w:rPr>
          <w:rFonts w:hint="eastAsia" w:ascii="仿宋_GB2312" w:hAnsi="仿宋_GB2312" w:eastAsia="仿宋_GB2312" w:cs="仿宋_GB2312"/>
          <w:b w:val="0"/>
          <w:bCs w:val="0"/>
          <w:color w:val="auto"/>
          <w:sz w:val="28"/>
          <w:szCs w:val="28"/>
          <w:highlight w:val="none"/>
        </w:rPr>
        <w:t>。</w:t>
      </w:r>
    </w:p>
    <w:p w14:paraId="31F89E4D">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2"/>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（二）估价方法</w:t>
      </w:r>
    </w:p>
    <w:p w14:paraId="180324A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1.土地使用权估价方法选择原则</w:t>
      </w:r>
    </w:p>
    <w:p w14:paraId="49029410">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rPr>
      </w:pPr>
      <w:r>
        <w:rPr>
          <w:rFonts w:hint="eastAsia" w:ascii="仿宋_GB2312" w:hAnsi="仿宋_GB2312" w:eastAsia="仿宋_GB2312" w:cs="仿宋_GB2312"/>
          <w:snapToGrid w:val="0"/>
          <w:kern w:val="0"/>
          <w:sz w:val="28"/>
          <w:szCs w:val="28"/>
          <w:lang w:val="en-US" w:eastAsia="zh-CN"/>
        </w:rPr>
        <w:t>A.</w:t>
      </w:r>
      <w:r>
        <w:rPr>
          <w:rFonts w:hint="eastAsia" w:ascii="仿宋_GB2312" w:hAnsi="仿宋_GB2312" w:eastAsia="仿宋_GB2312" w:cs="仿宋_GB2312"/>
          <w:snapToGrid w:val="0"/>
          <w:kern w:val="0"/>
          <w:sz w:val="28"/>
          <w:szCs w:val="28"/>
        </w:rPr>
        <w:t>根据《城镇土地估价规程》（GB/T18508-2014,2014年12月01日实施）中关于住宅用地估价方法选择的原则：</w:t>
      </w:r>
    </w:p>
    <w:p w14:paraId="4F9D7D81">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rPr>
      </w:pPr>
      <w:r>
        <w:rPr>
          <w:rFonts w:hint="eastAsia" w:ascii="仿宋_GB2312" w:hAnsi="仿宋_GB2312" w:eastAsia="仿宋_GB2312" w:cs="仿宋_GB2312"/>
          <w:snapToGrid w:val="0"/>
          <w:kern w:val="0"/>
          <w:sz w:val="28"/>
          <w:szCs w:val="28"/>
        </w:rPr>
        <w:t>a)评估住宅用地价格宜选市场比较法，并至少另辅一种适宜的估价方法；</w:t>
      </w:r>
    </w:p>
    <w:p w14:paraId="7F1FD6F9">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rPr>
      </w:pPr>
      <w:r>
        <w:rPr>
          <w:rFonts w:hint="eastAsia" w:ascii="仿宋_GB2312" w:hAnsi="仿宋_GB2312" w:eastAsia="仿宋_GB2312" w:cs="仿宋_GB2312"/>
          <w:snapToGrid w:val="0"/>
          <w:kern w:val="0"/>
          <w:sz w:val="28"/>
          <w:szCs w:val="28"/>
        </w:rPr>
        <w:t>b)对位于中心城区的住宅用地，不宜采用成本逼近法；</w:t>
      </w:r>
    </w:p>
    <w:p w14:paraId="535A832D">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rPr>
      </w:pPr>
      <w:r>
        <w:rPr>
          <w:rFonts w:hint="eastAsia" w:ascii="仿宋_GB2312" w:hAnsi="仿宋_GB2312" w:eastAsia="仿宋_GB2312" w:cs="仿宋_GB2312"/>
          <w:snapToGrid w:val="0"/>
          <w:kern w:val="0"/>
          <w:sz w:val="28"/>
          <w:szCs w:val="28"/>
        </w:rPr>
        <w:t>c)对投资待建的住宅用地，可选择剩余法；</w:t>
      </w:r>
    </w:p>
    <w:p w14:paraId="7190CA4B">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rPr>
      </w:pPr>
      <w:r>
        <w:rPr>
          <w:rFonts w:hint="eastAsia" w:ascii="仿宋_GB2312" w:hAnsi="仿宋_GB2312" w:eastAsia="仿宋_GB2312" w:cs="仿宋_GB2312"/>
          <w:snapToGrid w:val="0"/>
          <w:kern w:val="0"/>
          <w:sz w:val="28"/>
          <w:szCs w:val="28"/>
        </w:rPr>
        <w:t>d)对位于城镇规划区外零星分布的住宅用地，可选择剩余法；</w:t>
      </w:r>
    </w:p>
    <w:p w14:paraId="3AD7D564">
      <w:pPr>
        <w:keepNext w:val="0"/>
        <w:keepLines w:val="0"/>
        <w:pageBreakBefore w:val="0"/>
        <w:widowControl w:val="0"/>
        <w:kinsoku/>
        <w:wordWrap/>
        <w:overflowPunct w:val="0"/>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snapToGrid w:val="0"/>
          <w:kern w:val="0"/>
          <w:sz w:val="28"/>
          <w:szCs w:val="28"/>
          <w:highlight w:val="none"/>
        </w:rPr>
      </w:pPr>
      <w:r>
        <w:rPr>
          <w:rFonts w:hint="eastAsia" w:ascii="仿宋_GB2312" w:hAnsi="仿宋_GB2312" w:eastAsia="仿宋_GB2312" w:cs="仿宋_GB2312"/>
          <w:snapToGrid w:val="0"/>
          <w:kern w:val="0"/>
          <w:sz w:val="28"/>
          <w:szCs w:val="28"/>
        </w:rPr>
        <w:t>e)对新开发土地，可选用成本逼近法。</w:t>
      </w:r>
    </w:p>
    <w:p w14:paraId="1B82224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r>
        <w:rPr>
          <w:rFonts w:hint="eastAsia" w:ascii="仿宋_GB2312" w:hAnsi="仿宋_GB2312" w:eastAsia="仿宋_GB2312" w:cs="仿宋_GB2312"/>
          <w:b w:val="0"/>
          <w:bCs/>
          <w:color w:val="auto"/>
          <w:sz w:val="28"/>
          <w:szCs w:val="28"/>
          <w:highlight w:val="none"/>
          <w:lang w:val="en-US" w:eastAsia="zh-CN"/>
        </w:rPr>
        <w:t>。</w:t>
      </w:r>
    </w:p>
    <w:p w14:paraId="3E1A8B1A">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2.估价方法介绍</w:t>
      </w:r>
    </w:p>
    <w:p w14:paraId="240E2F72">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（1）市场比较法：将估价对象与在估价期日近期有过交易的类似土地进行比较，对这些类似土地的已知价格作适当的修正，以此估算估价对象的客观合理价格或价值的方法；</w:t>
      </w:r>
    </w:p>
    <w:p w14:paraId="4D4B8A79">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（2）收益还原法：为预计估价对象未来的正常收益，选用适当的资本化率将其折现到估价期日后累加，以此估算估价对象的客观合理价格或价值的方法；</w:t>
      </w:r>
    </w:p>
    <w:p w14:paraId="6F8D3744">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（3）剩余法：是在估算开发完成后不动产正常交易价格的基础上，扣除建筑物建造费用和与建筑物建造、买卖有关的专业费、利息、利润、税收等费用后，以价格余额来估算土地价格的方法；</w:t>
      </w:r>
    </w:p>
    <w:p w14:paraId="73D9F4BE">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（4）成本逼近法：是以土地取得费、土地开发所耗各项费用之和为主要依据，再加上一定的利润、利息、应缴纳的税金和土地增值收益来确定土地价格的估价方法；</w:t>
      </w:r>
    </w:p>
    <w:p w14:paraId="37B782C1">
      <w:pPr>
        <w:pStyle w:val="13"/>
        <w:keepNext w:val="0"/>
        <w:keepLines w:val="0"/>
        <w:pageBreakBefore w:val="0"/>
        <w:widowControl w:val="0"/>
        <w:kinsoku/>
        <w:wordWrap/>
        <w:overflowPunct/>
        <w:topLinePunct w:val="0"/>
        <w:autoSpaceDE w:val="0"/>
        <w:autoSpaceDN w:val="0"/>
        <w:bidi w:val="0"/>
        <w:adjustRightInd w:val="0"/>
        <w:snapToGrid w:val="0"/>
        <w:spacing w:line="480" w:lineRule="exact"/>
        <w:textAlignment w:val="auto"/>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5）公示地价系数修正法：指在求取一宗土地的价格时，依据估价对象所处地区的土地级别基准地价水平，参照估价对象所处土地级别的各种修正因素说明，确定区域因素、个别因素、估价期日、容积率与建筑密度、使用年期、开发程度等修正系数，最后修正得出估价对象地价的一种方法。</w:t>
      </w:r>
    </w:p>
    <w:p w14:paraId="103D8602">
      <w:pPr>
        <w:pStyle w:val="13"/>
        <w:keepNext w:val="0"/>
        <w:keepLines w:val="0"/>
        <w:pageBreakBefore w:val="0"/>
        <w:widowControl w:val="0"/>
        <w:kinsoku/>
        <w:wordWrap/>
        <w:overflowPunct/>
        <w:topLinePunct w:val="0"/>
        <w:autoSpaceDE w:val="0"/>
        <w:autoSpaceDN w:val="0"/>
        <w:bidi w:val="0"/>
        <w:adjustRightInd w:val="0"/>
        <w:snapToGrid w:val="0"/>
        <w:spacing w:line="480" w:lineRule="exact"/>
        <w:textAlignment w:val="auto"/>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3.估价方法选择</w:t>
      </w:r>
    </w:p>
    <w:p w14:paraId="182BF60D">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（1）采用方法及采用方法的理由：</w:t>
      </w:r>
    </w:p>
    <w:p w14:paraId="20DEA672">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fldChar w:fldCharType="begin"/>
      </w:r>
      <w:r>
        <w:rPr>
          <w:rFonts w:hint="eastAsia" w:ascii="仿宋_GB2312" w:hAnsi="仿宋_GB2312" w:eastAsia="仿宋_GB2312" w:cs="仿宋_GB2312"/>
          <w:b w:val="0"/>
          <w:bCs w:val="0"/>
          <w:color w:val="auto"/>
          <w:szCs w:val="28"/>
          <w:highlight w:val="none"/>
          <w:lang w:val="en-US" w:eastAsia="zh-CN"/>
        </w:rPr>
        <w:instrText xml:space="preserve"> = 1 \* GB3 </w:instrText>
      </w:r>
      <w:r>
        <w:rPr>
          <w:rFonts w:hint="eastAsia" w:ascii="仿宋_GB2312" w:hAnsi="仿宋_GB2312" w:eastAsia="仿宋_GB2312" w:cs="仿宋_GB2312"/>
          <w:b w:val="0"/>
          <w:bCs w:val="0"/>
          <w:color w:val="auto"/>
          <w:szCs w:val="28"/>
          <w:highlight w:val="none"/>
          <w:lang w:val="en-US" w:eastAsia="zh-CN"/>
        </w:rPr>
        <w:fldChar w:fldCharType="separate"/>
      </w:r>
      <w:r>
        <w:rPr>
          <w:rFonts w:hint="eastAsia" w:ascii="仿宋_GB2312" w:hAnsi="仿宋_GB2312" w:eastAsia="仿宋_GB2312" w:cs="仿宋_GB2312"/>
          <w:b w:val="0"/>
          <w:bCs w:val="0"/>
          <w:color w:val="auto"/>
          <w:szCs w:val="28"/>
          <w:highlight w:val="none"/>
          <w:lang w:val="en-US" w:eastAsia="zh-CN"/>
        </w:rPr>
        <w:t>①</w:t>
      </w:r>
      <w:r>
        <w:rPr>
          <w:rFonts w:hint="eastAsia" w:ascii="仿宋_GB2312" w:hAnsi="仿宋_GB2312" w:eastAsia="仿宋_GB2312" w:cs="仿宋_GB2312"/>
          <w:b w:val="0"/>
          <w:bCs w:val="0"/>
          <w:color w:val="auto"/>
          <w:szCs w:val="28"/>
          <w:highlight w:val="none"/>
          <w:lang w:val="en-US" w:eastAsia="zh-CN"/>
        </w:rPr>
        <w:fldChar w:fldCharType="end"/>
      </w:r>
      <w:r>
        <w:rPr>
          <w:rFonts w:hint="eastAsia" w:ascii="仿宋_GB2312" w:hAnsi="仿宋_GB2312" w:eastAsia="仿宋_GB2312" w:cs="仿宋_GB2312"/>
          <w:b w:val="0"/>
          <w:bCs w:val="0"/>
          <w:color w:val="auto"/>
          <w:szCs w:val="28"/>
          <w:highlight w:val="none"/>
          <w:lang w:val="en-US" w:eastAsia="zh-CN"/>
        </w:rPr>
        <w:t>成本逼近法</w:t>
      </w:r>
    </w:p>
    <w:p w14:paraId="7CCF9F00">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估价对象所在区域有土地征收案例，政府公布了征地有关文件，可测算土地取得成本，故选择成本逼近法作为土地评估方法之一。</w:t>
      </w:r>
    </w:p>
    <w:p w14:paraId="10981B27">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②</w:t>
      </w:r>
      <w:r>
        <w:rPr>
          <w:rFonts w:hint="eastAsia" w:hAnsi="仿宋_GB2312" w:cs="仿宋_GB2312"/>
          <w:snapToGrid w:val="0"/>
          <w:kern w:val="0"/>
          <w:sz w:val="28"/>
          <w:szCs w:val="28"/>
          <w:lang w:val="en-US" w:eastAsia="zh-CN"/>
        </w:rPr>
        <w:t>收益还原法</w:t>
      </w:r>
    </w:p>
    <w:p w14:paraId="10725235">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由于估价对象地上房屋建筑物有</w:t>
      </w:r>
      <w:r>
        <w:rPr>
          <w:rFonts w:hint="eastAsia" w:ascii="仿宋_GB2312" w:hAnsi="仿宋_GB2312" w:eastAsia="仿宋_GB2312" w:cs="仿宋_GB2312"/>
          <w:b w:val="0"/>
          <w:bCs/>
          <w:color w:val="auto"/>
          <w:sz w:val="28"/>
          <w:szCs w:val="28"/>
          <w:highlight w:val="none"/>
          <w:lang w:val="en-US" w:eastAsia="zh-CN"/>
        </w:rPr>
        <w:t>潜在</w:t>
      </w:r>
      <w:r>
        <w:rPr>
          <w:rFonts w:hint="default" w:ascii="仿宋_GB2312" w:hAnsi="仿宋_GB2312" w:eastAsia="仿宋_GB2312" w:cs="仿宋_GB2312"/>
          <w:b w:val="0"/>
          <w:bCs/>
          <w:color w:val="auto"/>
          <w:sz w:val="28"/>
          <w:szCs w:val="28"/>
          <w:highlight w:val="none"/>
          <w:lang w:val="en-US" w:eastAsia="zh-CN"/>
        </w:rPr>
        <w:t>收益，所在区域内同类型用房租赁情况较多，不动产总收益较易确定，故可采用收益还原法作为评估方法之一</w:t>
      </w:r>
      <w:r>
        <w:rPr>
          <w:rFonts w:hint="eastAsia" w:ascii="仿宋_GB2312" w:hAnsi="仿宋_GB2312" w:eastAsia="仿宋_GB2312" w:cs="仿宋_GB2312"/>
          <w:b w:val="0"/>
          <w:bCs w:val="0"/>
          <w:color w:val="auto"/>
          <w:szCs w:val="28"/>
          <w:highlight w:val="none"/>
          <w:lang w:val="en-US" w:eastAsia="zh-CN"/>
        </w:rPr>
        <w:t>。</w:t>
      </w:r>
    </w:p>
    <w:p w14:paraId="050C995A">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t>（2）不采用的方法及不采用方法理由：</w:t>
      </w:r>
    </w:p>
    <w:p w14:paraId="631EE125">
      <w:pPr>
        <w:pStyle w:val="21"/>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Cs w:val="28"/>
          <w:highlight w:val="none"/>
          <w:lang w:val="en-US" w:eastAsia="zh-CN"/>
        </w:rPr>
      </w:pPr>
      <w:r>
        <w:rPr>
          <w:rFonts w:hint="eastAsia" w:ascii="仿宋_GB2312" w:hAnsi="仿宋_GB2312" w:eastAsia="仿宋_GB2312" w:cs="仿宋_GB2312"/>
          <w:b w:val="0"/>
          <w:bCs w:val="0"/>
          <w:color w:val="auto"/>
          <w:szCs w:val="28"/>
          <w:highlight w:val="none"/>
          <w:lang w:val="en-US" w:eastAsia="zh-CN"/>
        </w:rPr>
        <w:fldChar w:fldCharType="begin"/>
      </w:r>
      <w:r>
        <w:rPr>
          <w:rFonts w:hint="eastAsia" w:ascii="仿宋_GB2312" w:hAnsi="仿宋_GB2312" w:eastAsia="仿宋_GB2312" w:cs="仿宋_GB2312"/>
          <w:b w:val="0"/>
          <w:bCs w:val="0"/>
          <w:color w:val="auto"/>
          <w:szCs w:val="28"/>
          <w:highlight w:val="none"/>
          <w:lang w:val="en-US" w:eastAsia="zh-CN"/>
        </w:rPr>
        <w:instrText xml:space="preserve"> = 1 \* GB3 </w:instrText>
      </w:r>
      <w:r>
        <w:rPr>
          <w:rFonts w:hint="eastAsia" w:ascii="仿宋_GB2312" w:hAnsi="仿宋_GB2312" w:eastAsia="仿宋_GB2312" w:cs="仿宋_GB2312"/>
          <w:b w:val="0"/>
          <w:bCs w:val="0"/>
          <w:color w:val="auto"/>
          <w:szCs w:val="28"/>
          <w:highlight w:val="none"/>
          <w:lang w:val="en-US" w:eastAsia="zh-CN"/>
        </w:rPr>
        <w:fldChar w:fldCharType="separate"/>
      </w:r>
      <w:r>
        <w:rPr>
          <w:rFonts w:hint="eastAsia" w:ascii="仿宋_GB2312" w:hAnsi="仿宋_GB2312" w:eastAsia="仿宋_GB2312" w:cs="仿宋_GB2312"/>
          <w:b w:val="0"/>
          <w:bCs w:val="0"/>
          <w:color w:val="auto"/>
          <w:szCs w:val="28"/>
          <w:highlight w:val="none"/>
          <w:lang w:val="en-US" w:eastAsia="zh-CN"/>
        </w:rPr>
        <w:t>①</w:t>
      </w:r>
      <w:r>
        <w:rPr>
          <w:rFonts w:hint="eastAsia" w:ascii="仿宋_GB2312" w:hAnsi="仿宋_GB2312" w:eastAsia="仿宋_GB2312" w:cs="仿宋_GB2312"/>
          <w:b w:val="0"/>
          <w:bCs w:val="0"/>
          <w:color w:val="auto"/>
          <w:szCs w:val="28"/>
          <w:highlight w:val="none"/>
          <w:lang w:val="en-US" w:eastAsia="zh-CN"/>
        </w:rPr>
        <w:fldChar w:fldCharType="end"/>
      </w:r>
      <w:r>
        <w:rPr>
          <w:rFonts w:hint="eastAsia" w:ascii="仿宋_GB2312" w:hAnsi="仿宋_GB2312" w:eastAsia="仿宋_GB2312" w:cs="仿宋_GB2312"/>
          <w:b w:val="0"/>
          <w:bCs w:val="0"/>
          <w:color w:val="auto"/>
          <w:szCs w:val="28"/>
          <w:highlight w:val="none"/>
          <w:lang w:val="en-US" w:eastAsia="zh-CN"/>
        </w:rPr>
        <w:t>不选择市场比较法</w:t>
      </w:r>
    </w:p>
    <w:p w14:paraId="294102A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lang w:val="en-US" w:eastAsia="zh-CN"/>
        </w:rPr>
      </w:pPr>
      <w:r>
        <w:rPr>
          <w:rFonts w:hint="eastAsia" w:ascii="仿宋_GB2312" w:hAnsi="仿宋_GB2312" w:eastAsia="仿宋_GB2312" w:cs="仿宋_GB2312"/>
          <w:b w:val="0"/>
          <w:bCs w:val="0"/>
          <w:color w:val="auto"/>
          <w:sz w:val="28"/>
          <w:szCs w:val="28"/>
          <w:highlight w:val="none"/>
          <w:lang w:val="en-US" w:eastAsia="zh-CN"/>
        </w:rPr>
        <w:t>估价对象使用权性质为出让，登记用途为住宅用地，设定土地用途为住宅用地，区域内较难收集到三个及以上的相同或类似用途的土地成交案例，故不适宜采用市场比较法进行评估。</w:t>
      </w:r>
    </w:p>
    <w:p w14:paraId="08C8C92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②不选择公示地价修正法</w:t>
      </w:r>
    </w:p>
    <w:p w14:paraId="4603A58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城镇基准地价的颁布实施时间为2019年11月22日，城区基准地价估价期日为2019年5月1日，批准文号为道政函〔2019〕85号,文件名称为《关于更新城区基准地价和制订11个建制镇基准地价的通告》（道政函〔2019〕85号，2019年11月22日），批准机关为道县人民政府，本次估价期日为2026年6月1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7DBE36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③</w:t>
      </w:r>
      <w:r>
        <w:rPr>
          <w:rFonts w:hint="default" w:ascii="仿宋_GB2312" w:hAnsi="仿宋_GB2312" w:eastAsia="仿宋_GB2312" w:cs="仿宋_GB2312"/>
          <w:b w:val="0"/>
          <w:bCs/>
          <w:color w:val="auto"/>
          <w:sz w:val="28"/>
          <w:szCs w:val="28"/>
          <w:highlight w:val="none"/>
          <w:lang w:val="en-US" w:eastAsia="zh-CN"/>
        </w:rPr>
        <w:t>不选择剩余法（增值收益扣减法）</w:t>
      </w:r>
    </w:p>
    <w:p w14:paraId="30C2B69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auto"/>
          <w:sz w:val="28"/>
          <w:szCs w:val="28"/>
          <w:highlight w:val="none"/>
          <w:lang w:val="en-US" w:eastAsia="zh-CN"/>
        </w:rPr>
        <w:t>剩余法适用于具有投资开发或再开发潜力的土地估价。估价对象周边房地产交易案例较少，难以合理确定房地产开发价值，此次评估已优选两种评估方法，因而不采用剩余法进行评估</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p>
    <w:p w14:paraId="792B048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综上所述，本次评估采用成本逼近法、收益还原法进行评估确定。</w:t>
      </w:r>
    </w:p>
    <w:p w14:paraId="16DD9246">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9"/>
        <w:rPr>
          <w:rFonts w:hint="default" w:ascii="仿宋_GB2312" w:hAnsi="仿宋_GB2312" w:eastAsia="仿宋_GB2312" w:cs="仿宋_GB2312"/>
          <w:b/>
          <w:bCs/>
          <w:color w:val="auto"/>
          <w:sz w:val="28"/>
          <w:szCs w:val="28"/>
          <w:highlight w:val="none"/>
          <w:lang w:val="en-US" w:eastAsia="zh-CN"/>
        </w:rPr>
      </w:pPr>
      <w:r>
        <w:rPr>
          <w:rFonts w:hint="default" w:ascii="仿宋_GB2312" w:hAnsi="仿宋_GB2312" w:eastAsia="仿宋_GB2312" w:cs="仿宋_GB2312"/>
          <w:b/>
          <w:bCs/>
          <w:color w:val="auto"/>
          <w:sz w:val="28"/>
          <w:szCs w:val="28"/>
          <w:highlight w:val="none"/>
          <w:lang w:val="en-US" w:eastAsia="zh-CN"/>
        </w:rPr>
        <w:fldChar w:fldCharType="begin"/>
      </w:r>
      <w:r>
        <w:rPr>
          <w:rFonts w:hint="default" w:ascii="仿宋_GB2312" w:hAnsi="仿宋_GB2312" w:eastAsia="仿宋_GB2312" w:cs="仿宋_GB2312"/>
          <w:b/>
          <w:bCs/>
          <w:color w:val="auto"/>
          <w:sz w:val="28"/>
          <w:szCs w:val="28"/>
          <w:highlight w:val="none"/>
          <w:lang w:val="en-US" w:eastAsia="zh-CN"/>
        </w:rPr>
        <w:instrText xml:space="preserve"> = 2 \* ROMAN </w:instrText>
      </w:r>
      <w:r>
        <w:rPr>
          <w:rFonts w:hint="default" w:ascii="仿宋_GB2312" w:hAnsi="仿宋_GB2312" w:eastAsia="仿宋_GB2312" w:cs="仿宋_GB2312"/>
          <w:b/>
          <w:bCs/>
          <w:color w:val="auto"/>
          <w:sz w:val="28"/>
          <w:szCs w:val="28"/>
          <w:highlight w:val="none"/>
          <w:lang w:val="en-US" w:eastAsia="zh-CN"/>
        </w:rPr>
        <w:fldChar w:fldCharType="separate"/>
      </w:r>
      <w:r>
        <w:rPr>
          <w:rFonts w:hint="default" w:ascii="仿宋_GB2312" w:hAnsi="仿宋_GB2312" w:eastAsia="仿宋_GB2312" w:cs="仿宋_GB2312"/>
          <w:b/>
          <w:bCs/>
          <w:color w:val="auto"/>
          <w:sz w:val="28"/>
          <w:szCs w:val="28"/>
          <w:highlight w:val="none"/>
          <w:lang w:val="en-US" w:eastAsia="zh-CN"/>
        </w:rPr>
        <w:t>II</w:t>
      </w:r>
      <w:r>
        <w:rPr>
          <w:rFonts w:hint="default" w:ascii="仿宋_GB2312" w:hAnsi="仿宋_GB2312" w:eastAsia="仿宋_GB2312" w:cs="仿宋_GB2312"/>
          <w:b/>
          <w:bCs/>
          <w:color w:val="auto"/>
          <w:sz w:val="28"/>
          <w:szCs w:val="28"/>
          <w:highlight w:val="none"/>
          <w:lang w:val="en-US" w:eastAsia="zh-CN"/>
        </w:rPr>
        <w:fldChar w:fldCharType="end"/>
      </w:r>
      <w:r>
        <w:rPr>
          <w:rFonts w:hint="default" w:ascii="仿宋_GB2312" w:hAnsi="仿宋_GB2312" w:eastAsia="仿宋_GB2312" w:cs="仿宋_GB2312"/>
          <w:b/>
          <w:bCs/>
          <w:color w:val="auto"/>
          <w:sz w:val="28"/>
          <w:szCs w:val="28"/>
          <w:highlight w:val="none"/>
          <w:lang w:val="en-US" w:eastAsia="zh-CN"/>
        </w:rPr>
        <w:t>、估价过程：</w:t>
      </w:r>
    </w:p>
    <w:p w14:paraId="6541DB9E">
      <w:pPr>
        <w:keepNext w:val="0"/>
        <w:keepLines w:val="0"/>
        <w:pageBreakBefore w:val="0"/>
        <w:widowControl w:val="0"/>
        <w:kinsoku/>
        <w:wordWrap/>
        <w:overflowPunct/>
        <w:topLinePunct w:val="0"/>
        <w:bidi w:val="0"/>
        <w:spacing w:line="480" w:lineRule="exact"/>
        <w:ind w:firstLine="562" w:firstLineChars="200"/>
        <w:textAlignment w:val="auto"/>
        <w:outlineLvl w:val="2"/>
        <w:rPr>
          <w:rFonts w:hint="eastAsia" w:ascii="仿宋_GB2312" w:hAnsi="Times New Roman" w:eastAsia="仿宋_GB2312" w:cs="Times New Roman"/>
          <w:b/>
          <w:bCs/>
          <w:sz w:val="28"/>
          <w:szCs w:val="30"/>
          <w:highlight w:val="none"/>
          <w:lang w:val="en-GB"/>
        </w:rPr>
      </w:pPr>
      <w:bookmarkStart w:id="69" w:name="_Toc11712"/>
      <w:r>
        <w:rPr>
          <w:rFonts w:hint="eastAsia" w:ascii="仿宋_GB2312" w:hAnsi="Times New Roman" w:eastAsia="仿宋_GB2312" w:cs="Times New Roman"/>
          <w:b/>
          <w:bCs/>
          <w:sz w:val="28"/>
          <w:szCs w:val="30"/>
          <w:highlight w:val="none"/>
          <w:lang w:val="en-GB"/>
        </w:rPr>
        <w:t>★</w:t>
      </w:r>
      <w:r>
        <w:rPr>
          <w:rFonts w:hint="eastAsia" w:ascii="仿宋_GB2312" w:eastAsia="仿宋_GB2312" w:cs="Times New Roman"/>
          <w:b/>
          <w:bCs/>
          <w:sz w:val="28"/>
          <w:szCs w:val="30"/>
          <w:highlight w:val="none"/>
          <w:lang w:val="en-US" w:eastAsia="zh-CN"/>
        </w:rPr>
        <w:t>成本逼近</w:t>
      </w:r>
      <w:r>
        <w:rPr>
          <w:rFonts w:hint="eastAsia" w:ascii="仿宋_GB2312" w:hAnsi="Times New Roman" w:eastAsia="仿宋_GB2312" w:cs="Times New Roman"/>
          <w:b/>
          <w:bCs/>
          <w:sz w:val="28"/>
          <w:szCs w:val="30"/>
          <w:highlight w:val="none"/>
          <w:lang w:val="en-GB"/>
        </w:rPr>
        <w:t>法</w:t>
      </w:r>
      <w:bookmarkEnd w:id="69"/>
    </w:p>
    <w:p w14:paraId="2FD627A2">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eastAsia="仿宋_GB2312"/>
          <w:b w:val="0"/>
          <w:bCs w:val="0"/>
          <w:color w:val="000000" w:themeColor="text1"/>
          <w:sz w:val="28"/>
          <w:szCs w:val="28"/>
          <w:highlight w:val="none"/>
          <w14:textFill>
            <w14:solidFill>
              <w14:schemeClr w14:val="tx1"/>
            </w14:solidFill>
          </w14:textFill>
        </w:rPr>
      </w:pPr>
      <w:r>
        <w:rPr>
          <w:rFonts w:eastAsia="仿宋_GB2312"/>
          <w:b w:val="0"/>
          <w:bCs w:val="0"/>
          <w:color w:val="000000" w:themeColor="text1"/>
          <w:sz w:val="28"/>
          <w:szCs w:val="28"/>
          <w:highlight w:val="none"/>
          <w14:textFill>
            <w14:solidFill>
              <w14:schemeClr w14:val="tx1"/>
            </w14:solidFill>
          </w14:textFill>
        </w:rPr>
        <w:t>成本逼近法是以开发土地所耗费的各项费用之和为主要依据，再加上一定的利润、利息、应缴纳的税金和土地增值收益来确定土地价格的估价方法。成本逼近法的基本计算公式如下：</w:t>
      </w:r>
    </w:p>
    <w:p w14:paraId="27B175AC">
      <w:pPr>
        <w:keepNext w:val="0"/>
        <w:keepLines w:val="0"/>
        <w:pageBreakBefore w:val="0"/>
        <w:widowControl w:val="0"/>
        <w:kinsoku/>
        <w:wordWrap/>
        <w:overflowPunct/>
        <w:topLinePunct w:val="0"/>
        <w:autoSpaceDE/>
        <w:autoSpaceDN/>
        <w:bidi w:val="0"/>
        <w:spacing w:line="460" w:lineRule="exact"/>
        <w:jc w:val="center"/>
        <w:textAlignment w:val="auto"/>
        <w:rPr>
          <w:rFonts w:eastAsia="仿宋_GB2312"/>
          <w:b w:val="0"/>
          <w:bCs w:val="0"/>
          <w:color w:val="000000" w:themeColor="text1"/>
          <w:sz w:val="28"/>
          <w:szCs w:val="28"/>
          <w:highlight w:val="none"/>
          <w14:textFill>
            <w14:solidFill>
              <w14:schemeClr w14:val="tx1"/>
            </w14:solidFill>
          </w14:textFill>
        </w:rPr>
      </w:pPr>
      <w:r>
        <w:rPr>
          <w:rFonts w:eastAsia="仿宋_GB2312"/>
          <w:b w:val="0"/>
          <w:bCs w:val="0"/>
          <w:color w:val="000000" w:themeColor="text1"/>
          <w:sz w:val="28"/>
          <w:szCs w:val="28"/>
          <w:highlight w:val="none"/>
          <w14:textFill>
            <w14:solidFill>
              <w14:schemeClr w14:val="tx1"/>
            </w14:solidFill>
          </w14:textFill>
        </w:rPr>
        <w:t>V＝E</w:t>
      </w:r>
      <w:r>
        <w:rPr>
          <w:rFonts w:eastAsia="仿宋_GB2312"/>
          <w:b w:val="0"/>
          <w:bCs w:val="0"/>
          <w:color w:val="000000" w:themeColor="text1"/>
          <w:sz w:val="28"/>
          <w:szCs w:val="28"/>
          <w:highlight w:val="none"/>
          <w:vertAlign w:val="subscript"/>
          <w14:textFill>
            <w14:solidFill>
              <w14:schemeClr w14:val="tx1"/>
            </w14:solidFill>
          </w14:textFill>
        </w:rPr>
        <w:t>a</w:t>
      </w:r>
      <w:r>
        <w:rPr>
          <w:rFonts w:eastAsia="仿宋_GB2312"/>
          <w:b w:val="0"/>
          <w:bCs w:val="0"/>
          <w:color w:val="000000" w:themeColor="text1"/>
          <w:sz w:val="28"/>
          <w:szCs w:val="28"/>
          <w:highlight w:val="none"/>
          <w14:textFill>
            <w14:solidFill>
              <w14:schemeClr w14:val="tx1"/>
            </w14:solidFill>
          </w14:textFill>
        </w:rPr>
        <w:t>＋E</w:t>
      </w:r>
      <w:r>
        <w:rPr>
          <w:rFonts w:eastAsia="仿宋_GB2312"/>
          <w:b w:val="0"/>
          <w:bCs w:val="0"/>
          <w:color w:val="000000" w:themeColor="text1"/>
          <w:sz w:val="28"/>
          <w:szCs w:val="28"/>
          <w:highlight w:val="none"/>
          <w:vertAlign w:val="subscript"/>
          <w14:textFill>
            <w14:solidFill>
              <w14:schemeClr w14:val="tx1"/>
            </w14:solidFill>
          </w14:textFill>
        </w:rPr>
        <w:t>d</w:t>
      </w:r>
      <w:r>
        <w:rPr>
          <w:rFonts w:eastAsia="仿宋_GB2312"/>
          <w:b w:val="0"/>
          <w:bCs w:val="0"/>
          <w:color w:val="000000" w:themeColor="text1"/>
          <w:sz w:val="28"/>
          <w:szCs w:val="28"/>
          <w:highlight w:val="none"/>
          <w14:textFill>
            <w14:solidFill>
              <w14:schemeClr w14:val="tx1"/>
            </w14:solidFill>
          </w14:textFill>
        </w:rPr>
        <w:t>＋T＋R</w:t>
      </w:r>
      <w:r>
        <w:rPr>
          <w:rFonts w:eastAsia="仿宋_GB2312"/>
          <w:b w:val="0"/>
          <w:bCs w:val="0"/>
          <w:color w:val="000000" w:themeColor="text1"/>
          <w:sz w:val="28"/>
          <w:szCs w:val="28"/>
          <w:highlight w:val="none"/>
          <w:vertAlign w:val="subscript"/>
          <w14:textFill>
            <w14:solidFill>
              <w14:schemeClr w14:val="tx1"/>
            </w14:solidFill>
          </w14:textFill>
        </w:rPr>
        <w:t>1</w:t>
      </w:r>
      <w:r>
        <w:rPr>
          <w:rFonts w:eastAsia="仿宋_GB2312"/>
          <w:b w:val="0"/>
          <w:bCs w:val="0"/>
          <w:color w:val="000000" w:themeColor="text1"/>
          <w:sz w:val="28"/>
          <w:szCs w:val="28"/>
          <w:highlight w:val="none"/>
          <w14:textFill>
            <w14:solidFill>
              <w14:schemeClr w14:val="tx1"/>
            </w14:solidFill>
          </w14:textFill>
        </w:rPr>
        <w:t>＋R</w:t>
      </w:r>
      <w:r>
        <w:rPr>
          <w:rFonts w:eastAsia="仿宋_GB2312"/>
          <w:b w:val="0"/>
          <w:bCs w:val="0"/>
          <w:color w:val="000000" w:themeColor="text1"/>
          <w:sz w:val="28"/>
          <w:szCs w:val="28"/>
          <w:highlight w:val="none"/>
          <w:vertAlign w:val="subscript"/>
          <w14:textFill>
            <w14:solidFill>
              <w14:schemeClr w14:val="tx1"/>
            </w14:solidFill>
          </w14:textFill>
        </w:rPr>
        <w:t>2</w:t>
      </w:r>
      <w:r>
        <w:rPr>
          <w:rFonts w:eastAsia="仿宋_GB2312"/>
          <w:b w:val="0"/>
          <w:bCs w:val="0"/>
          <w:color w:val="000000" w:themeColor="text1"/>
          <w:sz w:val="28"/>
          <w:szCs w:val="28"/>
          <w:highlight w:val="none"/>
          <w14:textFill>
            <w14:solidFill>
              <w14:schemeClr w14:val="tx1"/>
            </w14:solidFill>
          </w14:textFill>
        </w:rPr>
        <w:t>＋R</w:t>
      </w:r>
      <w:r>
        <w:rPr>
          <w:rFonts w:eastAsia="仿宋_GB2312"/>
          <w:b w:val="0"/>
          <w:bCs w:val="0"/>
          <w:color w:val="000000" w:themeColor="text1"/>
          <w:sz w:val="28"/>
          <w:szCs w:val="28"/>
          <w:highlight w:val="none"/>
          <w:vertAlign w:val="subscript"/>
          <w14:textFill>
            <w14:solidFill>
              <w14:schemeClr w14:val="tx1"/>
            </w14:solidFill>
          </w14:textFill>
        </w:rPr>
        <w:t>3</w:t>
      </w:r>
      <w:r>
        <w:rPr>
          <w:rFonts w:eastAsia="仿宋_GB2312"/>
          <w:b w:val="0"/>
          <w:bCs w:val="0"/>
          <w:color w:val="000000" w:themeColor="text1"/>
          <w:sz w:val="28"/>
          <w:szCs w:val="28"/>
          <w:highlight w:val="none"/>
          <w14:textFill>
            <w14:solidFill>
              <w14:schemeClr w14:val="tx1"/>
            </w14:solidFill>
          </w14:textFill>
        </w:rPr>
        <w:t>＝V</w:t>
      </w:r>
      <w:r>
        <w:rPr>
          <w:rFonts w:eastAsia="仿宋_GB2312"/>
          <w:b w:val="0"/>
          <w:bCs w:val="0"/>
          <w:color w:val="000000" w:themeColor="text1"/>
          <w:sz w:val="28"/>
          <w:szCs w:val="28"/>
          <w:highlight w:val="none"/>
          <w:vertAlign w:val="subscript"/>
          <w14:textFill>
            <w14:solidFill>
              <w14:schemeClr w14:val="tx1"/>
            </w14:solidFill>
          </w14:textFill>
        </w:rPr>
        <w:t>E</w:t>
      </w:r>
      <w:r>
        <w:rPr>
          <w:rFonts w:eastAsia="仿宋_GB2312"/>
          <w:b w:val="0"/>
          <w:bCs w:val="0"/>
          <w:color w:val="000000" w:themeColor="text1"/>
          <w:sz w:val="28"/>
          <w:szCs w:val="28"/>
          <w:highlight w:val="none"/>
          <w14:textFill>
            <w14:solidFill>
              <w14:schemeClr w14:val="tx1"/>
            </w14:solidFill>
          </w14:textFill>
        </w:rPr>
        <w:t>＋R</w:t>
      </w:r>
      <w:r>
        <w:rPr>
          <w:rFonts w:eastAsia="仿宋_GB2312"/>
          <w:b w:val="0"/>
          <w:bCs w:val="0"/>
          <w:color w:val="000000" w:themeColor="text1"/>
          <w:sz w:val="28"/>
          <w:szCs w:val="28"/>
          <w:highlight w:val="none"/>
          <w:vertAlign w:val="subscript"/>
          <w14:textFill>
            <w14:solidFill>
              <w14:schemeClr w14:val="tx1"/>
            </w14:solidFill>
          </w14:textFill>
        </w:rPr>
        <w:t>3</w:t>
      </w:r>
    </w:p>
    <w:p w14:paraId="41FE59CE">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eastAsia="仿宋_GB2312"/>
          <w:b w:val="0"/>
          <w:bCs w:val="0"/>
          <w:color w:val="000000" w:themeColor="text1"/>
          <w:sz w:val="28"/>
          <w:szCs w:val="28"/>
          <w:highlight w:val="none"/>
          <w14:textFill>
            <w14:solidFill>
              <w14:schemeClr w14:val="tx1"/>
            </w14:solidFill>
          </w14:textFill>
        </w:rPr>
      </w:pPr>
      <w:r>
        <w:rPr>
          <w:rFonts w:eastAsia="仿宋_GB2312"/>
          <w:b w:val="0"/>
          <w:bCs w:val="0"/>
          <w:color w:val="000000" w:themeColor="text1"/>
          <w:sz w:val="28"/>
          <w:szCs w:val="28"/>
          <w:highlight w:val="none"/>
          <w14:textFill>
            <w14:solidFill>
              <w14:schemeClr w14:val="tx1"/>
            </w14:solidFill>
          </w14:textFill>
        </w:rPr>
        <w:t>式中：</w:t>
      </w:r>
    </w:p>
    <w:p w14:paraId="45EAF091">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eastAsia="仿宋_GB2312"/>
          <w:b w:val="0"/>
          <w:bCs w:val="0"/>
          <w:color w:val="000000" w:themeColor="text1"/>
          <w:sz w:val="28"/>
          <w:szCs w:val="28"/>
          <w:highlight w:val="none"/>
          <w14:textFill>
            <w14:solidFill>
              <w14:schemeClr w14:val="tx1"/>
            </w14:solidFill>
          </w14:textFill>
        </w:rPr>
      </w:pPr>
      <w:r>
        <w:rPr>
          <w:rFonts w:eastAsia="仿宋_GB2312"/>
          <w:b w:val="0"/>
          <w:bCs w:val="0"/>
          <w:color w:val="000000" w:themeColor="text1"/>
          <w:sz w:val="28"/>
          <w:szCs w:val="28"/>
          <w:highlight w:val="none"/>
          <w14:textFill>
            <w14:solidFill>
              <w14:schemeClr w14:val="tx1"/>
            </w14:solidFill>
          </w14:textFill>
        </w:rPr>
        <w:t>V—估价价格</w:t>
      </w:r>
    </w:p>
    <w:p w14:paraId="48CAE5D6">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eastAsia="仿宋_GB2312"/>
          <w:b w:val="0"/>
          <w:bCs w:val="0"/>
          <w:color w:val="000000" w:themeColor="text1"/>
          <w:sz w:val="28"/>
          <w:szCs w:val="28"/>
          <w:highlight w:val="none"/>
          <w14:textFill>
            <w14:solidFill>
              <w14:schemeClr w14:val="tx1"/>
            </w14:solidFill>
          </w14:textFill>
        </w:rPr>
      </w:pPr>
      <w:r>
        <w:rPr>
          <w:rFonts w:eastAsia="仿宋_GB2312"/>
          <w:b w:val="0"/>
          <w:bCs w:val="0"/>
          <w:color w:val="000000" w:themeColor="text1"/>
          <w:sz w:val="28"/>
          <w:szCs w:val="28"/>
          <w:highlight w:val="none"/>
          <w14:textFill>
            <w14:solidFill>
              <w14:schemeClr w14:val="tx1"/>
            </w14:solidFill>
          </w14:textFill>
        </w:rPr>
        <w:t>E</w:t>
      </w:r>
      <w:r>
        <w:rPr>
          <w:rFonts w:eastAsia="仿宋_GB2312"/>
          <w:b w:val="0"/>
          <w:bCs w:val="0"/>
          <w:color w:val="000000" w:themeColor="text1"/>
          <w:sz w:val="28"/>
          <w:szCs w:val="28"/>
          <w:highlight w:val="none"/>
          <w:vertAlign w:val="subscript"/>
          <w14:textFill>
            <w14:solidFill>
              <w14:schemeClr w14:val="tx1"/>
            </w14:solidFill>
          </w14:textFill>
        </w:rPr>
        <w:t>a</w:t>
      </w:r>
      <w:r>
        <w:rPr>
          <w:rFonts w:eastAsia="仿宋_GB2312"/>
          <w:b w:val="0"/>
          <w:bCs w:val="0"/>
          <w:color w:val="000000" w:themeColor="text1"/>
          <w:sz w:val="28"/>
          <w:szCs w:val="28"/>
          <w:highlight w:val="none"/>
          <w14:textFill>
            <w14:solidFill>
              <w14:schemeClr w14:val="tx1"/>
            </w14:solidFill>
          </w14:textFill>
        </w:rPr>
        <w:t>—土地取得费</w:t>
      </w:r>
    </w:p>
    <w:p w14:paraId="33EAC862">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eastAsia="仿宋_GB2312"/>
          <w:b w:val="0"/>
          <w:bCs w:val="0"/>
          <w:color w:val="000000" w:themeColor="text1"/>
          <w:sz w:val="28"/>
          <w:szCs w:val="28"/>
          <w:highlight w:val="none"/>
          <w14:textFill>
            <w14:solidFill>
              <w14:schemeClr w14:val="tx1"/>
            </w14:solidFill>
          </w14:textFill>
        </w:rPr>
      </w:pPr>
      <w:r>
        <w:rPr>
          <w:rFonts w:eastAsia="仿宋_GB2312"/>
          <w:b w:val="0"/>
          <w:bCs w:val="0"/>
          <w:color w:val="000000" w:themeColor="text1"/>
          <w:sz w:val="28"/>
          <w:szCs w:val="28"/>
          <w:highlight w:val="none"/>
          <w14:textFill>
            <w14:solidFill>
              <w14:schemeClr w14:val="tx1"/>
            </w14:solidFill>
          </w14:textFill>
        </w:rPr>
        <w:t>E</w:t>
      </w:r>
      <w:r>
        <w:rPr>
          <w:rFonts w:eastAsia="仿宋_GB2312"/>
          <w:b w:val="0"/>
          <w:bCs w:val="0"/>
          <w:color w:val="000000" w:themeColor="text1"/>
          <w:sz w:val="28"/>
          <w:szCs w:val="28"/>
          <w:highlight w:val="none"/>
          <w:vertAlign w:val="subscript"/>
          <w14:textFill>
            <w14:solidFill>
              <w14:schemeClr w14:val="tx1"/>
            </w14:solidFill>
          </w14:textFill>
        </w:rPr>
        <w:t>d</w:t>
      </w:r>
      <w:r>
        <w:rPr>
          <w:rFonts w:eastAsia="仿宋_GB2312"/>
          <w:b w:val="0"/>
          <w:bCs w:val="0"/>
          <w:color w:val="000000" w:themeColor="text1"/>
          <w:sz w:val="28"/>
          <w:szCs w:val="28"/>
          <w:highlight w:val="none"/>
          <w14:textFill>
            <w14:solidFill>
              <w14:schemeClr w14:val="tx1"/>
            </w14:solidFill>
          </w14:textFill>
        </w:rPr>
        <w:t>—土地开发费</w:t>
      </w:r>
    </w:p>
    <w:p w14:paraId="456761E3">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eastAsia="仿宋_GB2312"/>
          <w:b w:val="0"/>
          <w:bCs w:val="0"/>
          <w:color w:val="000000" w:themeColor="text1"/>
          <w:sz w:val="28"/>
          <w:szCs w:val="28"/>
          <w:highlight w:val="none"/>
          <w14:textFill>
            <w14:solidFill>
              <w14:schemeClr w14:val="tx1"/>
            </w14:solidFill>
          </w14:textFill>
        </w:rPr>
      </w:pPr>
      <w:r>
        <w:rPr>
          <w:rFonts w:eastAsia="仿宋_GB2312"/>
          <w:b w:val="0"/>
          <w:bCs w:val="0"/>
          <w:color w:val="000000" w:themeColor="text1"/>
          <w:sz w:val="28"/>
          <w:szCs w:val="28"/>
          <w:highlight w:val="none"/>
          <w14:textFill>
            <w14:solidFill>
              <w14:schemeClr w14:val="tx1"/>
            </w14:solidFill>
          </w14:textFill>
        </w:rPr>
        <w:t>T—税费</w:t>
      </w:r>
    </w:p>
    <w:p w14:paraId="70309514">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eastAsia="仿宋_GB2312"/>
          <w:b w:val="0"/>
          <w:bCs w:val="0"/>
          <w:color w:val="000000" w:themeColor="text1"/>
          <w:sz w:val="28"/>
          <w:szCs w:val="28"/>
          <w:highlight w:val="none"/>
          <w14:textFill>
            <w14:solidFill>
              <w14:schemeClr w14:val="tx1"/>
            </w14:solidFill>
          </w14:textFill>
        </w:rPr>
      </w:pPr>
      <w:r>
        <w:rPr>
          <w:rFonts w:eastAsia="仿宋_GB2312"/>
          <w:b w:val="0"/>
          <w:bCs w:val="0"/>
          <w:color w:val="000000" w:themeColor="text1"/>
          <w:sz w:val="28"/>
          <w:szCs w:val="28"/>
          <w:highlight w:val="none"/>
          <w14:textFill>
            <w14:solidFill>
              <w14:schemeClr w14:val="tx1"/>
            </w14:solidFill>
          </w14:textFill>
        </w:rPr>
        <w:t>R</w:t>
      </w:r>
      <w:r>
        <w:rPr>
          <w:rFonts w:eastAsia="仿宋_GB2312"/>
          <w:b w:val="0"/>
          <w:bCs w:val="0"/>
          <w:color w:val="000000" w:themeColor="text1"/>
          <w:sz w:val="28"/>
          <w:szCs w:val="28"/>
          <w:highlight w:val="none"/>
          <w:vertAlign w:val="subscript"/>
          <w14:textFill>
            <w14:solidFill>
              <w14:schemeClr w14:val="tx1"/>
            </w14:solidFill>
          </w14:textFill>
        </w:rPr>
        <w:t>1</w:t>
      </w:r>
      <w:r>
        <w:rPr>
          <w:rFonts w:eastAsia="仿宋_GB2312"/>
          <w:b w:val="0"/>
          <w:bCs w:val="0"/>
          <w:color w:val="000000" w:themeColor="text1"/>
          <w:sz w:val="28"/>
          <w:szCs w:val="28"/>
          <w:highlight w:val="none"/>
          <w14:textFill>
            <w14:solidFill>
              <w14:schemeClr w14:val="tx1"/>
            </w14:solidFill>
          </w14:textFill>
        </w:rPr>
        <w:t>—利息</w:t>
      </w:r>
    </w:p>
    <w:p w14:paraId="3ADE03AD">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eastAsia="仿宋_GB2312"/>
          <w:b w:val="0"/>
          <w:bCs w:val="0"/>
          <w:color w:val="000000" w:themeColor="text1"/>
          <w:sz w:val="28"/>
          <w:szCs w:val="28"/>
          <w:highlight w:val="none"/>
          <w14:textFill>
            <w14:solidFill>
              <w14:schemeClr w14:val="tx1"/>
            </w14:solidFill>
          </w14:textFill>
        </w:rPr>
      </w:pPr>
      <w:r>
        <w:rPr>
          <w:rFonts w:eastAsia="仿宋_GB2312"/>
          <w:b w:val="0"/>
          <w:bCs w:val="0"/>
          <w:color w:val="000000" w:themeColor="text1"/>
          <w:sz w:val="28"/>
          <w:szCs w:val="28"/>
          <w:highlight w:val="none"/>
          <w14:textFill>
            <w14:solidFill>
              <w14:schemeClr w14:val="tx1"/>
            </w14:solidFill>
          </w14:textFill>
        </w:rPr>
        <w:t>R</w:t>
      </w:r>
      <w:r>
        <w:rPr>
          <w:rFonts w:eastAsia="仿宋_GB2312"/>
          <w:b w:val="0"/>
          <w:bCs w:val="0"/>
          <w:color w:val="000000" w:themeColor="text1"/>
          <w:sz w:val="28"/>
          <w:szCs w:val="28"/>
          <w:highlight w:val="none"/>
          <w:vertAlign w:val="subscript"/>
          <w14:textFill>
            <w14:solidFill>
              <w14:schemeClr w14:val="tx1"/>
            </w14:solidFill>
          </w14:textFill>
        </w:rPr>
        <w:t>2</w:t>
      </w:r>
      <w:r>
        <w:rPr>
          <w:rFonts w:eastAsia="仿宋_GB2312"/>
          <w:b w:val="0"/>
          <w:bCs w:val="0"/>
          <w:color w:val="000000" w:themeColor="text1"/>
          <w:sz w:val="28"/>
          <w:szCs w:val="28"/>
          <w:highlight w:val="none"/>
          <w14:textFill>
            <w14:solidFill>
              <w14:schemeClr w14:val="tx1"/>
            </w14:solidFill>
          </w14:textFill>
        </w:rPr>
        <w:t>—利润</w:t>
      </w:r>
    </w:p>
    <w:p w14:paraId="1472D2D8">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eastAsia="仿宋_GB2312"/>
          <w:b w:val="0"/>
          <w:bCs w:val="0"/>
          <w:color w:val="000000" w:themeColor="text1"/>
          <w:sz w:val="28"/>
          <w:szCs w:val="28"/>
          <w:highlight w:val="none"/>
          <w14:textFill>
            <w14:solidFill>
              <w14:schemeClr w14:val="tx1"/>
            </w14:solidFill>
          </w14:textFill>
        </w:rPr>
      </w:pPr>
      <w:r>
        <w:rPr>
          <w:rFonts w:eastAsia="仿宋_GB2312"/>
          <w:b w:val="0"/>
          <w:bCs w:val="0"/>
          <w:color w:val="000000" w:themeColor="text1"/>
          <w:sz w:val="28"/>
          <w:szCs w:val="28"/>
          <w:highlight w:val="none"/>
          <w14:textFill>
            <w14:solidFill>
              <w14:schemeClr w14:val="tx1"/>
            </w14:solidFill>
          </w14:textFill>
        </w:rPr>
        <w:t>R</w:t>
      </w:r>
      <w:r>
        <w:rPr>
          <w:rFonts w:eastAsia="仿宋_GB2312"/>
          <w:b w:val="0"/>
          <w:bCs w:val="0"/>
          <w:color w:val="000000" w:themeColor="text1"/>
          <w:sz w:val="28"/>
          <w:szCs w:val="28"/>
          <w:highlight w:val="none"/>
          <w:vertAlign w:val="subscript"/>
          <w14:textFill>
            <w14:solidFill>
              <w14:schemeClr w14:val="tx1"/>
            </w14:solidFill>
          </w14:textFill>
        </w:rPr>
        <w:t>3</w:t>
      </w:r>
      <w:r>
        <w:rPr>
          <w:rFonts w:eastAsia="仿宋_GB2312"/>
          <w:b w:val="0"/>
          <w:bCs w:val="0"/>
          <w:color w:val="000000" w:themeColor="text1"/>
          <w:sz w:val="28"/>
          <w:szCs w:val="28"/>
          <w:highlight w:val="none"/>
          <w14:textFill>
            <w14:solidFill>
              <w14:schemeClr w14:val="tx1"/>
            </w14:solidFill>
          </w14:textFill>
        </w:rPr>
        <w:t>—土地增值</w:t>
      </w:r>
    </w:p>
    <w:p w14:paraId="1A70A99C">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eastAsia="仿宋_GB2312"/>
          <w:b w:val="0"/>
          <w:bCs w:val="0"/>
          <w:color w:val="000000" w:themeColor="text1"/>
          <w:sz w:val="28"/>
          <w:szCs w:val="28"/>
          <w:highlight w:val="none"/>
          <w14:textFill>
            <w14:solidFill>
              <w14:schemeClr w14:val="tx1"/>
            </w14:solidFill>
          </w14:textFill>
        </w:rPr>
      </w:pPr>
      <w:r>
        <w:rPr>
          <w:rFonts w:eastAsia="仿宋_GB2312"/>
          <w:b w:val="0"/>
          <w:bCs w:val="0"/>
          <w:color w:val="000000" w:themeColor="text1"/>
          <w:sz w:val="28"/>
          <w:szCs w:val="28"/>
          <w:highlight w:val="none"/>
          <w14:textFill>
            <w14:solidFill>
              <w14:schemeClr w14:val="tx1"/>
            </w14:solidFill>
          </w14:textFill>
        </w:rPr>
        <w:t>V</w:t>
      </w:r>
      <w:r>
        <w:rPr>
          <w:rFonts w:eastAsia="仿宋_GB2312"/>
          <w:b w:val="0"/>
          <w:bCs w:val="0"/>
          <w:color w:val="000000" w:themeColor="text1"/>
          <w:sz w:val="28"/>
          <w:szCs w:val="28"/>
          <w:highlight w:val="none"/>
          <w:vertAlign w:val="subscript"/>
          <w14:textFill>
            <w14:solidFill>
              <w14:schemeClr w14:val="tx1"/>
            </w14:solidFill>
          </w14:textFill>
        </w:rPr>
        <w:t>E</w:t>
      </w:r>
      <w:r>
        <w:rPr>
          <w:rFonts w:eastAsia="仿宋_GB2312"/>
          <w:b w:val="0"/>
          <w:bCs w:val="0"/>
          <w:color w:val="000000" w:themeColor="text1"/>
          <w:sz w:val="28"/>
          <w:szCs w:val="28"/>
          <w:highlight w:val="none"/>
          <w14:textFill>
            <w14:solidFill>
              <w14:schemeClr w14:val="tx1"/>
            </w14:solidFill>
          </w14:textFill>
        </w:rPr>
        <w:t>—土地成本价</w:t>
      </w:r>
    </w:p>
    <w:p w14:paraId="37FA9EFD">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计算过程：</w:t>
      </w:r>
    </w:p>
    <w:p w14:paraId="72233F9B">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 w:val="0"/>
          <w:bCs w:val="0"/>
          <w:sz w:val="28"/>
          <w:szCs w:val="28"/>
          <w:highlight w:val="none"/>
        </w:rPr>
      </w:pPr>
      <w:r>
        <w:rPr>
          <w:rFonts w:hint="eastAsia" w:ascii="仿宋_GB2312" w:hAnsi="仿宋_GB2312" w:eastAsia="仿宋_GB2312" w:cs="仿宋_GB2312"/>
          <w:b w:val="0"/>
          <w:bCs w:val="0"/>
          <w:sz w:val="28"/>
          <w:szCs w:val="28"/>
          <w:highlight w:val="none"/>
        </w:rPr>
        <w:t>估价对象位于</w:t>
      </w:r>
      <w:r>
        <w:rPr>
          <w:rFonts w:hint="eastAsia" w:ascii="仿宋_GB2312" w:hAnsi="仿宋_GB2312" w:eastAsia="仿宋_GB2312" w:cs="仿宋_GB2312"/>
          <w:b w:val="0"/>
          <w:bCs w:val="0"/>
          <w:sz w:val="28"/>
          <w:szCs w:val="28"/>
          <w:highlight w:val="none"/>
          <w:lang w:val="en-GB" w:eastAsia="zh-CN"/>
        </w:rPr>
        <w:t>道县西洲街道宝珍街六栋九号</w:t>
      </w:r>
      <w:r>
        <w:rPr>
          <w:rFonts w:hint="eastAsia" w:ascii="仿宋_GB2312" w:hAnsi="仿宋_GB2312" w:eastAsia="仿宋_GB2312" w:cs="仿宋_GB2312"/>
          <w:b w:val="0"/>
          <w:bCs w:val="0"/>
          <w:sz w:val="28"/>
          <w:szCs w:val="28"/>
          <w:highlight w:val="none"/>
        </w:rPr>
        <w:t>，</w:t>
      </w:r>
      <w:r>
        <w:rPr>
          <w:rFonts w:eastAsia="仿宋_GB2312"/>
          <w:sz w:val="28"/>
          <w:szCs w:val="28"/>
          <w:highlight w:val="none"/>
        </w:rPr>
        <w:t>根据</w:t>
      </w:r>
      <w:r>
        <w:rPr>
          <w:rFonts w:hint="eastAsia" w:ascii="仿宋_GB2312" w:hAnsi="仿宋_GB2312" w:eastAsia="仿宋_GB2312" w:cs="仿宋_GB2312"/>
          <w:bCs/>
          <w:sz w:val="28"/>
          <w:szCs w:val="28"/>
          <w:highlight w:val="none"/>
          <w:lang w:val="en-US" w:eastAsia="zh-CN"/>
        </w:rPr>
        <w:t>对估价对象周边区域用地调查</w:t>
      </w:r>
      <w:r>
        <w:rPr>
          <w:rFonts w:eastAsia="仿宋_GB2312"/>
          <w:sz w:val="28"/>
          <w:szCs w:val="28"/>
          <w:highlight w:val="none"/>
        </w:rPr>
        <w:t>，评估宗地</w:t>
      </w:r>
      <w:r>
        <w:rPr>
          <w:rFonts w:hint="eastAsia" w:eastAsia="仿宋_GB2312"/>
          <w:sz w:val="28"/>
          <w:szCs w:val="28"/>
          <w:highlight w:val="none"/>
          <w:lang w:val="en-US" w:eastAsia="zh-CN"/>
        </w:rPr>
        <w:t>以耕地</w:t>
      </w:r>
      <w:r>
        <w:rPr>
          <w:rFonts w:eastAsia="仿宋_GB2312"/>
          <w:sz w:val="28"/>
          <w:szCs w:val="28"/>
          <w:highlight w:val="none"/>
        </w:rPr>
        <w:t>为主，此次采用成本逼近法评估待估宗地地价时，考虑估价期日被征用的土地为</w:t>
      </w:r>
      <w:r>
        <w:rPr>
          <w:rFonts w:hint="eastAsia" w:eastAsia="仿宋_GB2312"/>
          <w:sz w:val="28"/>
          <w:szCs w:val="28"/>
          <w:highlight w:val="none"/>
          <w:lang w:val="en-US" w:eastAsia="zh-CN"/>
        </w:rPr>
        <w:t>耕地</w:t>
      </w:r>
      <w:r>
        <w:rPr>
          <w:rFonts w:hint="eastAsia" w:ascii="仿宋_GB2312" w:hAnsi="仿宋_GB2312" w:eastAsia="仿宋_GB2312" w:cs="仿宋_GB2312"/>
          <w:b w:val="0"/>
          <w:bCs w:val="0"/>
          <w:sz w:val="28"/>
          <w:szCs w:val="28"/>
          <w:highlight w:val="none"/>
        </w:rPr>
        <w:t>。</w:t>
      </w:r>
    </w:p>
    <w:p w14:paraId="0AFD832F">
      <w:pPr>
        <w:pStyle w:val="5"/>
        <w:keepNext w:val="0"/>
        <w:keepLines w:val="0"/>
        <w:pageBreakBefore w:val="0"/>
        <w:widowControl w:val="0"/>
        <w:kinsoku/>
        <w:wordWrap/>
        <w:overflowPunct/>
        <w:topLinePunct w:val="0"/>
        <w:autoSpaceDE/>
        <w:autoSpaceDN/>
        <w:bidi w:val="0"/>
        <w:adjustRightInd w:val="0"/>
        <w:snapToGrid w:val="0"/>
        <w:spacing w:line="460" w:lineRule="exact"/>
        <w:ind w:left="0" w:leftChars="0" w:firstLine="560" w:firstLineChars="200"/>
        <w:textAlignment w:val="auto"/>
        <w:outlineLvl w:val="9"/>
        <w:rPr>
          <w:rFonts w:hint="eastAsia" w:ascii="仿宋_GB2312" w:hAnsi="仿宋_GB2312" w:eastAsia="仿宋_GB2312" w:cs="仿宋_GB2312"/>
          <w:b w:val="0"/>
          <w:bCs w:val="0"/>
          <w:sz w:val="28"/>
          <w:szCs w:val="30"/>
          <w:highlight w:val="none"/>
          <w:lang w:val="en-US" w:eastAsia="zh-CN"/>
        </w:rPr>
      </w:pPr>
      <w:r>
        <w:rPr>
          <w:rFonts w:hint="eastAsia" w:ascii="仿宋_GB2312" w:hAnsi="仿宋_GB2312" w:eastAsia="仿宋_GB2312" w:cs="仿宋_GB2312"/>
          <w:b w:val="0"/>
          <w:bCs w:val="0"/>
          <w:color w:val="000000"/>
          <w:sz w:val="28"/>
          <w:szCs w:val="28"/>
          <w:highlight w:val="none"/>
        </w:rPr>
        <w:t>估价对象的估价期日为</w:t>
      </w:r>
      <w:r>
        <w:rPr>
          <w:rFonts w:hint="eastAsia" w:ascii="仿宋_GB2312" w:hAnsi="仿宋_GB2312" w:cs="仿宋_GB2312"/>
          <w:b w:val="0"/>
          <w:bCs w:val="0"/>
          <w:sz w:val="28"/>
          <w:szCs w:val="28"/>
          <w:highlight w:val="none"/>
          <w:lang w:val="en-US" w:eastAsia="zh-CN"/>
        </w:rPr>
        <w:t>2026年6月1日</w:t>
      </w:r>
      <w:r>
        <w:rPr>
          <w:rFonts w:hint="eastAsia" w:ascii="仿宋_GB2312" w:hAnsi="仿宋_GB2312" w:eastAsia="仿宋_GB2312" w:cs="仿宋_GB2312"/>
          <w:b w:val="0"/>
          <w:bCs w:val="0"/>
          <w:color w:val="000000"/>
          <w:sz w:val="28"/>
          <w:szCs w:val="28"/>
          <w:highlight w:val="none"/>
        </w:rPr>
        <w:t>，根据新土地管理法规定结合</w:t>
      </w:r>
      <w:r>
        <w:rPr>
          <w:rFonts w:hint="eastAsia" w:ascii="仿宋_GB2312" w:hAnsi="仿宋_GB2312" w:eastAsia="仿宋_GB2312" w:cs="仿宋_GB2312"/>
          <w:b w:val="0"/>
          <w:bCs w:val="0"/>
          <w:sz w:val="28"/>
          <w:szCs w:val="28"/>
          <w:highlight w:val="none"/>
          <w:lang w:val="en-US" w:eastAsia="zh-CN"/>
        </w:rPr>
        <w:t>《湖南省人民政府关于调整湖南省征地补偿标准的通知》（湘政发〔2024〕1号，2024年1月31日）</w:t>
      </w:r>
      <w:r>
        <w:rPr>
          <w:rFonts w:hint="eastAsia" w:ascii="仿宋_GB2312" w:hAnsi="仿宋_GB2312" w:eastAsia="仿宋_GB2312" w:cs="仿宋_GB2312"/>
          <w:b w:val="0"/>
          <w:bCs w:val="0"/>
          <w:color w:val="000000"/>
          <w:sz w:val="28"/>
          <w:szCs w:val="28"/>
          <w:highlight w:val="none"/>
        </w:rPr>
        <w:t>、</w:t>
      </w:r>
      <w:r>
        <w:rPr>
          <w:rFonts w:hint="eastAsia" w:ascii="仿宋_GB2312" w:hAnsi="仿宋_GB2312" w:eastAsia="仿宋_GB2312" w:cs="仿宋_GB2312"/>
          <w:b w:val="0"/>
          <w:bCs w:val="0"/>
          <w:color w:val="000000"/>
          <w:sz w:val="28"/>
          <w:szCs w:val="28"/>
          <w:highlight w:val="none"/>
          <w:lang w:eastAsia="zh-CN"/>
        </w:rPr>
        <w:t>《湖南省自然资源厅关于调整征收农用地补偿区片空间范围的通知》（湘自资发〔2024〕7号，</w:t>
      </w:r>
      <w:r>
        <w:rPr>
          <w:rFonts w:hint="eastAsia" w:ascii="仿宋_GB2312" w:hAnsi="仿宋_GB2312" w:eastAsia="仿宋_GB2312" w:cs="仿宋_GB2312"/>
          <w:b w:val="0"/>
          <w:bCs w:val="0"/>
          <w:color w:val="000000"/>
          <w:sz w:val="28"/>
          <w:szCs w:val="28"/>
          <w:highlight w:val="none"/>
          <w:lang w:val="en-US" w:eastAsia="zh-CN"/>
        </w:rPr>
        <w:t>2024年2月1日</w:t>
      </w:r>
      <w:r>
        <w:rPr>
          <w:rFonts w:hint="eastAsia" w:ascii="仿宋_GB2312" w:hAnsi="仿宋_GB2312" w:eastAsia="仿宋_GB2312" w:cs="仿宋_GB2312"/>
          <w:b w:val="0"/>
          <w:bCs w:val="0"/>
          <w:color w:val="000000"/>
          <w:sz w:val="28"/>
          <w:szCs w:val="28"/>
          <w:highlight w:val="none"/>
          <w:lang w:eastAsia="zh-CN"/>
        </w:rPr>
        <w:t>）、</w:t>
      </w:r>
      <w:r>
        <w:rPr>
          <w:rFonts w:hint="eastAsia" w:ascii="仿宋_GB2312" w:hAnsi="仿宋_GB2312" w:eastAsia="仿宋_GB2312" w:cs="仿宋_GB2312"/>
          <w:b w:val="0"/>
          <w:bCs w:val="0"/>
          <w:sz w:val="28"/>
          <w:szCs w:val="28"/>
          <w:highlight w:val="none"/>
          <w:lang w:val="en-US" w:eastAsia="zh-CN"/>
        </w:rPr>
        <w:t>永州市人民政府关于印发《永州市集体土地与房屋征收补偿安置办法》的通知（永政发〔2024〕4号，2024年5月11日）、</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以及湖南省、</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永州市</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颁布其他各项文件为依据。根据成本逼近法测算地价的步骤，其各项费用如下：</w:t>
      </w:r>
    </w:p>
    <w:p w14:paraId="09258B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3"/>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1、土地取得费</w:t>
      </w:r>
    </w:p>
    <w:p w14:paraId="3EC40407">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0AA37DF5">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 w:val="0"/>
          <w:bCs w:val="0"/>
          <w:color w:val="000000" w:themeColor="text1"/>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征地补偿费和安置补助费</w:t>
      </w:r>
    </w:p>
    <w:p w14:paraId="6E72B338">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为耕地</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《湖南省人民政府关于调整湖南省征地补偿标准的通知》（湘政发〔2024〕1号，2024年1月31日）</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及</w:t>
      </w:r>
      <w:r>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2024年2月1日</w:t>
      </w:r>
      <w:r>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征地补偿区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I</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耕地</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66300</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b w:val="0"/>
          <w:bCs w:val="0"/>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则：</w:t>
      </w:r>
    </w:p>
    <w:p w14:paraId="06FFCAB7">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66300</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99.45</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元/平方米。</w:t>
      </w:r>
    </w:p>
    <w:p w14:paraId="7527774E">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地上附着物补偿</w:t>
      </w:r>
    </w:p>
    <w:p w14:paraId="5E466C10">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auto"/>
        <w:rPr>
          <w:rFonts w:hint="eastAsia" w:ascii="仿宋_GB2312" w:hAnsi="仿宋_GB2312" w:eastAsia="仿宋_GB2312" w:cs="仿宋_GB2312"/>
          <w:b w:val="0"/>
          <w:bCs w:val="0"/>
          <w:sz w:val="28"/>
          <w:highlight w:val="none"/>
        </w:rPr>
      </w:pPr>
      <w:r>
        <w:rPr>
          <w:rFonts w:hint="eastAsia" w:ascii="仿宋_GB2312" w:hAnsi="仿宋_GB2312" w:eastAsia="仿宋_GB2312" w:cs="仿宋_GB2312"/>
          <w:b w:val="0"/>
          <w:bCs w:val="0"/>
          <w:sz w:val="28"/>
          <w:szCs w:val="28"/>
          <w:highlight w:val="none"/>
        </w:rPr>
        <w:t>根据</w:t>
      </w:r>
      <w:r>
        <w:rPr>
          <w:rFonts w:hint="eastAsia" w:ascii="仿宋_GB2312" w:hAnsi="仿宋_GB2312" w:eastAsia="仿宋_GB2312" w:cs="仿宋_GB2312"/>
          <w:b w:val="0"/>
          <w:bCs w:val="0"/>
          <w:sz w:val="28"/>
          <w:highlight w:val="none"/>
        </w:rPr>
        <w:t>永州市人民政府关于印发《永州市集体土地与房屋征收补偿安置办法》的通知（永政发〔2024〕4号，2024年5月11日）</w:t>
      </w:r>
      <w:r>
        <w:rPr>
          <w:rFonts w:hint="eastAsia" w:ascii="仿宋_GB2312" w:hAnsi="仿宋_GB2312" w:eastAsia="仿宋_GB2312" w:cs="仿宋_GB2312"/>
          <w:b w:val="0"/>
          <w:bCs w:val="0"/>
          <w:sz w:val="28"/>
          <w:szCs w:val="28"/>
          <w:highlight w:val="none"/>
        </w:rPr>
        <w:t>，</w:t>
      </w:r>
      <w:r>
        <w:rPr>
          <w:rFonts w:hint="eastAsia" w:ascii="仿宋_GB2312" w:hAnsi="仿宋_GB2312" w:eastAsia="仿宋_GB2312" w:cs="仿宋_GB2312"/>
          <w:b w:val="0"/>
          <w:bCs w:val="0"/>
          <w:sz w:val="28"/>
          <w:szCs w:val="28"/>
          <w:highlight w:val="none"/>
          <w:lang w:val="en-US" w:eastAsia="zh-CN"/>
        </w:rPr>
        <w:t>道县</w:t>
      </w:r>
      <w:r>
        <w:rPr>
          <w:rFonts w:hint="eastAsia" w:ascii="仿宋_GB2312" w:hAnsi="仿宋_GB2312" w:eastAsia="仿宋_GB2312" w:cs="仿宋_GB2312"/>
          <w:b w:val="0"/>
          <w:bCs w:val="0"/>
          <w:sz w:val="28"/>
          <w:szCs w:val="28"/>
          <w:highlight w:val="none"/>
        </w:rPr>
        <w:t>的</w:t>
      </w:r>
      <w:r>
        <w:rPr>
          <w:rFonts w:hint="eastAsia" w:ascii="仿宋_GB2312" w:hAnsi="仿宋_GB2312" w:eastAsia="仿宋_GB2312" w:cs="仿宋_GB2312"/>
          <w:b w:val="0"/>
          <w:bCs w:val="0"/>
          <w:sz w:val="28"/>
          <w:szCs w:val="28"/>
          <w:highlight w:val="none"/>
          <w:lang w:val="en-US" w:eastAsia="zh-CN"/>
        </w:rPr>
        <w:t>水田</w:t>
      </w:r>
      <w:r>
        <w:rPr>
          <w:rFonts w:hint="eastAsia" w:ascii="仿宋_GB2312" w:hAnsi="仿宋_GB2312" w:eastAsia="仿宋_GB2312" w:cs="仿宋_GB2312"/>
          <w:b w:val="0"/>
          <w:bCs w:val="0"/>
          <w:sz w:val="28"/>
          <w:szCs w:val="28"/>
          <w:highlight w:val="none"/>
        </w:rPr>
        <w:t>青苗补偿标准为</w:t>
      </w:r>
      <w:r>
        <w:rPr>
          <w:rFonts w:hint="eastAsia" w:ascii="仿宋_GB2312" w:hAnsi="仿宋_GB2312" w:eastAsia="仿宋_GB2312" w:cs="仿宋_GB2312"/>
          <w:b w:val="0"/>
          <w:bCs w:val="0"/>
          <w:sz w:val="28"/>
          <w:szCs w:val="28"/>
          <w:highlight w:val="none"/>
          <w:lang w:val="en-US" w:eastAsia="zh-CN"/>
        </w:rPr>
        <w:t>2800</w:t>
      </w:r>
      <w:r>
        <w:rPr>
          <w:rFonts w:hint="eastAsia" w:ascii="仿宋_GB2312" w:hAnsi="仿宋_GB2312" w:eastAsia="仿宋_GB2312" w:cs="仿宋_GB2312"/>
          <w:b w:val="0"/>
          <w:bCs w:val="0"/>
          <w:sz w:val="28"/>
          <w:highlight w:val="none"/>
        </w:rPr>
        <w:t>元/亩，合</w:t>
      </w:r>
      <w:r>
        <w:rPr>
          <w:rFonts w:hint="eastAsia" w:ascii="仿宋_GB2312" w:hAnsi="仿宋_GB2312" w:eastAsia="仿宋_GB2312" w:cs="仿宋_GB2312"/>
          <w:b w:val="0"/>
          <w:bCs w:val="0"/>
          <w:sz w:val="28"/>
          <w:highlight w:val="none"/>
          <w:lang w:val="en-US" w:eastAsia="zh-CN"/>
        </w:rPr>
        <w:t>4.2</w:t>
      </w:r>
      <w:r>
        <w:rPr>
          <w:rFonts w:hint="eastAsia" w:ascii="仿宋_GB2312" w:hAnsi="仿宋_GB2312" w:eastAsia="仿宋_GB2312" w:cs="仿宋_GB2312"/>
          <w:b w:val="0"/>
          <w:bCs w:val="0"/>
          <w:sz w:val="28"/>
          <w:highlight w:val="none"/>
        </w:rPr>
        <w:t>元/㎡；</w:t>
      </w:r>
    </w:p>
    <w:p w14:paraId="7A8377A6">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 w:val="0"/>
          <w:bCs w:val="0"/>
          <w:sz w:val="28"/>
          <w:szCs w:val="28"/>
          <w:highlight w:val="none"/>
        </w:rPr>
      </w:pPr>
      <w:r>
        <w:rPr>
          <w:rFonts w:hint="eastAsia" w:ascii="仿宋_GB2312" w:hAnsi="仿宋_GB2312" w:eastAsia="仿宋_GB2312" w:cs="仿宋_GB2312"/>
          <w:b w:val="0"/>
          <w:bCs w:val="0"/>
          <w:sz w:val="28"/>
          <w:szCs w:val="28"/>
          <w:highlight w:val="none"/>
        </w:rPr>
        <w:t>根据</w:t>
      </w:r>
      <w:r>
        <w:rPr>
          <w:rFonts w:hint="eastAsia" w:ascii="仿宋_GB2312" w:hAnsi="仿宋_GB2312" w:eastAsia="仿宋_GB2312" w:cs="仿宋_GB2312"/>
          <w:b w:val="0"/>
          <w:bCs w:val="0"/>
          <w:sz w:val="28"/>
          <w:highlight w:val="none"/>
        </w:rPr>
        <w:t>《永州市集体土地与房屋征收补偿安置办法》的通知（永政发〔2024〕4号，2024年5月11日）</w:t>
      </w:r>
      <w:r>
        <w:rPr>
          <w:rFonts w:hint="eastAsia" w:ascii="仿宋_GB2312" w:hAnsi="仿宋_GB2312" w:eastAsia="仿宋_GB2312" w:cs="仿宋_GB2312"/>
          <w:b w:val="0"/>
          <w:bCs w:val="0"/>
          <w:sz w:val="28"/>
          <w:szCs w:val="28"/>
          <w:highlight w:val="none"/>
        </w:rPr>
        <w:t>，</w:t>
      </w:r>
      <w:r>
        <w:rPr>
          <w:rFonts w:hint="eastAsia" w:ascii="仿宋_GB2312" w:hAnsi="仿宋_GB2312" w:eastAsia="仿宋_GB2312" w:cs="仿宋_GB2312"/>
          <w:b w:val="0"/>
          <w:bCs w:val="0"/>
          <w:sz w:val="28"/>
          <w:highlight w:val="none"/>
        </w:rPr>
        <w:t>地上建筑物补偿标准计算</w:t>
      </w:r>
      <w:r>
        <w:rPr>
          <w:rFonts w:hint="eastAsia" w:ascii="仿宋_GB2312" w:hAnsi="仿宋_GB2312" w:eastAsia="仿宋_GB2312" w:cs="仿宋_GB2312"/>
          <w:b w:val="0"/>
          <w:bCs w:val="0"/>
          <w:sz w:val="28"/>
          <w:szCs w:val="28"/>
          <w:highlight w:val="none"/>
        </w:rPr>
        <w:t>如下：</w:t>
      </w:r>
    </w:p>
    <w:p w14:paraId="68075F42">
      <w:pPr>
        <w:spacing w:line="480" w:lineRule="exact"/>
        <w:ind w:firstLine="560" w:firstLineChars="200"/>
        <w:jc w:val="center"/>
        <w:rPr>
          <w:rFonts w:hint="eastAsia" w:ascii="仿宋_GB2312" w:hAnsi="仿宋_GB2312" w:eastAsia="仿宋_GB2312" w:cs="仿宋_GB2312"/>
          <w:b w:val="0"/>
          <w:bCs w:val="0"/>
          <w:sz w:val="28"/>
          <w:szCs w:val="28"/>
          <w:highlight w:val="none"/>
        </w:rPr>
      </w:pPr>
      <w:r>
        <w:rPr>
          <w:rFonts w:hint="eastAsia" w:ascii="仿宋_GB2312" w:hAnsi="仿宋_GB2312" w:eastAsia="仿宋_GB2312" w:cs="仿宋_GB2312"/>
          <w:b w:val="0"/>
          <w:bCs w:val="0"/>
          <w:sz w:val="28"/>
          <w:szCs w:val="28"/>
          <w:highlight w:val="none"/>
        </w:rPr>
        <w:t>表3</w:t>
      </w:r>
      <w:r>
        <w:rPr>
          <w:rFonts w:hint="eastAsia" w:ascii="仿宋_GB2312" w:hAnsi="仿宋_GB2312" w:eastAsia="仿宋_GB2312" w:cs="仿宋_GB2312"/>
          <w:b w:val="0"/>
          <w:bCs w:val="0"/>
          <w:sz w:val="28"/>
          <w:szCs w:val="28"/>
          <w:highlight w:val="none"/>
          <w:lang w:val="en-US" w:eastAsia="zh-CN"/>
        </w:rPr>
        <w:t>-1</w:t>
      </w:r>
      <w:r>
        <w:rPr>
          <w:rFonts w:hint="eastAsia" w:ascii="仿宋_GB2312" w:hAnsi="仿宋_GB2312" w:eastAsia="仿宋_GB2312" w:cs="仿宋_GB2312"/>
          <w:b w:val="0"/>
          <w:bCs w:val="0"/>
          <w:sz w:val="28"/>
          <w:szCs w:val="28"/>
          <w:highlight w:val="none"/>
        </w:rPr>
        <w:t xml:space="preserve"> 建筑物补偿标准</w:t>
      </w:r>
    </w:p>
    <w:tbl>
      <w:tblPr>
        <w:tblStyle w:val="14"/>
        <w:tblW w:w="8717"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560"/>
        <w:gridCol w:w="1755"/>
        <w:gridCol w:w="1335"/>
        <w:gridCol w:w="1005"/>
        <w:gridCol w:w="1704"/>
      </w:tblGrid>
      <w:tr w14:paraId="0ED44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1358" w:type="dxa"/>
            <w:noWrap w:val="0"/>
            <w:vAlign w:val="center"/>
          </w:tcPr>
          <w:p w14:paraId="04F2A23A">
            <w:pPr>
              <w:keepNext w:val="0"/>
              <w:keepLines w:val="0"/>
              <w:pageBreakBefore w:val="0"/>
              <w:widowControl/>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kern w:val="0"/>
                <w:sz w:val="21"/>
                <w:szCs w:val="21"/>
                <w:highlight w:val="none"/>
              </w:rPr>
            </w:pPr>
            <w:r>
              <w:rPr>
                <w:rFonts w:hint="eastAsia" w:ascii="仿宋_GB2312" w:hAnsi="仿宋_GB2312" w:eastAsia="仿宋_GB2312" w:cs="仿宋_GB2312"/>
                <w:b w:val="0"/>
                <w:bCs w:val="0"/>
                <w:kern w:val="0"/>
                <w:sz w:val="21"/>
                <w:szCs w:val="21"/>
                <w:highlight w:val="none"/>
              </w:rPr>
              <w:t>补偿项目名称</w:t>
            </w:r>
          </w:p>
        </w:tc>
        <w:tc>
          <w:tcPr>
            <w:tcW w:w="1560" w:type="dxa"/>
            <w:noWrap w:val="0"/>
            <w:vAlign w:val="center"/>
          </w:tcPr>
          <w:p w14:paraId="33183AE8">
            <w:pPr>
              <w:keepNext w:val="0"/>
              <w:keepLines w:val="0"/>
              <w:pageBreakBefore w:val="0"/>
              <w:widowControl/>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kern w:val="0"/>
                <w:sz w:val="21"/>
                <w:szCs w:val="21"/>
                <w:highlight w:val="none"/>
              </w:rPr>
            </w:pPr>
            <w:r>
              <w:rPr>
                <w:rFonts w:hint="eastAsia" w:ascii="仿宋_GB2312" w:hAnsi="仿宋_GB2312" w:eastAsia="仿宋_GB2312" w:cs="仿宋_GB2312"/>
                <w:b w:val="0"/>
                <w:bCs w:val="0"/>
                <w:kern w:val="0"/>
                <w:sz w:val="21"/>
                <w:szCs w:val="21"/>
                <w:highlight w:val="none"/>
              </w:rPr>
              <w:t>附着物补偿标准（元/㎡）</w:t>
            </w:r>
          </w:p>
        </w:tc>
        <w:tc>
          <w:tcPr>
            <w:tcW w:w="1755" w:type="dxa"/>
            <w:noWrap w:val="0"/>
            <w:vAlign w:val="center"/>
          </w:tcPr>
          <w:p w14:paraId="2D3F87B9">
            <w:pPr>
              <w:keepNext w:val="0"/>
              <w:keepLines w:val="0"/>
              <w:pageBreakBefore w:val="0"/>
              <w:widowControl/>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kern w:val="0"/>
                <w:sz w:val="21"/>
                <w:szCs w:val="21"/>
                <w:highlight w:val="none"/>
              </w:rPr>
            </w:pPr>
            <w:r>
              <w:rPr>
                <w:rFonts w:hint="eastAsia" w:ascii="仿宋_GB2312" w:hAnsi="仿宋_GB2312" w:eastAsia="仿宋_GB2312" w:cs="仿宋_GB2312"/>
                <w:b w:val="0"/>
                <w:bCs w:val="0"/>
                <w:kern w:val="0"/>
                <w:sz w:val="21"/>
                <w:szCs w:val="21"/>
                <w:highlight w:val="none"/>
              </w:rPr>
              <w:t>计算基数</w:t>
            </w:r>
          </w:p>
        </w:tc>
        <w:tc>
          <w:tcPr>
            <w:tcW w:w="1335" w:type="dxa"/>
            <w:noWrap w:val="0"/>
            <w:vAlign w:val="center"/>
          </w:tcPr>
          <w:p w14:paraId="508D0690">
            <w:pPr>
              <w:keepNext w:val="0"/>
              <w:keepLines w:val="0"/>
              <w:pageBreakBefore w:val="0"/>
              <w:widowControl/>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kern w:val="0"/>
                <w:sz w:val="21"/>
                <w:szCs w:val="21"/>
                <w:highlight w:val="none"/>
              </w:rPr>
            </w:pPr>
            <w:r>
              <w:rPr>
                <w:rFonts w:hint="eastAsia" w:ascii="仿宋_GB2312" w:hAnsi="仿宋_GB2312" w:eastAsia="仿宋_GB2312" w:cs="仿宋_GB2312"/>
                <w:b w:val="0"/>
                <w:bCs w:val="0"/>
                <w:kern w:val="0"/>
                <w:sz w:val="21"/>
                <w:szCs w:val="21"/>
                <w:highlight w:val="none"/>
              </w:rPr>
              <w:t>人均合法建筑面积（㎡）</w:t>
            </w:r>
          </w:p>
        </w:tc>
        <w:tc>
          <w:tcPr>
            <w:tcW w:w="1005" w:type="dxa"/>
            <w:noWrap w:val="0"/>
            <w:vAlign w:val="center"/>
          </w:tcPr>
          <w:p w14:paraId="4FA96B62">
            <w:pPr>
              <w:keepNext w:val="0"/>
              <w:keepLines w:val="0"/>
              <w:pageBreakBefore w:val="0"/>
              <w:widowControl/>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kern w:val="0"/>
                <w:sz w:val="21"/>
                <w:szCs w:val="21"/>
                <w:highlight w:val="none"/>
              </w:rPr>
            </w:pPr>
            <w:r>
              <w:rPr>
                <w:rFonts w:hint="eastAsia" w:ascii="仿宋_GB2312" w:hAnsi="仿宋_GB2312" w:eastAsia="仿宋_GB2312" w:cs="仿宋_GB2312"/>
                <w:b w:val="0"/>
                <w:bCs w:val="0"/>
                <w:kern w:val="0"/>
                <w:sz w:val="21"/>
                <w:szCs w:val="21"/>
                <w:highlight w:val="none"/>
              </w:rPr>
              <w:t>补偿金额（元）</w:t>
            </w:r>
          </w:p>
        </w:tc>
        <w:tc>
          <w:tcPr>
            <w:tcW w:w="1704" w:type="dxa"/>
            <w:noWrap w:val="0"/>
            <w:vAlign w:val="center"/>
          </w:tcPr>
          <w:p w14:paraId="5D60CCC5">
            <w:pPr>
              <w:keepNext w:val="0"/>
              <w:keepLines w:val="0"/>
              <w:pageBreakBefore w:val="0"/>
              <w:widowControl/>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kern w:val="0"/>
                <w:sz w:val="21"/>
                <w:szCs w:val="21"/>
                <w:highlight w:val="none"/>
              </w:rPr>
            </w:pPr>
            <w:r>
              <w:rPr>
                <w:rFonts w:hint="eastAsia" w:ascii="仿宋_GB2312" w:hAnsi="仿宋_GB2312" w:eastAsia="仿宋_GB2312" w:cs="仿宋_GB2312"/>
                <w:b w:val="0"/>
                <w:bCs w:val="0"/>
                <w:kern w:val="0"/>
                <w:sz w:val="21"/>
                <w:szCs w:val="21"/>
                <w:highlight w:val="none"/>
              </w:rPr>
              <w:t>备注</w:t>
            </w:r>
          </w:p>
        </w:tc>
      </w:tr>
      <w:tr w14:paraId="5365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358" w:type="dxa"/>
            <w:noWrap w:val="0"/>
            <w:vAlign w:val="center"/>
          </w:tcPr>
          <w:p w14:paraId="6137705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房屋补偿费</w:t>
            </w:r>
          </w:p>
        </w:tc>
        <w:tc>
          <w:tcPr>
            <w:tcW w:w="1560" w:type="dxa"/>
            <w:noWrap w:val="0"/>
            <w:vAlign w:val="center"/>
          </w:tcPr>
          <w:p w14:paraId="437C685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Style w:val="22"/>
                <w:rFonts w:hint="eastAsia" w:ascii="仿宋_GB2312" w:hAnsi="仿宋_GB2312" w:eastAsia="仿宋_GB2312" w:cs="仿宋_GB2312"/>
                <w:b w:val="0"/>
                <w:bCs w:val="0"/>
                <w:sz w:val="21"/>
                <w:szCs w:val="21"/>
                <w:highlight w:val="none"/>
                <w:lang w:val="en-US" w:eastAsia="zh-CN" w:bidi="ar"/>
              </w:rPr>
              <w:t>1350</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元</w:t>
            </w:r>
            <w:r>
              <w:rPr>
                <w:rStyle w:val="22"/>
                <w:rFonts w:hint="eastAsia" w:ascii="仿宋_GB2312" w:hAnsi="仿宋_GB2312" w:eastAsia="仿宋_GB2312" w:cs="仿宋_GB2312"/>
                <w:b w:val="0"/>
                <w:bCs w:val="0"/>
                <w:sz w:val="21"/>
                <w:szCs w:val="21"/>
                <w:highlight w:val="none"/>
                <w:lang w:val="en-US" w:eastAsia="zh-CN" w:bidi="ar"/>
              </w:rPr>
              <w:t>/</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w:t>
            </w:r>
          </w:p>
        </w:tc>
        <w:tc>
          <w:tcPr>
            <w:tcW w:w="1755" w:type="dxa"/>
            <w:noWrap w:val="0"/>
            <w:vAlign w:val="center"/>
          </w:tcPr>
          <w:p w14:paraId="70BD9C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按合法建筑面积</w:t>
            </w:r>
          </w:p>
        </w:tc>
        <w:tc>
          <w:tcPr>
            <w:tcW w:w="1335" w:type="dxa"/>
            <w:noWrap w:val="0"/>
            <w:vAlign w:val="center"/>
          </w:tcPr>
          <w:p w14:paraId="7A7FA1E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70</w:t>
            </w:r>
          </w:p>
        </w:tc>
        <w:tc>
          <w:tcPr>
            <w:tcW w:w="1005" w:type="dxa"/>
            <w:noWrap w:val="0"/>
            <w:vAlign w:val="center"/>
          </w:tcPr>
          <w:p w14:paraId="33F3DCF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94500</w:t>
            </w:r>
          </w:p>
        </w:tc>
        <w:tc>
          <w:tcPr>
            <w:tcW w:w="1704" w:type="dxa"/>
            <w:noWrap w:val="0"/>
            <w:vAlign w:val="center"/>
          </w:tcPr>
          <w:p w14:paraId="583F8DD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砖混，本补偿标准含室内外装饰、装修</w:t>
            </w:r>
          </w:p>
        </w:tc>
      </w:tr>
      <w:tr w14:paraId="218D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trPr>
        <w:tc>
          <w:tcPr>
            <w:tcW w:w="1358" w:type="dxa"/>
            <w:noWrap w:val="0"/>
            <w:vAlign w:val="center"/>
          </w:tcPr>
          <w:p w14:paraId="6BFB59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主动腾地奖</w:t>
            </w:r>
          </w:p>
        </w:tc>
        <w:tc>
          <w:tcPr>
            <w:tcW w:w="1560" w:type="dxa"/>
            <w:noWrap w:val="0"/>
            <w:vAlign w:val="center"/>
          </w:tcPr>
          <w:p w14:paraId="2E2CD87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Style w:val="22"/>
                <w:rFonts w:hint="eastAsia" w:ascii="仿宋_GB2312" w:hAnsi="仿宋_GB2312" w:eastAsia="仿宋_GB2312" w:cs="仿宋_GB2312"/>
                <w:b w:val="0"/>
                <w:bCs w:val="0"/>
                <w:sz w:val="21"/>
                <w:szCs w:val="21"/>
                <w:highlight w:val="none"/>
                <w:lang w:val="en-US" w:eastAsia="zh-CN" w:bidi="ar"/>
              </w:rPr>
              <w:t>100</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元</w:t>
            </w:r>
            <w:r>
              <w:rPr>
                <w:rStyle w:val="22"/>
                <w:rFonts w:hint="eastAsia" w:ascii="仿宋_GB2312" w:hAnsi="仿宋_GB2312" w:eastAsia="仿宋_GB2312" w:cs="仿宋_GB2312"/>
                <w:b w:val="0"/>
                <w:bCs w:val="0"/>
                <w:sz w:val="21"/>
                <w:szCs w:val="21"/>
                <w:highlight w:val="none"/>
                <w:lang w:val="en-US" w:eastAsia="zh-CN" w:bidi="ar"/>
              </w:rPr>
              <w:t>/</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w:t>
            </w:r>
          </w:p>
        </w:tc>
        <w:tc>
          <w:tcPr>
            <w:tcW w:w="1755" w:type="dxa"/>
            <w:noWrap w:val="0"/>
            <w:vAlign w:val="center"/>
          </w:tcPr>
          <w:p w14:paraId="7A359EF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按合法建筑面积</w:t>
            </w:r>
          </w:p>
        </w:tc>
        <w:tc>
          <w:tcPr>
            <w:tcW w:w="1335" w:type="dxa"/>
            <w:noWrap w:val="0"/>
            <w:vAlign w:val="center"/>
          </w:tcPr>
          <w:p w14:paraId="046AEE3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70</w:t>
            </w:r>
          </w:p>
        </w:tc>
        <w:tc>
          <w:tcPr>
            <w:tcW w:w="1005" w:type="dxa"/>
            <w:noWrap w:val="0"/>
            <w:vAlign w:val="center"/>
          </w:tcPr>
          <w:p w14:paraId="5CDD96C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7000</w:t>
            </w:r>
          </w:p>
        </w:tc>
        <w:tc>
          <w:tcPr>
            <w:tcW w:w="1704" w:type="dxa"/>
            <w:noWrap w:val="0"/>
            <w:vAlign w:val="center"/>
          </w:tcPr>
          <w:p w14:paraId="6138197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按二层计算</w:t>
            </w:r>
          </w:p>
        </w:tc>
      </w:tr>
      <w:tr w14:paraId="59CF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1358" w:type="dxa"/>
            <w:noWrap w:val="0"/>
            <w:vAlign w:val="center"/>
          </w:tcPr>
          <w:p w14:paraId="63FA6AE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搬家费</w:t>
            </w:r>
          </w:p>
        </w:tc>
        <w:tc>
          <w:tcPr>
            <w:tcW w:w="1560" w:type="dxa"/>
            <w:noWrap w:val="0"/>
            <w:vAlign w:val="center"/>
          </w:tcPr>
          <w:p w14:paraId="21F012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Style w:val="22"/>
                <w:rFonts w:hint="eastAsia" w:ascii="仿宋_GB2312" w:hAnsi="仿宋_GB2312" w:eastAsia="仿宋_GB2312" w:cs="仿宋_GB2312"/>
                <w:b w:val="0"/>
                <w:bCs w:val="0"/>
                <w:sz w:val="21"/>
                <w:szCs w:val="21"/>
                <w:highlight w:val="none"/>
                <w:lang w:val="en-US" w:eastAsia="zh-CN" w:bidi="ar"/>
              </w:rPr>
              <w:t>2000</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元</w:t>
            </w:r>
            <w:r>
              <w:rPr>
                <w:rStyle w:val="22"/>
                <w:rFonts w:hint="eastAsia" w:ascii="仿宋_GB2312" w:hAnsi="仿宋_GB2312" w:eastAsia="仿宋_GB2312" w:cs="仿宋_GB2312"/>
                <w:b w:val="0"/>
                <w:bCs w:val="0"/>
                <w:sz w:val="21"/>
                <w:szCs w:val="21"/>
                <w:highlight w:val="none"/>
                <w:lang w:val="en-US" w:eastAsia="zh-CN" w:bidi="ar"/>
              </w:rPr>
              <w:t>/</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户</w:t>
            </w:r>
          </w:p>
        </w:tc>
        <w:tc>
          <w:tcPr>
            <w:tcW w:w="1755" w:type="dxa"/>
            <w:noWrap w:val="0"/>
            <w:vAlign w:val="center"/>
          </w:tcPr>
          <w:p w14:paraId="6AA80BF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按每户，</w:t>
            </w:r>
            <w:r>
              <w:rPr>
                <w:rStyle w:val="22"/>
                <w:rFonts w:hint="eastAsia" w:ascii="仿宋_GB2312" w:hAnsi="仿宋_GB2312" w:eastAsia="仿宋_GB2312" w:cs="仿宋_GB2312"/>
                <w:b w:val="0"/>
                <w:bCs w:val="0"/>
                <w:sz w:val="21"/>
                <w:szCs w:val="21"/>
                <w:highlight w:val="none"/>
                <w:lang w:val="en-US" w:eastAsia="zh-CN" w:bidi="ar"/>
              </w:rPr>
              <w:t>4</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人</w:t>
            </w:r>
            <w:r>
              <w:rPr>
                <w:rStyle w:val="22"/>
                <w:rFonts w:hint="eastAsia" w:ascii="仿宋_GB2312" w:hAnsi="仿宋_GB2312" w:eastAsia="仿宋_GB2312" w:cs="仿宋_GB2312"/>
                <w:b w:val="0"/>
                <w:bCs w:val="0"/>
                <w:sz w:val="21"/>
                <w:szCs w:val="21"/>
                <w:highlight w:val="none"/>
                <w:lang w:val="en-US" w:eastAsia="zh-CN" w:bidi="ar"/>
              </w:rPr>
              <w:t>/</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户</w:t>
            </w:r>
          </w:p>
        </w:tc>
        <w:tc>
          <w:tcPr>
            <w:tcW w:w="1335" w:type="dxa"/>
            <w:noWrap w:val="0"/>
            <w:vAlign w:val="center"/>
          </w:tcPr>
          <w:p w14:paraId="4C411D5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Style w:val="22"/>
                <w:rFonts w:hint="eastAsia" w:ascii="仿宋_GB2312" w:hAnsi="仿宋_GB2312" w:eastAsia="仿宋_GB2312" w:cs="仿宋_GB2312"/>
                <w:b w:val="0"/>
                <w:bCs w:val="0"/>
                <w:sz w:val="21"/>
                <w:szCs w:val="21"/>
                <w:highlight w:val="none"/>
                <w:lang w:val="en-US" w:eastAsia="zh-CN" w:bidi="ar"/>
              </w:rPr>
              <w:t>1</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人</w:t>
            </w:r>
          </w:p>
        </w:tc>
        <w:tc>
          <w:tcPr>
            <w:tcW w:w="1005" w:type="dxa"/>
            <w:noWrap w:val="0"/>
            <w:vAlign w:val="center"/>
          </w:tcPr>
          <w:p w14:paraId="62DE4CA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500</w:t>
            </w:r>
          </w:p>
        </w:tc>
        <w:tc>
          <w:tcPr>
            <w:tcW w:w="1704" w:type="dxa"/>
            <w:noWrap w:val="0"/>
            <w:vAlign w:val="center"/>
          </w:tcPr>
          <w:p w14:paraId="115D1F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按中间值计算</w:t>
            </w:r>
          </w:p>
        </w:tc>
      </w:tr>
      <w:tr w14:paraId="68C2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1358" w:type="dxa"/>
            <w:noWrap w:val="0"/>
            <w:vAlign w:val="center"/>
          </w:tcPr>
          <w:p w14:paraId="2002C56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过渡费</w:t>
            </w:r>
          </w:p>
        </w:tc>
        <w:tc>
          <w:tcPr>
            <w:tcW w:w="1560" w:type="dxa"/>
            <w:noWrap w:val="0"/>
            <w:vAlign w:val="center"/>
          </w:tcPr>
          <w:p w14:paraId="5B349BB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Style w:val="22"/>
                <w:rFonts w:hint="eastAsia" w:ascii="仿宋_GB2312" w:hAnsi="仿宋_GB2312" w:eastAsia="仿宋_GB2312" w:cs="仿宋_GB2312"/>
                <w:b w:val="0"/>
                <w:bCs w:val="0"/>
                <w:sz w:val="21"/>
                <w:szCs w:val="21"/>
                <w:highlight w:val="none"/>
                <w:lang w:val="en-US" w:eastAsia="zh-CN" w:bidi="ar"/>
              </w:rPr>
              <w:t>1000</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元</w:t>
            </w:r>
            <w:r>
              <w:rPr>
                <w:rStyle w:val="22"/>
                <w:rFonts w:hint="eastAsia" w:ascii="仿宋_GB2312" w:hAnsi="仿宋_GB2312" w:eastAsia="仿宋_GB2312" w:cs="仿宋_GB2312"/>
                <w:b w:val="0"/>
                <w:bCs w:val="0"/>
                <w:sz w:val="21"/>
                <w:szCs w:val="21"/>
                <w:highlight w:val="none"/>
                <w:lang w:val="en-US" w:eastAsia="zh-CN" w:bidi="ar"/>
              </w:rPr>
              <w:t>/</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户</w:t>
            </w:r>
            <w:r>
              <w:rPr>
                <w:rStyle w:val="22"/>
                <w:rFonts w:hint="eastAsia" w:ascii="仿宋_GB2312" w:hAnsi="仿宋_GB2312" w:eastAsia="仿宋_GB2312" w:cs="仿宋_GB2312"/>
                <w:b w:val="0"/>
                <w:bCs w:val="0"/>
                <w:sz w:val="21"/>
                <w:szCs w:val="21"/>
                <w:highlight w:val="none"/>
                <w:lang w:val="en-US" w:eastAsia="zh-CN" w:bidi="ar"/>
              </w:rPr>
              <w:t>/</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月</w:t>
            </w:r>
          </w:p>
        </w:tc>
        <w:tc>
          <w:tcPr>
            <w:tcW w:w="1755" w:type="dxa"/>
            <w:noWrap w:val="0"/>
            <w:vAlign w:val="center"/>
          </w:tcPr>
          <w:p w14:paraId="4FD128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按每户，</w:t>
            </w:r>
            <w:r>
              <w:rPr>
                <w:rStyle w:val="22"/>
                <w:rFonts w:hint="eastAsia" w:ascii="仿宋_GB2312" w:hAnsi="仿宋_GB2312" w:eastAsia="仿宋_GB2312" w:cs="仿宋_GB2312"/>
                <w:b w:val="0"/>
                <w:bCs w:val="0"/>
                <w:sz w:val="21"/>
                <w:szCs w:val="21"/>
                <w:highlight w:val="none"/>
                <w:lang w:val="en-US" w:eastAsia="zh-CN" w:bidi="ar"/>
              </w:rPr>
              <w:t>4</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人</w:t>
            </w:r>
            <w:r>
              <w:rPr>
                <w:rStyle w:val="22"/>
                <w:rFonts w:hint="eastAsia" w:ascii="仿宋_GB2312" w:hAnsi="仿宋_GB2312" w:eastAsia="仿宋_GB2312" w:cs="仿宋_GB2312"/>
                <w:b w:val="0"/>
                <w:bCs w:val="0"/>
                <w:sz w:val="21"/>
                <w:szCs w:val="21"/>
                <w:highlight w:val="none"/>
                <w:lang w:val="en-US" w:eastAsia="zh-CN" w:bidi="ar"/>
              </w:rPr>
              <w:t>/</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户</w:t>
            </w:r>
          </w:p>
        </w:tc>
        <w:tc>
          <w:tcPr>
            <w:tcW w:w="1335" w:type="dxa"/>
            <w:noWrap w:val="0"/>
            <w:vAlign w:val="center"/>
          </w:tcPr>
          <w:p w14:paraId="5399E40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Style w:val="22"/>
                <w:rFonts w:hint="eastAsia" w:ascii="仿宋_GB2312" w:hAnsi="仿宋_GB2312" w:eastAsia="仿宋_GB2312" w:cs="仿宋_GB2312"/>
                <w:b w:val="0"/>
                <w:bCs w:val="0"/>
                <w:sz w:val="21"/>
                <w:szCs w:val="21"/>
                <w:highlight w:val="none"/>
                <w:lang w:val="en-US" w:eastAsia="zh-CN" w:bidi="ar"/>
              </w:rPr>
              <w:t>1</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人</w:t>
            </w:r>
          </w:p>
        </w:tc>
        <w:tc>
          <w:tcPr>
            <w:tcW w:w="1005" w:type="dxa"/>
            <w:noWrap w:val="0"/>
            <w:vAlign w:val="center"/>
          </w:tcPr>
          <w:p w14:paraId="682C0D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3000</w:t>
            </w:r>
          </w:p>
        </w:tc>
        <w:tc>
          <w:tcPr>
            <w:tcW w:w="1704" w:type="dxa"/>
            <w:noWrap w:val="0"/>
            <w:vAlign w:val="center"/>
          </w:tcPr>
          <w:p w14:paraId="6DDCF0E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0"/>
                <w:sz w:val="21"/>
                <w:szCs w:val="21"/>
                <w:highlight w:val="none"/>
              </w:rPr>
            </w:pP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过渡期</w:t>
            </w:r>
            <w:r>
              <w:rPr>
                <w:rStyle w:val="22"/>
                <w:rFonts w:hint="eastAsia" w:ascii="仿宋_GB2312" w:hAnsi="仿宋_GB2312" w:eastAsia="仿宋_GB2312" w:cs="仿宋_GB2312"/>
                <w:b w:val="0"/>
                <w:bCs w:val="0"/>
                <w:sz w:val="21"/>
                <w:szCs w:val="21"/>
                <w:highlight w:val="none"/>
                <w:lang w:val="en-US" w:eastAsia="zh-CN" w:bidi="ar"/>
              </w:rPr>
              <w:t>12</w:t>
            </w:r>
            <w:r>
              <w:rPr>
                <w:rFonts w:hint="eastAsia" w:ascii="仿宋_GB2312" w:hAnsi="仿宋_GB2312" w:eastAsia="仿宋_GB2312" w:cs="仿宋_GB2312"/>
                <w:b w:val="0"/>
                <w:bCs w:val="0"/>
                <w:i w:val="0"/>
                <w:iCs w:val="0"/>
                <w:color w:val="000000"/>
                <w:kern w:val="0"/>
                <w:sz w:val="21"/>
                <w:szCs w:val="21"/>
                <w:highlight w:val="none"/>
                <w:u w:val="none"/>
                <w:lang w:val="en-US" w:eastAsia="zh-CN" w:bidi="ar"/>
              </w:rPr>
              <w:t>个月</w:t>
            </w:r>
          </w:p>
        </w:tc>
      </w:tr>
    </w:tbl>
    <w:p w14:paraId="66B587CF">
      <w:pPr>
        <w:pStyle w:val="23"/>
        <w:spacing w:line="480" w:lineRule="exact"/>
        <w:ind w:firstLine="560"/>
        <w:rPr>
          <w:rFonts w:hint="eastAsia" w:ascii="仿宋_GB2312" w:hAnsi="仿宋_GB2312" w:eastAsia="仿宋_GB2312" w:cs="仿宋_GB2312"/>
          <w:b w:val="0"/>
          <w:bCs w:val="0"/>
          <w:sz w:val="28"/>
          <w:highlight w:val="none"/>
        </w:rPr>
      </w:pPr>
      <w:r>
        <w:rPr>
          <w:rFonts w:hint="eastAsia" w:ascii="仿宋_GB2312" w:hAnsi="仿宋_GB2312" w:eastAsia="仿宋_GB2312" w:cs="仿宋_GB2312"/>
          <w:b w:val="0"/>
          <w:bCs w:val="0"/>
          <w:sz w:val="28"/>
          <w:highlight w:val="none"/>
        </w:rPr>
        <w:t>根据以上测算，区域地上建筑物平均补偿费用为</w:t>
      </w:r>
      <w:r>
        <w:rPr>
          <w:rFonts w:hint="eastAsia" w:ascii="仿宋_GB2312" w:hAnsi="仿宋_GB2312" w:eastAsia="仿宋_GB2312" w:cs="仿宋_GB2312"/>
          <w:b w:val="0"/>
          <w:bCs w:val="0"/>
          <w:sz w:val="28"/>
          <w:highlight w:val="none"/>
          <w:lang w:val="en-US" w:eastAsia="zh-CN"/>
        </w:rPr>
        <w:t>105000</w:t>
      </w:r>
      <w:r>
        <w:rPr>
          <w:rFonts w:hint="eastAsia" w:ascii="仿宋_GB2312" w:hAnsi="仿宋_GB2312" w:eastAsia="仿宋_GB2312" w:cs="仿宋_GB2312"/>
          <w:b w:val="0"/>
          <w:bCs w:val="0"/>
          <w:sz w:val="28"/>
          <w:highlight w:val="none"/>
        </w:rPr>
        <w:t>元/人。据湖南征地信息平台公布的数据，收集到的区域三个征地案例的安置农业人口数，确定区域农业人口数约</w:t>
      </w:r>
      <w:r>
        <w:rPr>
          <w:rFonts w:hint="eastAsia" w:ascii="仿宋_GB2312" w:hAnsi="仿宋_GB2312" w:eastAsia="仿宋_GB2312" w:cs="仿宋_GB2312"/>
          <w:b w:val="0"/>
          <w:bCs w:val="0"/>
          <w:sz w:val="28"/>
          <w:highlight w:val="none"/>
          <w:lang w:val="en-US" w:eastAsia="zh-CN"/>
        </w:rPr>
        <w:t>12.82</w:t>
      </w:r>
      <w:r>
        <w:rPr>
          <w:rFonts w:hint="eastAsia" w:ascii="仿宋_GB2312" w:hAnsi="仿宋_GB2312" w:eastAsia="仿宋_GB2312" w:cs="仿宋_GB2312"/>
          <w:b w:val="0"/>
          <w:bCs w:val="0"/>
          <w:sz w:val="28"/>
          <w:highlight w:val="none"/>
        </w:rPr>
        <w:t>人/公顷。具体补偿人口数量详见下表：</w:t>
      </w:r>
    </w:p>
    <w:p w14:paraId="60FF420F">
      <w:pPr>
        <w:spacing w:line="480" w:lineRule="exact"/>
        <w:ind w:firstLine="560" w:firstLineChars="200"/>
        <w:jc w:val="center"/>
        <w:rPr>
          <w:rFonts w:hint="eastAsia" w:ascii="仿宋_GB2312" w:hAnsi="仿宋_GB2312" w:eastAsia="仿宋_GB2312" w:cs="仿宋_GB2312"/>
          <w:b w:val="0"/>
          <w:bCs w:val="0"/>
          <w:sz w:val="28"/>
          <w:szCs w:val="28"/>
          <w:highlight w:val="none"/>
        </w:rPr>
      </w:pPr>
      <w:r>
        <w:rPr>
          <w:rFonts w:hint="eastAsia" w:ascii="仿宋_GB2312" w:hAnsi="仿宋_GB2312" w:eastAsia="仿宋_GB2312" w:cs="仿宋_GB2312"/>
          <w:b w:val="0"/>
          <w:bCs w:val="0"/>
          <w:sz w:val="28"/>
          <w:szCs w:val="28"/>
          <w:highlight w:val="none"/>
        </w:rPr>
        <w:t>表</w:t>
      </w:r>
      <w:r>
        <w:rPr>
          <w:rFonts w:hint="eastAsia" w:ascii="仿宋_GB2312" w:hAnsi="仿宋_GB2312" w:eastAsia="仿宋_GB2312" w:cs="仿宋_GB2312"/>
          <w:b w:val="0"/>
          <w:bCs w:val="0"/>
          <w:sz w:val="28"/>
          <w:szCs w:val="28"/>
          <w:highlight w:val="none"/>
          <w:lang w:val="en-US" w:eastAsia="zh-CN"/>
        </w:rPr>
        <w:t>3-2</w:t>
      </w:r>
      <w:r>
        <w:rPr>
          <w:rFonts w:hint="eastAsia" w:ascii="仿宋_GB2312" w:hAnsi="仿宋_GB2312" w:eastAsia="仿宋_GB2312" w:cs="仿宋_GB2312"/>
          <w:b w:val="0"/>
          <w:bCs w:val="0"/>
          <w:sz w:val="28"/>
          <w:szCs w:val="28"/>
          <w:highlight w:val="none"/>
        </w:rPr>
        <w:t>平均</w:t>
      </w:r>
      <w:r>
        <w:rPr>
          <w:rFonts w:hint="eastAsia" w:ascii="仿宋_GB2312" w:hAnsi="仿宋_GB2312" w:eastAsia="仿宋_GB2312" w:cs="仿宋_GB2312"/>
          <w:b w:val="0"/>
          <w:bCs w:val="0"/>
          <w:sz w:val="28"/>
          <w:highlight w:val="none"/>
        </w:rPr>
        <w:t>安置农业人口数确定表</w:t>
      </w:r>
    </w:p>
    <w:tbl>
      <w:tblPr>
        <w:tblStyle w:val="14"/>
        <w:tblW w:w="8718"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8"/>
        <w:gridCol w:w="2490"/>
        <w:gridCol w:w="1301"/>
        <w:gridCol w:w="1278"/>
        <w:gridCol w:w="1601"/>
      </w:tblGrid>
      <w:tr w14:paraId="72D0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2048" w:type="dxa"/>
            <w:noWrap w:val="0"/>
            <w:vAlign w:val="center"/>
          </w:tcPr>
          <w:p w14:paraId="4679DA02">
            <w:pPr>
              <w:keepNext w:val="0"/>
              <w:keepLines w:val="0"/>
              <w:pageBreakBefore w:val="0"/>
              <w:widowControl/>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kern w:val="0"/>
                <w:szCs w:val="21"/>
                <w:highlight w:val="none"/>
              </w:rPr>
            </w:pPr>
            <w:r>
              <w:rPr>
                <w:rFonts w:hint="eastAsia" w:ascii="仿宋_GB2312" w:hAnsi="仿宋_GB2312" w:eastAsia="仿宋_GB2312" w:cs="仿宋_GB2312"/>
                <w:b w:val="0"/>
                <w:bCs w:val="0"/>
                <w:kern w:val="0"/>
                <w:szCs w:val="21"/>
                <w:highlight w:val="none"/>
              </w:rPr>
              <w:t>项目名称</w:t>
            </w:r>
          </w:p>
        </w:tc>
        <w:tc>
          <w:tcPr>
            <w:tcW w:w="2490" w:type="dxa"/>
            <w:noWrap w:val="0"/>
            <w:vAlign w:val="center"/>
          </w:tcPr>
          <w:p w14:paraId="63F6E5F9">
            <w:pPr>
              <w:keepNext w:val="0"/>
              <w:keepLines w:val="0"/>
              <w:pageBreakBefore w:val="0"/>
              <w:widowControl/>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kern w:val="0"/>
                <w:szCs w:val="21"/>
                <w:highlight w:val="none"/>
              </w:rPr>
            </w:pPr>
            <w:r>
              <w:rPr>
                <w:rFonts w:hint="eastAsia" w:ascii="仿宋_GB2312" w:hAnsi="仿宋_GB2312" w:eastAsia="仿宋_GB2312" w:cs="仿宋_GB2312"/>
                <w:b w:val="0"/>
                <w:bCs w:val="0"/>
                <w:kern w:val="0"/>
                <w:szCs w:val="21"/>
                <w:highlight w:val="none"/>
              </w:rPr>
              <w:t>位置</w:t>
            </w:r>
          </w:p>
        </w:tc>
        <w:tc>
          <w:tcPr>
            <w:tcW w:w="1301" w:type="dxa"/>
            <w:noWrap w:val="0"/>
            <w:vAlign w:val="center"/>
          </w:tcPr>
          <w:p w14:paraId="436A47F6">
            <w:pPr>
              <w:keepNext w:val="0"/>
              <w:keepLines w:val="0"/>
              <w:pageBreakBefore w:val="0"/>
              <w:widowControl/>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kern w:val="0"/>
                <w:szCs w:val="21"/>
                <w:highlight w:val="none"/>
              </w:rPr>
            </w:pPr>
            <w:r>
              <w:rPr>
                <w:rFonts w:hint="eastAsia" w:ascii="仿宋_GB2312" w:hAnsi="仿宋_GB2312" w:eastAsia="仿宋_GB2312" w:cs="仿宋_GB2312"/>
                <w:b w:val="0"/>
                <w:bCs w:val="0"/>
                <w:kern w:val="0"/>
                <w:szCs w:val="21"/>
                <w:highlight w:val="none"/>
              </w:rPr>
              <w:t>用地面积</w:t>
            </w:r>
          </w:p>
          <w:p w14:paraId="166198FF">
            <w:pPr>
              <w:keepNext w:val="0"/>
              <w:keepLines w:val="0"/>
              <w:pageBreakBefore w:val="0"/>
              <w:widowControl/>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kern w:val="0"/>
                <w:szCs w:val="21"/>
                <w:highlight w:val="none"/>
              </w:rPr>
            </w:pPr>
            <w:r>
              <w:rPr>
                <w:rFonts w:hint="eastAsia" w:ascii="仿宋_GB2312" w:hAnsi="仿宋_GB2312" w:eastAsia="仿宋_GB2312" w:cs="仿宋_GB2312"/>
                <w:b w:val="0"/>
                <w:bCs w:val="0"/>
                <w:kern w:val="0"/>
                <w:szCs w:val="21"/>
                <w:highlight w:val="none"/>
              </w:rPr>
              <w:t>（h㎡）</w:t>
            </w:r>
          </w:p>
        </w:tc>
        <w:tc>
          <w:tcPr>
            <w:tcW w:w="1278" w:type="dxa"/>
            <w:noWrap w:val="0"/>
            <w:vAlign w:val="center"/>
          </w:tcPr>
          <w:p w14:paraId="58F71645">
            <w:pPr>
              <w:keepNext w:val="0"/>
              <w:keepLines w:val="0"/>
              <w:pageBreakBefore w:val="0"/>
              <w:widowControl/>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kern w:val="0"/>
                <w:szCs w:val="21"/>
                <w:highlight w:val="none"/>
              </w:rPr>
            </w:pPr>
            <w:r>
              <w:rPr>
                <w:rFonts w:hint="eastAsia" w:ascii="仿宋_GB2312" w:hAnsi="仿宋_GB2312" w:eastAsia="仿宋_GB2312" w:cs="仿宋_GB2312"/>
                <w:b w:val="0"/>
                <w:bCs w:val="0"/>
                <w:kern w:val="0"/>
                <w:szCs w:val="21"/>
                <w:highlight w:val="none"/>
              </w:rPr>
              <w:t>安置农业人口（人）</w:t>
            </w:r>
          </w:p>
        </w:tc>
        <w:tc>
          <w:tcPr>
            <w:tcW w:w="1601" w:type="dxa"/>
            <w:noWrap w:val="0"/>
            <w:vAlign w:val="center"/>
          </w:tcPr>
          <w:p w14:paraId="53BF67CB">
            <w:pPr>
              <w:keepNext w:val="0"/>
              <w:keepLines w:val="0"/>
              <w:pageBreakBefore w:val="0"/>
              <w:widowControl/>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kern w:val="0"/>
                <w:szCs w:val="21"/>
                <w:highlight w:val="none"/>
              </w:rPr>
            </w:pPr>
            <w:r>
              <w:rPr>
                <w:rFonts w:hint="eastAsia" w:ascii="仿宋_GB2312" w:hAnsi="仿宋_GB2312" w:eastAsia="仿宋_GB2312" w:cs="仿宋_GB2312"/>
                <w:b w:val="0"/>
                <w:bCs w:val="0"/>
                <w:kern w:val="0"/>
                <w:szCs w:val="21"/>
                <w:highlight w:val="none"/>
              </w:rPr>
              <w:t>安置人口数折合人/公顷</w:t>
            </w:r>
          </w:p>
        </w:tc>
      </w:tr>
      <w:tr w14:paraId="1CFF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trPr>
        <w:tc>
          <w:tcPr>
            <w:tcW w:w="2048" w:type="dxa"/>
            <w:noWrap w:val="0"/>
            <w:vAlign w:val="center"/>
          </w:tcPr>
          <w:p w14:paraId="73118DF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道县2023年第五批次建设用地</w:t>
            </w:r>
          </w:p>
        </w:tc>
        <w:tc>
          <w:tcPr>
            <w:tcW w:w="2490" w:type="dxa"/>
            <w:noWrap w:val="0"/>
            <w:vAlign w:val="center"/>
          </w:tcPr>
          <w:p w14:paraId="06EE8E4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道县东门街道乌家山社区、富塘街道五里牌社区、溪街道东阳社区</w:t>
            </w:r>
          </w:p>
        </w:tc>
        <w:tc>
          <w:tcPr>
            <w:tcW w:w="1301" w:type="dxa"/>
            <w:noWrap w:val="0"/>
            <w:vAlign w:val="center"/>
          </w:tcPr>
          <w:p w14:paraId="23FD5E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1.3883</w:t>
            </w:r>
          </w:p>
        </w:tc>
        <w:tc>
          <w:tcPr>
            <w:tcW w:w="1278" w:type="dxa"/>
            <w:noWrap w:val="0"/>
            <w:vAlign w:val="center"/>
          </w:tcPr>
          <w:p w14:paraId="24E5BE1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9</w:t>
            </w:r>
          </w:p>
        </w:tc>
        <w:tc>
          <w:tcPr>
            <w:tcW w:w="1601" w:type="dxa"/>
            <w:noWrap w:val="0"/>
            <w:vAlign w:val="center"/>
          </w:tcPr>
          <w:p w14:paraId="49945E7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6.48</w:t>
            </w:r>
          </w:p>
        </w:tc>
      </w:tr>
      <w:tr w14:paraId="6E45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048" w:type="dxa"/>
            <w:noWrap w:val="0"/>
            <w:vAlign w:val="center"/>
          </w:tcPr>
          <w:p w14:paraId="2BC107A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道县2023年第四批次建设用地</w:t>
            </w:r>
          </w:p>
        </w:tc>
        <w:tc>
          <w:tcPr>
            <w:tcW w:w="2490" w:type="dxa"/>
            <w:noWrap w:val="0"/>
            <w:vAlign w:val="center"/>
          </w:tcPr>
          <w:p w14:paraId="42562DA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道县东门街道东门社区、乌家山社区、北门社区</w:t>
            </w:r>
          </w:p>
        </w:tc>
        <w:tc>
          <w:tcPr>
            <w:tcW w:w="1301" w:type="dxa"/>
            <w:noWrap w:val="0"/>
            <w:vAlign w:val="center"/>
          </w:tcPr>
          <w:p w14:paraId="73B4306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0.9904</w:t>
            </w:r>
          </w:p>
        </w:tc>
        <w:tc>
          <w:tcPr>
            <w:tcW w:w="1278" w:type="dxa"/>
            <w:noWrap w:val="0"/>
            <w:vAlign w:val="center"/>
          </w:tcPr>
          <w:p w14:paraId="68FD05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16</w:t>
            </w:r>
          </w:p>
        </w:tc>
        <w:tc>
          <w:tcPr>
            <w:tcW w:w="1601" w:type="dxa"/>
            <w:noWrap w:val="0"/>
            <w:vAlign w:val="center"/>
          </w:tcPr>
          <w:p w14:paraId="1B22CA1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16.16</w:t>
            </w:r>
          </w:p>
        </w:tc>
      </w:tr>
      <w:tr w14:paraId="41E7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 w:hRule="atLeast"/>
        </w:trPr>
        <w:tc>
          <w:tcPr>
            <w:tcW w:w="2048" w:type="dxa"/>
            <w:noWrap w:val="0"/>
            <w:vAlign w:val="center"/>
          </w:tcPr>
          <w:p w14:paraId="19BBDF8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道县2023年第三批次建设用地</w:t>
            </w:r>
          </w:p>
        </w:tc>
        <w:tc>
          <w:tcPr>
            <w:tcW w:w="2490" w:type="dxa"/>
            <w:noWrap w:val="0"/>
            <w:vAlign w:val="center"/>
          </w:tcPr>
          <w:p w14:paraId="04C039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道县万家庄街道下洞社区</w:t>
            </w:r>
          </w:p>
        </w:tc>
        <w:tc>
          <w:tcPr>
            <w:tcW w:w="1301" w:type="dxa"/>
            <w:noWrap w:val="0"/>
            <w:vAlign w:val="center"/>
          </w:tcPr>
          <w:p w14:paraId="18138F9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2.5283</w:t>
            </w:r>
          </w:p>
        </w:tc>
        <w:tc>
          <w:tcPr>
            <w:tcW w:w="1278" w:type="dxa"/>
            <w:noWrap w:val="0"/>
            <w:vAlign w:val="center"/>
          </w:tcPr>
          <w:p w14:paraId="0967F21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40</w:t>
            </w:r>
          </w:p>
        </w:tc>
        <w:tc>
          <w:tcPr>
            <w:tcW w:w="1601" w:type="dxa"/>
            <w:noWrap w:val="0"/>
            <w:vAlign w:val="center"/>
          </w:tcPr>
          <w:p w14:paraId="24A657E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15.82</w:t>
            </w:r>
          </w:p>
        </w:tc>
      </w:tr>
      <w:tr w14:paraId="72D89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48" w:type="dxa"/>
            <w:noWrap w:val="0"/>
            <w:vAlign w:val="center"/>
          </w:tcPr>
          <w:p w14:paraId="0709C5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平均值</w:t>
            </w:r>
          </w:p>
        </w:tc>
        <w:tc>
          <w:tcPr>
            <w:tcW w:w="2490" w:type="dxa"/>
            <w:noWrap w:val="0"/>
            <w:vAlign w:val="center"/>
          </w:tcPr>
          <w:p w14:paraId="0BB9B09D">
            <w:pPr>
              <w:keepNext w:val="0"/>
              <w:keepLines w:val="0"/>
              <w:pageBreakBefore w:val="0"/>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color w:val="auto"/>
                <w:kern w:val="0"/>
                <w:sz w:val="21"/>
                <w:szCs w:val="21"/>
                <w:highlight w:val="none"/>
                <w:lang w:val="en-US" w:eastAsia="zh-CN"/>
              </w:rPr>
            </w:pPr>
            <w:r>
              <w:rPr>
                <w:rFonts w:hint="eastAsia" w:ascii="仿宋_GB2312" w:hAnsi="仿宋_GB2312" w:eastAsia="仿宋_GB2312" w:cs="仿宋_GB2312"/>
                <w:b w:val="0"/>
                <w:bCs w:val="0"/>
                <w:color w:val="auto"/>
                <w:kern w:val="0"/>
                <w:sz w:val="21"/>
                <w:szCs w:val="21"/>
                <w:highlight w:val="none"/>
                <w:lang w:val="en-US" w:eastAsia="zh-CN"/>
              </w:rPr>
              <w:t>/</w:t>
            </w:r>
          </w:p>
        </w:tc>
        <w:tc>
          <w:tcPr>
            <w:tcW w:w="1301" w:type="dxa"/>
            <w:noWrap w:val="0"/>
            <w:vAlign w:val="center"/>
          </w:tcPr>
          <w:p w14:paraId="1176DCC2">
            <w:pPr>
              <w:keepNext w:val="0"/>
              <w:keepLines w:val="0"/>
              <w:pageBreakBefore w:val="0"/>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color w:val="auto"/>
                <w:kern w:val="0"/>
                <w:sz w:val="21"/>
                <w:szCs w:val="21"/>
                <w:highlight w:val="none"/>
                <w:lang w:val="en-US" w:eastAsia="zh-CN"/>
              </w:rPr>
            </w:pPr>
            <w:r>
              <w:rPr>
                <w:rFonts w:hint="eastAsia" w:ascii="仿宋_GB2312" w:hAnsi="仿宋_GB2312" w:eastAsia="仿宋_GB2312" w:cs="仿宋_GB2312"/>
                <w:b w:val="0"/>
                <w:bCs w:val="0"/>
                <w:color w:val="auto"/>
                <w:kern w:val="0"/>
                <w:sz w:val="21"/>
                <w:szCs w:val="21"/>
                <w:highlight w:val="none"/>
                <w:lang w:val="en-US" w:eastAsia="zh-CN"/>
              </w:rPr>
              <w:t>/</w:t>
            </w:r>
          </w:p>
        </w:tc>
        <w:tc>
          <w:tcPr>
            <w:tcW w:w="1278" w:type="dxa"/>
            <w:noWrap w:val="0"/>
            <w:vAlign w:val="center"/>
          </w:tcPr>
          <w:p w14:paraId="7C9520AE">
            <w:pPr>
              <w:keepNext w:val="0"/>
              <w:keepLines w:val="0"/>
              <w:pageBreakBefore w:val="0"/>
              <w:kinsoku/>
              <w:wordWrap/>
              <w:overflowPunct/>
              <w:topLinePunct w:val="0"/>
              <w:autoSpaceDE/>
              <w:autoSpaceDN/>
              <w:bidi w:val="0"/>
              <w:adjustRightInd/>
              <w:snapToGrid/>
              <w:spacing w:line="240" w:lineRule="exact"/>
              <w:jc w:val="center"/>
              <w:rPr>
                <w:rFonts w:hint="eastAsia" w:ascii="仿宋_GB2312" w:hAnsi="仿宋_GB2312" w:eastAsia="仿宋_GB2312" w:cs="仿宋_GB2312"/>
                <w:b w:val="0"/>
                <w:bCs w:val="0"/>
                <w:color w:val="auto"/>
                <w:kern w:val="0"/>
                <w:sz w:val="21"/>
                <w:szCs w:val="21"/>
                <w:highlight w:val="none"/>
                <w:lang w:val="en-US" w:eastAsia="zh-CN"/>
              </w:rPr>
            </w:pPr>
            <w:r>
              <w:rPr>
                <w:rFonts w:hint="eastAsia" w:ascii="仿宋_GB2312" w:hAnsi="仿宋_GB2312" w:eastAsia="仿宋_GB2312" w:cs="仿宋_GB2312"/>
                <w:b w:val="0"/>
                <w:bCs w:val="0"/>
                <w:color w:val="auto"/>
                <w:kern w:val="0"/>
                <w:sz w:val="21"/>
                <w:szCs w:val="21"/>
                <w:highlight w:val="none"/>
                <w:lang w:val="en-US" w:eastAsia="zh-CN"/>
              </w:rPr>
              <w:t>/</w:t>
            </w:r>
          </w:p>
        </w:tc>
        <w:tc>
          <w:tcPr>
            <w:tcW w:w="1601" w:type="dxa"/>
            <w:noWrap w:val="0"/>
            <w:vAlign w:val="center"/>
          </w:tcPr>
          <w:p w14:paraId="21C6920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1"/>
                <w:szCs w:val="21"/>
                <w:highlight w:val="none"/>
                <w:lang w:val="en-US" w:eastAsia="zh-CN"/>
              </w:rPr>
            </w:pPr>
            <w:r>
              <w:rPr>
                <w:rFonts w:hint="eastAsia" w:ascii="仿宋_GB2312" w:hAnsi="仿宋_GB2312" w:eastAsia="仿宋_GB2312" w:cs="仿宋_GB2312"/>
                <w:b w:val="0"/>
                <w:bCs w:val="0"/>
                <w:i w:val="0"/>
                <w:iCs w:val="0"/>
                <w:color w:val="auto"/>
                <w:kern w:val="0"/>
                <w:sz w:val="21"/>
                <w:szCs w:val="21"/>
                <w:highlight w:val="none"/>
                <w:u w:val="none"/>
                <w:lang w:val="en-US" w:eastAsia="zh-CN" w:bidi="ar"/>
              </w:rPr>
              <w:t>12.82</w:t>
            </w:r>
          </w:p>
        </w:tc>
      </w:tr>
    </w:tbl>
    <w:p w14:paraId="1BD6F1AD">
      <w:pPr>
        <w:pStyle w:val="23"/>
        <w:keepNext w:val="0"/>
        <w:keepLines w:val="0"/>
        <w:pageBreakBefore w:val="0"/>
        <w:widowControl w:val="0"/>
        <w:kinsoku/>
        <w:wordWrap/>
        <w:overflowPunct/>
        <w:topLinePunct w:val="0"/>
        <w:autoSpaceDE/>
        <w:autoSpaceDN/>
        <w:bidi w:val="0"/>
        <w:adjustRightInd w:val="0"/>
        <w:snapToGrid w:val="0"/>
        <w:spacing w:line="480" w:lineRule="exact"/>
        <w:ind w:firstLine="560"/>
        <w:textAlignment w:val="auto"/>
        <w:rPr>
          <w:rFonts w:hint="eastAsia" w:ascii="仿宋_GB2312" w:hAnsi="仿宋_GB2312" w:eastAsia="仿宋_GB2312" w:cs="仿宋_GB2312"/>
          <w:b w:val="0"/>
          <w:bCs w:val="0"/>
          <w:sz w:val="28"/>
          <w:highlight w:val="none"/>
        </w:rPr>
      </w:pPr>
      <w:r>
        <w:rPr>
          <w:rFonts w:hint="eastAsia" w:ascii="仿宋_GB2312" w:hAnsi="仿宋_GB2312" w:eastAsia="仿宋_GB2312" w:cs="仿宋_GB2312"/>
          <w:b w:val="0"/>
          <w:bCs w:val="0"/>
          <w:sz w:val="28"/>
          <w:highlight w:val="none"/>
        </w:rPr>
        <w:t>则地上附着物补偿标准为地上建筑物费用+青苗费补偿</w:t>
      </w:r>
    </w:p>
    <w:p w14:paraId="220CD6BD">
      <w:pPr>
        <w:pStyle w:val="23"/>
        <w:keepNext w:val="0"/>
        <w:keepLines w:val="0"/>
        <w:pageBreakBefore w:val="0"/>
        <w:widowControl w:val="0"/>
        <w:kinsoku/>
        <w:wordWrap/>
        <w:overflowPunct/>
        <w:topLinePunct w:val="0"/>
        <w:autoSpaceDE/>
        <w:autoSpaceDN/>
        <w:bidi w:val="0"/>
        <w:adjustRightInd w:val="0"/>
        <w:snapToGrid w:val="0"/>
        <w:spacing w:line="480" w:lineRule="exact"/>
        <w:ind w:firstLine="560"/>
        <w:textAlignment w:val="auto"/>
        <w:rPr>
          <w:rFonts w:hint="eastAsia" w:ascii="仿宋_GB2312" w:hAnsi="仿宋_GB2312" w:eastAsia="仿宋_GB2312" w:cs="仿宋_GB2312"/>
          <w:b w:val="0"/>
          <w:bCs w:val="0"/>
          <w:sz w:val="28"/>
          <w:highlight w:val="none"/>
        </w:rPr>
      </w:pPr>
      <w:r>
        <w:rPr>
          <w:rFonts w:hint="eastAsia" w:ascii="仿宋_GB2312" w:hAnsi="仿宋_GB2312" w:eastAsia="仿宋_GB2312" w:cs="仿宋_GB2312"/>
          <w:b w:val="0"/>
          <w:bCs w:val="0"/>
          <w:sz w:val="28"/>
          <w:highlight w:val="none"/>
        </w:rPr>
        <w:t>=</w:t>
      </w:r>
      <w:r>
        <w:rPr>
          <w:rFonts w:hint="eastAsia" w:ascii="仿宋_GB2312" w:hAnsi="仿宋_GB2312" w:eastAsia="仿宋_GB2312" w:cs="仿宋_GB2312"/>
          <w:b w:val="0"/>
          <w:bCs w:val="0"/>
          <w:sz w:val="28"/>
          <w:highlight w:val="none"/>
          <w:lang w:val="en-US" w:eastAsia="zh-CN"/>
        </w:rPr>
        <w:t>105000</w:t>
      </w:r>
      <w:r>
        <w:rPr>
          <w:rFonts w:hint="eastAsia" w:ascii="仿宋_GB2312" w:hAnsi="仿宋_GB2312" w:eastAsia="仿宋_GB2312" w:cs="仿宋_GB2312"/>
          <w:b w:val="0"/>
          <w:bCs w:val="0"/>
          <w:sz w:val="28"/>
          <w:highlight w:val="none"/>
        </w:rPr>
        <w:t>×</w:t>
      </w:r>
      <w:r>
        <w:rPr>
          <w:rFonts w:hint="eastAsia" w:ascii="仿宋_GB2312" w:hAnsi="仿宋_GB2312" w:eastAsia="仿宋_GB2312" w:cs="仿宋_GB2312"/>
          <w:b w:val="0"/>
          <w:bCs w:val="0"/>
          <w:sz w:val="28"/>
          <w:highlight w:val="none"/>
          <w:lang w:val="en-US" w:eastAsia="zh-CN"/>
        </w:rPr>
        <w:t>1282</w:t>
      </w:r>
      <w:r>
        <w:rPr>
          <w:rFonts w:hint="eastAsia" w:ascii="仿宋_GB2312" w:hAnsi="仿宋_GB2312" w:eastAsia="仿宋_GB2312" w:cs="仿宋_GB2312"/>
          <w:b w:val="0"/>
          <w:bCs w:val="0"/>
          <w:sz w:val="28"/>
          <w:highlight w:val="none"/>
        </w:rPr>
        <w:t>÷10000+</w:t>
      </w:r>
      <w:r>
        <w:rPr>
          <w:rFonts w:hint="eastAsia" w:ascii="仿宋_GB2312" w:hAnsi="仿宋_GB2312" w:eastAsia="仿宋_GB2312" w:cs="仿宋_GB2312"/>
          <w:b w:val="0"/>
          <w:bCs w:val="0"/>
          <w:sz w:val="28"/>
          <w:highlight w:val="none"/>
          <w:lang w:val="en-US" w:eastAsia="zh-CN"/>
        </w:rPr>
        <w:t>4.2</w:t>
      </w:r>
      <w:r>
        <w:rPr>
          <w:rFonts w:hint="eastAsia" w:ascii="仿宋_GB2312" w:hAnsi="仿宋_GB2312" w:eastAsia="仿宋_GB2312" w:cs="仿宋_GB2312"/>
          <w:b w:val="0"/>
          <w:bCs w:val="0"/>
          <w:sz w:val="28"/>
          <w:highlight w:val="none"/>
        </w:rPr>
        <w:t>=</w:t>
      </w:r>
      <w:r>
        <w:rPr>
          <w:rFonts w:hint="eastAsia" w:ascii="仿宋_GB2312" w:hAnsi="仿宋_GB2312" w:eastAsia="仿宋_GB2312" w:cs="仿宋_GB2312"/>
          <w:b w:val="0"/>
          <w:bCs w:val="0"/>
          <w:sz w:val="28"/>
          <w:highlight w:val="none"/>
          <w:lang w:val="en-US" w:eastAsia="zh-CN"/>
        </w:rPr>
        <w:t>138.81</w:t>
      </w:r>
      <w:r>
        <w:rPr>
          <w:rFonts w:hint="eastAsia" w:ascii="仿宋_GB2312" w:hAnsi="仿宋_GB2312" w:eastAsia="仿宋_GB2312" w:cs="仿宋_GB2312"/>
          <w:b w:val="0"/>
          <w:bCs w:val="0"/>
          <w:sz w:val="28"/>
          <w:highlight w:val="none"/>
        </w:rPr>
        <w:t>元/㎡。</w:t>
      </w:r>
    </w:p>
    <w:p w14:paraId="093DCA8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sz w:val="28"/>
          <w:highlight w:val="none"/>
        </w:rPr>
      </w:pPr>
      <w:r>
        <w:rPr>
          <w:rFonts w:hint="eastAsia" w:ascii="仿宋_GB2312" w:hAnsi="仿宋_GB2312" w:eastAsia="仿宋_GB2312" w:cs="仿宋_GB2312"/>
          <w:b w:val="0"/>
          <w:bCs w:val="0"/>
          <w:color w:val="000000"/>
          <w:sz w:val="28"/>
          <w:highlight w:val="none"/>
        </w:rPr>
        <w:t>故：土地取得费＝①＋②</w:t>
      </w:r>
      <w:r>
        <w:rPr>
          <w:rFonts w:hint="eastAsia" w:ascii="仿宋_GB2312" w:hAnsi="仿宋_GB2312" w:eastAsia="仿宋_GB2312" w:cs="仿宋_GB2312"/>
          <w:b w:val="0"/>
          <w:bCs w:val="0"/>
          <w:sz w:val="28"/>
          <w:highlight w:val="none"/>
        </w:rPr>
        <w:t>=</w:t>
      </w:r>
      <w:r>
        <w:rPr>
          <w:rFonts w:hint="eastAsia" w:ascii="仿宋_GB2312" w:hAnsi="仿宋_GB2312" w:eastAsia="仿宋_GB2312" w:cs="仿宋_GB2312"/>
          <w:b w:val="0"/>
          <w:bCs w:val="0"/>
          <w:sz w:val="28"/>
          <w:highlight w:val="none"/>
          <w:lang w:val="en-US" w:eastAsia="zh-CN"/>
        </w:rPr>
        <w:t>99.45</w:t>
      </w:r>
      <w:r>
        <w:rPr>
          <w:rFonts w:hint="eastAsia" w:ascii="仿宋_GB2312" w:hAnsi="仿宋_GB2312" w:eastAsia="仿宋_GB2312" w:cs="仿宋_GB2312"/>
          <w:b w:val="0"/>
          <w:bCs w:val="0"/>
          <w:sz w:val="28"/>
          <w:highlight w:val="none"/>
        </w:rPr>
        <w:t>+</w:t>
      </w:r>
      <w:r>
        <w:rPr>
          <w:rFonts w:hint="eastAsia" w:ascii="仿宋_GB2312" w:hAnsi="仿宋_GB2312" w:eastAsia="仿宋_GB2312" w:cs="仿宋_GB2312"/>
          <w:b w:val="0"/>
          <w:bCs w:val="0"/>
          <w:sz w:val="28"/>
          <w:highlight w:val="none"/>
          <w:lang w:val="en-US" w:eastAsia="zh-CN"/>
        </w:rPr>
        <w:t>138.81</w:t>
      </w:r>
      <w:r>
        <w:rPr>
          <w:rFonts w:hint="eastAsia" w:ascii="仿宋_GB2312" w:hAnsi="仿宋_GB2312" w:eastAsia="仿宋_GB2312" w:cs="仿宋_GB2312"/>
          <w:b w:val="0"/>
          <w:bCs w:val="0"/>
          <w:sz w:val="28"/>
          <w:highlight w:val="none"/>
        </w:rPr>
        <w:t>=</w:t>
      </w:r>
      <w:r>
        <w:rPr>
          <w:rFonts w:hint="eastAsia" w:ascii="仿宋_GB2312" w:hAnsi="仿宋_GB2312" w:eastAsia="仿宋_GB2312" w:cs="仿宋_GB2312"/>
          <w:b w:val="0"/>
          <w:bCs w:val="0"/>
          <w:color w:val="000000"/>
          <w:sz w:val="28"/>
          <w:highlight w:val="none"/>
          <w:lang w:val="en-US" w:eastAsia="zh-CN"/>
        </w:rPr>
        <w:t>238.26</w:t>
      </w:r>
      <w:r>
        <w:rPr>
          <w:rFonts w:hint="eastAsia" w:ascii="仿宋_GB2312" w:hAnsi="仿宋_GB2312" w:eastAsia="仿宋_GB2312" w:cs="仿宋_GB2312"/>
          <w:b w:val="0"/>
          <w:bCs w:val="0"/>
          <w:color w:val="000000"/>
          <w:sz w:val="28"/>
          <w:highlight w:val="none"/>
        </w:rPr>
        <w:t>元/平方米</w:t>
      </w:r>
      <w:r>
        <w:rPr>
          <w:rFonts w:hint="eastAsia" w:ascii="仿宋_GB2312" w:hAnsi="仿宋_GB2312" w:eastAsia="仿宋_GB2312" w:cs="仿宋_GB2312"/>
          <w:b w:val="0"/>
          <w:bCs w:val="0"/>
          <w:sz w:val="28"/>
          <w:szCs w:val="21"/>
          <w:highlight w:val="none"/>
        </w:rPr>
        <w:t>。</w:t>
      </w:r>
    </w:p>
    <w:p w14:paraId="5043DC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2、相关税费</w:t>
      </w:r>
      <w:r>
        <w:rPr>
          <w:rFonts w:hint="eastAsia" w:ascii="仿宋_GB2312" w:hAnsi="仿宋_GB2312" w:eastAsia="仿宋_GB2312" w:cs="仿宋_GB2312"/>
          <w:b w:val="0"/>
          <w:bCs w:val="0"/>
          <w:color w:val="000000" w:themeColor="text1"/>
          <w:sz w:val="28"/>
          <w:szCs w:val="21"/>
          <w:highlight w:val="none"/>
          <w14:textFill>
            <w14:solidFill>
              <w14:schemeClr w14:val="tx1"/>
            </w14:solidFill>
          </w14:textFill>
        </w:rPr>
        <w:t>（T）</w:t>
      </w:r>
    </w:p>
    <w:p w14:paraId="1E7347DF">
      <w:pPr>
        <w:keepNext w:val="0"/>
        <w:keepLines w:val="0"/>
        <w:pageBreakBefore w:val="0"/>
        <w:widowControl w:val="0"/>
        <w:kinsoku/>
        <w:wordWrap/>
        <w:overflowPunct/>
        <w:topLinePunct w:val="0"/>
        <w:autoSpaceDE/>
        <w:autoSpaceDN/>
        <w:bidi w:val="0"/>
        <w:adjustRightInd w:val="0"/>
        <w:snapToGrid w:val="0"/>
        <w:spacing w:line="480" w:lineRule="exact"/>
        <w:ind w:firstLine="555"/>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①水利建设基金</w:t>
      </w:r>
    </w:p>
    <w:p w14:paraId="2FC4BE0C">
      <w:pPr>
        <w:keepNext w:val="0"/>
        <w:keepLines w:val="0"/>
        <w:pageBreakBefore w:val="0"/>
        <w:widowControl w:val="0"/>
        <w:kinsoku/>
        <w:wordWrap/>
        <w:overflowPunct/>
        <w:topLinePunct w:val="0"/>
        <w:autoSpaceDE/>
        <w:autoSpaceDN/>
        <w:bidi w:val="0"/>
        <w:adjustRightInd w:val="0"/>
        <w:snapToGrid w:val="0"/>
        <w:spacing w:line="480" w:lineRule="exact"/>
        <w:ind w:firstLine="555"/>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w:t>
      </w:r>
    </w:p>
    <w:p w14:paraId="434B6ACF">
      <w:pPr>
        <w:keepNext w:val="0"/>
        <w:keepLines w:val="0"/>
        <w:pageBreakBefore w:val="0"/>
        <w:widowControl w:val="0"/>
        <w:kinsoku/>
        <w:wordWrap/>
        <w:overflowPunct/>
        <w:topLinePunct w:val="0"/>
        <w:autoSpaceDE/>
        <w:autoSpaceDN/>
        <w:bidi w:val="0"/>
        <w:adjustRightInd w:val="0"/>
        <w:snapToGrid w:val="0"/>
        <w:spacing w:line="480" w:lineRule="exact"/>
        <w:ind w:firstLine="555"/>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②耕地占用税</w:t>
      </w:r>
    </w:p>
    <w:p w14:paraId="036EA628">
      <w:pPr>
        <w:keepNext w:val="0"/>
        <w:keepLines w:val="0"/>
        <w:pageBreakBefore w:val="0"/>
        <w:widowControl w:val="0"/>
        <w:kinsoku/>
        <w:wordWrap/>
        <w:overflowPunct/>
        <w:topLinePunct w:val="0"/>
        <w:autoSpaceDE/>
        <w:autoSpaceDN/>
        <w:bidi w:val="0"/>
        <w:adjustRightInd w:val="0"/>
        <w:snapToGrid w:val="0"/>
        <w:spacing w:line="480" w:lineRule="exact"/>
        <w:ind w:firstLine="555"/>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耕地</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故此次评估</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耕地</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占用税：</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25</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元/平方米。</w:t>
      </w:r>
    </w:p>
    <w:p w14:paraId="085F8868">
      <w:pPr>
        <w:keepNext w:val="0"/>
        <w:keepLines w:val="0"/>
        <w:pageBreakBefore w:val="0"/>
        <w:widowControl w:val="0"/>
        <w:kinsoku/>
        <w:wordWrap/>
        <w:overflowPunct/>
        <w:topLinePunct w:val="0"/>
        <w:autoSpaceDE/>
        <w:autoSpaceDN/>
        <w:bidi w:val="0"/>
        <w:adjustRightInd w:val="0"/>
        <w:snapToGrid w:val="0"/>
        <w:spacing w:line="480" w:lineRule="exact"/>
        <w:ind w:firstLine="555"/>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b w:val="0"/>
          <w:bCs w:val="0"/>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③</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耕地开垦费</w:t>
      </w:r>
    </w:p>
    <w:p w14:paraId="48361F09">
      <w:pPr>
        <w:keepNext w:val="0"/>
        <w:keepLines w:val="0"/>
        <w:pageBreakBefore w:val="0"/>
        <w:widowControl w:val="0"/>
        <w:kinsoku/>
        <w:wordWrap/>
        <w:overflowPunct/>
        <w:topLinePunct w:val="0"/>
        <w:autoSpaceDE/>
        <w:autoSpaceDN/>
        <w:bidi w:val="0"/>
        <w:adjustRightInd w:val="0"/>
        <w:snapToGrid w:val="0"/>
        <w:spacing w:line="480" w:lineRule="exact"/>
        <w:ind w:firstLine="555"/>
        <w:textAlignment w:val="auto"/>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根据</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湖南省财政厅</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湖南省发展和改革委员会</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湖南省自然资源厅关于印发</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&lt;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湖南省耕地开垦费征收使用管理办法</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&gt;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的通知</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（湘财税〔2025〕17号），</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估价对象属于中等水田，</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6.6万元/亩，则：</w:t>
      </w:r>
    </w:p>
    <w:p w14:paraId="690CE848">
      <w:pPr>
        <w:keepNext w:val="0"/>
        <w:keepLines w:val="0"/>
        <w:pageBreakBefore w:val="0"/>
        <w:widowControl w:val="0"/>
        <w:kinsoku/>
        <w:wordWrap/>
        <w:overflowPunct/>
        <w:topLinePunct w:val="0"/>
        <w:autoSpaceDE/>
        <w:autoSpaceDN/>
        <w:bidi w:val="0"/>
        <w:adjustRightInd w:val="0"/>
        <w:snapToGrid w:val="0"/>
        <w:spacing w:line="480" w:lineRule="exact"/>
        <w:ind w:firstLine="555"/>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耕地开垦费=6.6×10000×0.0015=99元/平方米</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w:t>
      </w:r>
    </w:p>
    <w:p w14:paraId="305FCABF">
      <w:pPr>
        <w:keepNext w:val="0"/>
        <w:keepLines w:val="0"/>
        <w:pageBreakBefore w:val="0"/>
        <w:widowControl w:val="0"/>
        <w:kinsoku/>
        <w:wordWrap/>
        <w:overflowPunct/>
        <w:topLinePunct w:val="0"/>
        <w:autoSpaceDE/>
        <w:autoSpaceDN/>
        <w:bidi w:val="0"/>
        <w:adjustRightInd w:val="0"/>
        <w:snapToGrid w:val="0"/>
        <w:spacing w:line="480" w:lineRule="exact"/>
        <w:ind w:firstLine="560"/>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④社会保障资金</w:t>
      </w:r>
    </w:p>
    <w:p w14:paraId="0BA37880">
      <w:pPr>
        <w:keepNext w:val="0"/>
        <w:keepLines w:val="0"/>
        <w:pageBreakBefore w:val="0"/>
        <w:widowControl w:val="0"/>
        <w:kinsoku/>
        <w:wordWrap/>
        <w:overflowPunct/>
        <w:topLinePunct w:val="0"/>
        <w:autoSpaceDE/>
        <w:autoSpaceDN/>
        <w:bidi w:val="0"/>
        <w:adjustRightInd w:val="0"/>
        <w:snapToGrid w:val="0"/>
        <w:spacing w:line="480" w:lineRule="exact"/>
        <w:ind w:firstLine="560"/>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DC17F85">
      <w:pPr>
        <w:keepNext w:val="0"/>
        <w:keepLines w:val="0"/>
        <w:pageBreakBefore w:val="0"/>
        <w:widowControl w:val="0"/>
        <w:kinsoku/>
        <w:wordWrap/>
        <w:overflowPunct/>
        <w:topLinePunct w:val="0"/>
        <w:autoSpaceDE/>
        <w:autoSpaceDN/>
        <w:bidi w:val="0"/>
        <w:adjustRightInd w:val="0"/>
        <w:snapToGrid w:val="0"/>
        <w:spacing w:line="480" w:lineRule="exact"/>
        <w:ind w:firstLine="560"/>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99</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+30=</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155.6</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元/平方米。</w:t>
      </w:r>
    </w:p>
    <w:p w14:paraId="6B5EE326">
      <w:pPr>
        <w:snapToGrid w:val="0"/>
        <w:spacing w:line="440" w:lineRule="exact"/>
        <w:ind w:firstLine="560"/>
        <w:jc w:val="center"/>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3</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 xml:space="preserve"> 估价对象土地取得费及相关税费一览表</w:t>
      </w:r>
    </w:p>
    <w:tbl>
      <w:tblPr>
        <w:tblStyle w:val="14"/>
        <w:tblW w:w="5000" w:type="pct"/>
        <w:jc w:val="center"/>
        <w:tblLayout w:type="autofit"/>
        <w:tblCellMar>
          <w:top w:w="0" w:type="dxa"/>
          <w:left w:w="0" w:type="dxa"/>
          <w:bottom w:w="0" w:type="dxa"/>
          <w:right w:w="0" w:type="dxa"/>
        </w:tblCellMar>
      </w:tblPr>
      <w:tblGrid>
        <w:gridCol w:w="1594"/>
        <w:gridCol w:w="1542"/>
        <w:gridCol w:w="1468"/>
        <w:gridCol w:w="1322"/>
        <w:gridCol w:w="1479"/>
        <w:gridCol w:w="1117"/>
      </w:tblGrid>
      <w:tr w14:paraId="166BDAB5">
        <w:tblPrEx>
          <w:tblCellMar>
            <w:top w:w="0" w:type="dxa"/>
            <w:left w:w="0" w:type="dxa"/>
            <w:bottom w:w="0" w:type="dxa"/>
            <w:right w:w="0" w:type="dxa"/>
          </w:tblCellMar>
        </w:tblPrEx>
        <w:trPr>
          <w:trHeight w:val="552" w:hRule="atLeast"/>
          <w:jc w:val="center"/>
        </w:trPr>
        <w:tc>
          <w:tcPr>
            <w:tcW w:w="935"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B7E7672">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土地取得费（元/平方米）</w:t>
            </w:r>
          </w:p>
        </w:tc>
        <w:tc>
          <w:tcPr>
            <w:tcW w:w="904"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EFCCEDC">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水利建设基金（元/平方米）</w:t>
            </w:r>
          </w:p>
        </w:tc>
        <w:tc>
          <w:tcPr>
            <w:tcW w:w="86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8A1AA06">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耕地占用税（元/平方米）</w:t>
            </w:r>
          </w:p>
        </w:tc>
        <w:tc>
          <w:tcPr>
            <w:tcW w:w="775"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CD20130">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耕地开垦费（元/平方米）</w:t>
            </w:r>
          </w:p>
        </w:tc>
        <w:tc>
          <w:tcPr>
            <w:tcW w:w="86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49D1459">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社会保障费（元/平方米）</w:t>
            </w:r>
          </w:p>
        </w:tc>
        <w:tc>
          <w:tcPr>
            <w:tcW w:w="655"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13B58A">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合计</w:t>
            </w:r>
          </w:p>
          <w:p w14:paraId="3055255E">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（元/平方米）</w:t>
            </w:r>
          </w:p>
        </w:tc>
      </w:tr>
      <w:tr w14:paraId="177AC768">
        <w:tblPrEx>
          <w:tblCellMar>
            <w:top w:w="0" w:type="dxa"/>
            <w:left w:w="0" w:type="dxa"/>
            <w:bottom w:w="0" w:type="dxa"/>
            <w:right w:w="0" w:type="dxa"/>
          </w:tblCellMar>
        </w:tblPrEx>
        <w:trPr>
          <w:trHeight w:val="90" w:hRule="atLeast"/>
          <w:jc w:val="center"/>
        </w:trPr>
        <w:tc>
          <w:tcPr>
            <w:tcW w:w="935"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4F7AE77">
            <w:pPr>
              <w:snapToGrid w:val="0"/>
              <w:spacing w:line="240" w:lineRule="atLeast"/>
              <w:jc w:val="center"/>
              <w:rPr>
                <w:rFonts w:hint="default"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238.26</w:t>
            </w:r>
          </w:p>
        </w:tc>
        <w:tc>
          <w:tcPr>
            <w:tcW w:w="904"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A6C9868">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1.6</w:t>
            </w:r>
          </w:p>
        </w:tc>
        <w:tc>
          <w:tcPr>
            <w:tcW w:w="86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9758C45">
            <w:pPr>
              <w:snapToGrid w:val="0"/>
              <w:spacing w:line="240" w:lineRule="atLeast"/>
              <w:jc w:val="center"/>
              <w:rPr>
                <w:rFonts w:hint="default"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25</w:t>
            </w:r>
          </w:p>
        </w:tc>
        <w:tc>
          <w:tcPr>
            <w:tcW w:w="775"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5A28596">
            <w:pPr>
              <w:snapToGrid w:val="0"/>
              <w:spacing w:line="240" w:lineRule="atLeast"/>
              <w:jc w:val="center"/>
              <w:rPr>
                <w:rFonts w:hint="default"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99</w:t>
            </w:r>
          </w:p>
        </w:tc>
        <w:tc>
          <w:tcPr>
            <w:tcW w:w="86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2B4E3A3">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30</w:t>
            </w:r>
          </w:p>
        </w:tc>
        <w:tc>
          <w:tcPr>
            <w:tcW w:w="655"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393.86</w:t>
            </w:r>
          </w:p>
        </w:tc>
      </w:tr>
    </w:tbl>
    <w:p w14:paraId="2A78B0E7">
      <w:pP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br w:type="page"/>
      </w:r>
    </w:p>
    <w:p w14:paraId="50C9B041">
      <w:pPr>
        <w:keepNext w:val="0"/>
        <w:keepLines w:val="0"/>
        <w:pageBreakBefore w:val="0"/>
        <w:widowControl w:val="0"/>
        <w:kinsoku/>
        <w:wordWrap/>
        <w:overflowPunct/>
        <w:topLinePunct w:val="0"/>
        <w:autoSpaceDE w:val="0"/>
        <w:autoSpaceDN w:val="0"/>
        <w:bidi w:val="0"/>
        <w:adjustRightInd/>
        <w:spacing w:line="480" w:lineRule="exact"/>
        <w:ind w:firstLine="560" w:firstLineChars="200"/>
        <w:textAlignment w:val="auto"/>
        <w:outlineLvl w:val="3"/>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3、土地开发费</w:t>
      </w:r>
    </w:p>
    <w:p w14:paraId="2A1CE519">
      <w:pPr>
        <w:keepNext w:val="0"/>
        <w:keepLines w:val="0"/>
        <w:pageBreakBefore w:val="0"/>
        <w:widowControl w:val="0"/>
        <w:kinsoku/>
        <w:wordWrap/>
        <w:overflowPunct/>
        <w:topLinePunct w:val="0"/>
        <w:autoSpaceDE w:val="0"/>
        <w:autoSpaceDN w:val="0"/>
        <w:bidi w:val="0"/>
        <w:adjustRightInd/>
        <w:snapToGrid w:val="0"/>
        <w:spacing w:line="480" w:lineRule="exact"/>
        <w:ind w:firstLine="560"/>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及红线</w:t>
      </w:r>
      <w:r>
        <w:rPr>
          <w:rFonts w:hint="eastAsia" w:ascii="仿宋_GB2312" w:hAnsi="仿宋_GB2312" w:eastAsia="仿宋_GB2312" w:cs="仿宋_GB2312"/>
          <w:b w:val="0"/>
          <w:bCs w:val="0"/>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元/平方米。</w:t>
      </w:r>
    </w:p>
    <w:p w14:paraId="0E719C38">
      <w:pPr>
        <w:keepNext w:val="0"/>
        <w:keepLines w:val="0"/>
        <w:pageBreakBefore w:val="0"/>
        <w:widowControl w:val="0"/>
        <w:kinsoku/>
        <w:wordWrap/>
        <w:overflowPunct/>
        <w:topLinePunct w:val="0"/>
        <w:autoSpaceDE w:val="0"/>
        <w:autoSpaceDN w:val="0"/>
        <w:bidi w:val="0"/>
        <w:adjustRightInd/>
        <w:spacing w:line="480" w:lineRule="exact"/>
        <w:jc w:val="center"/>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4道县</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城区土地开发费用分项一览表</w:t>
      </w:r>
    </w:p>
    <w:tbl>
      <w:tblPr>
        <w:tblStyle w:val="1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1123"/>
        <w:gridCol w:w="1045"/>
        <w:gridCol w:w="893"/>
        <w:gridCol w:w="833"/>
        <w:gridCol w:w="891"/>
        <w:gridCol w:w="1251"/>
        <w:gridCol w:w="768"/>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005" w:type="pct"/>
            <w:noWrap w:val="0"/>
            <w:vAlign w:val="center"/>
          </w:tcPr>
          <w:p w14:paraId="68134BC4">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土地开发项目</w:t>
            </w:r>
          </w:p>
        </w:tc>
        <w:tc>
          <w:tcPr>
            <w:tcW w:w="659" w:type="pct"/>
            <w:noWrap w:val="0"/>
            <w:vAlign w:val="center"/>
          </w:tcPr>
          <w:p w14:paraId="31346051">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通路</w:t>
            </w:r>
          </w:p>
        </w:tc>
        <w:tc>
          <w:tcPr>
            <w:tcW w:w="613" w:type="pct"/>
            <w:noWrap w:val="0"/>
            <w:vAlign w:val="center"/>
          </w:tcPr>
          <w:p w14:paraId="68F6FB98">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供水</w:t>
            </w:r>
          </w:p>
        </w:tc>
        <w:tc>
          <w:tcPr>
            <w:tcW w:w="524" w:type="pct"/>
            <w:noWrap w:val="0"/>
            <w:vAlign w:val="center"/>
          </w:tcPr>
          <w:p w14:paraId="4EFA9600">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排水</w:t>
            </w:r>
          </w:p>
        </w:tc>
        <w:tc>
          <w:tcPr>
            <w:tcW w:w="489" w:type="pct"/>
            <w:noWrap w:val="0"/>
            <w:vAlign w:val="center"/>
          </w:tcPr>
          <w:p w14:paraId="161F8D2D">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通电</w:t>
            </w:r>
          </w:p>
        </w:tc>
        <w:tc>
          <w:tcPr>
            <w:tcW w:w="523" w:type="pct"/>
            <w:noWrap w:val="0"/>
            <w:vAlign w:val="center"/>
          </w:tcPr>
          <w:p w14:paraId="0C6CDBAE">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通讯</w:t>
            </w:r>
          </w:p>
        </w:tc>
        <w:tc>
          <w:tcPr>
            <w:tcW w:w="734" w:type="pct"/>
            <w:noWrap w:val="0"/>
            <w:vAlign w:val="center"/>
          </w:tcPr>
          <w:p w14:paraId="6F8B8199">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场地平整</w:t>
            </w:r>
          </w:p>
        </w:tc>
        <w:tc>
          <w:tcPr>
            <w:tcW w:w="450" w:type="pct"/>
            <w:noWrap w:val="0"/>
            <w:vAlign w:val="center"/>
          </w:tcPr>
          <w:p w14:paraId="4ADDBAAE">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1005" w:type="pct"/>
            <w:noWrap w:val="0"/>
            <w:vAlign w:val="center"/>
          </w:tcPr>
          <w:p w14:paraId="28DA4D32">
            <w:pPr>
              <w:snapToGrid w:val="0"/>
              <w:spacing w:line="240" w:lineRule="atLeast"/>
              <w:jc w:val="cente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费用（元/㎡）</w:t>
            </w:r>
          </w:p>
        </w:tc>
        <w:tc>
          <w:tcPr>
            <w:tcW w:w="659" w:type="pct"/>
            <w:noWrap w:val="0"/>
            <w:vAlign w:val="center"/>
          </w:tcPr>
          <w:p w14:paraId="6B904843">
            <w:pPr>
              <w:snapToGrid w:val="0"/>
              <w:spacing w:line="240" w:lineRule="atLeast"/>
              <w:jc w:val="center"/>
              <w:rPr>
                <w:rFonts w:hint="default"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14-16</w:t>
            </w:r>
          </w:p>
        </w:tc>
        <w:tc>
          <w:tcPr>
            <w:tcW w:w="613" w:type="pct"/>
            <w:noWrap w:val="0"/>
            <w:vAlign w:val="center"/>
          </w:tcPr>
          <w:p w14:paraId="37BD6B0B">
            <w:pPr>
              <w:snapToGrid w:val="0"/>
              <w:spacing w:line="240" w:lineRule="atLeast"/>
              <w:jc w:val="center"/>
              <w:rPr>
                <w:rFonts w:hint="default"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12-14</w:t>
            </w:r>
          </w:p>
        </w:tc>
        <w:tc>
          <w:tcPr>
            <w:tcW w:w="524" w:type="pct"/>
            <w:noWrap w:val="0"/>
            <w:vAlign w:val="center"/>
          </w:tcPr>
          <w:p w14:paraId="16F0EF9D">
            <w:pPr>
              <w:snapToGrid w:val="0"/>
              <w:spacing w:line="240" w:lineRule="atLeast"/>
              <w:jc w:val="center"/>
              <w:rPr>
                <w:rFonts w:hint="default"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14-16</w:t>
            </w:r>
          </w:p>
        </w:tc>
        <w:tc>
          <w:tcPr>
            <w:tcW w:w="489" w:type="pct"/>
            <w:noWrap w:val="0"/>
            <w:vAlign w:val="center"/>
          </w:tcPr>
          <w:p w14:paraId="553E14EC">
            <w:pPr>
              <w:snapToGrid w:val="0"/>
              <w:spacing w:line="240" w:lineRule="atLeast"/>
              <w:jc w:val="center"/>
              <w:rPr>
                <w:rFonts w:hint="default"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12-14</w:t>
            </w:r>
          </w:p>
        </w:tc>
        <w:tc>
          <w:tcPr>
            <w:tcW w:w="523" w:type="pct"/>
            <w:noWrap w:val="0"/>
            <w:vAlign w:val="center"/>
          </w:tcPr>
          <w:p w14:paraId="75E0FCA6">
            <w:pPr>
              <w:snapToGrid w:val="0"/>
              <w:spacing w:line="240" w:lineRule="atLeast"/>
              <w:jc w:val="center"/>
              <w:rPr>
                <w:rFonts w:hint="default"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5-7</w:t>
            </w:r>
          </w:p>
        </w:tc>
        <w:tc>
          <w:tcPr>
            <w:tcW w:w="734" w:type="pct"/>
            <w:noWrap w:val="0"/>
            <w:vAlign w:val="center"/>
          </w:tcPr>
          <w:p w14:paraId="10365306">
            <w:pPr>
              <w:snapToGrid w:val="0"/>
              <w:spacing w:line="240" w:lineRule="atLeast"/>
              <w:jc w:val="center"/>
              <w:rPr>
                <w:rFonts w:hint="default"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13-15</w:t>
            </w:r>
          </w:p>
        </w:tc>
        <w:tc>
          <w:tcPr>
            <w:tcW w:w="450" w:type="pct"/>
            <w:noWrap w:val="0"/>
            <w:vAlign w:val="center"/>
          </w:tcPr>
          <w:p w14:paraId="4B57F1F8">
            <w:pPr>
              <w:snapToGrid w:val="0"/>
              <w:spacing w:line="240" w:lineRule="atLeast"/>
              <w:jc w:val="center"/>
              <w:rPr>
                <w:rFonts w:hint="default"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70-82</w:t>
            </w:r>
          </w:p>
        </w:tc>
      </w:tr>
    </w:tbl>
    <w:p w14:paraId="7D0478E7">
      <w:pPr>
        <w:keepNext w:val="0"/>
        <w:keepLines w:val="0"/>
        <w:pageBreakBefore w:val="0"/>
        <w:widowControl w:val="0"/>
        <w:kinsoku/>
        <w:wordWrap/>
        <w:topLinePunct w:val="0"/>
        <w:bidi w:val="0"/>
        <w:spacing w:line="480" w:lineRule="exact"/>
        <w:ind w:firstLine="560" w:firstLineChars="200"/>
        <w:textAlignment w:val="auto"/>
        <w:outlineLvl w:val="3"/>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4、投资利息</w:t>
      </w:r>
    </w:p>
    <w:p w14:paraId="7E445249">
      <w:pPr>
        <w:keepNext w:val="0"/>
        <w:keepLines w:val="0"/>
        <w:pageBreakBefore w:val="0"/>
        <w:widowControl w:val="0"/>
        <w:kinsoku/>
        <w:wordWrap/>
        <w:topLinePunct w:val="0"/>
        <w:bidi w:val="0"/>
        <w:snapToGrid w:val="0"/>
        <w:spacing w:line="480" w:lineRule="exact"/>
        <w:ind w:firstLine="560"/>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年</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月2</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15E9872A">
      <w:pPr>
        <w:keepNext w:val="0"/>
        <w:keepLines w:val="0"/>
        <w:pageBreakBefore w:val="0"/>
        <w:widowControl w:val="0"/>
        <w:tabs>
          <w:tab w:val="left" w:pos="8520"/>
        </w:tabs>
        <w:kinsoku/>
        <w:wordWrap/>
        <w:topLinePunct w:val="0"/>
        <w:bidi w:val="0"/>
        <w:snapToGrid w:val="0"/>
        <w:spacing w:line="480" w:lineRule="exact"/>
        <w:ind w:firstLine="560"/>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keepNext w:val="0"/>
        <w:keepLines w:val="0"/>
        <w:pageBreakBefore w:val="0"/>
        <w:widowControl w:val="0"/>
        <w:kinsoku/>
        <w:wordWrap/>
        <w:topLinePunct w:val="0"/>
        <w:bidi w:val="0"/>
        <w:snapToGrid w:val="0"/>
        <w:spacing w:line="480" w:lineRule="exact"/>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　　   ＝（</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238.26+155.6</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）×[（1+</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%）－1]+</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×1/2×</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w:t>
      </w:r>
    </w:p>
    <w:p w14:paraId="0E91A58E">
      <w:pPr>
        <w:keepNext w:val="0"/>
        <w:keepLines w:val="0"/>
        <w:pageBreakBefore w:val="0"/>
        <w:widowControl w:val="0"/>
        <w:kinsoku/>
        <w:wordWrap/>
        <w:topLinePunct w:val="0"/>
        <w:bidi w:val="0"/>
        <w:spacing w:line="480" w:lineRule="exact"/>
        <w:ind w:firstLine="560" w:firstLineChars="200"/>
        <w:textAlignment w:val="auto"/>
        <w:rPr>
          <w:rFonts w:hint="eastAsia" w:ascii="仿宋_GB2312" w:hAnsi="仿宋_GB2312" w:eastAsia="仿宋_GB2312" w:cs="仿宋_GB2312"/>
          <w:b w:val="0"/>
          <w:bCs w:val="0"/>
          <w:color w:val="000000" w:themeColor="text1"/>
          <w:sz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14:textFill>
            <w14:solidFill>
              <w14:schemeClr w14:val="tx1"/>
            </w14:solidFill>
          </w14:textFill>
        </w:rPr>
        <w:t>　 ＝</w:t>
      </w: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13.05</w:t>
      </w:r>
      <w:r>
        <w:rPr>
          <w:rFonts w:hint="eastAsia" w:ascii="仿宋_GB2312" w:hAnsi="仿宋_GB2312" w:eastAsia="仿宋_GB2312" w:cs="仿宋_GB2312"/>
          <w:b w:val="0"/>
          <w:bCs w:val="0"/>
          <w:color w:val="000000" w:themeColor="text1"/>
          <w:sz w:val="28"/>
          <w:highlight w:val="none"/>
          <w14:textFill>
            <w14:solidFill>
              <w14:schemeClr w14:val="tx1"/>
            </w14:solidFill>
          </w14:textFill>
        </w:rPr>
        <w:t>元/平方米</w:t>
      </w:r>
    </w:p>
    <w:p w14:paraId="63273F1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5、投资利润</w:t>
      </w:r>
    </w:p>
    <w:p w14:paraId="5ADA536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4CC9D10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道县房地产</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％作为本次土地评估的投资利润率。则：</w:t>
      </w:r>
    </w:p>
    <w:p w14:paraId="098BDD6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投资利润=（土地取得费+有关税费+土地开发费）×</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w:t>
      </w:r>
    </w:p>
    <w:p w14:paraId="580F453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238.26+155.6+82</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×20%</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95.17</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元/平方米</w:t>
      </w:r>
    </w:p>
    <w:p w14:paraId="5AD5D8AE">
      <w:pPr>
        <w:keepNext w:val="0"/>
        <w:keepLines w:val="0"/>
        <w:pageBreakBefore w:val="0"/>
        <w:widowControl w:val="0"/>
        <w:kinsoku/>
        <w:wordWrap/>
        <w:overflowPunct/>
        <w:topLinePunct w:val="0"/>
        <w:autoSpaceDE w:val="0"/>
        <w:autoSpaceDN w:val="0"/>
        <w:bidi w:val="0"/>
        <w:adjustRightInd w:val="0"/>
        <w:snapToGrid w:val="0"/>
        <w:spacing w:line="480" w:lineRule="exact"/>
        <w:ind w:left="561"/>
        <w:textAlignment w:val="auto"/>
        <w:outlineLvl w:val="3"/>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、土地增值收益</w:t>
      </w:r>
    </w:p>
    <w:p w14:paraId="646D4E67">
      <w:pPr>
        <w:keepNext w:val="0"/>
        <w:keepLines w:val="0"/>
        <w:pageBreakBefore w:val="0"/>
        <w:widowControl w:val="0"/>
        <w:kinsoku/>
        <w:wordWrap/>
        <w:topLinePunct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sz w:val="28"/>
          <w:szCs w:val="28"/>
          <w:highlight w:val="none"/>
        </w:rPr>
      </w:pPr>
      <w:r>
        <w:rPr>
          <w:rFonts w:hint="eastAsia" w:ascii="仿宋_GB2312" w:hAnsi="仿宋_GB2312" w:eastAsia="仿宋_GB2312" w:cs="仿宋_GB2312"/>
          <w:color w:val="000000"/>
          <w:sz w:val="28"/>
          <w:szCs w:val="28"/>
        </w:rPr>
        <w:t>土地增值是待估土地因改变用途或进行土地开发，达到建设用地的某种利用条件而发生的价值增加，是土地开发后市场价格与成本价格之间的差额。</w:t>
      </w:r>
      <w:r>
        <w:rPr>
          <w:rFonts w:hint="eastAsia" w:ascii="仿宋_GB2312" w:hAnsi="仿宋_GB2312" w:eastAsia="仿宋_GB2312" w:cs="仿宋_GB2312"/>
          <w:color w:val="000000"/>
          <w:sz w:val="28"/>
          <w:szCs w:val="28"/>
          <w:lang w:val="en-US" w:eastAsia="zh-CN"/>
        </w:rPr>
        <w:t>道县土地</w:t>
      </w:r>
      <w:r>
        <w:rPr>
          <w:rFonts w:hint="eastAsia" w:ascii="仿宋_GB2312" w:hAnsi="仿宋_GB2312" w:eastAsia="仿宋_GB2312" w:cs="仿宋_GB2312"/>
          <w:color w:val="000000"/>
          <w:sz w:val="28"/>
          <w:szCs w:val="28"/>
        </w:rPr>
        <w:t>市场近3年同一供需圈内与宗地用途</w:t>
      </w:r>
      <w:r>
        <w:rPr>
          <w:rFonts w:hint="eastAsia" w:ascii="仿宋_GB2312" w:hAnsi="仿宋_GB2312" w:eastAsia="仿宋_GB2312" w:cs="仿宋_GB2312"/>
          <w:color w:val="000000"/>
          <w:sz w:val="28"/>
          <w:szCs w:val="28"/>
          <w:lang w:val="en-US" w:eastAsia="zh-CN"/>
        </w:rPr>
        <w:t>（纯商服、住宅用途）</w:t>
      </w:r>
      <w:r>
        <w:rPr>
          <w:rFonts w:hint="eastAsia" w:ascii="仿宋_GB2312" w:hAnsi="仿宋_GB2312" w:eastAsia="仿宋_GB2312" w:cs="仿宋_GB2312"/>
          <w:color w:val="000000"/>
          <w:sz w:val="28"/>
          <w:szCs w:val="28"/>
        </w:rPr>
        <w:t>、利用条件</w:t>
      </w: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容积率</w:t>
      </w: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rPr>
        <w:t>等类似的商服</w:t>
      </w:r>
      <w:r>
        <w:rPr>
          <w:rFonts w:hint="eastAsia" w:ascii="仿宋_GB2312" w:hAnsi="仿宋_GB2312" w:eastAsia="仿宋_GB2312" w:cs="仿宋_GB2312"/>
          <w:color w:val="000000"/>
          <w:sz w:val="28"/>
          <w:szCs w:val="28"/>
          <w:lang w:val="en-US" w:eastAsia="zh-CN"/>
        </w:rPr>
        <w:t>用地</w:t>
      </w: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住宅用地</w:t>
      </w:r>
      <w:r>
        <w:rPr>
          <w:rFonts w:hint="eastAsia" w:ascii="仿宋_GB2312" w:hAnsi="仿宋_GB2312" w:eastAsia="仿宋_GB2312" w:cs="仿宋_GB2312"/>
          <w:color w:val="000000"/>
          <w:sz w:val="28"/>
          <w:szCs w:val="28"/>
        </w:rPr>
        <w:t>出让成交实例</w:t>
      </w:r>
      <w:r>
        <w:rPr>
          <w:rFonts w:hint="eastAsia" w:ascii="仿宋_GB2312" w:hAnsi="仿宋_GB2312" w:eastAsia="仿宋_GB2312" w:cs="仿宋_GB2312"/>
          <w:color w:val="000000"/>
          <w:sz w:val="28"/>
          <w:szCs w:val="28"/>
          <w:lang w:val="en-US" w:eastAsia="zh-CN"/>
        </w:rPr>
        <w:t>不足。</w:t>
      </w:r>
      <w:r>
        <w:rPr>
          <w:rFonts w:hint="eastAsia" w:ascii="仿宋_GB2312" w:hAnsi="仿宋_GB2312" w:eastAsia="仿宋_GB2312" w:cs="仿宋_GB2312"/>
          <w:color w:val="000000"/>
          <w:sz w:val="28"/>
          <w:szCs w:val="28"/>
        </w:rPr>
        <w:t>根据《湖南省人民政府办公厅关于印发&lt;湖南省国有土地使用权出让收支管理办法&gt;的通知》（湘政办发[2015]1号）</w:t>
      </w:r>
      <w:r>
        <w:rPr>
          <w:rFonts w:hint="eastAsia" w:ascii="仿宋_GB2312" w:hAnsi="仿宋_GB2312" w:eastAsia="仿宋_GB2312" w:cs="仿宋_GB2312"/>
          <w:color w:val="000000"/>
          <w:sz w:val="28"/>
          <w:szCs w:val="28"/>
          <w:lang w:eastAsia="zh-CN"/>
        </w:rPr>
        <w:t>，“转让划拨国有土地使用权、依法利用原划拨土地进行经营性建设，或者变现处置抵押划拨土地使用权等，依法应当补办出让手续的，补缴土地价款等于正常出让土地使用权市场价格减去划拨土地使用权价格。其最低补缴额，商业用地不得低于成交价款的40%;商品住宅用地不得低于成交价款的35％。”</w:t>
      </w:r>
      <w:r>
        <w:rPr>
          <w:rFonts w:hint="eastAsia" w:ascii="仿宋_GB2312" w:hAnsi="仿宋_GB2312" w:eastAsia="仿宋_GB2312" w:cs="仿宋_GB2312"/>
          <w:color w:val="000000"/>
          <w:sz w:val="28"/>
          <w:szCs w:val="28"/>
        </w:rPr>
        <w:t>估价人员通过对</w:t>
      </w:r>
      <w:r>
        <w:rPr>
          <w:rFonts w:hint="eastAsia" w:ascii="仿宋_GB2312" w:hAnsi="仿宋_GB2312" w:eastAsia="仿宋_GB2312" w:cs="仿宋_GB2312"/>
          <w:color w:val="000000"/>
          <w:sz w:val="28"/>
          <w:szCs w:val="28"/>
          <w:lang w:val="en-US" w:eastAsia="zh-CN"/>
        </w:rPr>
        <w:t>永州市道县商品房用地</w:t>
      </w:r>
      <w:r>
        <w:rPr>
          <w:rFonts w:hint="eastAsia" w:ascii="仿宋_GB2312" w:hAnsi="仿宋_GB2312" w:eastAsia="仿宋_GB2312" w:cs="仿宋_GB2312"/>
          <w:color w:val="000000"/>
          <w:sz w:val="28"/>
          <w:szCs w:val="28"/>
        </w:rPr>
        <w:t>的增值收益情况的调查，结合宗地所在区域土地市场行情，此次评估确定取土地成本的</w:t>
      </w:r>
      <w:r>
        <w:rPr>
          <w:rFonts w:hint="eastAsia" w:ascii="仿宋_GB2312" w:hAnsi="仿宋_GB2312" w:eastAsia="仿宋_GB2312" w:cs="仿宋_GB2312"/>
          <w:color w:val="000000"/>
          <w:sz w:val="28"/>
          <w:szCs w:val="28"/>
          <w:lang w:val="en-US" w:eastAsia="zh-CN"/>
        </w:rPr>
        <w:t>35%商品住宅用地的</w:t>
      </w:r>
      <w:r>
        <w:rPr>
          <w:rFonts w:hint="eastAsia" w:ascii="仿宋_GB2312" w:hAnsi="仿宋_GB2312" w:eastAsia="仿宋_GB2312" w:cs="仿宋_GB2312"/>
          <w:color w:val="000000"/>
          <w:sz w:val="28"/>
          <w:szCs w:val="28"/>
        </w:rPr>
        <w:t>土地增值收益率。</w:t>
      </w:r>
    </w:p>
    <w:p w14:paraId="4E2B2C0F">
      <w:pPr>
        <w:keepNext w:val="0"/>
        <w:keepLines w:val="0"/>
        <w:pageBreakBefore w:val="0"/>
        <w:widowControl w:val="0"/>
        <w:kinsoku/>
        <w:wordWrap/>
        <w:topLinePunct w:val="0"/>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sz w:val="28"/>
          <w:szCs w:val="28"/>
          <w:highlight w:val="none"/>
        </w:rPr>
      </w:pPr>
      <w:r>
        <w:rPr>
          <w:rFonts w:hint="eastAsia" w:ascii="仿宋_GB2312" w:hAnsi="仿宋_GB2312" w:eastAsia="仿宋_GB2312" w:cs="仿宋_GB2312"/>
          <w:b w:val="0"/>
          <w:bCs w:val="0"/>
          <w:color w:val="000000"/>
          <w:sz w:val="28"/>
          <w:szCs w:val="28"/>
          <w:highlight w:val="none"/>
        </w:rPr>
        <w:t>土地增值收益=土地成本价格×土地增值收益率</w:t>
      </w:r>
    </w:p>
    <w:p w14:paraId="6A886BA4">
      <w:pPr>
        <w:keepNext w:val="0"/>
        <w:keepLines w:val="0"/>
        <w:pageBreakBefore w:val="0"/>
        <w:widowControl w:val="0"/>
        <w:kinsoku/>
        <w:wordWrap/>
        <w:topLinePunct w:val="0"/>
        <w:bidi w:val="0"/>
        <w:adjustRightInd w:val="0"/>
        <w:snapToGrid w:val="0"/>
        <w:spacing w:line="480" w:lineRule="exact"/>
        <w:ind w:firstLine="2240" w:firstLineChars="800"/>
        <w:textAlignment w:val="auto"/>
        <w:rPr>
          <w:rFonts w:hint="eastAsia" w:ascii="仿宋_GB2312" w:hAnsi="仿宋_GB2312" w:eastAsia="仿宋_GB2312" w:cs="仿宋_GB2312"/>
          <w:b w:val="0"/>
          <w:bCs w:val="0"/>
          <w:color w:val="000000"/>
          <w:sz w:val="28"/>
          <w:szCs w:val="28"/>
          <w:highlight w:val="none"/>
        </w:rPr>
      </w:pPr>
      <w:r>
        <w:rPr>
          <w:rFonts w:hint="eastAsia" w:ascii="仿宋_GB2312" w:hAnsi="仿宋_GB2312" w:eastAsia="仿宋_GB2312" w:cs="仿宋_GB2312"/>
          <w:b w:val="0"/>
          <w:bCs w:val="0"/>
          <w:color w:val="000000"/>
          <w:sz w:val="28"/>
          <w:szCs w:val="28"/>
          <w:highlight w:val="none"/>
        </w:rPr>
        <w:t>=</w:t>
      </w:r>
      <w:r>
        <w:rPr>
          <w:rFonts w:hint="eastAsia" w:ascii="仿宋_GB2312" w:hAnsi="仿宋_GB2312" w:eastAsia="仿宋_GB2312" w:cs="仿宋_GB2312"/>
          <w:b w:val="0"/>
          <w:bCs w:val="0"/>
          <w:color w:val="000000"/>
          <w:sz w:val="28"/>
          <w:szCs w:val="28"/>
          <w:highlight w:val="none"/>
          <w:lang w:val="en-US" w:eastAsia="zh-CN"/>
        </w:rPr>
        <w:t>（238.26+155.6+82+13.05+95.17）</w:t>
      </w:r>
      <w:r>
        <w:rPr>
          <w:rFonts w:hint="eastAsia" w:ascii="仿宋_GB2312" w:hAnsi="仿宋_GB2312" w:eastAsia="仿宋_GB2312" w:cs="仿宋_GB2312"/>
          <w:b w:val="0"/>
          <w:bCs w:val="0"/>
          <w:color w:val="000000"/>
          <w:sz w:val="28"/>
          <w:szCs w:val="28"/>
          <w:highlight w:val="none"/>
        </w:rPr>
        <w:t>×</w:t>
      </w:r>
      <w:r>
        <w:rPr>
          <w:rFonts w:hint="eastAsia" w:ascii="仿宋_GB2312" w:hAnsi="仿宋_GB2312" w:eastAsia="仿宋_GB2312" w:cs="仿宋_GB2312"/>
          <w:b w:val="0"/>
          <w:bCs w:val="0"/>
          <w:color w:val="000000"/>
          <w:sz w:val="28"/>
          <w:szCs w:val="28"/>
          <w:highlight w:val="none"/>
          <w:lang w:val="en-US" w:eastAsia="zh-CN"/>
        </w:rPr>
        <w:t>35</w:t>
      </w:r>
      <w:r>
        <w:rPr>
          <w:rFonts w:hint="eastAsia" w:ascii="仿宋_GB2312" w:hAnsi="仿宋_GB2312" w:eastAsia="仿宋_GB2312" w:cs="仿宋_GB2312"/>
          <w:b w:val="0"/>
          <w:bCs w:val="0"/>
          <w:color w:val="000000"/>
          <w:sz w:val="28"/>
          <w:szCs w:val="28"/>
          <w:highlight w:val="none"/>
        </w:rPr>
        <w:t>%</w:t>
      </w:r>
    </w:p>
    <w:p w14:paraId="267EDF89">
      <w:pPr>
        <w:pStyle w:val="13"/>
        <w:keepNext w:val="0"/>
        <w:keepLines w:val="0"/>
        <w:pageBreakBefore w:val="0"/>
        <w:widowControl w:val="0"/>
        <w:kinsoku/>
        <w:wordWrap/>
        <w:topLinePunct w:val="0"/>
        <w:bidi w:val="0"/>
        <w:spacing w:line="480" w:lineRule="exact"/>
        <w:textAlignment w:val="auto"/>
        <w:rPr>
          <w:rFonts w:hint="eastAsia" w:ascii="仿宋_GB2312" w:hAnsi="仿宋_GB2312" w:eastAsia="仿宋_GB2312" w:cs="仿宋_GB2312"/>
          <w:b w:val="0"/>
          <w:bCs w:val="0"/>
          <w:color w:val="000000"/>
          <w:sz w:val="28"/>
          <w:szCs w:val="28"/>
          <w:highlight w:val="none"/>
        </w:rPr>
      </w:pPr>
      <w:r>
        <w:rPr>
          <w:rFonts w:hint="eastAsia" w:ascii="仿宋_GB2312" w:hAnsi="仿宋_GB2312" w:eastAsia="仿宋_GB2312" w:cs="仿宋_GB2312"/>
          <w:b w:val="0"/>
          <w:bCs w:val="0"/>
          <w:color w:val="000000"/>
          <w:sz w:val="28"/>
          <w:szCs w:val="28"/>
          <w:highlight w:val="none"/>
        </w:rPr>
        <w:t xml:space="preserve">      </w:t>
      </w:r>
      <w:r>
        <w:rPr>
          <w:rFonts w:hint="eastAsia" w:ascii="仿宋_GB2312" w:hAnsi="仿宋_GB2312" w:cs="仿宋_GB2312"/>
          <w:b w:val="0"/>
          <w:bCs w:val="0"/>
          <w:color w:val="000000"/>
          <w:sz w:val="28"/>
          <w:szCs w:val="28"/>
          <w:highlight w:val="none"/>
          <w:lang w:val="en-US" w:eastAsia="zh-CN"/>
        </w:rPr>
        <w:t xml:space="preserve">  </w:t>
      </w:r>
      <w:r>
        <w:rPr>
          <w:rFonts w:hint="eastAsia" w:ascii="仿宋_GB2312" w:hAnsi="仿宋_GB2312" w:eastAsia="仿宋_GB2312" w:cs="仿宋_GB2312"/>
          <w:b w:val="0"/>
          <w:bCs w:val="0"/>
          <w:color w:val="000000"/>
          <w:sz w:val="28"/>
          <w:szCs w:val="28"/>
          <w:highlight w:val="none"/>
        </w:rPr>
        <w:t xml:space="preserve">  </w:t>
      </w:r>
      <w:r>
        <w:rPr>
          <w:rFonts w:hint="eastAsia" w:ascii="仿宋_GB2312" w:hAnsi="仿宋_GB2312" w:cs="仿宋_GB2312"/>
          <w:b w:val="0"/>
          <w:bCs w:val="0"/>
          <w:color w:val="000000"/>
          <w:sz w:val="28"/>
          <w:szCs w:val="28"/>
          <w:highlight w:val="none"/>
          <w:lang w:val="en-US" w:eastAsia="zh-CN"/>
        </w:rPr>
        <w:t xml:space="preserve"> </w:t>
      </w:r>
      <w:r>
        <w:rPr>
          <w:rFonts w:hint="eastAsia" w:ascii="仿宋_GB2312" w:hAnsi="仿宋_GB2312" w:eastAsia="仿宋_GB2312" w:cs="仿宋_GB2312"/>
          <w:b w:val="0"/>
          <w:bCs w:val="0"/>
          <w:color w:val="000000"/>
          <w:sz w:val="28"/>
          <w:szCs w:val="28"/>
          <w:highlight w:val="none"/>
        </w:rPr>
        <w:t xml:space="preserve"> =</w:t>
      </w:r>
      <w:r>
        <w:rPr>
          <w:rFonts w:hint="eastAsia" w:ascii="仿宋_GB2312" w:hAnsi="仿宋_GB2312" w:cs="仿宋_GB2312"/>
          <w:b w:val="0"/>
          <w:bCs w:val="0"/>
          <w:color w:val="000000"/>
          <w:sz w:val="28"/>
          <w:szCs w:val="28"/>
          <w:highlight w:val="none"/>
          <w:lang w:val="en-US" w:eastAsia="zh-CN"/>
        </w:rPr>
        <w:t>204.43</w:t>
      </w:r>
      <w:r>
        <w:rPr>
          <w:rFonts w:hint="eastAsia" w:ascii="仿宋_GB2312" w:hAnsi="仿宋_GB2312" w:eastAsia="仿宋_GB2312" w:cs="仿宋_GB2312"/>
          <w:b w:val="0"/>
          <w:bCs w:val="0"/>
          <w:color w:val="000000"/>
          <w:sz w:val="28"/>
          <w:szCs w:val="28"/>
          <w:highlight w:val="none"/>
          <w:lang w:val="en-US" w:eastAsia="zh-CN"/>
        </w:rPr>
        <w:t>元</w:t>
      </w:r>
      <w:r>
        <w:rPr>
          <w:rFonts w:hint="eastAsia" w:ascii="仿宋_GB2312" w:hAnsi="仿宋_GB2312" w:eastAsia="仿宋_GB2312" w:cs="仿宋_GB2312"/>
          <w:b w:val="0"/>
          <w:bCs w:val="0"/>
          <w:color w:val="000000"/>
          <w:sz w:val="28"/>
          <w:szCs w:val="28"/>
          <w:highlight w:val="none"/>
        </w:rPr>
        <w:t xml:space="preserve">/平方米 </w:t>
      </w:r>
    </w:p>
    <w:p w14:paraId="2F757F9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3"/>
        <w:rPr>
          <w:rFonts w:hint="eastAsia" w:ascii="仿宋_GB2312" w:hAnsi="仿宋_GB2312" w:eastAsia="仿宋_GB2312" w:cs="仿宋_GB2312"/>
          <w:b w:val="0"/>
          <w:bCs w:val="0"/>
          <w:color w:val="000000"/>
          <w:sz w:val="28"/>
          <w:highlight w:val="none"/>
        </w:rPr>
      </w:pPr>
      <w:r>
        <w:rPr>
          <w:rFonts w:hint="eastAsia" w:ascii="仿宋_GB2312" w:hAnsi="仿宋_GB2312" w:eastAsia="仿宋_GB2312" w:cs="仿宋_GB2312"/>
          <w:b w:val="0"/>
          <w:bCs w:val="0"/>
          <w:sz w:val="28"/>
          <w:highlight w:val="none"/>
          <w:lang w:val="en-US" w:eastAsia="zh-CN"/>
        </w:rPr>
        <w:t>7</w:t>
      </w:r>
      <w:r>
        <w:rPr>
          <w:rFonts w:hint="eastAsia" w:ascii="仿宋_GB2312" w:hAnsi="仿宋_GB2312" w:eastAsia="仿宋_GB2312" w:cs="仿宋_GB2312"/>
          <w:b w:val="0"/>
          <w:bCs w:val="0"/>
          <w:sz w:val="28"/>
          <w:highlight w:val="none"/>
        </w:rPr>
        <w:t>、土地使用年期修正系数</w:t>
      </w:r>
    </w:p>
    <w:p w14:paraId="642D734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 w:val="0"/>
          <w:bCs w:val="0"/>
          <w:sz w:val="28"/>
          <w:highlight w:val="none"/>
        </w:rPr>
      </w:pPr>
      <w:r>
        <w:rPr>
          <w:rFonts w:hint="eastAsia" w:ascii="仿宋_GB2312" w:hAnsi="仿宋_GB2312" w:eastAsia="仿宋_GB2312" w:cs="仿宋_GB2312"/>
          <w:b w:val="0"/>
          <w:bCs w:val="0"/>
          <w:sz w:val="28"/>
          <w:highlight w:val="none"/>
          <w:lang w:val="en-US" w:eastAsia="zh-CN"/>
        </w:rPr>
        <w:t>土地使用年期</w:t>
      </w:r>
      <w:r>
        <w:rPr>
          <w:rFonts w:hint="eastAsia" w:ascii="仿宋_GB2312" w:hAnsi="仿宋_GB2312" w:eastAsia="仿宋_GB2312" w:cs="仿宋_GB2312"/>
          <w:b w:val="0"/>
          <w:bCs w:val="0"/>
          <w:sz w:val="28"/>
          <w:highlight w:val="none"/>
        </w:rPr>
        <w:t>修正系数为：</w:t>
      </w:r>
    </w:p>
    <w:p w14:paraId="24ECAF3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 w:val="0"/>
          <w:bCs w:val="0"/>
          <w:sz w:val="28"/>
          <w:highlight w:val="none"/>
          <w:lang w:val="en-US" w:eastAsia="zh-CN"/>
        </w:rPr>
      </w:pPr>
      <w:r>
        <w:rPr>
          <w:rFonts w:hint="eastAsia" w:ascii="仿宋_GB2312" w:hAnsi="仿宋_GB2312" w:eastAsia="仿宋_GB2312" w:cs="仿宋_GB2312"/>
          <w:b w:val="0"/>
          <w:bCs w:val="0"/>
          <w:sz w:val="28"/>
          <w:highlight w:val="none"/>
        </w:rPr>
        <w:t>年期修正系数=1－1/ (1+r)</w:t>
      </w:r>
      <w:r>
        <w:rPr>
          <w:rFonts w:hint="eastAsia" w:ascii="仿宋_GB2312" w:hAnsi="仿宋_GB2312" w:eastAsia="仿宋_GB2312" w:cs="仿宋_GB2312"/>
          <w:b w:val="0"/>
          <w:bCs w:val="0"/>
          <w:sz w:val="28"/>
          <w:highlight w:val="none"/>
          <w:vertAlign w:val="superscript"/>
          <w:lang w:val="en-US" w:eastAsia="zh-CN"/>
        </w:rPr>
        <w:t>n</w:t>
      </w:r>
    </w:p>
    <w:p w14:paraId="60C04BB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 w:val="0"/>
          <w:bCs w:val="0"/>
          <w:sz w:val="28"/>
          <w:highlight w:val="none"/>
        </w:rPr>
      </w:pPr>
      <w:r>
        <w:rPr>
          <w:rFonts w:hint="eastAsia" w:ascii="仿宋_GB2312" w:hAnsi="仿宋_GB2312" w:eastAsia="仿宋_GB2312" w:cs="仿宋_GB2312"/>
          <w:b w:val="0"/>
          <w:bCs w:val="0"/>
          <w:sz w:val="28"/>
          <w:highlight w:val="none"/>
        </w:rPr>
        <w:t>其中: r─土地还原利率；</w:t>
      </w:r>
    </w:p>
    <w:p w14:paraId="2FA0ED2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 w:val="0"/>
          <w:bCs w:val="0"/>
          <w:sz w:val="28"/>
          <w:highlight w:val="none"/>
        </w:rPr>
      </w:pPr>
      <w:r>
        <w:rPr>
          <w:rFonts w:hint="eastAsia" w:ascii="仿宋_GB2312" w:hAnsi="仿宋_GB2312" w:eastAsia="仿宋_GB2312" w:cs="仿宋_GB2312"/>
          <w:b w:val="0"/>
          <w:bCs w:val="0"/>
          <w:sz w:val="28"/>
          <w:highlight w:val="none"/>
        </w:rPr>
        <w:t xml:space="preserve">     n─估价对象设定土地使用年期；</w:t>
      </w:r>
    </w:p>
    <w:p w14:paraId="03938856">
      <w:pPr>
        <w:keepNext w:val="0"/>
        <w:keepLines w:val="0"/>
        <w:pageBreakBefore w:val="0"/>
        <w:widowControl w:val="0"/>
        <w:kinsoku/>
        <w:wordWrap/>
        <w:overflowPunct w:val="0"/>
        <w:topLinePunct w:val="0"/>
        <w:autoSpaceDE w:val="0"/>
        <w:autoSpaceDN w:val="0"/>
        <w:bidi w:val="0"/>
        <w:snapToGrid w:val="0"/>
        <w:spacing w:line="480" w:lineRule="exact"/>
        <w:ind w:firstLine="565" w:firstLineChars="202"/>
        <w:textAlignment w:val="auto"/>
        <w:rPr>
          <w:rFonts w:hint="eastAsia" w:ascii="仿宋_GB2312" w:hAnsi="仿宋_GB2312" w:eastAsia="仿宋_GB2312" w:cs="仿宋_GB2312"/>
          <w:b w:val="0"/>
          <w:bCs w:val="0"/>
          <w:snapToGrid w:val="0"/>
          <w:kern w:val="0"/>
          <w:sz w:val="28"/>
          <w:szCs w:val="28"/>
          <w:highlight w:val="none"/>
        </w:rPr>
      </w:pPr>
      <w:r>
        <w:rPr>
          <w:rFonts w:hint="eastAsia" w:ascii="仿宋_GB2312" w:hAnsi="仿宋_GB2312" w:eastAsia="仿宋_GB2312" w:cs="仿宋_GB2312"/>
          <w:b w:val="0"/>
          <w:bCs w:val="0"/>
          <w:snapToGrid w:val="0"/>
          <w:kern w:val="0"/>
          <w:sz w:val="28"/>
          <w:szCs w:val="28"/>
          <w:highlight w:val="none"/>
        </w:rPr>
        <w:t>土地还原率确定过程：</w:t>
      </w:r>
    </w:p>
    <w:p w14:paraId="2879633F">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土地还原利率的确定方法是安全利率加风险调整值法，安全利率采用中国外汇交易中心（全国银行间同业拆借中心）2026年4月公布的一年期国债收益率1.16%，风险调整值根据各市场风险因素对土地市场的影响程度而确定。</w:t>
      </w:r>
    </w:p>
    <w:p w14:paraId="62D1B9DE">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①土地市场风险程度分析</w:t>
      </w:r>
    </w:p>
    <w:p w14:paraId="7A4175B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bCs/>
          <w:sz w:val="28"/>
          <w:highlight w:val="none"/>
          <w:lang w:val="en-US" w:eastAsia="zh-CN"/>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697FFD4D">
      <w:pPr>
        <w:jc w:val="center"/>
        <w:rPr>
          <w:rFonts w:hint="eastAsia" w:ascii="仿宋_GB2312" w:hAnsi="仿宋_GB2312" w:eastAsia="仿宋_GB2312" w:cs="仿宋_GB2312"/>
          <w:snapToGrid w:val="0"/>
          <w:kern w:val="0"/>
          <w:sz w:val="28"/>
          <w:szCs w:val="28"/>
          <w:highlight w:val="none"/>
          <w:lang w:val="en-US" w:eastAsia="zh-CN" w:bidi="ar-SA"/>
        </w:rPr>
      </w:pPr>
      <w:r>
        <w:rPr>
          <w:rFonts w:hint="eastAsia" w:ascii="仿宋_GB2312" w:hAnsi="仿宋_GB2312" w:eastAsia="仿宋_GB2312" w:cs="仿宋_GB2312"/>
          <w:snapToGrid w:val="0"/>
          <w:kern w:val="0"/>
          <w:sz w:val="28"/>
          <w:szCs w:val="28"/>
          <w:highlight w:val="none"/>
          <w:lang w:val="en-US" w:eastAsia="zh-CN" w:bidi="ar-SA"/>
        </w:rPr>
        <w:t>表3-5 风险因素因子对不同土地利用类型的影响程度分析</w:t>
      </w:r>
    </w:p>
    <w:tbl>
      <w:tblPr>
        <w:tblStyle w:val="14"/>
        <w:tblW w:w="497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3629"/>
        <w:gridCol w:w="2649"/>
      </w:tblGrid>
      <w:tr w14:paraId="5AEB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1297" w:type="pct"/>
            <w:noWrap w:val="0"/>
            <w:vAlign w:val="center"/>
          </w:tcPr>
          <w:p w14:paraId="7FE5254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风险因素</w:t>
            </w:r>
          </w:p>
        </w:tc>
        <w:tc>
          <w:tcPr>
            <w:tcW w:w="2140" w:type="pct"/>
            <w:noWrap w:val="0"/>
            <w:vAlign w:val="center"/>
          </w:tcPr>
          <w:p w14:paraId="192B06C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风险因子</w:t>
            </w:r>
          </w:p>
        </w:tc>
        <w:tc>
          <w:tcPr>
            <w:tcW w:w="1562" w:type="pct"/>
            <w:noWrap w:val="0"/>
            <w:vAlign w:val="center"/>
          </w:tcPr>
          <w:p w14:paraId="0257A17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住宅用地</w:t>
            </w:r>
          </w:p>
        </w:tc>
      </w:tr>
      <w:tr w14:paraId="7553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1297" w:type="pct"/>
            <w:vMerge w:val="restart"/>
            <w:noWrap w:val="0"/>
            <w:vAlign w:val="center"/>
          </w:tcPr>
          <w:p w14:paraId="47D7AC4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政策风险</w:t>
            </w:r>
          </w:p>
        </w:tc>
        <w:tc>
          <w:tcPr>
            <w:tcW w:w="2140" w:type="pct"/>
            <w:noWrap w:val="0"/>
            <w:vAlign w:val="center"/>
          </w:tcPr>
          <w:p w14:paraId="2D1F28D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产业政策</w:t>
            </w:r>
          </w:p>
        </w:tc>
        <w:tc>
          <w:tcPr>
            <w:tcW w:w="1562" w:type="pct"/>
            <w:noWrap w:val="0"/>
            <w:vAlign w:val="center"/>
          </w:tcPr>
          <w:p w14:paraId="4A1584B6">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7212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1297" w:type="pct"/>
            <w:vMerge w:val="continue"/>
            <w:noWrap w:val="0"/>
            <w:vAlign w:val="center"/>
          </w:tcPr>
          <w:p w14:paraId="0871F3C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1EFFB84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土地使用制度改革</w:t>
            </w:r>
          </w:p>
        </w:tc>
        <w:tc>
          <w:tcPr>
            <w:tcW w:w="1562" w:type="pct"/>
            <w:noWrap w:val="0"/>
            <w:vAlign w:val="center"/>
          </w:tcPr>
          <w:p w14:paraId="08FA0F9A">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C</w:t>
            </w:r>
          </w:p>
        </w:tc>
      </w:tr>
      <w:tr w14:paraId="74B0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1297" w:type="pct"/>
            <w:vMerge w:val="continue"/>
            <w:noWrap w:val="0"/>
            <w:vAlign w:val="center"/>
          </w:tcPr>
          <w:p w14:paraId="18F675C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4515747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住房制度</w:t>
            </w:r>
          </w:p>
        </w:tc>
        <w:tc>
          <w:tcPr>
            <w:tcW w:w="1562" w:type="pct"/>
            <w:noWrap w:val="0"/>
            <w:vAlign w:val="center"/>
          </w:tcPr>
          <w:p w14:paraId="56F28BC8">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7660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1297" w:type="pct"/>
            <w:vMerge w:val="continue"/>
            <w:noWrap w:val="0"/>
            <w:vAlign w:val="center"/>
          </w:tcPr>
          <w:p w14:paraId="1FF7F96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6A7E0B5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环保变化</w:t>
            </w:r>
          </w:p>
        </w:tc>
        <w:tc>
          <w:tcPr>
            <w:tcW w:w="1562" w:type="pct"/>
            <w:noWrap w:val="0"/>
            <w:vAlign w:val="center"/>
          </w:tcPr>
          <w:p w14:paraId="6C440EC9">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4E94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1297" w:type="pct"/>
            <w:vMerge w:val="restart"/>
            <w:noWrap w:val="0"/>
            <w:vAlign w:val="center"/>
          </w:tcPr>
          <w:p w14:paraId="7845DFB4">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经济风险</w:t>
            </w:r>
          </w:p>
        </w:tc>
        <w:tc>
          <w:tcPr>
            <w:tcW w:w="2140" w:type="pct"/>
            <w:noWrap w:val="0"/>
            <w:vAlign w:val="center"/>
          </w:tcPr>
          <w:p w14:paraId="1C3C82E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市场供求</w:t>
            </w:r>
          </w:p>
        </w:tc>
        <w:tc>
          <w:tcPr>
            <w:tcW w:w="1562" w:type="pct"/>
            <w:noWrap w:val="0"/>
            <w:vAlign w:val="center"/>
          </w:tcPr>
          <w:p w14:paraId="5C572AF2">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6DA6C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1297" w:type="pct"/>
            <w:vMerge w:val="continue"/>
            <w:noWrap w:val="0"/>
            <w:vAlign w:val="center"/>
          </w:tcPr>
          <w:p w14:paraId="59CCE84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6C65B1A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财务风险</w:t>
            </w:r>
          </w:p>
        </w:tc>
        <w:tc>
          <w:tcPr>
            <w:tcW w:w="1562" w:type="pct"/>
            <w:noWrap w:val="0"/>
            <w:vAlign w:val="center"/>
          </w:tcPr>
          <w:p w14:paraId="7283A909">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4A24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1297" w:type="pct"/>
            <w:vMerge w:val="continue"/>
            <w:noWrap w:val="0"/>
            <w:vAlign w:val="center"/>
          </w:tcPr>
          <w:p w14:paraId="2521BE4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070AE90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管理风险</w:t>
            </w:r>
          </w:p>
        </w:tc>
        <w:tc>
          <w:tcPr>
            <w:tcW w:w="1562" w:type="pct"/>
            <w:noWrap w:val="0"/>
            <w:vAlign w:val="center"/>
          </w:tcPr>
          <w:p w14:paraId="6AE8832C">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C</w:t>
            </w:r>
          </w:p>
        </w:tc>
      </w:tr>
      <w:tr w14:paraId="79A33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1297" w:type="pct"/>
            <w:vMerge w:val="continue"/>
            <w:noWrap w:val="0"/>
            <w:vAlign w:val="center"/>
          </w:tcPr>
          <w:p w14:paraId="2AA9F0D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7EF749E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当地经济发展</w:t>
            </w:r>
          </w:p>
        </w:tc>
        <w:tc>
          <w:tcPr>
            <w:tcW w:w="1562" w:type="pct"/>
            <w:noWrap w:val="0"/>
            <w:vAlign w:val="center"/>
          </w:tcPr>
          <w:p w14:paraId="1FAC0732">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4DBC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1297" w:type="pct"/>
            <w:vMerge w:val="restart"/>
            <w:noWrap w:val="0"/>
            <w:vAlign w:val="center"/>
          </w:tcPr>
          <w:p w14:paraId="2D48803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社会风险</w:t>
            </w:r>
          </w:p>
        </w:tc>
        <w:tc>
          <w:tcPr>
            <w:tcW w:w="2140" w:type="pct"/>
            <w:noWrap w:val="0"/>
            <w:vAlign w:val="center"/>
          </w:tcPr>
          <w:p w14:paraId="012337F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城市规划</w:t>
            </w:r>
          </w:p>
        </w:tc>
        <w:tc>
          <w:tcPr>
            <w:tcW w:w="1562" w:type="pct"/>
            <w:noWrap w:val="0"/>
            <w:vAlign w:val="center"/>
          </w:tcPr>
          <w:p w14:paraId="289A05BB">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68AA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1297" w:type="pct"/>
            <w:vMerge w:val="continue"/>
            <w:noWrap w:val="0"/>
            <w:vAlign w:val="center"/>
          </w:tcPr>
          <w:p w14:paraId="6B10799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17C5249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区域发展</w:t>
            </w:r>
          </w:p>
        </w:tc>
        <w:tc>
          <w:tcPr>
            <w:tcW w:w="1562" w:type="pct"/>
            <w:noWrap w:val="0"/>
            <w:vAlign w:val="center"/>
          </w:tcPr>
          <w:p w14:paraId="6AB6C407">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0ED0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1297" w:type="pct"/>
            <w:vMerge w:val="continue"/>
            <w:noWrap w:val="0"/>
            <w:vAlign w:val="center"/>
          </w:tcPr>
          <w:p w14:paraId="6499DD6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119B79E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治安</w:t>
            </w:r>
          </w:p>
        </w:tc>
        <w:tc>
          <w:tcPr>
            <w:tcW w:w="1562" w:type="pct"/>
            <w:noWrap w:val="0"/>
            <w:vAlign w:val="center"/>
          </w:tcPr>
          <w:p w14:paraId="3BC1E0B2">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bl>
    <w:p w14:paraId="64691251">
      <w:pPr>
        <w:spacing w:line="460" w:lineRule="exact"/>
        <w:ind w:firstLine="600" w:firstLineChars="250"/>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注：A最严重；B较严重；C不严重；D无影响</w:t>
      </w:r>
    </w:p>
    <w:p w14:paraId="02B0585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②风险因素因子权重值的确定</w:t>
      </w:r>
    </w:p>
    <w:p w14:paraId="467BAB6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bCs/>
          <w:sz w:val="28"/>
          <w:highlight w:val="none"/>
          <w:lang w:val="en-US" w:eastAsia="zh-CN"/>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375EC986">
      <w:pPr>
        <w:keepNext w:val="0"/>
        <w:keepLines w:val="0"/>
        <w:pageBreakBefore w:val="0"/>
        <w:widowControl w:val="0"/>
        <w:kinsoku/>
        <w:wordWrap/>
        <w:overflowPunct/>
        <w:topLinePunct w:val="0"/>
        <w:autoSpaceDE w:val="0"/>
        <w:autoSpaceDN w:val="0"/>
        <w:bidi w:val="0"/>
        <w:adjustRightInd w:val="0"/>
        <w:snapToGrid w:val="0"/>
        <w:spacing w:line="280" w:lineRule="exact"/>
        <w:jc w:val="center"/>
        <w:textAlignment w:val="auto"/>
        <w:rPr>
          <w:rFonts w:hint="eastAsia" w:ascii="仿宋" w:hAnsi="仿宋" w:eastAsia="仿宋" w:cs="仿宋"/>
          <w:snapToGrid w:val="0"/>
          <w:kern w:val="0"/>
          <w:sz w:val="28"/>
          <w:szCs w:val="28"/>
          <w:highlight w:val="none"/>
          <w:lang w:val="en-US" w:eastAsia="zh-CN" w:bidi="ar-SA"/>
        </w:rPr>
      </w:pPr>
      <w:r>
        <w:rPr>
          <w:rFonts w:hint="eastAsia" w:ascii="仿宋_GB2312" w:hAnsi="仿宋_GB2312" w:eastAsia="仿宋_GB2312" w:cs="仿宋_GB2312"/>
          <w:snapToGrid w:val="0"/>
          <w:kern w:val="0"/>
          <w:sz w:val="28"/>
          <w:szCs w:val="28"/>
          <w:highlight w:val="none"/>
          <w:lang w:val="en-US" w:eastAsia="zh-CN" w:bidi="ar-SA"/>
        </w:rPr>
        <w:t>表3-6 风险因素、因子权重值</w:t>
      </w:r>
    </w:p>
    <w:tbl>
      <w:tblPr>
        <w:tblStyle w:val="14"/>
        <w:tblW w:w="49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9"/>
        <w:gridCol w:w="1598"/>
        <w:gridCol w:w="2876"/>
        <w:gridCol w:w="2203"/>
      </w:tblGrid>
      <w:tr w14:paraId="3569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033" w:type="pct"/>
            <w:noWrap w:val="0"/>
            <w:vAlign w:val="center"/>
          </w:tcPr>
          <w:p w14:paraId="468E633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影响因素</w:t>
            </w:r>
          </w:p>
        </w:tc>
        <w:tc>
          <w:tcPr>
            <w:tcW w:w="949" w:type="pct"/>
            <w:noWrap w:val="0"/>
            <w:vAlign w:val="center"/>
          </w:tcPr>
          <w:p w14:paraId="7F4C2D64">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权重值</w:t>
            </w:r>
          </w:p>
        </w:tc>
        <w:tc>
          <w:tcPr>
            <w:tcW w:w="1708" w:type="pct"/>
            <w:noWrap w:val="0"/>
            <w:vAlign w:val="center"/>
          </w:tcPr>
          <w:p w14:paraId="202B0CC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影响因子</w:t>
            </w:r>
          </w:p>
        </w:tc>
        <w:tc>
          <w:tcPr>
            <w:tcW w:w="1308" w:type="pct"/>
            <w:noWrap w:val="0"/>
            <w:vAlign w:val="center"/>
          </w:tcPr>
          <w:p w14:paraId="3689065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权重值</w:t>
            </w:r>
          </w:p>
        </w:tc>
      </w:tr>
      <w:tr w14:paraId="2EC2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033" w:type="pct"/>
            <w:vMerge w:val="restart"/>
            <w:noWrap w:val="0"/>
            <w:vAlign w:val="center"/>
          </w:tcPr>
          <w:p w14:paraId="47FD420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政策风险</w:t>
            </w:r>
          </w:p>
        </w:tc>
        <w:tc>
          <w:tcPr>
            <w:tcW w:w="949" w:type="pct"/>
            <w:vMerge w:val="restart"/>
            <w:noWrap w:val="0"/>
            <w:vAlign w:val="center"/>
          </w:tcPr>
          <w:p w14:paraId="3D713DC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0.3234</w:t>
            </w:r>
          </w:p>
        </w:tc>
        <w:tc>
          <w:tcPr>
            <w:tcW w:w="1708" w:type="pct"/>
            <w:noWrap w:val="0"/>
            <w:vAlign w:val="center"/>
          </w:tcPr>
          <w:p w14:paraId="3F3942B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产业政策</w:t>
            </w:r>
          </w:p>
        </w:tc>
        <w:tc>
          <w:tcPr>
            <w:tcW w:w="1308" w:type="pct"/>
            <w:noWrap w:val="0"/>
            <w:vAlign w:val="center"/>
          </w:tcPr>
          <w:p w14:paraId="041BF4E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0.2957</w:t>
            </w:r>
          </w:p>
        </w:tc>
      </w:tr>
      <w:tr w14:paraId="475F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033" w:type="pct"/>
            <w:vMerge w:val="continue"/>
            <w:noWrap w:val="0"/>
            <w:vAlign w:val="center"/>
          </w:tcPr>
          <w:p w14:paraId="44BBCB2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53C691F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7700162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土地使用制度改革</w:t>
            </w:r>
          </w:p>
        </w:tc>
        <w:tc>
          <w:tcPr>
            <w:tcW w:w="1308" w:type="pct"/>
            <w:noWrap w:val="0"/>
            <w:vAlign w:val="center"/>
          </w:tcPr>
          <w:p w14:paraId="6991709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0.2121</w:t>
            </w:r>
          </w:p>
        </w:tc>
      </w:tr>
      <w:tr w14:paraId="4E53B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033" w:type="pct"/>
            <w:vMerge w:val="continue"/>
            <w:noWrap w:val="0"/>
            <w:vAlign w:val="center"/>
          </w:tcPr>
          <w:p w14:paraId="7AA4FFE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56F7B4C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5C46744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住房制度</w:t>
            </w:r>
          </w:p>
        </w:tc>
        <w:tc>
          <w:tcPr>
            <w:tcW w:w="1308" w:type="pct"/>
            <w:noWrap w:val="0"/>
            <w:vAlign w:val="center"/>
          </w:tcPr>
          <w:p w14:paraId="7436215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0.2734</w:t>
            </w:r>
          </w:p>
        </w:tc>
      </w:tr>
      <w:tr w14:paraId="0527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033" w:type="pct"/>
            <w:vMerge w:val="continue"/>
            <w:noWrap w:val="0"/>
            <w:vAlign w:val="center"/>
          </w:tcPr>
          <w:p w14:paraId="732904F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3FCD4CC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1A8EAD8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环保变化</w:t>
            </w:r>
          </w:p>
        </w:tc>
        <w:tc>
          <w:tcPr>
            <w:tcW w:w="1308" w:type="pct"/>
            <w:noWrap w:val="0"/>
            <w:vAlign w:val="center"/>
          </w:tcPr>
          <w:p w14:paraId="0AF70E9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0.2188</w:t>
            </w:r>
          </w:p>
        </w:tc>
      </w:tr>
      <w:tr w14:paraId="3383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033" w:type="pct"/>
            <w:vMerge w:val="restart"/>
            <w:noWrap w:val="0"/>
            <w:vAlign w:val="center"/>
          </w:tcPr>
          <w:p w14:paraId="1DAC618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经济风险</w:t>
            </w:r>
          </w:p>
        </w:tc>
        <w:tc>
          <w:tcPr>
            <w:tcW w:w="949" w:type="pct"/>
            <w:vMerge w:val="restart"/>
            <w:noWrap w:val="0"/>
            <w:vAlign w:val="center"/>
          </w:tcPr>
          <w:p w14:paraId="1D0A7FC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0.3922</w:t>
            </w:r>
          </w:p>
        </w:tc>
        <w:tc>
          <w:tcPr>
            <w:tcW w:w="1708" w:type="pct"/>
            <w:noWrap w:val="0"/>
            <w:vAlign w:val="center"/>
          </w:tcPr>
          <w:p w14:paraId="79AF860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市场供求</w:t>
            </w:r>
          </w:p>
        </w:tc>
        <w:tc>
          <w:tcPr>
            <w:tcW w:w="1308" w:type="pct"/>
            <w:noWrap w:val="0"/>
            <w:vAlign w:val="center"/>
          </w:tcPr>
          <w:p w14:paraId="7A85C70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0.3434</w:t>
            </w:r>
          </w:p>
        </w:tc>
      </w:tr>
      <w:tr w14:paraId="29A5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033" w:type="pct"/>
            <w:vMerge w:val="continue"/>
            <w:noWrap w:val="0"/>
            <w:vAlign w:val="center"/>
          </w:tcPr>
          <w:p w14:paraId="407911B3">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55CD491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28E7C80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财务风险</w:t>
            </w:r>
          </w:p>
        </w:tc>
        <w:tc>
          <w:tcPr>
            <w:tcW w:w="1308" w:type="pct"/>
            <w:noWrap w:val="0"/>
            <w:vAlign w:val="center"/>
          </w:tcPr>
          <w:p w14:paraId="42821184">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0.2119</w:t>
            </w:r>
          </w:p>
        </w:tc>
      </w:tr>
      <w:tr w14:paraId="6D579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033" w:type="pct"/>
            <w:vMerge w:val="continue"/>
            <w:noWrap w:val="0"/>
            <w:vAlign w:val="center"/>
          </w:tcPr>
          <w:p w14:paraId="61C0267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5C842F6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5A1940D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管理风险</w:t>
            </w:r>
          </w:p>
        </w:tc>
        <w:tc>
          <w:tcPr>
            <w:tcW w:w="1308" w:type="pct"/>
            <w:noWrap w:val="0"/>
            <w:vAlign w:val="center"/>
          </w:tcPr>
          <w:p w14:paraId="03AE9DE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0.2365</w:t>
            </w:r>
          </w:p>
        </w:tc>
      </w:tr>
      <w:tr w14:paraId="777B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033" w:type="pct"/>
            <w:vMerge w:val="continue"/>
            <w:noWrap w:val="0"/>
            <w:vAlign w:val="center"/>
          </w:tcPr>
          <w:p w14:paraId="6D2ED74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37E0CA5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7C72378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当地经济发展</w:t>
            </w:r>
          </w:p>
        </w:tc>
        <w:tc>
          <w:tcPr>
            <w:tcW w:w="1308" w:type="pct"/>
            <w:noWrap w:val="0"/>
            <w:vAlign w:val="center"/>
          </w:tcPr>
          <w:p w14:paraId="12F82E4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0.2082</w:t>
            </w:r>
          </w:p>
        </w:tc>
      </w:tr>
      <w:tr w14:paraId="52D33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033" w:type="pct"/>
            <w:vMerge w:val="restart"/>
            <w:noWrap w:val="0"/>
            <w:vAlign w:val="center"/>
          </w:tcPr>
          <w:p w14:paraId="3739D5B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社会风险</w:t>
            </w:r>
          </w:p>
        </w:tc>
        <w:tc>
          <w:tcPr>
            <w:tcW w:w="949" w:type="pct"/>
            <w:vMerge w:val="restart"/>
            <w:noWrap w:val="0"/>
            <w:vAlign w:val="center"/>
          </w:tcPr>
          <w:p w14:paraId="38B551C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0.2844</w:t>
            </w:r>
          </w:p>
        </w:tc>
        <w:tc>
          <w:tcPr>
            <w:tcW w:w="1708" w:type="pct"/>
            <w:noWrap w:val="0"/>
            <w:vAlign w:val="center"/>
          </w:tcPr>
          <w:p w14:paraId="3C1C3D8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城市规划</w:t>
            </w:r>
          </w:p>
        </w:tc>
        <w:tc>
          <w:tcPr>
            <w:tcW w:w="1308" w:type="pct"/>
            <w:noWrap w:val="0"/>
            <w:vAlign w:val="center"/>
          </w:tcPr>
          <w:p w14:paraId="273632E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0.3762</w:t>
            </w:r>
          </w:p>
        </w:tc>
      </w:tr>
      <w:tr w14:paraId="15A37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033" w:type="pct"/>
            <w:vMerge w:val="continue"/>
            <w:noWrap w:val="0"/>
            <w:vAlign w:val="center"/>
          </w:tcPr>
          <w:p w14:paraId="1C2BA3B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3887333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595BC94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区域发展</w:t>
            </w:r>
          </w:p>
        </w:tc>
        <w:tc>
          <w:tcPr>
            <w:tcW w:w="1308" w:type="pct"/>
            <w:noWrap w:val="0"/>
            <w:vAlign w:val="center"/>
          </w:tcPr>
          <w:p w14:paraId="6510311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0.3113</w:t>
            </w:r>
          </w:p>
        </w:tc>
      </w:tr>
      <w:tr w14:paraId="18A97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jc w:val="center"/>
        </w:trPr>
        <w:tc>
          <w:tcPr>
            <w:tcW w:w="1033" w:type="pct"/>
            <w:vMerge w:val="continue"/>
            <w:noWrap w:val="0"/>
            <w:vAlign w:val="center"/>
          </w:tcPr>
          <w:p w14:paraId="75CBF61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46726F5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3ECC574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治安</w:t>
            </w:r>
          </w:p>
        </w:tc>
        <w:tc>
          <w:tcPr>
            <w:tcW w:w="1308" w:type="pct"/>
            <w:noWrap w:val="0"/>
            <w:vAlign w:val="center"/>
          </w:tcPr>
          <w:p w14:paraId="78CDC2D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0.3125</w:t>
            </w:r>
          </w:p>
        </w:tc>
      </w:tr>
    </w:tbl>
    <w:p w14:paraId="4847F957">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③风险调整值的确定</w:t>
      </w:r>
    </w:p>
    <w:p w14:paraId="2CCE1C7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z w:val="28"/>
          <w:szCs w:val="28"/>
          <w:highlight w:val="none"/>
        </w:rPr>
      </w:pPr>
      <w:r>
        <w:rPr>
          <w:rFonts w:hint="eastAsia" w:ascii="仿宋_GB2312" w:hAnsi="仿宋_GB2312" w:eastAsia="仿宋_GB2312" w:cs="仿宋_GB2312"/>
          <w:bCs/>
          <w:sz w:val="28"/>
          <w:highlight w:val="none"/>
          <w:lang w:val="en-US" w:eastAsia="zh-CN"/>
        </w:rPr>
        <w:t>风险调整值的大小由市场风险因素因子对土地市场的影响程度决定，本次评估将对市场风险影响程度赋值，即：风险因素对土地市场无影响时，风险调整值为0；风险因素对土地市场影响不严重时，风险调整值为1%；风险因素对土地市场影响较严重时，风险调整值为4%；风险因素对土地市场影响最严重时，风险调整值为8%。</w:t>
      </w:r>
    </w:p>
    <w:p w14:paraId="444FC7FF">
      <w:pPr>
        <w:jc w:val="center"/>
        <w:rPr>
          <w:rFonts w:hint="eastAsia" w:ascii="仿宋_GB2312" w:hAnsi="仿宋_GB2312" w:eastAsia="仿宋_GB2312" w:cs="仿宋_GB2312"/>
          <w:snapToGrid w:val="0"/>
          <w:kern w:val="0"/>
          <w:sz w:val="28"/>
          <w:szCs w:val="28"/>
          <w:highlight w:val="none"/>
          <w:lang w:val="en-US" w:eastAsia="zh-CN" w:bidi="ar-SA"/>
        </w:rPr>
      </w:pPr>
      <w:r>
        <w:rPr>
          <w:rFonts w:hint="eastAsia" w:ascii="仿宋_GB2312" w:hAnsi="仿宋_GB2312" w:eastAsia="仿宋_GB2312" w:cs="仿宋_GB2312"/>
          <w:snapToGrid w:val="0"/>
          <w:kern w:val="0"/>
          <w:sz w:val="28"/>
          <w:szCs w:val="28"/>
          <w:highlight w:val="none"/>
          <w:lang w:val="en-US" w:eastAsia="zh-CN" w:bidi="ar-SA"/>
        </w:rPr>
        <w:t>表3-7 风险调整值赋值表</w:t>
      </w:r>
    </w:p>
    <w:tbl>
      <w:tblPr>
        <w:tblStyle w:val="1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029"/>
        <w:gridCol w:w="1296"/>
        <w:gridCol w:w="1697"/>
        <w:gridCol w:w="1698"/>
        <w:gridCol w:w="1698"/>
      </w:tblGrid>
      <w:tr w14:paraId="68EB88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41" w:hRule="atLeast"/>
          <w:jc w:val="center"/>
        </w:trPr>
        <w:tc>
          <w:tcPr>
            <w:tcW w:w="2029" w:type="dxa"/>
            <w:noWrap w:val="0"/>
            <w:vAlign w:val="center"/>
          </w:tcPr>
          <w:p w14:paraId="43D9B75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市场风险影响程度</w:t>
            </w:r>
          </w:p>
        </w:tc>
        <w:tc>
          <w:tcPr>
            <w:tcW w:w="1296" w:type="dxa"/>
            <w:noWrap w:val="0"/>
            <w:vAlign w:val="center"/>
          </w:tcPr>
          <w:p w14:paraId="45914914">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无影响（D）</w:t>
            </w:r>
          </w:p>
        </w:tc>
        <w:tc>
          <w:tcPr>
            <w:tcW w:w="1697" w:type="dxa"/>
            <w:noWrap w:val="0"/>
            <w:vAlign w:val="center"/>
          </w:tcPr>
          <w:p w14:paraId="7EAC98D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不严重（C）</w:t>
            </w:r>
          </w:p>
        </w:tc>
        <w:tc>
          <w:tcPr>
            <w:tcW w:w="1698" w:type="dxa"/>
            <w:noWrap w:val="0"/>
            <w:vAlign w:val="center"/>
          </w:tcPr>
          <w:p w14:paraId="2B79662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较严重（B）</w:t>
            </w:r>
          </w:p>
        </w:tc>
        <w:tc>
          <w:tcPr>
            <w:tcW w:w="1698" w:type="dxa"/>
            <w:noWrap w:val="0"/>
            <w:vAlign w:val="center"/>
          </w:tcPr>
          <w:p w14:paraId="70BB021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最严重（A）</w:t>
            </w:r>
          </w:p>
        </w:tc>
      </w:tr>
      <w:tr w14:paraId="216109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0" w:hRule="atLeast"/>
          <w:jc w:val="center"/>
        </w:trPr>
        <w:tc>
          <w:tcPr>
            <w:tcW w:w="2029" w:type="dxa"/>
            <w:noWrap w:val="0"/>
            <w:vAlign w:val="center"/>
          </w:tcPr>
          <w:p w14:paraId="4E90022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风险调整值</w:t>
            </w:r>
          </w:p>
        </w:tc>
        <w:tc>
          <w:tcPr>
            <w:tcW w:w="1296" w:type="dxa"/>
            <w:noWrap w:val="0"/>
            <w:vAlign w:val="center"/>
          </w:tcPr>
          <w:p w14:paraId="73D70363">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c>
          <w:tcPr>
            <w:tcW w:w="1697" w:type="dxa"/>
            <w:noWrap w:val="0"/>
            <w:vAlign w:val="center"/>
          </w:tcPr>
          <w:p w14:paraId="33C3864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p>
        </w:tc>
        <w:tc>
          <w:tcPr>
            <w:tcW w:w="1698" w:type="dxa"/>
            <w:noWrap w:val="0"/>
            <w:vAlign w:val="center"/>
          </w:tcPr>
          <w:p w14:paraId="2A603EA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4%</w:t>
            </w:r>
          </w:p>
        </w:tc>
        <w:tc>
          <w:tcPr>
            <w:tcW w:w="1698" w:type="dxa"/>
            <w:noWrap w:val="0"/>
            <w:vAlign w:val="center"/>
          </w:tcPr>
          <w:p w14:paraId="5E158093">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8%</w:t>
            </w:r>
          </w:p>
        </w:tc>
      </w:tr>
    </w:tbl>
    <w:p w14:paraId="30FA58E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bCs/>
          <w:sz w:val="28"/>
          <w:highlight w:val="none"/>
          <w:lang w:val="en-US" w:eastAsia="zh-CN"/>
        </w:rPr>
        <w:t>根据风险调整值赋值与道县风险因素、因子权重值，确定的道县风险调整值结果见下表。</w:t>
      </w:r>
    </w:p>
    <w:p w14:paraId="5EA56C0F">
      <w:pPr>
        <w:spacing w:line="440" w:lineRule="exact"/>
        <w:ind w:firstLine="560" w:firstLineChars="200"/>
        <w:jc w:val="center"/>
        <w:rPr>
          <w:rFonts w:hint="eastAsia" w:ascii="仿宋_GB2312" w:hAnsi="仿宋_GB2312" w:eastAsia="仿宋_GB2312" w:cs="仿宋_GB2312"/>
          <w:sz w:val="24"/>
          <w:highlight w:val="none"/>
        </w:rPr>
      </w:pPr>
      <w:r>
        <w:rPr>
          <w:rFonts w:hint="eastAsia" w:ascii="仿宋_GB2312" w:hAnsi="仿宋_GB2312" w:eastAsia="仿宋_GB2312" w:cs="仿宋_GB2312"/>
          <w:snapToGrid w:val="0"/>
          <w:kern w:val="0"/>
          <w:sz w:val="28"/>
          <w:szCs w:val="28"/>
          <w:highlight w:val="none"/>
          <w:lang w:val="en-US" w:eastAsia="zh-CN" w:bidi="ar-SA"/>
        </w:rPr>
        <w:t>表3-8 道县土地市场风险调整值结果</w:t>
      </w:r>
    </w:p>
    <w:tbl>
      <w:tblPr>
        <w:tblStyle w:val="14"/>
        <w:tblW w:w="500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26"/>
        <w:gridCol w:w="6111"/>
      </w:tblGrid>
      <w:tr w14:paraId="1573D9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421" w:type="pct"/>
            <w:noWrap w:val="0"/>
            <w:vAlign w:val="center"/>
          </w:tcPr>
          <w:p w14:paraId="270941F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土地市场</w:t>
            </w:r>
          </w:p>
        </w:tc>
        <w:tc>
          <w:tcPr>
            <w:tcW w:w="3578" w:type="pct"/>
            <w:noWrap w:val="0"/>
            <w:vAlign w:val="center"/>
          </w:tcPr>
          <w:p w14:paraId="69109AC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住宅用地</w:t>
            </w:r>
          </w:p>
        </w:tc>
      </w:tr>
      <w:tr w14:paraId="207149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12" w:hRule="atLeast"/>
        </w:trPr>
        <w:tc>
          <w:tcPr>
            <w:tcW w:w="1421" w:type="pct"/>
            <w:noWrap w:val="0"/>
            <w:vAlign w:val="center"/>
          </w:tcPr>
          <w:p w14:paraId="2D7EFD9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风险调整值</w:t>
            </w:r>
          </w:p>
        </w:tc>
        <w:tc>
          <w:tcPr>
            <w:tcW w:w="3578" w:type="pct"/>
            <w:noWrap w:val="0"/>
            <w:vAlign w:val="center"/>
          </w:tcPr>
          <w:p w14:paraId="0CBC5A1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0.3234×</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4.25</w:t>
            </w:r>
            <w:r>
              <w:rPr>
                <w:rFonts w:hint="eastAsia" w:ascii="仿宋_GB2312" w:hAnsi="仿宋_GB2312" w:eastAsia="仿宋_GB2312" w:cs="仿宋_GB2312"/>
                <w:color w:val="000000" w:themeColor="text1"/>
                <w:sz w:val="21"/>
                <w:szCs w:val="21"/>
                <w:highlight w:val="none"/>
                <w14:textFill>
                  <w14:solidFill>
                    <w14:schemeClr w14:val="tx1"/>
                  </w14:solidFill>
                </w14:textFill>
              </w:rPr>
              <w:t>%＋0.3922×</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4.25</w:t>
            </w:r>
            <w:r>
              <w:rPr>
                <w:rFonts w:hint="eastAsia" w:ascii="仿宋_GB2312" w:hAnsi="仿宋_GB2312" w:eastAsia="仿宋_GB2312" w:cs="仿宋_GB2312"/>
                <w:color w:val="000000" w:themeColor="text1"/>
                <w:sz w:val="21"/>
                <w:szCs w:val="21"/>
                <w:highlight w:val="none"/>
                <w14:textFill>
                  <w14:solidFill>
                    <w14:schemeClr w14:val="tx1"/>
                  </w14:solidFill>
                </w14:textFill>
              </w:rPr>
              <w:t>%＋0.2844×</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8.00</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5.3</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p>
        </w:tc>
      </w:tr>
    </w:tbl>
    <w:p w14:paraId="7DED4E0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bCs/>
          <w:sz w:val="28"/>
          <w:highlight w:val="none"/>
          <w:lang w:val="en-US" w:eastAsia="zh-CN"/>
        </w:rPr>
        <w:t>④还原利率的确定</w:t>
      </w:r>
    </w:p>
    <w:p w14:paraId="7465EE8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根据安全利率加风险调整值法确定还原利率的公式，由于前文已经确定了住宅用地的安全利率，因此，根据还原利率=安全利率+风险调整值。</w:t>
      </w:r>
    </w:p>
    <w:p w14:paraId="5480BB4E">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default" w:ascii="仿宋" w:hAnsi="仿宋" w:eastAsia="仿宋"/>
          <w:sz w:val="28"/>
          <w:szCs w:val="28"/>
          <w:highlight w:val="none"/>
          <w:lang w:val="en-US" w:eastAsia="zh-CN"/>
        </w:rPr>
      </w:pPr>
      <w:r>
        <w:rPr>
          <w:rFonts w:hint="eastAsia" w:ascii="仿宋_GB2312" w:hAnsi="仿宋_GB2312" w:eastAsia="仿宋_GB2312" w:cs="仿宋_GB2312"/>
          <w:bCs/>
          <w:sz w:val="28"/>
          <w:highlight w:val="none"/>
          <w:lang w:val="en-US" w:eastAsia="zh-CN"/>
        </w:rPr>
        <w:t>住宅用地还原利率＝1.16%＋5.3%≈6.5%</w:t>
      </w:r>
    </w:p>
    <w:p w14:paraId="1D426E9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sz w:val="28"/>
          <w:highlight w:val="none"/>
          <w:lang w:val="en-US" w:eastAsia="zh-CN"/>
        </w:rPr>
        <w:t>则年期修正系数住宅用地=1-（1/（1+6.5%）</w:t>
      </w:r>
      <w:r>
        <w:rPr>
          <w:rFonts w:hint="eastAsia" w:ascii="仿宋_GB2312" w:hAnsi="仿宋_GB2312" w:eastAsia="仿宋_GB2312" w:cs="仿宋_GB2312"/>
          <w:bCs/>
          <w:sz w:val="28"/>
          <w:highlight w:val="none"/>
          <w:vertAlign w:val="superscript"/>
          <w:lang w:val="en-US" w:eastAsia="zh-CN"/>
        </w:rPr>
        <w:t>70</w:t>
      </w:r>
      <w:r>
        <w:rPr>
          <w:rFonts w:hint="eastAsia" w:ascii="仿宋_GB2312" w:hAnsi="仿宋_GB2312" w:eastAsia="仿宋_GB2312" w:cs="仿宋_GB2312"/>
          <w:bCs/>
          <w:sz w:val="28"/>
          <w:highlight w:val="none"/>
          <w:lang w:val="en-US" w:eastAsia="zh-CN"/>
        </w:rPr>
        <w:t>）=0.9878</w:t>
      </w:r>
    </w:p>
    <w:p w14:paraId="78C683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3"/>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highlight w:val="none"/>
          <w:lang w:val="en-US" w:eastAsia="zh-CN"/>
          <w14:textFill>
            <w14:solidFill>
              <w14:schemeClr w14:val="tx1"/>
            </w14:solidFill>
          </w14:textFill>
        </w:rPr>
        <w:t>8、区位修正系数</w:t>
      </w:r>
    </w:p>
    <w:p w14:paraId="473B80A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bottom"/>
        <w:rPr>
          <w:rFonts w:ascii="仿宋" w:hAnsi="仿宋" w:eastAsia="仿宋"/>
          <w:sz w:val="28"/>
        </w:rPr>
      </w:pPr>
      <w:r>
        <w:rPr>
          <w:rFonts w:hint="eastAsia" w:ascii="仿宋_GB2312" w:hAnsi="仿宋_GB2312" w:eastAsia="仿宋_GB2312" w:cs="仿宋_GB2312"/>
          <w:sz w:val="28"/>
        </w:rPr>
        <w:t>据前分析，估价对象所在区域的征地取费标准与选取案例所在区域的标准一致，成本逼近法所计算的地价为估价对象所在区域的平均价格，估价对象地价还需要根据宗地所在区域内的位置和宗地自身条件，进行个别因素修正。</w:t>
      </w:r>
    </w:p>
    <w:p w14:paraId="430E0463">
      <w:pPr>
        <w:jc w:val="center"/>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表</w:t>
      </w:r>
      <w:r>
        <w:rPr>
          <w:rFonts w:hint="eastAsia" w:ascii="仿宋_GB2312" w:hAnsi="仿宋_GB2312" w:eastAsia="仿宋_GB2312" w:cs="仿宋_GB2312"/>
          <w:sz w:val="28"/>
          <w:highlight w:val="none"/>
          <w:lang w:val="en-US" w:eastAsia="zh-CN"/>
        </w:rPr>
        <w:t>3-9</w:t>
      </w:r>
      <w:r>
        <w:rPr>
          <w:rFonts w:hint="eastAsia" w:ascii="仿宋_GB2312" w:hAnsi="仿宋_GB2312" w:eastAsia="仿宋_GB2312" w:cs="仿宋_GB2312"/>
          <w:sz w:val="28"/>
          <w:highlight w:val="none"/>
        </w:rPr>
        <w:t xml:space="preserve"> </w:t>
      </w:r>
      <w:r>
        <w:rPr>
          <w:rFonts w:hint="eastAsia" w:ascii="仿宋_GB2312" w:hAnsi="仿宋_GB2312" w:eastAsia="仿宋_GB2312" w:cs="仿宋_GB2312"/>
          <w:sz w:val="28"/>
          <w:highlight w:val="none"/>
          <w:lang w:val="en-US" w:eastAsia="zh-CN"/>
        </w:rPr>
        <w:t>道县城区城镇住宅</w:t>
      </w:r>
      <w:r>
        <w:rPr>
          <w:rFonts w:hint="eastAsia" w:ascii="仿宋_GB2312" w:hAnsi="仿宋_GB2312" w:eastAsia="仿宋_GB2312" w:cs="仿宋_GB2312"/>
          <w:sz w:val="28"/>
          <w:highlight w:val="none"/>
        </w:rPr>
        <w:t>用地宗地地价区域因素修正系数表（%）</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8"/>
        <w:gridCol w:w="1067"/>
        <w:gridCol w:w="1067"/>
        <w:gridCol w:w="1067"/>
        <w:gridCol w:w="1067"/>
        <w:gridCol w:w="1067"/>
        <w:gridCol w:w="1526"/>
      </w:tblGrid>
      <w:tr w14:paraId="4C817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65884">
            <w:pPr>
              <w:keepNext w:val="0"/>
              <w:keepLines w:val="0"/>
              <w:widowControl/>
              <w:suppressLineNumbers w:val="0"/>
              <w:jc w:val="center"/>
              <w:textAlignment w:val="center"/>
              <w:rPr>
                <w:rFonts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因素</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4201F">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7D4727">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较优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666B26">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A5CF27">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较劣</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4F335">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劣</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CD6B4">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等级修正幅度</w:t>
            </w:r>
          </w:p>
        </w:tc>
      </w:tr>
      <w:tr w14:paraId="2AD74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144A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距汽车站的距离</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D04C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58F1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23DC7">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CA22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较远</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91E88">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远</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3F09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18E06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FD73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距火车站距离</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EED82">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F1C19">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CED3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F88E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较远</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D40DD">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远</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5F08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089B7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1803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距商服中心距离</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7D8F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2958E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287F7">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9612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较远</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D8D02">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远</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8B8E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16D66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0E2B9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临路类型</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A7CF2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混合型主干道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52EB2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生活型主干道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8ED92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交通型主道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9FB02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交通次主道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99F45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支路</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434E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629AC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73AB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路网密度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3CBFA9">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C9876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5DA94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564CD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较低</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F992D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低</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C3FC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62EAA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0B11A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对外交通便利度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379A0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49CF8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8DDD9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8646F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C1EA39">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不便利</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C888F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7485B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CE05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环境质量优劣度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4B1A9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33AB7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4CDAE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C93DF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较劣</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1FF2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劣</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796E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6DC49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DD6C6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人口密度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7689B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密集</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AAC78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较密集</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C934B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58D16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较稀疏</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15EFE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稀疏</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9AEF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10B75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5D7BD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基础设施完善度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8C6AE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0AC3E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ED128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B7629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E29C48">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不完善</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458F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248D1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773C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地形状况</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3B3D7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2DFAC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F2076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基本平坦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2346D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10DB4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不平坦</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267A8">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1%</w:t>
            </w:r>
          </w:p>
        </w:tc>
      </w:tr>
      <w:tr w14:paraId="3915A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18EC8D">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宗地面积</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51259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适中</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A1F6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面积较大</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650F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5E32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面积较小</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7B0CD">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面积小</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F136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1%</w:t>
            </w:r>
          </w:p>
        </w:tc>
      </w:tr>
      <w:tr w14:paraId="61F65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D57E62">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宗地形状</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EDB8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B8E4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F586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基本规则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5D02D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1D41D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不规则</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E266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1%</w:t>
            </w:r>
          </w:p>
        </w:tc>
      </w:tr>
    </w:tbl>
    <w:p w14:paraId="2073112B">
      <w:pPr>
        <w:pStyle w:val="4"/>
        <w:jc w:val="center"/>
        <w:outlineLvl w:val="9"/>
        <w:rPr>
          <w:rFonts w:ascii="仿宋_GB2312" w:eastAsia="仿宋_GB2312"/>
          <w:sz w:val="28"/>
          <w:szCs w:val="28"/>
          <w:highlight w:val="none"/>
        </w:rPr>
      </w:pPr>
      <w:r>
        <w:rPr>
          <w:rFonts w:hint="eastAsia" w:ascii="仿宋_GB2312" w:eastAsia="仿宋_GB2312"/>
          <w:sz w:val="28"/>
          <w:szCs w:val="28"/>
          <w:highlight w:val="none"/>
        </w:rPr>
        <w:t>表</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10</w:t>
      </w:r>
      <w:r>
        <w:rPr>
          <w:rFonts w:hint="eastAsia" w:ascii="仿宋_GB2312" w:eastAsia="仿宋_GB2312"/>
          <w:sz w:val="28"/>
          <w:szCs w:val="28"/>
          <w:highlight w:val="none"/>
        </w:rPr>
        <w:t xml:space="preserve"> 宗地地价影响因素条件说明、修正系数表</w:t>
      </w:r>
    </w:p>
    <w:tbl>
      <w:tblPr>
        <w:tblStyle w:val="14"/>
        <w:tblW w:w="497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43"/>
        <w:gridCol w:w="3208"/>
        <w:gridCol w:w="1412"/>
        <w:gridCol w:w="1415"/>
      </w:tblGrid>
      <w:tr w14:paraId="3B117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1" w:hRule="atLeast"/>
        </w:trPr>
        <w:tc>
          <w:tcPr>
            <w:tcW w:w="1441"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44B81285">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w:t>
            </w:r>
          </w:p>
        </w:tc>
        <w:tc>
          <w:tcPr>
            <w:tcW w:w="18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924176">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因素说明</w:t>
            </w:r>
          </w:p>
        </w:tc>
        <w:tc>
          <w:tcPr>
            <w:tcW w:w="8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8F5E2">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因素优劣度</w:t>
            </w:r>
          </w:p>
        </w:tc>
        <w:tc>
          <w:tcPr>
            <w:tcW w:w="8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7A3F63">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因素修正</w:t>
            </w:r>
          </w:p>
        </w:tc>
      </w:tr>
      <w:tr w14:paraId="2A343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1" w:hRule="atLeast"/>
        </w:trPr>
        <w:tc>
          <w:tcPr>
            <w:tcW w:w="1441"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22B2D1">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距汽车站的距离</w:t>
            </w:r>
          </w:p>
        </w:tc>
        <w:tc>
          <w:tcPr>
            <w:tcW w:w="18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7E661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距道州新车站570米，距离较近</w:t>
            </w:r>
          </w:p>
        </w:tc>
        <w:tc>
          <w:tcPr>
            <w:tcW w:w="141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530A07">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较优</w:t>
            </w:r>
          </w:p>
        </w:tc>
        <w:tc>
          <w:tcPr>
            <w:tcW w:w="14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B8CFD9">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389CC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1" w:hRule="atLeast"/>
        </w:trPr>
        <w:tc>
          <w:tcPr>
            <w:tcW w:w="1441"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AE40F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距火车站距离</w:t>
            </w:r>
          </w:p>
        </w:tc>
        <w:tc>
          <w:tcPr>
            <w:tcW w:w="18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A0DB5E">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距道州站2300米，距离远</w:t>
            </w:r>
          </w:p>
        </w:tc>
        <w:tc>
          <w:tcPr>
            <w:tcW w:w="141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3346EC">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劣</w:t>
            </w:r>
          </w:p>
        </w:tc>
        <w:tc>
          <w:tcPr>
            <w:tcW w:w="14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BFE7A2">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-4%</w:t>
            </w:r>
          </w:p>
        </w:tc>
      </w:tr>
      <w:tr w14:paraId="15067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1" w:hRule="atLeast"/>
        </w:trPr>
        <w:tc>
          <w:tcPr>
            <w:tcW w:w="1441"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36B72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距商服中心距离</w:t>
            </w:r>
          </w:p>
        </w:tc>
        <w:tc>
          <w:tcPr>
            <w:tcW w:w="18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8A54F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距爱莲商业广场100米，距离近</w:t>
            </w:r>
          </w:p>
        </w:tc>
        <w:tc>
          <w:tcPr>
            <w:tcW w:w="141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80FCF1">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优</w:t>
            </w:r>
          </w:p>
        </w:tc>
        <w:tc>
          <w:tcPr>
            <w:tcW w:w="14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E7CE2D">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4%</w:t>
            </w:r>
          </w:p>
        </w:tc>
      </w:tr>
      <w:tr w14:paraId="68285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1" w:hRule="atLeast"/>
        </w:trPr>
        <w:tc>
          <w:tcPr>
            <w:tcW w:w="14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2FD5B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临路类型</w:t>
            </w:r>
          </w:p>
        </w:tc>
        <w:tc>
          <w:tcPr>
            <w:tcW w:w="18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70A264">
            <w:pPr>
              <w:keepNext w:val="0"/>
              <w:keepLines w:val="0"/>
              <w:widowControl/>
              <w:suppressLineNumbers w:val="0"/>
              <w:jc w:val="center"/>
              <w:textAlignment w:val="center"/>
              <w:rPr>
                <w:rFonts w:hint="default" w:ascii="仿宋_GB2312" w:hAnsi="仿宋_GB2312" w:eastAsia="仿宋_GB2312" w:cs="仿宋_GB2312"/>
                <w:b w:val="0"/>
                <w:i w:val="0"/>
                <w:iCs w:val="0"/>
                <w:color w:val="000000"/>
                <w:sz w:val="20"/>
                <w:szCs w:val="20"/>
                <w:u w:val="none"/>
                <w:lang w:val="en-US"/>
              </w:rPr>
            </w:pPr>
            <w:r>
              <w:rPr>
                <w:rFonts w:hint="eastAsia" w:ascii="仿宋_GB2312" w:hAnsi="仿宋_GB2312" w:eastAsia="仿宋_GB2312" w:cs="仿宋_GB2312"/>
                <w:b w:val="0"/>
                <w:i w:val="0"/>
                <w:iCs w:val="0"/>
                <w:color w:val="000000"/>
                <w:kern w:val="0"/>
                <w:sz w:val="20"/>
                <w:szCs w:val="20"/>
                <w:u w:val="none"/>
                <w:lang w:val="en-US" w:eastAsia="zh-CN" w:bidi="ar"/>
              </w:rPr>
              <w:t>临次干道宝珍街</w:t>
            </w:r>
          </w:p>
        </w:tc>
        <w:tc>
          <w:tcPr>
            <w:tcW w:w="141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B26ECC">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较劣</w:t>
            </w:r>
          </w:p>
        </w:tc>
        <w:tc>
          <w:tcPr>
            <w:tcW w:w="14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82ABDC">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665EB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1" w:hRule="atLeast"/>
        </w:trPr>
        <w:tc>
          <w:tcPr>
            <w:tcW w:w="1441"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81A8E6">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路网密度</w:t>
            </w:r>
          </w:p>
        </w:tc>
        <w:tc>
          <w:tcPr>
            <w:tcW w:w="18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9E24B7">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高</w:t>
            </w:r>
          </w:p>
        </w:tc>
        <w:tc>
          <w:tcPr>
            <w:tcW w:w="141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951E3B">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优</w:t>
            </w:r>
          </w:p>
        </w:tc>
        <w:tc>
          <w:tcPr>
            <w:tcW w:w="14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B1B764">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4%</w:t>
            </w:r>
          </w:p>
        </w:tc>
      </w:tr>
      <w:tr w14:paraId="1C581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4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34519D">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对外交通便利度</w:t>
            </w:r>
          </w:p>
        </w:tc>
        <w:tc>
          <w:tcPr>
            <w:tcW w:w="18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4F9D8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便利</w:t>
            </w:r>
          </w:p>
        </w:tc>
        <w:tc>
          <w:tcPr>
            <w:tcW w:w="141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403BEB">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优</w:t>
            </w:r>
          </w:p>
        </w:tc>
        <w:tc>
          <w:tcPr>
            <w:tcW w:w="14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9A57D8">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6%</w:t>
            </w:r>
          </w:p>
        </w:tc>
      </w:tr>
      <w:tr w14:paraId="1602E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1" w:hRule="atLeast"/>
        </w:trPr>
        <w:tc>
          <w:tcPr>
            <w:tcW w:w="14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E5FA80">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环境质量优劣度</w:t>
            </w:r>
          </w:p>
        </w:tc>
        <w:tc>
          <w:tcPr>
            <w:tcW w:w="18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E4A5A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41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A149CE">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较优</w:t>
            </w:r>
          </w:p>
        </w:tc>
        <w:tc>
          <w:tcPr>
            <w:tcW w:w="14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27C186">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58FFA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1" w:hRule="atLeast"/>
        </w:trPr>
        <w:tc>
          <w:tcPr>
            <w:tcW w:w="14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FF4EC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人口密度</w:t>
            </w:r>
          </w:p>
        </w:tc>
        <w:tc>
          <w:tcPr>
            <w:tcW w:w="18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93967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较密集</w:t>
            </w:r>
          </w:p>
        </w:tc>
        <w:tc>
          <w:tcPr>
            <w:tcW w:w="141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22C77C">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较优</w:t>
            </w:r>
          </w:p>
        </w:tc>
        <w:tc>
          <w:tcPr>
            <w:tcW w:w="14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DDA37C">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1D2C6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1" w:hRule="atLeast"/>
        </w:trPr>
        <w:tc>
          <w:tcPr>
            <w:tcW w:w="14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D05A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基础设施完善度</w:t>
            </w:r>
          </w:p>
        </w:tc>
        <w:tc>
          <w:tcPr>
            <w:tcW w:w="18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D8435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较完善</w:t>
            </w:r>
          </w:p>
        </w:tc>
        <w:tc>
          <w:tcPr>
            <w:tcW w:w="141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53C5D1">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较优</w:t>
            </w:r>
          </w:p>
        </w:tc>
        <w:tc>
          <w:tcPr>
            <w:tcW w:w="14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C9D5D3">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20E0E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1" w:hRule="atLeast"/>
        </w:trPr>
        <w:tc>
          <w:tcPr>
            <w:tcW w:w="14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E4FC5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地形状况</w:t>
            </w:r>
          </w:p>
        </w:tc>
        <w:tc>
          <w:tcPr>
            <w:tcW w:w="18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0C6B7D">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较平坦</w:t>
            </w:r>
          </w:p>
        </w:tc>
        <w:tc>
          <w:tcPr>
            <w:tcW w:w="141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DFF475">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较优</w:t>
            </w:r>
          </w:p>
        </w:tc>
        <w:tc>
          <w:tcPr>
            <w:tcW w:w="14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779430">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1%</w:t>
            </w:r>
          </w:p>
        </w:tc>
      </w:tr>
      <w:tr w14:paraId="115C7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1" w:hRule="atLeast"/>
        </w:trPr>
        <w:tc>
          <w:tcPr>
            <w:tcW w:w="14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EDF939">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宗地面积</w:t>
            </w:r>
          </w:p>
        </w:tc>
        <w:tc>
          <w:tcPr>
            <w:tcW w:w="18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9F75E3">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面积小</w:t>
            </w:r>
          </w:p>
        </w:tc>
        <w:tc>
          <w:tcPr>
            <w:tcW w:w="141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95851F">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较劣</w:t>
            </w:r>
          </w:p>
        </w:tc>
        <w:tc>
          <w:tcPr>
            <w:tcW w:w="14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D2DC69">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34842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1" w:hRule="atLeast"/>
        </w:trPr>
        <w:tc>
          <w:tcPr>
            <w:tcW w:w="14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8ED3C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宗地形状</w:t>
            </w:r>
          </w:p>
        </w:tc>
        <w:tc>
          <w:tcPr>
            <w:tcW w:w="18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94C3CF">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规则</w:t>
            </w:r>
          </w:p>
        </w:tc>
        <w:tc>
          <w:tcPr>
            <w:tcW w:w="141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EE06AF">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优</w:t>
            </w:r>
          </w:p>
        </w:tc>
        <w:tc>
          <w:tcPr>
            <w:tcW w:w="14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402338">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4%</w:t>
            </w:r>
          </w:p>
        </w:tc>
      </w:tr>
      <w:tr w14:paraId="403CD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8" w:hRule="atLeast"/>
        </w:trPr>
        <w:tc>
          <w:tcPr>
            <w:tcW w:w="14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1A7986">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合计</w:t>
            </w:r>
          </w:p>
        </w:tc>
        <w:tc>
          <w:tcPr>
            <w:tcW w:w="189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0E40B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w:t>
            </w:r>
          </w:p>
        </w:tc>
        <w:tc>
          <w:tcPr>
            <w:tcW w:w="141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154F00">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w:t>
            </w:r>
          </w:p>
        </w:tc>
        <w:tc>
          <w:tcPr>
            <w:tcW w:w="14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B16D6B">
            <w:pPr>
              <w:keepNext w:val="0"/>
              <w:keepLines w:val="0"/>
              <w:widowControl/>
              <w:suppressLineNumbers w:val="0"/>
              <w:jc w:val="center"/>
              <w:textAlignment w:val="center"/>
              <w:rPr>
                <w:rFonts w:hint="eastAsia" w:ascii="仿宋_GB2312" w:hAnsi="仿宋_GB2312" w:eastAsia="仿宋_GB2312" w:cs="仿宋_GB2312"/>
                <w:b w:val="0"/>
                <w:bCs w:val="0"/>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21%</w:t>
            </w:r>
          </w:p>
        </w:tc>
      </w:tr>
    </w:tbl>
    <w:p w14:paraId="56CD5E6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 w:val="0"/>
          <w:bCs w:val="0"/>
          <w:sz w:val="28"/>
          <w:highlight w:val="none"/>
          <w:lang w:val="en-US" w:eastAsia="zh-CN"/>
        </w:rPr>
      </w:pPr>
      <w:r>
        <w:rPr>
          <w:rFonts w:hint="eastAsia" w:ascii="仿宋_GB2312" w:hAnsi="仿宋_GB2312" w:eastAsia="仿宋_GB2312" w:cs="仿宋_GB2312"/>
          <w:sz w:val="28"/>
          <w:highlight w:val="none"/>
        </w:rPr>
        <w:t>根据上述修正过程，确定区位条件修正系数为</w:t>
      </w:r>
      <w:r>
        <w:rPr>
          <w:rFonts w:hint="eastAsia" w:ascii="仿宋_GB2312" w:hAnsi="仿宋_GB2312" w:eastAsia="仿宋_GB2312" w:cs="仿宋_GB2312"/>
          <w:sz w:val="28"/>
          <w:highlight w:val="none"/>
          <w:lang w:val="en-US" w:eastAsia="zh-CN"/>
        </w:rPr>
        <w:t>21%。</w:t>
      </w:r>
    </w:p>
    <w:p w14:paraId="3D27463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 w:val="0"/>
          <w:bCs w:val="0"/>
          <w:sz w:val="28"/>
          <w:highlight w:val="none"/>
        </w:rPr>
      </w:pPr>
      <w:r>
        <w:rPr>
          <w:rFonts w:hint="eastAsia" w:ascii="仿宋_GB2312" w:hAnsi="仿宋_GB2312" w:eastAsia="仿宋_GB2312" w:cs="仿宋_GB2312"/>
          <w:b w:val="0"/>
          <w:bCs w:val="0"/>
          <w:sz w:val="28"/>
          <w:highlight w:val="none"/>
          <w:lang w:val="en-US" w:eastAsia="zh-CN"/>
        </w:rPr>
        <w:t>9</w:t>
      </w:r>
      <w:r>
        <w:rPr>
          <w:rFonts w:hint="eastAsia" w:ascii="仿宋_GB2312" w:hAnsi="仿宋_GB2312" w:eastAsia="仿宋_GB2312" w:cs="仿宋_GB2312"/>
          <w:b w:val="0"/>
          <w:bCs w:val="0"/>
          <w:sz w:val="28"/>
          <w:highlight w:val="none"/>
        </w:rPr>
        <w:t>、成本逼近法价格计算</w:t>
      </w:r>
    </w:p>
    <w:p w14:paraId="401DF34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auto"/>
          <w:sz w:val="28"/>
          <w:highlight w:val="none"/>
        </w:rPr>
      </w:pPr>
      <w:r>
        <w:rPr>
          <w:rFonts w:hint="eastAsia" w:ascii="仿宋_GB2312" w:hAnsi="仿宋_GB2312" w:eastAsia="仿宋_GB2312" w:cs="仿宋_GB2312"/>
          <w:b w:val="0"/>
          <w:bCs w:val="0"/>
          <w:color w:val="auto"/>
          <w:sz w:val="28"/>
          <w:highlight w:val="none"/>
        </w:rPr>
        <w:t>P=（土地取得费+相关税费+土地开发费+投资利息+投资利润</w:t>
      </w:r>
      <w:r>
        <w:rPr>
          <w:rFonts w:hint="eastAsia" w:ascii="仿宋_GB2312" w:hAnsi="仿宋_GB2312" w:eastAsia="仿宋_GB2312" w:cs="仿宋_GB2312"/>
          <w:b w:val="0"/>
          <w:bCs w:val="0"/>
          <w:color w:val="auto"/>
          <w:sz w:val="28"/>
          <w:highlight w:val="none"/>
          <w:lang w:val="en-US" w:eastAsia="zh-CN"/>
        </w:rPr>
        <w:t>+土地增值收益</w:t>
      </w:r>
      <w:r>
        <w:rPr>
          <w:rFonts w:hint="eastAsia" w:ascii="仿宋_GB2312" w:hAnsi="仿宋_GB2312" w:eastAsia="仿宋_GB2312" w:cs="仿宋_GB2312"/>
          <w:b w:val="0"/>
          <w:bCs w:val="0"/>
          <w:color w:val="auto"/>
          <w:sz w:val="28"/>
          <w:highlight w:val="none"/>
        </w:rPr>
        <w:t>）×土地使用年期修正系数×区位修正系数</w:t>
      </w:r>
    </w:p>
    <w:p w14:paraId="0E378DA8">
      <w:pPr>
        <w:keepNext w:val="0"/>
        <w:keepLines w:val="0"/>
        <w:pageBreakBefore w:val="0"/>
        <w:widowControl w:val="0"/>
        <w:kinsoku/>
        <w:wordWrap/>
        <w:overflowPunct/>
        <w:topLinePunct w:val="0"/>
        <w:autoSpaceDE/>
        <w:autoSpaceDN/>
        <w:bidi w:val="0"/>
        <w:adjustRightInd w:val="0"/>
        <w:snapToGrid w:val="0"/>
        <w:spacing w:line="460" w:lineRule="exact"/>
        <w:ind w:left="559" w:leftChars="266" w:firstLine="0" w:firstLineChars="0"/>
        <w:textAlignment w:val="auto"/>
        <w:rPr>
          <w:rFonts w:hint="eastAsia" w:ascii="仿宋_GB2312" w:hAnsi="仿宋_GB2312" w:eastAsia="仿宋_GB2312" w:cs="仿宋_GB2312"/>
          <w:b w:val="0"/>
          <w:bCs w:val="0"/>
          <w:color w:val="auto"/>
          <w:sz w:val="28"/>
          <w:highlight w:val="none"/>
        </w:rPr>
      </w:pPr>
      <w:r>
        <w:rPr>
          <w:rFonts w:hint="eastAsia" w:ascii="仿宋_GB2312" w:hAnsi="仿宋_GB2312" w:eastAsia="仿宋_GB2312" w:cs="仿宋_GB2312"/>
          <w:b w:val="0"/>
          <w:bCs w:val="0"/>
          <w:color w:val="auto"/>
          <w:sz w:val="28"/>
          <w:highlight w:val="none"/>
        </w:rPr>
        <w:t>P＝（</w:t>
      </w:r>
      <w:r>
        <w:rPr>
          <w:rFonts w:hint="eastAsia" w:ascii="仿宋_GB2312" w:hAnsi="仿宋_GB2312" w:eastAsia="仿宋_GB2312" w:cs="仿宋_GB2312"/>
          <w:b w:val="0"/>
          <w:bCs w:val="0"/>
          <w:color w:val="auto"/>
          <w:sz w:val="28"/>
          <w:highlight w:val="none"/>
          <w:lang w:val="en-US" w:eastAsia="zh-CN"/>
        </w:rPr>
        <w:t>238.26</w:t>
      </w:r>
      <w:r>
        <w:rPr>
          <w:rFonts w:hint="eastAsia" w:ascii="仿宋_GB2312" w:hAnsi="仿宋_GB2312" w:eastAsia="仿宋_GB2312" w:cs="仿宋_GB2312"/>
          <w:b w:val="0"/>
          <w:bCs w:val="0"/>
          <w:color w:val="auto"/>
          <w:sz w:val="28"/>
          <w:highlight w:val="none"/>
        </w:rPr>
        <w:t>+</w:t>
      </w:r>
      <w:r>
        <w:rPr>
          <w:rFonts w:hint="eastAsia" w:ascii="仿宋_GB2312" w:hAnsi="仿宋_GB2312" w:eastAsia="仿宋_GB2312" w:cs="仿宋_GB2312"/>
          <w:b w:val="0"/>
          <w:bCs w:val="0"/>
          <w:color w:val="auto"/>
          <w:sz w:val="28"/>
          <w:highlight w:val="none"/>
          <w:lang w:val="en-US" w:eastAsia="zh-CN"/>
        </w:rPr>
        <w:t>155.6</w:t>
      </w:r>
      <w:r>
        <w:rPr>
          <w:rFonts w:hint="eastAsia" w:ascii="仿宋_GB2312" w:hAnsi="仿宋_GB2312" w:eastAsia="仿宋_GB2312" w:cs="仿宋_GB2312"/>
          <w:b w:val="0"/>
          <w:bCs w:val="0"/>
          <w:color w:val="auto"/>
          <w:sz w:val="28"/>
          <w:highlight w:val="none"/>
        </w:rPr>
        <w:t>+</w:t>
      </w:r>
      <w:r>
        <w:rPr>
          <w:rFonts w:hint="eastAsia" w:ascii="仿宋_GB2312" w:hAnsi="仿宋_GB2312" w:eastAsia="仿宋_GB2312" w:cs="仿宋_GB2312"/>
          <w:b w:val="0"/>
          <w:bCs w:val="0"/>
          <w:color w:val="auto"/>
          <w:sz w:val="28"/>
          <w:highlight w:val="none"/>
          <w:lang w:val="en-US" w:eastAsia="zh-CN"/>
        </w:rPr>
        <w:t>82</w:t>
      </w:r>
      <w:r>
        <w:rPr>
          <w:rFonts w:hint="eastAsia" w:ascii="仿宋_GB2312" w:hAnsi="仿宋_GB2312" w:eastAsia="仿宋_GB2312" w:cs="仿宋_GB2312"/>
          <w:b w:val="0"/>
          <w:bCs w:val="0"/>
          <w:color w:val="auto"/>
          <w:sz w:val="28"/>
          <w:highlight w:val="none"/>
        </w:rPr>
        <w:t>+</w:t>
      </w:r>
      <w:r>
        <w:rPr>
          <w:rFonts w:hint="eastAsia" w:ascii="仿宋_GB2312" w:hAnsi="仿宋_GB2312" w:eastAsia="仿宋_GB2312" w:cs="仿宋_GB2312"/>
          <w:b w:val="0"/>
          <w:bCs w:val="0"/>
          <w:color w:val="auto"/>
          <w:sz w:val="28"/>
          <w:highlight w:val="none"/>
          <w:lang w:val="en-US" w:eastAsia="zh-CN"/>
        </w:rPr>
        <w:t>13.05</w:t>
      </w:r>
      <w:r>
        <w:rPr>
          <w:rFonts w:hint="eastAsia" w:ascii="仿宋_GB2312" w:hAnsi="仿宋_GB2312" w:eastAsia="仿宋_GB2312" w:cs="仿宋_GB2312"/>
          <w:b w:val="0"/>
          <w:bCs w:val="0"/>
          <w:color w:val="auto"/>
          <w:sz w:val="28"/>
          <w:highlight w:val="none"/>
        </w:rPr>
        <w:t>+</w:t>
      </w:r>
      <w:r>
        <w:rPr>
          <w:rFonts w:hint="eastAsia" w:ascii="仿宋_GB2312" w:hAnsi="仿宋_GB2312" w:eastAsia="仿宋_GB2312" w:cs="仿宋_GB2312"/>
          <w:b w:val="0"/>
          <w:bCs w:val="0"/>
          <w:color w:val="auto"/>
          <w:sz w:val="28"/>
          <w:highlight w:val="none"/>
          <w:lang w:val="en-US" w:eastAsia="zh-CN"/>
        </w:rPr>
        <w:t>95.17+204.43</w:t>
      </w:r>
      <w:r>
        <w:rPr>
          <w:rFonts w:hint="eastAsia" w:ascii="仿宋_GB2312" w:hAnsi="仿宋_GB2312" w:eastAsia="仿宋_GB2312" w:cs="仿宋_GB2312"/>
          <w:b w:val="0"/>
          <w:bCs w:val="0"/>
          <w:color w:val="auto"/>
          <w:sz w:val="28"/>
          <w:highlight w:val="none"/>
        </w:rPr>
        <w:t>）</w:t>
      </w:r>
      <w:r>
        <w:rPr>
          <w:rFonts w:hint="eastAsia" w:ascii="仿宋_GB2312" w:hAnsi="仿宋_GB2312" w:eastAsia="仿宋_GB2312" w:cs="仿宋_GB2312"/>
          <w:b w:val="0"/>
          <w:bCs w:val="0"/>
          <w:color w:val="auto"/>
          <w:sz w:val="28"/>
          <w:highlight w:val="none"/>
          <w:lang w:val="en-US" w:eastAsia="zh-CN"/>
        </w:rPr>
        <w:t>×0.9878</w:t>
      </w:r>
      <w:r>
        <w:rPr>
          <w:rFonts w:hint="eastAsia" w:ascii="仿宋_GB2312" w:hAnsi="仿宋_GB2312" w:eastAsia="仿宋_GB2312" w:cs="仿宋_GB2312"/>
          <w:b w:val="0"/>
          <w:bCs w:val="0"/>
          <w:color w:val="auto"/>
          <w:sz w:val="28"/>
          <w:highlight w:val="none"/>
        </w:rPr>
        <w:t>×</w:t>
      </w:r>
      <w:r>
        <w:rPr>
          <w:rFonts w:hint="eastAsia" w:ascii="仿宋_GB2312" w:hAnsi="仿宋_GB2312" w:eastAsia="仿宋_GB2312" w:cs="仿宋_GB2312"/>
          <w:b w:val="0"/>
          <w:bCs w:val="0"/>
          <w:color w:val="auto"/>
          <w:sz w:val="28"/>
          <w:highlight w:val="none"/>
          <w:lang w:eastAsia="zh-CN"/>
        </w:rPr>
        <w:t>（</w:t>
      </w:r>
      <w:r>
        <w:rPr>
          <w:rFonts w:hint="eastAsia" w:ascii="仿宋_GB2312" w:hAnsi="仿宋_GB2312" w:eastAsia="仿宋_GB2312" w:cs="仿宋_GB2312"/>
          <w:b w:val="0"/>
          <w:bCs w:val="0"/>
          <w:color w:val="auto"/>
          <w:sz w:val="28"/>
          <w:highlight w:val="none"/>
          <w:lang w:val="en-US" w:eastAsia="zh-CN"/>
        </w:rPr>
        <w:t>1+21%）</w:t>
      </w:r>
      <w:r>
        <w:rPr>
          <w:rFonts w:hint="eastAsia" w:ascii="仿宋_GB2312" w:hAnsi="仿宋_GB2312" w:eastAsia="仿宋_GB2312" w:cs="仿宋_GB2312"/>
          <w:b w:val="0"/>
          <w:bCs w:val="0"/>
          <w:color w:val="auto"/>
          <w:sz w:val="28"/>
          <w:highlight w:val="none"/>
        </w:rPr>
        <w:t>＝</w:t>
      </w:r>
      <w:r>
        <w:rPr>
          <w:rFonts w:hint="eastAsia" w:ascii="仿宋_GB2312" w:hAnsi="仿宋_GB2312" w:eastAsia="仿宋_GB2312" w:cs="仿宋_GB2312"/>
          <w:b w:val="0"/>
          <w:bCs w:val="0"/>
          <w:color w:val="auto"/>
          <w:sz w:val="28"/>
          <w:highlight w:val="none"/>
          <w:lang w:val="en-US" w:eastAsia="zh-CN"/>
        </w:rPr>
        <w:t>942.5</w:t>
      </w:r>
      <w:r>
        <w:rPr>
          <w:rFonts w:hint="eastAsia" w:ascii="仿宋_GB2312" w:hAnsi="仿宋_GB2312" w:eastAsia="仿宋_GB2312" w:cs="仿宋_GB2312"/>
          <w:b w:val="0"/>
          <w:bCs w:val="0"/>
          <w:color w:val="auto"/>
          <w:sz w:val="28"/>
          <w:highlight w:val="none"/>
        </w:rPr>
        <w:t>元</w:t>
      </w:r>
      <w:r>
        <w:rPr>
          <w:rFonts w:hint="eastAsia" w:ascii="仿宋_GB2312" w:hAnsi="仿宋_GB2312" w:eastAsia="仿宋_GB2312" w:cs="仿宋_GB2312"/>
          <w:b w:val="0"/>
          <w:bCs w:val="0"/>
          <w:color w:val="auto"/>
          <w:sz w:val="28"/>
          <w:highlight w:val="none"/>
          <w:lang w:val="en-US" w:eastAsia="zh-CN"/>
        </w:rPr>
        <w:t>/</w:t>
      </w:r>
      <w:r>
        <w:rPr>
          <w:rFonts w:hint="eastAsia" w:ascii="仿宋_GB2312" w:hAnsi="仿宋_GB2312" w:eastAsia="仿宋_GB2312" w:cs="仿宋_GB2312"/>
          <w:b w:val="0"/>
          <w:bCs w:val="0"/>
          <w:color w:val="auto"/>
          <w:sz w:val="28"/>
          <w:highlight w:val="none"/>
        </w:rPr>
        <w:t>平方米</w:t>
      </w:r>
    </w:p>
    <w:p w14:paraId="686910A3">
      <w:pPr>
        <w:pStyle w:val="5"/>
        <w:keepNext w:val="0"/>
        <w:keepLines w:val="0"/>
        <w:pageBreakBefore w:val="0"/>
        <w:widowControl w:val="0"/>
        <w:numPr>
          <w:ilvl w:val="0"/>
          <w:numId w:val="0"/>
        </w:numPr>
        <w:kinsoku/>
        <w:wordWrap/>
        <w:topLinePunct w:val="0"/>
        <w:bidi w:val="0"/>
        <w:adjustRightInd w:val="0"/>
        <w:snapToGrid w:val="0"/>
        <w:spacing w:line="460" w:lineRule="exact"/>
        <w:ind w:firstLine="560" w:firstLineChars="200"/>
        <w:textAlignment w:val="auto"/>
        <w:outlineLvl w:val="9"/>
        <w:rPr>
          <w:rFonts w:hint="eastAsia" w:ascii="仿宋_GB2312" w:hAnsi="仿宋_GB2312" w:eastAsia="仿宋_GB2312" w:cs="仿宋_GB2312"/>
          <w:b w:val="0"/>
          <w:bCs w:val="0"/>
          <w:sz w:val="28"/>
          <w:szCs w:val="28"/>
          <w:highlight w:val="none"/>
          <w:lang w:val="en-US" w:eastAsia="zh-CN"/>
        </w:rPr>
      </w:pPr>
      <w:r>
        <w:rPr>
          <w:rFonts w:hint="eastAsia" w:ascii="仿宋_GB2312" w:hAnsi="仿宋_GB2312" w:eastAsia="仿宋_GB2312" w:cs="仿宋_GB2312"/>
          <w:b w:val="0"/>
          <w:bCs w:val="0"/>
          <w:color w:val="auto"/>
          <w:sz w:val="28"/>
          <w:szCs w:val="20"/>
          <w:highlight w:val="none"/>
        </w:rPr>
        <w:t>成本逼近法</w:t>
      </w:r>
      <w:r>
        <w:rPr>
          <w:rFonts w:hint="eastAsia" w:ascii="仿宋_GB2312" w:hAnsi="仿宋_GB2312" w:eastAsia="仿宋_GB2312" w:cs="仿宋_GB2312"/>
          <w:b w:val="0"/>
          <w:bCs w:val="0"/>
          <w:color w:val="auto"/>
          <w:sz w:val="28"/>
          <w:highlight w:val="none"/>
        </w:rPr>
        <w:t>测算</w:t>
      </w:r>
      <w:r>
        <w:rPr>
          <w:rFonts w:hint="eastAsia" w:ascii="仿宋_GB2312" w:hAnsi="仿宋_GB2312" w:eastAsia="仿宋_GB2312" w:cs="仿宋_GB2312"/>
          <w:b w:val="0"/>
          <w:bCs w:val="0"/>
          <w:color w:val="000000"/>
          <w:sz w:val="28"/>
          <w:highlight w:val="none"/>
        </w:rPr>
        <w:t>地价的结果为：估价对象于估价期日</w:t>
      </w:r>
      <w:r>
        <w:rPr>
          <w:rFonts w:hint="eastAsia" w:ascii="仿宋_GB2312" w:hAnsi="仿宋_GB2312" w:cs="仿宋_GB2312"/>
          <w:b w:val="0"/>
          <w:bCs w:val="0"/>
          <w:color w:val="000000"/>
          <w:sz w:val="28"/>
          <w:highlight w:val="none"/>
          <w:lang w:val="en-US" w:eastAsia="zh-CN"/>
        </w:rPr>
        <w:t>2026年6月1日</w:t>
      </w:r>
      <w:r>
        <w:rPr>
          <w:rFonts w:hint="eastAsia" w:ascii="仿宋_GB2312" w:hAnsi="仿宋_GB2312" w:eastAsia="仿宋_GB2312" w:cs="仿宋_GB2312"/>
          <w:b w:val="0"/>
          <w:bCs w:val="0"/>
          <w:color w:val="000000"/>
          <w:sz w:val="28"/>
          <w:highlight w:val="none"/>
        </w:rPr>
        <w:t>，在设定土地用途，设定土地使用年限，设定土地开发程度，</w:t>
      </w:r>
      <w:r>
        <w:rPr>
          <w:rFonts w:hint="eastAsia" w:ascii="仿宋_GB2312" w:hAnsi="仿宋_GB2312" w:eastAsia="仿宋_GB2312" w:cs="仿宋_GB2312"/>
          <w:b w:val="0"/>
          <w:bCs w:val="0"/>
          <w:color w:val="000000"/>
          <w:sz w:val="28"/>
          <w:highlight w:val="none"/>
          <w:lang w:val="en-US" w:eastAsia="zh-CN"/>
        </w:rPr>
        <w:t>设定</w:t>
      </w:r>
      <w:r>
        <w:rPr>
          <w:rFonts w:hint="eastAsia" w:ascii="仿宋_GB2312" w:hAnsi="仿宋_GB2312" w:eastAsia="仿宋_GB2312" w:cs="仿宋_GB2312"/>
          <w:b w:val="0"/>
          <w:bCs w:val="0"/>
          <w:color w:val="000000"/>
          <w:sz w:val="28"/>
          <w:highlight w:val="none"/>
        </w:rPr>
        <w:t>利用条件下的国有土地</w:t>
      </w:r>
      <w:r>
        <w:rPr>
          <w:rFonts w:hint="eastAsia" w:ascii="仿宋_GB2312" w:hAnsi="仿宋_GB2312" w:eastAsia="仿宋_GB2312" w:cs="仿宋_GB2312"/>
          <w:b w:val="0"/>
          <w:bCs w:val="0"/>
          <w:color w:val="000000"/>
          <w:sz w:val="28"/>
          <w:highlight w:val="none"/>
          <w:lang w:val="en-US" w:eastAsia="zh-CN"/>
        </w:rPr>
        <w:t>出让</w:t>
      </w:r>
      <w:r>
        <w:rPr>
          <w:rFonts w:hint="eastAsia" w:ascii="仿宋_GB2312" w:hAnsi="仿宋_GB2312" w:eastAsia="仿宋_GB2312" w:cs="仿宋_GB2312"/>
          <w:b w:val="0"/>
          <w:bCs w:val="0"/>
          <w:color w:val="000000"/>
          <w:sz w:val="28"/>
          <w:highlight w:val="none"/>
        </w:rPr>
        <w:t>使用权价格为</w:t>
      </w:r>
      <w:r>
        <w:rPr>
          <w:rFonts w:hint="eastAsia" w:ascii="仿宋_GB2312" w:hAnsi="仿宋_GB2312" w:eastAsia="仿宋_GB2312" w:cs="仿宋_GB2312"/>
          <w:b w:val="0"/>
          <w:bCs w:val="0"/>
          <w:color w:val="000000"/>
          <w:sz w:val="28"/>
          <w:highlight w:val="none"/>
          <w:lang w:val="en-US" w:eastAsia="zh-CN"/>
        </w:rPr>
        <w:t>住宅用地</w:t>
      </w:r>
      <w:r>
        <w:rPr>
          <w:rFonts w:hint="eastAsia" w:ascii="仿宋_GB2312" w:hAnsi="仿宋_GB2312" w:cs="仿宋_GB2312"/>
          <w:b w:val="0"/>
          <w:bCs w:val="0"/>
          <w:color w:val="000000"/>
          <w:sz w:val="28"/>
          <w:highlight w:val="none"/>
          <w:lang w:val="en-US" w:eastAsia="zh-CN"/>
        </w:rPr>
        <w:t>942.5</w:t>
      </w:r>
      <w:r>
        <w:rPr>
          <w:rFonts w:hint="eastAsia" w:ascii="仿宋_GB2312" w:hAnsi="仿宋_GB2312" w:eastAsia="仿宋_GB2312" w:cs="仿宋_GB2312"/>
          <w:b w:val="0"/>
          <w:bCs w:val="0"/>
          <w:color w:val="000000"/>
          <w:sz w:val="28"/>
          <w:highlight w:val="none"/>
        </w:rPr>
        <w:t>元/平方米。</w:t>
      </w:r>
    </w:p>
    <w:p w14:paraId="13D1C3A9">
      <w:pPr>
        <w:pStyle w:val="5"/>
        <w:keepNext w:val="0"/>
        <w:keepLines w:val="0"/>
        <w:pageBreakBefore w:val="0"/>
        <w:widowControl w:val="0"/>
        <w:kinsoku/>
        <w:wordWrap/>
        <w:overflowPunct/>
        <w:topLinePunct w:val="0"/>
        <w:autoSpaceDE/>
        <w:autoSpaceDN/>
        <w:bidi w:val="0"/>
        <w:adjustRightInd/>
        <w:snapToGrid/>
        <w:spacing w:line="480" w:lineRule="exact"/>
        <w:ind w:firstLine="562" w:firstLineChars="200"/>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70" w:name="_Toc23310"/>
      <w:bookmarkStart w:id="71" w:name="_Toc16838"/>
      <w:r>
        <w:rPr>
          <w:rFonts w:hint="eastAsia" w:ascii="仿宋_GB2312" w:hAnsi="Times New Roman" w:eastAsia="仿宋_GB2312" w:cs="Times New Roman"/>
          <w:b/>
          <w:bCs/>
          <w:sz w:val="28"/>
          <w:szCs w:val="30"/>
          <w:highlight w:val="none"/>
          <w:lang w:val="en-GB"/>
        </w:rPr>
        <w:t>★</w:t>
      </w:r>
      <w:r>
        <w:rPr>
          <w:rFonts w:hint="eastAsia" w:ascii="仿宋_GB2312" w:hAnsi="仿宋_GB2312" w:eastAsia="仿宋_GB2312" w:cs="仿宋_GB2312"/>
          <w:b w:val="0"/>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收益还原法是在估算估价对象在未来每年预期纯收益（正常年纯收益）的基础上，以一定的土地还原率，将评估对象在未来每年的纯收益折算为估价期日收益总和的一种方法。</w:t>
      </w:r>
    </w:p>
    <w:p w14:paraId="3B5DDFBC">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法定有限年期的土地使用权价格计算公式为：</w:t>
      </w:r>
    </w:p>
    <w:p w14:paraId="550F5353">
      <w:pPr>
        <w:keepNext w:val="0"/>
        <w:keepLines w:val="0"/>
        <w:pageBreakBefore w:val="0"/>
        <w:widowControl w:val="0"/>
        <w:kinsoku/>
        <w:wordWrap/>
        <w:overflowPunct/>
        <w:topLinePunct w:val="0"/>
        <w:autoSpaceDE/>
        <w:autoSpaceDN/>
        <w:bidi w:val="0"/>
        <w:adjustRightInd w:val="0"/>
        <w:snapToGrid w:val="0"/>
        <w:spacing w:line="240" w:lineRule="auto"/>
        <w:ind w:firstLine="840" w:firstLineChars="3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5" o:spt="75" type="#_x0000_t75" style="height:38pt;width:103.95pt;" o:ole="t" filled="f" o:preferrelative="t" stroked="f" coordsize="21600,21600">
            <v:path/>
            <v:fill on="f" focussize="0,0"/>
            <v:stroke on="f"/>
            <v:imagedata r:id="rId29" o:title=""/>
            <o:lock v:ext="edit" aspectratio="t"/>
            <w10:wrap type="none"/>
            <w10:anchorlock/>
          </v:shape>
          <o:OLEObject Type="Embed" ProgID="Equation.3" ShapeID="_x0000_i1025" DrawAspect="Content" ObjectID="_1468075725" r:id="rId28">
            <o:LockedField>false</o:LockedField>
          </o:OLEObject>
        </w:object>
      </w:r>
    </w:p>
    <w:p w14:paraId="6AC76995">
      <w:pPr>
        <w:pStyle w:val="5"/>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式中：</w:t>
      </w:r>
      <w:r>
        <w:rPr>
          <w:rFonts w:hint="eastAsia" w:ascii="仿宋_GB2312" w:hAnsi="仿宋_GB2312" w:eastAsia="仿宋_GB2312" w:cs="仿宋_GB2312"/>
          <w:b w:val="0"/>
          <w:bCs w:val="0"/>
          <w:color w:val="000000"/>
          <w:kern w:val="2"/>
          <w:sz w:val="28"/>
          <w:szCs w:val="28"/>
          <w:highlight w:val="none"/>
          <w:lang w:val="en-US" w:eastAsia="zh-CN" w:bidi="ar-SA"/>
        </w:rPr>
        <w:object>
          <v:shape id="_x0000_i1026" o:spt="75" type="#_x0000_t75" style="height:13pt;width:12pt;" o:ole="t" filled="f" o:preferrelative="t" stroked="f" coordsize="21600,21600">
            <v:path/>
            <v:fill on="f" focussize="0,0"/>
            <v:stroke on="f"/>
            <v:imagedata r:id="rId31" o:title=""/>
            <o:lock v:ext="edit" aspectratio="t"/>
            <w10:wrap type="none"/>
            <w10:anchorlock/>
          </v:shape>
          <o:OLEObject Type="Embed" ProgID="Equation.3" ShapeID="_x0000_i1026" DrawAspect="Content" ObjectID="_1468075726" r:id="rId30">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－土地价格</w:t>
      </w:r>
    </w:p>
    <w:p w14:paraId="4471A620">
      <w:pPr>
        <w:pStyle w:val="5"/>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7" o:spt="75" type="#_x0000_t75" style="height:11pt;width:10pt;" o:ole="t" filled="f" o:preferrelative="t" stroked="f" coordsize="21600,21600">
            <v:path/>
            <v:fill on="f" focussize="0,0"/>
            <v:stroke on="f"/>
            <v:imagedata r:id="rId33" o:title=""/>
            <o:lock v:ext="edit" aspectratio="t"/>
            <w10:wrap type="none"/>
            <w10:anchorlock/>
          </v:shape>
          <o:OLEObject Type="Embed" ProgID="Equation.3" ShapeID="_x0000_i1027" DrawAspect="Content" ObjectID="_1468075727" r:id="rId32">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－土地年纯收益</w:t>
      </w:r>
    </w:p>
    <w:p w14:paraId="5962B9E9">
      <w:pPr>
        <w:pStyle w:val="5"/>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8" o:spt="75" type="#_x0000_t75" style="height:10pt;width:9pt;" o:ole="t" filled="f" o:preferrelative="t" stroked="f" coordsize="21600,21600">
            <v:path/>
            <v:fill on="f" focussize="0,0"/>
            <v:stroke on="f"/>
            <v:imagedata r:id="rId35" o:title=""/>
            <o:lock v:ext="edit" aspectratio="t"/>
            <w10:wrap type="none"/>
            <w10:anchorlock/>
          </v:shape>
          <o:OLEObject Type="Embed" ProgID="Equation.3" ShapeID="_x0000_i1028" DrawAspect="Content" ObjectID="_1468075728" r:id="rId34">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－土地还原利率</w:t>
      </w:r>
    </w:p>
    <w:p w14:paraId="7CF796DC">
      <w:pPr>
        <w:pStyle w:val="5"/>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9" o:spt="75" type="#_x0000_t75" style="height:11pt;width:10pt;" o:ole="t" filled="f" o:preferrelative="t" stroked="f" coordsize="21600,21600">
            <v:path/>
            <v:fill on="f" focussize="0,0"/>
            <v:stroke on="f"/>
            <v:imagedata r:id="rId37" o:title=""/>
            <o:lock v:ext="edit" aspectratio="t"/>
            <w10:wrap type="none"/>
            <w10:anchorlock/>
          </v:shape>
          <o:OLEObject Type="Embed" ProgID="Equation.3" ShapeID="_x0000_i1029" DrawAspect="Content" ObjectID="_1468075729" r:id="rId36">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－使用土地的年期或有土地收益的年期</w:t>
      </w:r>
    </w:p>
    <w:p w14:paraId="6523A0A9">
      <w:pPr>
        <w:adjustRightInd w:val="0"/>
        <w:snapToGrid w:val="0"/>
        <w:spacing w:line="480" w:lineRule="exact"/>
        <w:ind w:firstLine="555"/>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具体测算思路是：</w:t>
      </w:r>
    </w:p>
    <w:p w14:paraId="5D074D73">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A.房地年总收益＝房地年租金＝月租金×12×收益总面积×出租率×有效使用面积比率</w:t>
      </w:r>
    </w:p>
    <w:p w14:paraId="71974E23">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B．房地出租年总费用＝维修费+管理费+保险费+税金</w:t>
      </w:r>
    </w:p>
    <w:p w14:paraId="082CED8B">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C．房地年纯收益＝房地年总收益-房地出租年总费用</w:t>
      </w:r>
    </w:p>
    <w:p w14:paraId="46AB2466">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D．房屋年纯收益＝房屋现值×房屋还原率</w:t>
      </w:r>
    </w:p>
    <w:p w14:paraId="1964B3C4">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房屋现值＝重置价－折旧总额＝重置成本－年折旧费×已使用年限</w:t>
      </w:r>
    </w:p>
    <w:p w14:paraId="0C30B48A">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E．土地年纯收益＝房地年纯收益—房屋年纯收益</w:t>
      </w:r>
    </w:p>
    <w:p w14:paraId="2AE802BF">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F．总地价＝土地年纯收益÷r×[1-1/（1+r）n]</w:t>
      </w:r>
    </w:p>
    <w:p w14:paraId="6F2CCE87">
      <w:pPr>
        <w:adjustRightInd w:val="0"/>
        <w:snapToGrid w:val="0"/>
        <w:spacing w:line="480" w:lineRule="exact"/>
        <w:ind w:firstLine="57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G．单位面积地价＝总地价÷总用地面积</w:t>
      </w:r>
    </w:p>
    <w:p w14:paraId="553F94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受托估价人员现场勘察，估价对象位于道县西洲街道宝珍街六栋九号，所在宗地上有独栋建筑物，建成年份为1998年，总层数为4层，业主房屋所在层数为1-4层，建筑物为混合结构，外墙双飞粉，不锈钢及木质入户门，塑钢窗户，铁艺防盗网，屋内地贴瓷砖，顶棚木质装饰吊顶，简单装修，维护保养状况一般，约七成新，房屋整体经济耐用年限为50年，已使用28年，剩余使用年限为22年。根据《评估委托书》，委托方拟按估价对象现状使用条件进行出让。</w:t>
      </w:r>
      <w:r>
        <w:rPr>
          <w:rFonts w:hint="eastAsia" w:ascii="仿宋_GB2312" w:hAnsi="仿宋_GB2312" w:eastAsia="仿宋_GB2312" w:cs="仿宋_GB2312"/>
          <w:b w:val="0"/>
          <w:bCs w:val="0"/>
          <w:color w:val="000000" w:themeColor="text1"/>
          <w:kern w:val="0"/>
          <w:sz w:val="28"/>
          <w:szCs w:val="28"/>
          <w:highlight w:val="none"/>
          <w:lang w:val="en-US" w:eastAsia="zh-CN"/>
          <w14:textFill>
            <w14:solidFill>
              <w14:schemeClr w14:val="tx1"/>
            </w14:solidFill>
          </w14:textFill>
        </w:rPr>
        <w:t>根据《不动产测绘报告书》，建筑面积205.45平方米，根据《宗地图》，估价对象土地面积50平方米，则容积率为4.11，</w:t>
      </w:r>
      <w:r>
        <w:rPr>
          <w:rFonts w:hint="eastAsia" w:ascii="仿宋_GB2312" w:hAnsi="仿宋_GB2312" w:eastAsia="仿宋_GB2312" w:cs="仿宋_GB2312"/>
          <w:b w:val="0"/>
          <w:bCs w:val="0"/>
          <w:color w:val="000000"/>
          <w:kern w:val="2"/>
          <w:sz w:val="28"/>
          <w:szCs w:val="28"/>
          <w:highlight w:val="none"/>
          <w:lang w:val="en-US" w:eastAsia="zh-CN" w:bidi="ar-SA"/>
        </w:rPr>
        <w:t>根据估价目的，本次评估设定土地容积率为4.11。</w:t>
      </w:r>
    </w:p>
    <w:p w14:paraId="0A69025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金欧雅陶瓷(道州中路店)楼上住宅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道州中路466号爱莲商业广场，商服繁华度较优，水电等基础设施综合保证率95%，区域内公交便捷度较优，道路通达度较优，环境质量好，公共设施齐全，临主干道，砖混结构，建筑物内部结构合理，房屋七成新，通风采光条件好，简单装修，基本满足停车需求，无物业管理，于2026年6月楼上住宅平均租金为11.4元/平方米·月。</w:t>
      </w:r>
    </w:p>
    <w:p w14:paraId="6AD7212B">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道州锁城楼上住宅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道州中路466号爱莲商业广场，商服繁华度较优，水电等基础设施综合保证率95%，区域内公交便捷度较优，道路通达度较优，环境质量好，公共设施齐全，临主干道，砖混结构，建筑物内部结构合理，房屋七成新，通风采光条件好，简单装修，基本满足停车需求，无物业管理，于2026年6月楼上住宅平均租金为11.4元/平方米·月。</w:t>
      </w:r>
    </w:p>
    <w:p w14:paraId="1D00575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倩倩便利店(道州中路店)楼上住宅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道县道州中路397号，商服繁华度较优，水电等基础设施综合保证率95%，区域内公交便捷度较优，道路通达度较优，环境质量好，公共设施齐全，临主干道，砖混结构，建筑物内部结构合理，房屋七成新，通风采光条件好，简单装修，基本满足停车需求，无物业管理，于2026年6月楼上住宅平均租金为11.5元/平方米·月。</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0"/>
        <w:gridCol w:w="4250"/>
      </w:tblGrid>
      <w:tr w14:paraId="0A4B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0" w:hRule="atLeast"/>
        </w:trPr>
        <w:tc>
          <w:tcPr>
            <w:tcW w:w="4250" w:type="dxa"/>
            <w:vAlign w:val="center"/>
          </w:tcPr>
          <w:p w14:paraId="2F9FDD9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ascii="宋体" w:hAnsi="宋体" w:eastAsia="宋体" w:cs="宋体"/>
                <w:sz w:val="24"/>
                <w:szCs w:val="24"/>
              </w:rPr>
              <w:drawing>
                <wp:inline distT="0" distB="0" distL="114300" distR="114300">
                  <wp:extent cx="2286635" cy="2721610"/>
                  <wp:effectExtent l="0" t="0" r="18415" b="2540"/>
                  <wp:docPr id="1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IMG_256"/>
                          <pic:cNvPicPr>
                            <a:picLocks noChangeAspect="1"/>
                          </pic:cNvPicPr>
                        </pic:nvPicPr>
                        <pic:blipFill>
                          <a:blip r:embed="rId38"/>
                          <a:srcRect l="18856" r="23626" b="24556"/>
                          <a:stretch>
                            <a:fillRect/>
                          </a:stretch>
                        </pic:blipFill>
                        <pic:spPr>
                          <a:xfrm>
                            <a:off x="0" y="0"/>
                            <a:ext cx="2286635" cy="2721610"/>
                          </a:xfrm>
                          <a:prstGeom prst="rect">
                            <a:avLst/>
                          </a:prstGeom>
                          <a:noFill/>
                          <a:ln w="9525">
                            <a:noFill/>
                          </a:ln>
                        </pic:spPr>
                      </pic:pic>
                    </a:graphicData>
                  </a:graphic>
                </wp:inline>
              </w:drawing>
            </w:r>
          </w:p>
          <w:p w14:paraId="4CABA401">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实例A照片</w:t>
            </w:r>
          </w:p>
        </w:tc>
        <w:tc>
          <w:tcPr>
            <w:tcW w:w="4250" w:type="dxa"/>
            <w:vAlign w:val="center"/>
          </w:tcPr>
          <w:p w14:paraId="53CEA93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drawing>
                <wp:inline distT="0" distB="0" distL="114300" distR="114300">
                  <wp:extent cx="2419350" cy="2746375"/>
                  <wp:effectExtent l="0" t="0" r="0" b="1587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9"/>
                          <a:srcRect l="7925" r="28744"/>
                          <a:stretch>
                            <a:fillRect/>
                          </a:stretch>
                        </pic:blipFill>
                        <pic:spPr>
                          <a:xfrm>
                            <a:off x="0" y="0"/>
                            <a:ext cx="2419350" cy="2746375"/>
                          </a:xfrm>
                          <a:prstGeom prst="rect">
                            <a:avLst/>
                          </a:prstGeom>
                          <a:noFill/>
                          <a:ln>
                            <a:noFill/>
                          </a:ln>
                        </pic:spPr>
                      </pic:pic>
                    </a:graphicData>
                  </a:graphic>
                </wp:inline>
              </w:drawing>
            </w:r>
          </w:p>
          <w:p w14:paraId="67079BC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实例A位置</w:t>
            </w:r>
          </w:p>
        </w:tc>
      </w:tr>
      <w:tr w14:paraId="5036E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1" w:hRule="atLeast"/>
        </w:trPr>
        <w:tc>
          <w:tcPr>
            <w:tcW w:w="4250" w:type="dxa"/>
            <w:vAlign w:val="center"/>
          </w:tcPr>
          <w:p w14:paraId="1F79628F">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ascii="宋体" w:hAnsi="宋体" w:eastAsia="宋体" w:cs="宋体"/>
                <w:sz w:val="24"/>
                <w:szCs w:val="24"/>
              </w:rPr>
              <w:drawing>
                <wp:inline distT="0" distB="0" distL="114300" distR="114300">
                  <wp:extent cx="2286635" cy="2433320"/>
                  <wp:effectExtent l="0" t="0" r="0" b="0"/>
                  <wp:docPr id="2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descr="IMG_256"/>
                          <pic:cNvPicPr>
                            <a:picLocks noChangeAspect="1"/>
                          </pic:cNvPicPr>
                        </pic:nvPicPr>
                        <pic:blipFill>
                          <a:blip r:embed="rId40"/>
                          <a:srcRect l="21513" r="8128" b="35922"/>
                          <a:stretch>
                            <a:fillRect/>
                          </a:stretch>
                        </pic:blipFill>
                        <pic:spPr>
                          <a:xfrm>
                            <a:off x="0" y="0"/>
                            <a:ext cx="2286635" cy="2433320"/>
                          </a:xfrm>
                          <a:prstGeom prst="rect">
                            <a:avLst/>
                          </a:prstGeom>
                          <a:noFill/>
                          <a:ln w="9525">
                            <a:noFill/>
                          </a:ln>
                        </pic:spPr>
                      </pic:pic>
                    </a:graphicData>
                  </a:graphic>
                </wp:inline>
              </w:drawing>
            </w:r>
          </w:p>
          <w:p w14:paraId="64D59805">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实例B照片</w:t>
            </w:r>
          </w:p>
        </w:tc>
        <w:tc>
          <w:tcPr>
            <w:tcW w:w="4250" w:type="dxa"/>
            <w:vAlign w:val="center"/>
          </w:tcPr>
          <w:p w14:paraId="362281B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drawing>
                <wp:inline distT="0" distB="0" distL="114300" distR="114300">
                  <wp:extent cx="2420620" cy="2524125"/>
                  <wp:effectExtent l="0" t="0" r="17780" b="952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41"/>
                          <a:srcRect l="14550" r="16369" b="18476"/>
                          <a:stretch>
                            <a:fillRect/>
                          </a:stretch>
                        </pic:blipFill>
                        <pic:spPr>
                          <a:xfrm>
                            <a:off x="0" y="0"/>
                            <a:ext cx="2420620" cy="2524125"/>
                          </a:xfrm>
                          <a:prstGeom prst="rect">
                            <a:avLst/>
                          </a:prstGeom>
                          <a:noFill/>
                          <a:ln>
                            <a:noFill/>
                          </a:ln>
                        </pic:spPr>
                      </pic:pic>
                    </a:graphicData>
                  </a:graphic>
                </wp:inline>
              </w:drawing>
            </w:r>
          </w:p>
          <w:p w14:paraId="6492BEDF">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实例B位置</w:t>
            </w:r>
          </w:p>
        </w:tc>
      </w:tr>
      <w:tr w14:paraId="00AB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trPr>
        <w:tc>
          <w:tcPr>
            <w:tcW w:w="4250" w:type="dxa"/>
            <w:vAlign w:val="center"/>
          </w:tcPr>
          <w:p w14:paraId="121D9FE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ascii="宋体" w:hAnsi="宋体" w:eastAsia="宋体" w:cs="宋体"/>
                <w:sz w:val="24"/>
                <w:szCs w:val="24"/>
              </w:rPr>
              <w:drawing>
                <wp:inline distT="0" distB="0" distL="114300" distR="114300">
                  <wp:extent cx="2332990" cy="2722880"/>
                  <wp:effectExtent l="0" t="0" r="10160" b="1270"/>
                  <wp:docPr id="2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descr="IMG_256"/>
                          <pic:cNvPicPr>
                            <a:picLocks noChangeAspect="1"/>
                          </pic:cNvPicPr>
                        </pic:nvPicPr>
                        <pic:blipFill>
                          <a:blip r:embed="rId42"/>
                          <a:srcRect l="20432" r="8592" b="19782"/>
                          <a:stretch>
                            <a:fillRect/>
                          </a:stretch>
                        </pic:blipFill>
                        <pic:spPr>
                          <a:xfrm>
                            <a:off x="0" y="0"/>
                            <a:ext cx="2332990" cy="2722880"/>
                          </a:xfrm>
                          <a:prstGeom prst="rect">
                            <a:avLst/>
                          </a:prstGeom>
                          <a:noFill/>
                          <a:ln w="9525">
                            <a:noFill/>
                          </a:ln>
                        </pic:spPr>
                      </pic:pic>
                    </a:graphicData>
                  </a:graphic>
                </wp:inline>
              </w:drawing>
            </w:r>
          </w:p>
          <w:p w14:paraId="5E3618D6">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实例C照片</w:t>
            </w:r>
          </w:p>
        </w:tc>
        <w:tc>
          <w:tcPr>
            <w:tcW w:w="4250" w:type="dxa"/>
            <w:vAlign w:val="center"/>
          </w:tcPr>
          <w:p w14:paraId="6E0C74F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drawing>
                <wp:inline distT="0" distB="0" distL="114300" distR="114300">
                  <wp:extent cx="2412365" cy="2651760"/>
                  <wp:effectExtent l="0" t="0" r="6985" b="1524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43"/>
                          <a:srcRect l="14336" r="26534" b="12788"/>
                          <a:stretch>
                            <a:fillRect/>
                          </a:stretch>
                        </pic:blipFill>
                        <pic:spPr>
                          <a:xfrm>
                            <a:off x="0" y="0"/>
                            <a:ext cx="2412365" cy="2651760"/>
                          </a:xfrm>
                          <a:prstGeom prst="rect">
                            <a:avLst/>
                          </a:prstGeom>
                          <a:noFill/>
                          <a:ln>
                            <a:noFill/>
                          </a:ln>
                        </pic:spPr>
                      </pic:pic>
                    </a:graphicData>
                  </a:graphic>
                </wp:inline>
              </w:drawing>
            </w:r>
          </w:p>
          <w:p w14:paraId="4E365579">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实例C位置</w:t>
            </w:r>
          </w:p>
        </w:tc>
      </w:tr>
    </w:tbl>
    <w:p w14:paraId="282B923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3"/>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b w:val="0"/>
          <w:bCs/>
          <w:color w:val="auto"/>
          <w:kern w:val="2"/>
          <w:sz w:val="28"/>
          <w:szCs w:val="28"/>
          <w:highlight w:val="none"/>
          <w:lang w:val="en-US" w:eastAsia="zh-CN" w:bidi="ar-SA"/>
        </w:rPr>
        <w:t>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比较因素条件说明表</w:t>
      </w:r>
    </w:p>
    <w:tbl>
      <w:tblPr>
        <w:tblStyle w:val="14"/>
        <w:tblW w:w="503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4"/>
        <w:gridCol w:w="1619"/>
        <w:gridCol w:w="1452"/>
        <w:gridCol w:w="1363"/>
        <w:gridCol w:w="1359"/>
        <w:gridCol w:w="1261"/>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867"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4"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12"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753"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867" w:type="pct"/>
            <w:shd w:val="clear" w:color="auto" w:fill="auto"/>
            <w:noWrap w:val="0"/>
            <w:tcMar>
              <w:top w:w="0" w:type="dxa"/>
              <w:left w:w="0" w:type="dxa"/>
              <w:bottom w:w="0" w:type="dxa"/>
              <w:right w:w="0" w:type="dxa"/>
            </w:tcMar>
            <w:vAlign w:val="bottom"/>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i w:val="0"/>
                <w:iCs w:val="0"/>
                <w:color w:val="000000"/>
                <w:kern w:val="2"/>
                <w:sz w:val="20"/>
                <w:szCs w:val="20"/>
                <w:u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道江镇濂溪山庄宝珍街南六栋九号</w:t>
            </w:r>
          </w:p>
        </w:tc>
        <w:tc>
          <w:tcPr>
            <w:tcW w:w="814"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道州中路466号爱莲商业广场</w:t>
            </w:r>
          </w:p>
        </w:tc>
        <w:tc>
          <w:tcPr>
            <w:tcW w:w="812"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道州中路466号爱莲商业广场</w:t>
            </w:r>
          </w:p>
        </w:tc>
        <w:tc>
          <w:tcPr>
            <w:tcW w:w="753"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道县道州中路397号</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867"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待估</w:t>
            </w:r>
          </w:p>
        </w:tc>
        <w:tc>
          <w:tcPr>
            <w:tcW w:w="814" w:type="pct"/>
            <w:noWrap w:val="0"/>
            <w:tcMar>
              <w:top w:w="0" w:type="dxa"/>
              <w:left w:w="0" w:type="dxa"/>
              <w:bottom w:w="0" w:type="dxa"/>
              <w:right w:w="0" w:type="dxa"/>
            </w:tcMar>
            <w:vAlign w:val="center"/>
          </w:tcPr>
          <w:p w14:paraId="598C363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11.4</w:t>
            </w:r>
          </w:p>
        </w:tc>
        <w:tc>
          <w:tcPr>
            <w:tcW w:w="812" w:type="pct"/>
            <w:noWrap w:val="0"/>
            <w:tcMar>
              <w:top w:w="0" w:type="dxa"/>
              <w:left w:w="0" w:type="dxa"/>
              <w:bottom w:w="0" w:type="dxa"/>
              <w:right w:w="0" w:type="dxa"/>
            </w:tcMar>
            <w:vAlign w:val="center"/>
          </w:tcPr>
          <w:p w14:paraId="3F5A495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11.4</w:t>
            </w:r>
          </w:p>
        </w:tc>
        <w:tc>
          <w:tcPr>
            <w:tcW w:w="753" w:type="pct"/>
            <w:noWrap w:val="0"/>
            <w:tcMar>
              <w:top w:w="0" w:type="dxa"/>
              <w:left w:w="0" w:type="dxa"/>
              <w:bottom w:w="0" w:type="dxa"/>
              <w:right w:w="0" w:type="dxa"/>
            </w:tcMar>
            <w:vAlign w:val="center"/>
          </w:tcPr>
          <w:p w14:paraId="038A06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11.5</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867"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4"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2"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753"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867"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2026.06</w:t>
            </w:r>
          </w:p>
        </w:tc>
        <w:tc>
          <w:tcPr>
            <w:tcW w:w="814"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2026.06</w:t>
            </w:r>
          </w:p>
        </w:tc>
        <w:tc>
          <w:tcPr>
            <w:tcW w:w="812"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2026.06</w:t>
            </w:r>
          </w:p>
        </w:tc>
        <w:tc>
          <w:tcPr>
            <w:tcW w:w="753"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2026.06</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867" w:type="pct"/>
            <w:noWrap w:val="0"/>
            <w:tcMar>
              <w:top w:w="0" w:type="dxa"/>
              <w:left w:w="0" w:type="dxa"/>
              <w:bottom w:w="0" w:type="dxa"/>
              <w:right w:w="0" w:type="dxa"/>
            </w:tcMar>
            <w:vAlign w:val="center"/>
          </w:tcPr>
          <w:p w14:paraId="563CC6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正常</w:t>
            </w:r>
          </w:p>
        </w:tc>
        <w:tc>
          <w:tcPr>
            <w:tcW w:w="814" w:type="pct"/>
            <w:noWrap w:val="0"/>
            <w:tcMar>
              <w:top w:w="0" w:type="dxa"/>
              <w:left w:w="0" w:type="dxa"/>
              <w:bottom w:w="0" w:type="dxa"/>
              <w:right w:w="0" w:type="dxa"/>
            </w:tcMar>
            <w:vAlign w:val="center"/>
          </w:tcPr>
          <w:p w14:paraId="68DFB8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正常</w:t>
            </w:r>
          </w:p>
        </w:tc>
        <w:tc>
          <w:tcPr>
            <w:tcW w:w="812" w:type="pct"/>
            <w:noWrap w:val="0"/>
            <w:tcMar>
              <w:top w:w="0" w:type="dxa"/>
              <w:left w:w="0" w:type="dxa"/>
              <w:bottom w:w="0" w:type="dxa"/>
              <w:right w:w="0" w:type="dxa"/>
            </w:tcMar>
            <w:vAlign w:val="center"/>
          </w:tcPr>
          <w:p w14:paraId="670915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正常</w:t>
            </w:r>
          </w:p>
        </w:tc>
        <w:tc>
          <w:tcPr>
            <w:tcW w:w="753" w:type="pct"/>
            <w:noWrap w:val="0"/>
            <w:tcMar>
              <w:top w:w="0" w:type="dxa"/>
              <w:left w:w="0" w:type="dxa"/>
              <w:bottom w:w="0" w:type="dxa"/>
              <w:right w:w="0" w:type="dxa"/>
            </w:tcMar>
            <w:vAlign w:val="center"/>
          </w:tcPr>
          <w:p w14:paraId="70D2F25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正常</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867" w:type="pct"/>
            <w:noWrap w:val="0"/>
            <w:tcMar>
              <w:top w:w="0" w:type="dxa"/>
              <w:left w:w="0" w:type="dxa"/>
              <w:bottom w:w="0" w:type="dxa"/>
              <w:right w:w="0" w:type="dxa"/>
            </w:tcMar>
            <w:vAlign w:val="center"/>
          </w:tcPr>
          <w:p w14:paraId="52FDF1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较优</w:t>
            </w:r>
          </w:p>
        </w:tc>
        <w:tc>
          <w:tcPr>
            <w:tcW w:w="814" w:type="pct"/>
            <w:noWrap w:val="0"/>
            <w:tcMar>
              <w:top w:w="0" w:type="dxa"/>
              <w:left w:w="0" w:type="dxa"/>
              <w:bottom w:w="0" w:type="dxa"/>
              <w:right w:w="0" w:type="dxa"/>
            </w:tcMar>
            <w:vAlign w:val="center"/>
          </w:tcPr>
          <w:p w14:paraId="73EB25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优</w:t>
            </w:r>
          </w:p>
        </w:tc>
        <w:tc>
          <w:tcPr>
            <w:tcW w:w="812" w:type="pct"/>
            <w:noWrap w:val="0"/>
            <w:tcMar>
              <w:top w:w="0" w:type="dxa"/>
              <w:left w:w="0" w:type="dxa"/>
              <w:bottom w:w="0" w:type="dxa"/>
              <w:right w:w="0" w:type="dxa"/>
            </w:tcMar>
            <w:vAlign w:val="center"/>
          </w:tcPr>
          <w:p w14:paraId="1922FF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优</w:t>
            </w:r>
          </w:p>
        </w:tc>
        <w:tc>
          <w:tcPr>
            <w:tcW w:w="753" w:type="pct"/>
            <w:noWrap w:val="0"/>
            <w:tcMar>
              <w:top w:w="0" w:type="dxa"/>
              <w:left w:w="0" w:type="dxa"/>
              <w:bottom w:w="0" w:type="dxa"/>
              <w:right w:w="0" w:type="dxa"/>
            </w:tcMar>
            <w:vAlign w:val="center"/>
          </w:tcPr>
          <w:p w14:paraId="79587D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867" w:type="pct"/>
            <w:noWrap w:val="0"/>
            <w:tcMar>
              <w:top w:w="0" w:type="dxa"/>
              <w:left w:w="0" w:type="dxa"/>
              <w:bottom w:w="0" w:type="dxa"/>
              <w:right w:w="0" w:type="dxa"/>
            </w:tcMar>
            <w:vAlign w:val="center"/>
          </w:tcPr>
          <w:p w14:paraId="2CDB0F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较优</w:t>
            </w:r>
          </w:p>
        </w:tc>
        <w:tc>
          <w:tcPr>
            <w:tcW w:w="814" w:type="pct"/>
            <w:noWrap w:val="0"/>
            <w:tcMar>
              <w:top w:w="0" w:type="dxa"/>
              <w:left w:w="0" w:type="dxa"/>
              <w:bottom w:w="0" w:type="dxa"/>
              <w:right w:w="0" w:type="dxa"/>
            </w:tcMar>
            <w:vAlign w:val="center"/>
          </w:tcPr>
          <w:p w14:paraId="346FA2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较优</w:t>
            </w:r>
          </w:p>
        </w:tc>
        <w:tc>
          <w:tcPr>
            <w:tcW w:w="812" w:type="pct"/>
            <w:noWrap w:val="0"/>
            <w:tcMar>
              <w:top w:w="0" w:type="dxa"/>
              <w:left w:w="0" w:type="dxa"/>
              <w:bottom w:w="0" w:type="dxa"/>
              <w:right w:w="0" w:type="dxa"/>
            </w:tcMar>
            <w:vAlign w:val="center"/>
          </w:tcPr>
          <w:p w14:paraId="111DFF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较优</w:t>
            </w:r>
          </w:p>
        </w:tc>
        <w:tc>
          <w:tcPr>
            <w:tcW w:w="753" w:type="pct"/>
            <w:noWrap w:val="0"/>
            <w:tcMar>
              <w:top w:w="0" w:type="dxa"/>
              <w:left w:w="0" w:type="dxa"/>
              <w:bottom w:w="0" w:type="dxa"/>
              <w:right w:w="0" w:type="dxa"/>
            </w:tcMar>
            <w:vAlign w:val="center"/>
          </w:tcPr>
          <w:p w14:paraId="3BACB5A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较优</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867" w:type="pct"/>
            <w:noWrap w:val="0"/>
            <w:tcMar>
              <w:top w:w="0" w:type="dxa"/>
              <w:left w:w="0" w:type="dxa"/>
              <w:bottom w:w="0" w:type="dxa"/>
              <w:right w:w="0" w:type="dxa"/>
            </w:tcMar>
            <w:vAlign w:val="center"/>
          </w:tcPr>
          <w:p w14:paraId="7749A9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较通畅</w:t>
            </w:r>
          </w:p>
        </w:tc>
        <w:tc>
          <w:tcPr>
            <w:tcW w:w="814" w:type="pct"/>
            <w:noWrap w:val="0"/>
            <w:tcMar>
              <w:top w:w="0" w:type="dxa"/>
              <w:left w:w="0" w:type="dxa"/>
              <w:bottom w:w="0" w:type="dxa"/>
              <w:right w:w="0" w:type="dxa"/>
            </w:tcMar>
            <w:vAlign w:val="center"/>
          </w:tcPr>
          <w:p w14:paraId="29964E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较通畅</w:t>
            </w:r>
          </w:p>
        </w:tc>
        <w:tc>
          <w:tcPr>
            <w:tcW w:w="812" w:type="pct"/>
            <w:noWrap w:val="0"/>
            <w:tcMar>
              <w:top w:w="0" w:type="dxa"/>
              <w:left w:w="0" w:type="dxa"/>
              <w:bottom w:w="0" w:type="dxa"/>
              <w:right w:w="0" w:type="dxa"/>
            </w:tcMar>
            <w:vAlign w:val="center"/>
          </w:tcPr>
          <w:p w14:paraId="51E24B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较通畅</w:t>
            </w:r>
          </w:p>
        </w:tc>
        <w:tc>
          <w:tcPr>
            <w:tcW w:w="753" w:type="pct"/>
            <w:noWrap w:val="0"/>
            <w:tcMar>
              <w:top w:w="0" w:type="dxa"/>
              <w:left w:w="0" w:type="dxa"/>
              <w:bottom w:w="0" w:type="dxa"/>
              <w:right w:w="0" w:type="dxa"/>
            </w:tcMar>
            <w:vAlign w:val="center"/>
          </w:tcPr>
          <w:p w14:paraId="4D6D0C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较通畅</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867" w:type="pct"/>
            <w:noWrap w:val="0"/>
            <w:tcMar>
              <w:top w:w="0" w:type="dxa"/>
              <w:left w:w="0" w:type="dxa"/>
              <w:bottom w:w="0" w:type="dxa"/>
              <w:right w:w="0" w:type="dxa"/>
            </w:tcMar>
            <w:vAlign w:val="center"/>
          </w:tcPr>
          <w:p w14:paraId="59B366B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95%</w:t>
            </w:r>
          </w:p>
        </w:tc>
        <w:tc>
          <w:tcPr>
            <w:tcW w:w="814" w:type="pct"/>
            <w:noWrap w:val="0"/>
            <w:tcMar>
              <w:top w:w="0" w:type="dxa"/>
              <w:left w:w="0" w:type="dxa"/>
              <w:bottom w:w="0" w:type="dxa"/>
              <w:right w:w="0" w:type="dxa"/>
            </w:tcMar>
            <w:vAlign w:val="center"/>
          </w:tcPr>
          <w:p w14:paraId="71E3DE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95%</w:t>
            </w:r>
          </w:p>
        </w:tc>
        <w:tc>
          <w:tcPr>
            <w:tcW w:w="812" w:type="pct"/>
            <w:noWrap w:val="0"/>
            <w:tcMar>
              <w:top w:w="0" w:type="dxa"/>
              <w:left w:w="0" w:type="dxa"/>
              <w:bottom w:w="0" w:type="dxa"/>
              <w:right w:w="0" w:type="dxa"/>
            </w:tcMar>
            <w:vAlign w:val="center"/>
          </w:tcPr>
          <w:p w14:paraId="68D14E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95%</w:t>
            </w:r>
          </w:p>
        </w:tc>
        <w:tc>
          <w:tcPr>
            <w:tcW w:w="753" w:type="pct"/>
            <w:noWrap w:val="0"/>
            <w:tcMar>
              <w:top w:w="0" w:type="dxa"/>
              <w:left w:w="0" w:type="dxa"/>
              <w:bottom w:w="0" w:type="dxa"/>
              <w:right w:w="0" w:type="dxa"/>
            </w:tcMar>
            <w:vAlign w:val="center"/>
          </w:tcPr>
          <w:p w14:paraId="0C674E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95%</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867" w:type="pct"/>
            <w:noWrap w:val="0"/>
            <w:tcMar>
              <w:top w:w="0" w:type="dxa"/>
              <w:left w:w="0" w:type="dxa"/>
              <w:bottom w:w="0" w:type="dxa"/>
              <w:right w:w="0" w:type="dxa"/>
            </w:tcMar>
            <w:vAlign w:val="center"/>
          </w:tcPr>
          <w:p w14:paraId="2211DE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较优</w:t>
            </w:r>
          </w:p>
        </w:tc>
        <w:tc>
          <w:tcPr>
            <w:tcW w:w="814" w:type="pct"/>
            <w:noWrap w:val="0"/>
            <w:tcMar>
              <w:top w:w="0" w:type="dxa"/>
              <w:left w:w="0" w:type="dxa"/>
              <w:bottom w:w="0" w:type="dxa"/>
              <w:right w:w="0" w:type="dxa"/>
            </w:tcMar>
            <w:vAlign w:val="center"/>
          </w:tcPr>
          <w:p w14:paraId="78063D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较优</w:t>
            </w:r>
          </w:p>
        </w:tc>
        <w:tc>
          <w:tcPr>
            <w:tcW w:w="812" w:type="pct"/>
            <w:noWrap w:val="0"/>
            <w:tcMar>
              <w:top w:w="0" w:type="dxa"/>
              <w:left w:w="0" w:type="dxa"/>
              <w:bottom w:w="0" w:type="dxa"/>
              <w:right w:w="0" w:type="dxa"/>
            </w:tcMar>
            <w:vAlign w:val="center"/>
          </w:tcPr>
          <w:p w14:paraId="126A097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较优</w:t>
            </w:r>
          </w:p>
        </w:tc>
        <w:tc>
          <w:tcPr>
            <w:tcW w:w="753" w:type="pct"/>
            <w:noWrap w:val="0"/>
            <w:tcMar>
              <w:top w:w="0" w:type="dxa"/>
              <w:left w:w="0" w:type="dxa"/>
              <w:bottom w:w="0" w:type="dxa"/>
              <w:right w:w="0" w:type="dxa"/>
            </w:tcMar>
            <w:vAlign w:val="center"/>
          </w:tcPr>
          <w:p w14:paraId="1834339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较优</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867" w:type="pct"/>
            <w:noWrap w:val="0"/>
            <w:tcMar>
              <w:top w:w="0" w:type="dxa"/>
              <w:left w:w="0" w:type="dxa"/>
              <w:bottom w:w="0" w:type="dxa"/>
              <w:right w:w="0" w:type="dxa"/>
            </w:tcMar>
            <w:vAlign w:val="center"/>
          </w:tcPr>
          <w:p w14:paraId="6D91D56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较齐全</w:t>
            </w:r>
          </w:p>
        </w:tc>
        <w:tc>
          <w:tcPr>
            <w:tcW w:w="814" w:type="pct"/>
            <w:noWrap w:val="0"/>
            <w:tcMar>
              <w:top w:w="0" w:type="dxa"/>
              <w:left w:w="0" w:type="dxa"/>
              <w:bottom w:w="0" w:type="dxa"/>
              <w:right w:w="0" w:type="dxa"/>
            </w:tcMar>
            <w:vAlign w:val="center"/>
          </w:tcPr>
          <w:p w14:paraId="2AF9864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较齐全</w:t>
            </w:r>
          </w:p>
        </w:tc>
        <w:tc>
          <w:tcPr>
            <w:tcW w:w="812" w:type="pct"/>
            <w:noWrap w:val="0"/>
            <w:tcMar>
              <w:top w:w="0" w:type="dxa"/>
              <w:left w:w="0" w:type="dxa"/>
              <w:bottom w:w="0" w:type="dxa"/>
              <w:right w:w="0" w:type="dxa"/>
            </w:tcMar>
            <w:vAlign w:val="center"/>
          </w:tcPr>
          <w:p w14:paraId="04E84F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较齐全</w:t>
            </w:r>
          </w:p>
        </w:tc>
        <w:tc>
          <w:tcPr>
            <w:tcW w:w="753" w:type="pct"/>
            <w:noWrap w:val="0"/>
            <w:tcMar>
              <w:top w:w="0" w:type="dxa"/>
              <w:left w:w="0" w:type="dxa"/>
              <w:bottom w:w="0" w:type="dxa"/>
              <w:right w:w="0" w:type="dxa"/>
            </w:tcMar>
            <w:vAlign w:val="center"/>
          </w:tcPr>
          <w:p w14:paraId="552E19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较齐全</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867" w:type="pct"/>
            <w:noWrap w:val="0"/>
            <w:tcMar>
              <w:top w:w="0" w:type="dxa"/>
              <w:left w:w="0" w:type="dxa"/>
              <w:bottom w:w="0" w:type="dxa"/>
              <w:right w:w="0" w:type="dxa"/>
            </w:tcMar>
            <w:vAlign w:val="center"/>
          </w:tcPr>
          <w:p w14:paraId="567BE90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临次干道</w:t>
            </w:r>
          </w:p>
        </w:tc>
        <w:tc>
          <w:tcPr>
            <w:tcW w:w="814" w:type="pct"/>
            <w:noWrap w:val="0"/>
            <w:tcMar>
              <w:top w:w="0" w:type="dxa"/>
              <w:left w:w="0" w:type="dxa"/>
              <w:bottom w:w="0" w:type="dxa"/>
              <w:right w:w="0" w:type="dxa"/>
            </w:tcMar>
            <w:vAlign w:val="center"/>
          </w:tcPr>
          <w:p w14:paraId="13AB3C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临主干道</w:t>
            </w:r>
          </w:p>
        </w:tc>
        <w:tc>
          <w:tcPr>
            <w:tcW w:w="812" w:type="pct"/>
            <w:noWrap w:val="0"/>
            <w:tcMar>
              <w:top w:w="0" w:type="dxa"/>
              <w:left w:w="0" w:type="dxa"/>
              <w:bottom w:w="0" w:type="dxa"/>
              <w:right w:w="0" w:type="dxa"/>
            </w:tcMar>
            <w:vAlign w:val="center"/>
          </w:tcPr>
          <w:p w14:paraId="329F12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临次干道</w:t>
            </w:r>
          </w:p>
        </w:tc>
        <w:tc>
          <w:tcPr>
            <w:tcW w:w="753" w:type="pct"/>
            <w:noWrap w:val="0"/>
            <w:tcMar>
              <w:top w:w="0" w:type="dxa"/>
              <w:left w:w="0" w:type="dxa"/>
              <w:bottom w:w="0" w:type="dxa"/>
              <w:right w:w="0" w:type="dxa"/>
            </w:tcMar>
            <w:vAlign w:val="center"/>
          </w:tcPr>
          <w:p w14:paraId="561619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临次干道</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867" w:type="pct"/>
            <w:noWrap w:val="0"/>
            <w:tcMar>
              <w:top w:w="0" w:type="dxa"/>
              <w:left w:w="0" w:type="dxa"/>
              <w:bottom w:w="0" w:type="dxa"/>
              <w:right w:w="0" w:type="dxa"/>
            </w:tcMar>
            <w:vAlign w:val="center"/>
          </w:tcPr>
          <w:p w14:paraId="6CA489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好</w:t>
            </w:r>
          </w:p>
        </w:tc>
        <w:tc>
          <w:tcPr>
            <w:tcW w:w="814" w:type="pct"/>
            <w:noWrap w:val="0"/>
            <w:tcMar>
              <w:top w:w="0" w:type="dxa"/>
              <w:left w:w="0" w:type="dxa"/>
              <w:bottom w:w="0" w:type="dxa"/>
              <w:right w:w="0" w:type="dxa"/>
            </w:tcMar>
            <w:vAlign w:val="center"/>
          </w:tcPr>
          <w:p w14:paraId="61DA9B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好</w:t>
            </w:r>
          </w:p>
        </w:tc>
        <w:tc>
          <w:tcPr>
            <w:tcW w:w="812" w:type="pct"/>
            <w:noWrap w:val="0"/>
            <w:tcMar>
              <w:top w:w="0" w:type="dxa"/>
              <w:left w:w="0" w:type="dxa"/>
              <w:bottom w:w="0" w:type="dxa"/>
              <w:right w:w="0" w:type="dxa"/>
            </w:tcMar>
            <w:vAlign w:val="center"/>
          </w:tcPr>
          <w:p w14:paraId="7A67C7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好</w:t>
            </w:r>
          </w:p>
        </w:tc>
        <w:tc>
          <w:tcPr>
            <w:tcW w:w="753" w:type="pct"/>
            <w:noWrap w:val="0"/>
            <w:tcMar>
              <w:top w:w="0" w:type="dxa"/>
              <w:left w:w="0" w:type="dxa"/>
              <w:bottom w:w="0" w:type="dxa"/>
              <w:right w:w="0" w:type="dxa"/>
            </w:tcMar>
            <w:vAlign w:val="center"/>
          </w:tcPr>
          <w:p w14:paraId="0C668B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好</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867" w:type="pct"/>
            <w:noWrap w:val="0"/>
            <w:tcMar>
              <w:top w:w="0" w:type="dxa"/>
              <w:left w:w="0" w:type="dxa"/>
              <w:bottom w:w="0" w:type="dxa"/>
              <w:right w:w="0" w:type="dxa"/>
            </w:tcMar>
            <w:vAlign w:val="center"/>
          </w:tcPr>
          <w:p w14:paraId="30192E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七成新</w:t>
            </w:r>
          </w:p>
        </w:tc>
        <w:tc>
          <w:tcPr>
            <w:tcW w:w="814" w:type="pct"/>
            <w:noWrap w:val="0"/>
            <w:tcMar>
              <w:top w:w="0" w:type="dxa"/>
              <w:left w:w="0" w:type="dxa"/>
              <w:bottom w:w="0" w:type="dxa"/>
              <w:right w:w="0" w:type="dxa"/>
            </w:tcMar>
            <w:vAlign w:val="center"/>
          </w:tcPr>
          <w:p w14:paraId="5D7E39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七成新</w:t>
            </w:r>
          </w:p>
        </w:tc>
        <w:tc>
          <w:tcPr>
            <w:tcW w:w="812" w:type="pct"/>
            <w:noWrap w:val="0"/>
            <w:tcMar>
              <w:top w:w="0" w:type="dxa"/>
              <w:left w:w="0" w:type="dxa"/>
              <w:bottom w:w="0" w:type="dxa"/>
              <w:right w:w="0" w:type="dxa"/>
            </w:tcMar>
            <w:vAlign w:val="center"/>
          </w:tcPr>
          <w:p w14:paraId="042EF4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七成新</w:t>
            </w:r>
          </w:p>
        </w:tc>
        <w:tc>
          <w:tcPr>
            <w:tcW w:w="753" w:type="pct"/>
            <w:noWrap w:val="0"/>
            <w:tcMar>
              <w:top w:w="0" w:type="dxa"/>
              <w:left w:w="0" w:type="dxa"/>
              <w:bottom w:w="0" w:type="dxa"/>
              <w:right w:w="0" w:type="dxa"/>
            </w:tcMar>
            <w:vAlign w:val="center"/>
          </w:tcPr>
          <w:p w14:paraId="7E86AF5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七成新</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867" w:type="pct"/>
            <w:noWrap w:val="0"/>
            <w:tcMar>
              <w:top w:w="0" w:type="dxa"/>
              <w:left w:w="0" w:type="dxa"/>
              <w:bottom w:w="0" w:type="dxa"/>
              <w:right w:w="0" w:type="dxa"/>
            </w:tcMar>
            <w:vAlign w:val="center"/>
          </w:tcPr>
          <w:p w14:paraId="47EE7A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砖混</w:t>
            </w:r>
          </w:p>
        </w:tc>
        <w:tc>
          <w:tcPr>
            <w:tcW w:w="814" w:type="pct"/>
            <w:noWrap w:val="0"/>
            <w:tcMar>
              <w:top w:w="0" w:type="dxa"/>
              <w:left w:w="0" w:type="dxa"/>
              <w:bottom w:w="0" w:type="dxa"/>
              <w:right w:w="0" w:type="dxa"/>
            </w:tcMar>
            <w:vAlign w:val="center"/>
          </w:tcPr>
          <w:p w14:paraId="45B4C69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砖混</w:t>
            </w:r>
          </w:p>
        </w:tc>
        <w:tc>
          <w:tcPr>
            <w:tcW w:w="812" w:type="pct"/>
            <w:noWrap w:val="0"/>
            <w:tcMar>
              <w:top w:w="0" w:type="dxa"/>
              <w:left w:w="0" w:type="dxa"/>
              <w:bottom w:w="0" w:type="dxa"/>
              <w:right w:w="0" w:type="dxa"/>
            </w:tcMar>
            <w:vAlign w:val="center"/>
          </w:tcPr>
          <w:p w14:paraId="5C1EA3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砖混</w:t>
            </w:r>
          </w:p>
        </w:tc>
        <w:tc>
          <w:tcPr>
            <w:tcW w:w="753" w:type="pct"/>
            <w:noWrap w:val="0"/>
            <w:tcMar>
              <w:top w:w="0" w:type="dxa"/>
              <w:left w:w="0" w:type="dxa"/>
              <w:bottom w:w="0" w:type="dxa"/>
              <w:right w:w="0" w:type="dxa"/>
            </w:tcMar>
            <w:vAlign w:val="center"/>
          </w:tcPr>
          <w:p w14:paraId="0731EF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砖混</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867" w:type="pct"/>
            <w:noWrap w:val="0"/>
            <w:tcMar>
              <w:top w:w="0" w:type="dxa"/>
              <w:left w:w="0" w:type="dxa"/>
              <w:bottom w:w="0" w:type="dxa"/>
              <w:right w:w="0" w:type="dxa"/>
            </w:tcMar>
            <w:vAlign w:val="center"/>
          </w:tcPr>
          <w:p w14:paraId="652F7E7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合理</w:t>
            </w:r>
          </w:p>
        </w:tc>
        <w:tc>
          <w:tcPr>
            <w:tcW w:w="814" w:type="pct"/>
            <w:noWrap w:val="0"/>
            <w:tcMar>
              <w:top w:w="0" w:type="dxa"/>
              <w:left w:w="0" w:type="dxa"/>
              <w:bottom w:w="0" w:type="dxa"/>
              <w:right w:w="0" w:type="dxa"/>
            </w:tcMar>
            <w:vAlign w:val="center"/>
          </w:tcPr>
          <w:p w14:paraId="4612E5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合理</w:t>
            </w:r>
          </w:p>
        </w:tc>
        <w:tc>
          <w:tcPr>
            <w:tcW w:w="812" w:type="pct"/>
            <w:noWrap w:val="0"/>
            <w:tcMar>
              <w:top w:w="0" w:type="dxa"/>
              <w:left w:w="0" w:type="dxa"/>
              <w:bottom w:w="0" w:type="dxa"/>
              <w:right w:w="0" w:type="dxa"/>
            </w:tcMar>
            <w:vAlign w:val="center"/>
          </w:tcPr>
          <w:p w14:paraId="22E235C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合理</w:t>
            </w:r>
          </w:p>
        </w:tc>
        <w:tc>
          <w:tcPr>
            <w:tcW w:w="753" w:type="pct"/>
            <w:noWrap w:val="0"/>
            <w:tcMar>
              <w:top w:w="0" w:type="dxa"/>
              <w:left w:w="0" w:type="dxa"/>
              <w:bottom w:w="0" w:type="dxa"/>
              <w:right w:w="0" w:type="dxa"/>
            </w:tcMar>
            <w:vAlign w:val="center"/>
          </w:tcPr>
          <w:p w14:paraId="2D2D5A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合理</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867" w:type="pct"/>
            <w:noWrap w:val="0"/>
            <w:tcMar>
              <w:top w:w="0" w:type="dxa"/>
              <w:left w:w="0" w:type="dxa"/>
              <w:bottom w:w="0" w:type="dxa"/>
              <w:right w:w="0" w:type="dxa"/>
            </w:tcMar>
            <w:vAlign w:val="center"/>
          </w:tcPr>
          <w:p w14:paraId="52B11D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简单装修</w:t>
            </w:r>
          </w:p>
        </w:tc>
        <w:tc>
          <w:tcPr>
            <w:tcW w:w="814" w:type="pct"/>
            <w:noWrap w:val="0"/>
            <w:tcMar>
              <w:top w:w="0" w:type="dxa"/>
              <w:left w:w="0" w:type="dxa"/>
              <w:bottom w:w="0" w:type="dxa"/>
              <w:right w:w="0" w:type="dxa"/>
            </w:tcMar>
            <w:vAlign w:val="center"/>
          </w:tcPr>
          <w:p w14:paraId="117D20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简单装修</w:t>
            </w:r>
          </w:p>
        </w:tc>
        <w:tc>
          <w:tcPr>
            <w:tcW w:w="812" w:type="pct"/>
            <w:noWrap w:val="0"/>
            <w:tcMar>
              <w:top w:w="0" w:type="dxa"/>
              <w:left w:w="0" w:type="dxa"/>
              <w:bottom w:w="0" w:type="dxa"/>
              <w:right w:w="0" w:type="dxa"/>
            </w:tcMar>
            <w:vAlign w:val="center"/>
          </w:tcPr>
          <w:p w14:paraId="7780A2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简单装修</w:t>
            </w:r>
          </w:p>
        </w:tc>
        <w:tc>
          <w:tcPr>
            <w:tcW w:w="753" w:type="pct"/>
            <w:noWrap w:val="0"/>
            <w:tcMar>
              <w:top w:w="0" w:type="dxa"/>
              <w:left w:w="0" w:type="dxa"/>
              <w:bottom w:w="0" w:type="dxa"/>
              <w:right w:w="0" w:type="dxa"/>
            </w:tcMar>
            <w:vAlign w:val="center"/>
          </w:tcPr>
          <w:p w14:paraId="7C2B4E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简单装修</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867" w:type="pct"/>
            <w:noWrap w:val="0"/>
            <w:tcMar>
              <w:top w:w="0" w:type="dxa"/>
              <w:left w:w="0" w:type="dxa"/>
              <w:bottom w:w="0" w:type="dxa"/>
              <w:right w:w="0" w:type="dxa"/>
            </w:tcMar>
            <w:vAlign w:val="center"/>
          </w:tcPr>
          <w:p w14:paraId="6224D66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基本满足停车需求</w:t>
            </w:r>
          </w:p>
        </w:tc>
        <w:tc>
          <w:tcPr>
            <w:tcW w:w="814" w:type="pct"/>
            <w:noWrap w:val="0"/>
            <w:tcMar>
              <w:top w:w="0" w:type="dxa"/>
              <w:left w:w="0" w:type="dxa"/>
              <w:bottom w:w="0" w:type="dxa"/>
              <w:right w:w="0" w:type="dxa"/>
            </w:tcMar>
            <w:vAlign w:val="center"/>
          </w:tcPr>
          <w:p w14:paraId="6C29411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基本满足停车需求</w:t>
            </w:r>
          </w:p>
        </w:tc>
        <w:tc>
          <w:tcPr>
            <w:tcW w:w="812" w:type="pct"/>
            <w:noWrap w:val="0"/>
            <w:tcMar>
              <w:top w:w="0" w:type="dxa"/>
              <w:left w:w="0" w:type="dxa"/>
              <w:bottom w:w="0" w:type="dxa"/>
              <w:right w:w="0" w:type="dxa"/>
            </w:tcMar>
            <w:vAlign w:val="center"/>
          </w:tcPr>
          <w:p w14:paraId="259188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基本满足停车需求</w:t>
            </w:r>
          </w:p>
        </w:tc>
        <w:tc>
          <w:tcPr>
            <w:tcW w:w="753" w:type="pct"/>
            <w:noWrap w:val="0"/>
            <w:tcMar>
              <w:top w:w="0" w:type="dxa"/>
              <w:left w:w="0" w:type="dxa"/>
              <w:bottom w:w="0" w:type="dxa"/>
              <w:right w:w="0" w:type="dxa"/>
            </w:tcMar>
            <w:vAlign w:val="center"/>
          </w:tcPr>
          <w:p w14:paraId="28ECF1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基本满足停车需求</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867" w:type="pct"/>
            <w:noWrap w:val="0"/>
            <w:tcMar>
              <w:top w:w="0" w:type="dxa"/>
              <w:left w:w="0" w:type="dxa"/>
              <w:bottom w:w="0" w:type="dxa"/>
              <w:right w:w="0" w:type="dxa"/>
            </w:tcMar>
            <w:vAlign w:val="center"/>
          </w:tcPr>
          <w:p w14:paraId="30B9AF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无</w:t>
            </w:r>
          </w:p>
        </w:tc>
        <w:tc>
          <w:tcPr>
            <w:tcW w:w="814" w:type="pct"/>
            <w:noWrap w:val="0"/>
            <w:tcMar>
              <w:top w:w="0" w:type="dxa"/>
              <w:left w:w="0" w:type="dxa"/>
              <w:bottom w:w="0" w:type="dxa"/>
              <w:right w:w="0" w:type="dxa"/>
            </w:tcMar>
            <w:vAlign w:val="center"/>
          </w:tcPr>
          <w:p w14:paraId="3829D56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无</w:t>
            </w:r>
          </w:p>
        </w:tc>
        <w:tc>
          <w:tcPr>
            <w:tcW w:w="812" w:type="pct"/>
            <w:noWrap w:val="0"/>
            <w:tcMar>
              <w:top w:w="0" w:type="dxa"/>
              <w:left w:w="0" w:type="dxa"/>
              <w:bottom w:w="0" w:type="dxa"/>
              <w:right w:w="0" w:type="dxa"/>
            </w:tcMar>
            <w:vAlign w:val="center"/>
          </w:tcPr>
          <w:p w14:paraId="018B66E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无</w:t>
            </w:r>
          </w:p>
        </w:tc>
        <w:tc>
          <w:tcPr>
            <w:tcW w:w="753" w:type="pct"/>
            <w:noWrap w:val="0"/>
            <w:tcMar>
              <w:top w:w="0" w:type="dxa"/>
              <w:left w:w="0" w:type="dxa"/>
              <w:bottom w:w="0" w:type="dxa"/>
              <w:right w:w="0" w:type="dxa"/>
            </w:tcMar>
            <w:vAlign w:val="center"/>
          </w:tcPr>
          <w:p w14:paraId="46F35BB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无</w:t>
            </w:r>
          </w:p>
        </w:tc>
      </w:tr>
    </w:tbl>
    <w:p w14:paraId="70C32A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3"/>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4"/>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位置</w:t>
            </w:r>
          </w:p>
        </w:tc>
        <w:tc>
          <w:tcPr>
            <w:tcW w:w="1269" w:type="dxa"/>
            <w:noWrap w:val="0"/>
            <w:vAlign w:val="bottom"/>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道江镇濂溪山庄宝珍街南六栋九号</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道州中路466号爱莲商业广场</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道州中路466号爱莲商业广场</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道县道州中路397号</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住宅租金(元/m</w:t>
            </w:r>
            <w:r>
              <w:rPr>
                <w:rFonts w:hint="default" w:ascii="仿宋_GB2312" w:hAnsi="仿宋_GB2312" w:eastAsia="仿宋_GB2312" w:cs="仿宋_GB2312"/>
                <w:b w:val="0"/>
                <w:bCs w:val="0"/>
                <w:color w:val="000000"/>
                <w:kern w:val="2"/>
                <w:sz w:val="21"/>
                <w:szCs w:val="21"/>
                <w:highlight w:val="none"/>
                <w:vertAlign w:val="superscript"/>
                <w:lang w:val="en-US" w:eastAsia="zh-CN" w:bidi="ar-SA"/>
              </w:rPr>
              <w:t>2</w:t>
            </w:r>
            <w:r>
              <w:rPr>
                <w:rFonts w:hint="default" w:ascii="仿宋_GB2312" w:hAnsi="仿宋_GB2312" w:eastAsia="仿宋_GB2312" w:cs="仿宋_GB2312"/>
                <w:b w:val="0"/>
                <w:bCs w:val="0"/>
                <w:color w:val="000000"/>
                <w:kern w:val="2"/>
                <w:sz w:val="21"/>
                <w:szCs w:val="21"/>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11.4</w:t>
            </w:r>
          </w:p>
        </w:tc>
        <w:tc>
          <w:tcPr>
            <w:tcW w:w="1401" w:type="dxa"/>
            <w:noWrap w:val="0"/>
            <w:vAlign w:val="center"/>
          </w:tcPr>
          <w:p w14:paraId="7F66CDF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11.4</w:t>
            </w:r>
          </w:p>
        </w:tc>
        <w:tc>
          <w:tcPr>
            <w:tcW w:w="1404" w:type="dxa"/>
            <w:noWrap w:val="0"/>
            <w:vAlign w:val="center"/>
          </w:tcPr>
          <w:p w14:paraId="460F140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11.5</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交通便捷度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w:t>
            </w:r>
            <w:r>
              <w:rPr>
                <w:rFonts w:hint="eastAsia" w:ascii="仿宋_GB2312" w:hAnsi="仿宋_GB2312" w:eastAsia="仿宋_GB2312" w:cs="仿宋_GB2312"/>
                <w:b w:val="0"/>
                <w:bCs w:val="0"/>
                <w:color w:val="000000"/>
                <w:kern w:val="2"/>
                <w:sz w:val="21"/>
                <w:szCs w:val="21"/>
                <w:highlight w:val="none"/>
                <w:lang w:val="en-US" w:eastAsia="zh-CN" w:bidi="ar-SA"/>
              </w:rPr>
              <w:t>0</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w:t>
            </w:r>
            <w:r>
              <w:rPr>
                <w:rFonts w:hint="eastAsia" w:ascii="仿宋_GB2312" w:hAnsi="仿宋_GB2312" w:eastAsia="仿宋_GB2312" w:cs="仿宋_GB2312"/>
                <w:b w:val="0"/>
                <w:bCs w:val="0"/>
                <w:color w:val="000000"/>
                <w:kern w:val="2"/>
                <w:sz w:val="21"/>
                <w:szCs w:val="21"/>
                <w:highlight w:val="none"/>
                <w:lang w:val="en-US" w:eastAsia="zh-CN" w:bidi="ar-SA"/>
              </w:rPr>
              <w:t>0</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w:t>
            </w:r>
            <w:r>
              <w:rPr>
                <w:rFonts w:hint="eastAsia" w:ascii="仿宋_GB2312" w:hAnsi="仿宋_GB2312" w:eastAsia="仿宋_GB2312" w:cs="仿宋_GB2312"/>
                <w:b w:val="0"/>
                <w:bCs w:val="0"/>
                <w:color w:val="000000"/>
                <w:kern w:val="2"/>
                <w:sz w:val="21"/>
                <w:szCs w:val="21"/>
                <w:highlight w:val="none"/>
                <w:lang w:val="en-US" w:eastAsia="zh-CN" w:bidi="ar-SA"/>
              </w:rPr>
              <w:t>0</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道路</w:t>
            </w:r>
            <w:r>
              <w:rPr>
                <w:rFonts w:hint="eastAsia" w:ascii="仿宋_GB2312" w:hAnsi="仿宋_GB2312" w:eastAsia="仿宋_GB2312" w:cs="仿宋_GB2312"/>
                <w:b w:val="0"/>
                <w:bCs w:val="0"/>
                <w:color w:val="000000"/>
                <w:kern w:val="2"/>
                <w:sz w:val="21"/>
                <w:szCs w:val="21"/>
                <w:highlight w:val="none"/>
                <w:lang w:val="en-US" w:eastAsia="zh-CN" w:bidi="ar-SA"/>
              </w:rPr>
              <w:t>通达</w:t>
            </w:r>
            <w:r>
              <w:rPr>
                <w:rFonts w:hint="default" w:ascii="仿宋_GB2312" w:hAnsi="仿宋_GB2312" w:eastAsia="仿宋_GB2312" w:cs="仿宋_GB2312"/>
                <w:b w:val="0"/>
                <w:bCs w:val="0"/>
                <w:color w:val="000000"/>
                <w:kern w:val="2"/>
                <w:sz w:val="21"/>
                <w:szCs w:val="21"/>
                <w:highlight w:val="none"/>
                <w:lang w:val="en-US" w:eastAsia="zh-CN" w:bidi="ar-SA"/>
              </w:rPr>
              <w:t>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w:t>
            </w:r>
            <w:r>
              <w:rPr>
                <w:rFonts w:hint="eastAsia" w:ascii="仿宋_GB2312" w:hAnsi="仿宋_GB2312" w:eastAsia="仿宋_GB2312" w:cs="仿宋_GB2312"/>
                <w:b w:val="0"/>
                <w:bCs w:val="0"/>
                <w:color w:val="000000"/>
                <w:kern w:val="2"/>
                <w:sz w:val="21"/>
                <w:szCs w:val="21"/>
                <w:highlight w:val="none"/>
                <w:lang w:val="en-US" w:eastAsia="zh-CN" w:bidi="ar-SA"/>
              </w:rPr>
              <w:t>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w:t>
            </w:r>
            <w:r>
              <w:rPr>
                <w:rFonts w:hint="eastAsia" w:ascii="仿宋_GB2312" w:hAnsi="仿宋_GB2312" w:eastAsia="仿宋_GB2312" w:cs="仿宋_GB2312"/>
                <w:b w:val="0"/>
                <w:bCs w:val="0"/>
                <w:color w:val="000000"/>
                <w:kern w:val="2"/>
                <w:sz w:val="21"/>
                <w:szCs w:val="21"/>
                <w:highlight w:val="none"/>
                <w:lang w:val="en-US" w:eastAsia="zh-CN" w:bidi="ar-SA"/>
              </w:rPr>
              <w:t>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w:t>
            </w:r>
            <w:r>
              <w:rPr>
                <w:rFonts w:hint="eastAsia" w:ascii="仿宋_GB2312" w:hAnsi="仿宋_GB2312" w:eastAsia="仿宋_GB2312" w:cs="仿宋_GB2312"/>
                <w:b w:val="0"/>
                <w:bCs w:val="0"/>
                <w:color w:val="000000"/>
                <w:kern w:val="2"/>
                <w:sz w:val="21"/>
                <w:szCs w:val="21"/>
                <w:highlight w:val="none"/>
                <w:lang w:val="en-US" w:eastAsia="zh-CN" w:bidi="ar-SA"/>
              </w:rPr>
              <w:t>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bl>
    <w:p w14:paraId="35F53835">
      <w:pPr>
        <w:pStyle w:val="13"/>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15</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47"/>
        <w:gridCol w:w="1742"/>
        <w:gridCol w:w="1554"/>
        <w:gridCol w:w="1648"/>
        <w:gridCol w:w="9"/>
        <w:gridCol w:w="1638"/>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19" w:hRule="atLeast"/>
        </w:trPr>
        <w:tc>
          <w:tcPr>
            <w:tcW w:w="3389"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554"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48"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47"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2" w:hRule="atLeast"/>
        </w:trPr>
        <w:tc>
          <w:tcPr>
            <w:tcW w:w="3389"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554"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道州中路466号爱莲商业广场</w:t>
            </w:r>
          </w:p>
        </w:tc>
        <w:tc>
          <w:tcPr>
            <w:tcW w:w="1648"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道州中路466号爱莲商业广场</w:t>
            </w:r>
          </w:p>
        </w:tc>
        <w:tc>
          <w:tcPr>
            <w:tcW w:w="1647"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道县道州中路397号</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3389"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554" w:type="dxa"/>
            <w:noWrap w:val="0"/>
            <w:vAlign w:val="center"/>
          </w:tcPr>
          <w:p w14:paraId="33A9C3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11.4</w:t>
            </w:r>
          </w:p>
        </w:tc>
        <w:tc>
          <w:tcPr>
            <w:tcW w:w="1648" w:type="dxa"/>
            <w:noWrap w:val="0"/>
            <w:vAlign w:val="center"/>
          </w:tcPr>
          <w:p w14:paraId="590374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11.4</w:t>
            </w:r>
          </w:p>
        </w:tc>
        <w:tc>
          <w:tcPr>
            <w:tcW w:w="1647" w:type="dxa"/>
            <w:gridSpan w:val="2"/>
            <w:noWrap w:val="0"/>
            <w:vAlign w:val="center"/>
          </w:tcPr>
          <w:p w14:paraId="2A3E58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宋体" w:eastAsia="仿宋_GB2312" w:cs="仿宋_GB2312"/>
                <w:i w:val="0"/>
                <w:iCs w:val="0"/>
                <w:color w:val="000000"/>
                <w:kern w:val="0"/>
                <w:sz w:val="20"/>
                <w:szCs w:val="20"/>
                <w:u w:val="none"/>
                <w:lang w:val="en-US" w:eastAsia="zh-CN" w:bidi="ar"/>
              </w:rPr>
              <w:t>11.5</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3389"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554"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3389"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554"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3389"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554"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1647"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742"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554"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1647"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42"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554"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1647"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42"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554"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1647"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42"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554"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1647"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42"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554"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4" w:hRule="atLeast"/>
        </w:trPr>
        <w:tc>
          <w:tcPr>
            <w:tcW w:w="1647"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42"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554"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1647"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742"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554"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48"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47"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1647"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42"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554"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1647"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42"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554"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1647"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42"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554"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1647"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42"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554"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1647"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42"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554"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1647"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42"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554"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1647"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42"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554"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8"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47"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26" w:hRule="atLeast"/>
        </w:trPr>
        <w:tc>
          <w:tcPr>
            <w:tcW w:w="3389"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554" w:type="dxa"/>
            <w:noWrap w:val="0"/>
            <w:vAlign w:val="center"/>
          </w:tcPr>
          <w:p w14:paraId="1248508A">
            <w:pPr>
              <w:keepNext w:val="0"/>
              <w:keepLines w:val="0"/>
              <w:widowControl/>
              <w:suppressLineNumbers w:val="0"/>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 xml:space="preserve">11.18 </w:t>
            </w:r>
          </w:p>
        </w:tc>
        <w:tc>
          <w:tcPr>
            <w:tcW w:w="1657" w:type="dxa"/>
            <w:gridSpan w:val="2"/>
            <w:noWrap w:val="0"/>
            <w:vAlign w:val="center"/>
          </w:tcPr>
          <w:p w14:paraId="5ABF40B2">
            <w:pPr>
              <w:keepNext w:val="0"/>
              <w:keepLines w:val="0"/>
              <w:widowControl/>
              <w:suppressLineNumbers w:val="0"/>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 xml:space="preserve">11.18 </w:t>
            </w:r>
          </w:p>
        </w:tc>
        <w:tc>
          <w:tcPr>
            <w:tcW w:w="1638" w:type="dxa"/>
            <w:noWrap w:val="0"/>
            <w:vAlign w:val="center"/>
          </w:tcPr>
          <w:p w14:paraId="04F3FF60">
            <w:pPr>
              <w:keepNext w:val="0"/>
              <w:keepLines w:val="0"/>
              <w:widowControl/>
              <w:suppressLineNumbers w:val="0"/>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 xml:space="preserve">11.27 </w:t>
            </w:r>
          </w:p>
        </w:tc>
      </w:tr>
      <w:tr w14:paraId="1DEE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6" w:hRule="atLeast"/>
        </w:trPr>
        <w:tc>
          <w:tcPr>
            <w:tcW w:w="3389"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849" w:type="dxa"/>
            <w:gridSpan w:val="4"/>
            <w:noWrap w:val="0"/>
            <w:vAlign w:val="center"/>
          </w:tcPr>
          <w:p w14:paraId="0D6134E7">
            <w:pPr>
              <w:jc w:val="center"/>
              <w:rPr>
                <w:rFonts w:hint="eastAsia" w:ascii="仿宋_GB2312" w:hAnsi="仿宋_GB2312" w:eastAsia="仿宋_GB2312" w:cs="仿宋_GB2312"/>
                <w:b w:val="0"/>
                <w:bCs w:val="0"/>
                <w:color w:val="auto"/>
                <w:sz w:val="20"/>
                <w:szCs w:val="20"/>
              </w:rPr>
            </w:pPr>
            <w:r>
              <w:rPr>
                <w:rFonts w:hint="eastAsia" w:ascii="仿宋_GB2312" w:hAnsi="仿宋_GB2312" w:eastAsia="仿宋_GB2312" w:cs="仿宋_GB2312"/>
                <w:b w:val="0"/>
                <w:bCs w:val="0"/>
                <w:i w:val="0"/>
                <w:iCs w:val="0"/>
                <w:color w:val="auto"/>
                <w:kern w:val="0"/>
                <w:sz w:val="20"/>
                <w:szCs w:val="20"/>
                <w:u w:val="none"/>
                <w:lang w:val="en-US" w:eastAsia="zh-CN" w:bidi="ar"/>
              </w:rPr>
              <w:t xml:space="preserve">11.21 </w:t>
            </w:r>
          </w:p>
        </w:tc>
      </w:tr>
    </w:tbl>
    <w:p w14:paraId="0367F22D">
      <w:pPr>
        <w:keepNext w:val="0"/>
        <w:keepLines w:val="0"/>
        <w:pageBreakBefore w:val="0"/>
        <w:widowControl w:val="0"/>
        <w:kinsoku/>
        <w:wordWrap/>
        <w:overflowPunct/>
        <w:topLinePunct w:val="0"/>
        <w:autoSpaceDE/>
        <w:autoSpaceDN/>
        <w:bidi w:val="0"/>
        <w:adjustRightInd w:val="0"/>
        <w:snapToGrid w:val="0"/>
        <w:spacing w:line="460" w:lineRule="exact"/>
        <w:ind w:firstLine="616"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Times New Roman" w:hAnsi="Times New Roman" w:eastAsia="仿宋" w:cs="Times New Roman"/>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（11.18</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11.18</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11.27）/3</w:t>
      </w:r>
      <w:r>
        <w:rPr>
          <w:rFonts w:hint="eastAsia" w:ascii="仿宋_GB2312" w:hAnsi="仿宋_GB2312" w:eastAsia="仿宋_GB2312" w:cs="仿宋_GB2312"/>
          <w:b w:val="0"/>
          <w:bCs w:val="0"/>
          <w:color w:val="000000"/>
          <w:kern w:val="2"/>
          <w:sz w:val="28"/>
          <w:szCs w:val="28"/>
          <w:highlight w:val="none"/>
          <w:lang w:val="en-US" w:eastAsia="zh-CN" w:bidi="ar-SA"/>
        </w:rPr>
        <w:t>＝11.21</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出租率＝11.21</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205.45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0＝2.5470（万元）</w:t>
      </w:r>
    </w:p>
    <w:p w14:paraId="657185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2.5470</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0.0509</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Times New Roman"/>
          <w:sz w:val="28"/>
          <w:szCs w:val="30"/>
          <w:lang w:val="en-US" w:eastAsia="zh-CN"/>
        </w:rPr>
        <w:t>砖混</w:t>
      </w:r>
      <w:r>
        <w:rPr>
          <w:rFonts w:hint="eastAsia" w:ascii="仿宋_GB2312" w:hAnsi="Times New Roman" w:eastAsia="仿宋_GB2312" w:cs="Times New Roman"/>
          <w:sz w:val="28"/>
          <w:szCs w:val="30"/>
          <w:lang w:val="en-GB"/>
        </w:rPr>
        <w:t>结构</w:t>
      </w:r>
      <w:r>
        <w:rPr>
          <w:rFonts w:hint="eastAsia" w:ascii="仿宋_GB2312" w:eastAsia="仿宋_GB2312" w:cs="Times New Roman"/>
          <w:sz w:val="28"/>
          <w:szCs w:val="30"/>
          <w:lang w:val="en-US" w:eastAsia="zh-CN"/>
        </w:rPr>
        <w:t>二等</w:t>
      </w:r>
      <w:r>
        <w:rPr>
          <w:rFonts w:hint="eastAsia" w:ascii="仿宋_GB2312" w:hAnsi="Times New Roman" w:eastAsia="仿宋_GB2312" w:cs="Times New Roman"/>
          <w:sz w:val="28"/>
          <w:szCs w:val="30"/>
          <w:lang w:val="en-GB"/>
        </w:rPr>
        <w:t>建设成本价格在1</w:t>
      </w:r>
      <w:r>
        <w:rPr>
          <w:rFonts w:hint="eastAsia" w:ascii="仿宋_GB2312" w:eastAsia="仿宋_GB2312" w:cs="Times New Roman"/>
          <w:sz w:val="28"/>
          <w:szCs w:val="30"/>
          <w:lang w:val="en-US" w:eastAsia="zh-CN"/>
        </w:rPr>
        <w:t>2</w:t>
      </w:r>
      <w:r>
        <w:rPr>
          <w:rFonts w:hint="eastAsia" w:ascii="仿宋_GB2312" w:hAnsi="Times New Roman" w:eastAsia="仿宋_GB2312" w:cs="Times New Roman"/>
          <w:sz w:val="28"/>
          <w:szCs w:val="30"/>
          <w:lang w:val="en-GB"/>
        </w:rPr>
        <w:t>00-1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GB"/>
        </w:rPr>
        <w:t>00元/平方米</w:t>
      </w:r>
      <w:r>
        <w:rPr>
          <w:rFonts w:hint="eastAsia" w:ascii="仿宋_GB2312" w:hAnsi="Times New Roman" w:eastAsia="仿宋_GB2312" w:cs="Times New Roman"/>
          <w:sz w:val="28"/>
          <w:szCs w:val="30"/>
          <w:lang w:val="en-GB" w:eastAsia="zh-CN"/>
        </w:rPr>
        <w:t>，</w:t>
      </w: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Times New Roman" w:eastAsia="仿宋_GB2312" w:cs="Times New Roman"/>
          <w:sz w:val="28"/>
          <w:szCs w:val="30"/>
          <w:lang w:val="en-US" w:eastAsia="zh-CN"/>
        </w:rPr>
        <w:t>道县</w:t>
      </w:r>
      <w:r>
        <w:rPr>
          <w:rFonts w:hint="eastAsia" w:ascii="仿宋_GB2312" w:hAnsi="Times New Roman" w:eastAsia="仿宋_GB2312" w:cs="Times New Roman"/>
          <w:sz w:val="28"/>
          <w:szCs w:val="30"/>
          <w:lang w:val="en-GB"/>
        </w:rPr>
        <w:t>，应进行利用系数修正，修正系数为</w:t>
      </w:r>
      <w:r>
        <w:rPr>
          <w:rFonts w:hint="eastAsia" w:ascii="仿宋_GB2312" w:hAnsi="Times New Roman" w:eastAsia="仿宋_GB2312" w:cs="Times New Roman"/>
          <w:sz w:val="28"/>
          <w:szCs w:val="30"/>
          <w:lang w:val="en-US" w:eastAsia="zh-CN"/>
        </w:rPr>
        <w:t>0.90</w:t>
      </w:r>
      <w:r>
        <w:rPr>
          <w:rFonts w:hint="eastAsia" w:ascii="仿宋_GB2312" w:hAnsi="Times New Roman" w:eastAsia="仿宋_GB2312" w:cs="Times New Roman"/>
          <w:sz w:val="28"/>
          <w:szCs w:val="30"/>
          <w:lang w:val="en-GB"/>
        </w:rPr>
        <w:t>，取</w:t>
      </w:r>
      <w:r>
        <w:rPr>
          <w:rFonts w:hint="eastAsia" w:ascii="仿宋_GB2312" w:eastAsia="仿宋_GB2312" w:cs="Times New Roman"/>
          <w:sz w:val="28"/>
          <w:szCs w:val="30"/>
          <w:lang w:val="en-US" w:eastAsia="zh-CN"/>
        </w:rPr>
        <w:t>二等砖混</w:t>
      </w:r>
      <w:r>
        <w:rPr>
          <w:rFonts w:hint="eastAsia" w:ascii="仿宋_GB2312" w:hAnsi="Times New Roman" w:eastAsia="仿宋_GB2312" w:cs="Times New Roman"/>
          <w:sz w:val="28"/>
          <w:szCs w:val="30"/>
          <w:lang w:val="en-GB"/>
        </w:rPr>
        <w:t>结构住宅用房重置价格为</w:t>
      </w:r>
      <w:r>
        <w:rPr>
          <w:rFonts w:hint="eastAsia" w:ascii="仿宋_GB2312" w:hAnsi="Times New Roman" w:eastAsia="仿宋_GB2312" w:cs="Times New Roman"/>
          <w:sz w:val="28"/>
          <w:szCs w:val="30"/>
          <w:lang w:val="en-US" w:eastAsia="zh-CN"/>
        </w:rPr>
        <w:t>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US" w:eastAsia="zh-CN"/>
        </w:rPr>
        <w:t>00</w:t>
      </w:r>
      <w:r>
        <w:rPr>
          <w:rFonts w:hint="eastAsia" w:ascii="仿宋_GB2312" w:hAnsi="Times New Roman" w:eastAsia="仿宋_GB2312" w:cs="Times New Roman"/>
          <w:sz w:val="28"/>
          <w:szCs w:val="30"/>
          <w:lang w:val="en-GB"/>
        </w:rPr>
        <w:t>元/平方米，</w:t>
      </w:r>
      <w:r>
        <w:rPr>
          <w:rFonts w:hint="eastAsia" w:ascii="仿宋_GB2312" w:eastAsia="仿宋_GB2312" w:cs="Times New Roman"/>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w:t>
      </w:r>
      <w:r>
        <w:rPr>
          <w:rFonts w:hint="eastAsia" w:ascii="仿宋_GB2312" w:hAnsi="Times New Roman" w:eastAsia="仿宋_GB2312" w:cs="Times New Roman"/>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6</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3.42</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3.42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1252</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＝1252×205.45＝25.7223（万元）</w:t>
      </w:r>
    </w:p>
    <w:p w14:paraId="3E35FEA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autoSpaceDE/>
        <w:autoSpaceDN/>
        <w:bidi w:val="0"/>
        <w:adjustRightInd w:val="0"/>
        <w:snapToGrid w:val="0"/>
        <w:spacing w:line="460" w:lineRule="exact"/>
        <w:ind w:firstLine="2520" w:firstLineChars="9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＝25.7223×2%</w:t>
      </w:r>
    </w:p>
    <w:p w14:paraId="413D9D3D">
      <w:pPr>
        <w:keepNext w:val="0"/>
        <w:keepLines w:val="0"/>
        <w:pageBreakBefore w:val="0"/>
        <w:widowControl w:val="0"/>
        <w:kinsoku/>
        <w:wordWrap/>
        <w:overflowPunct/>
        <w:topLinePunct w:val="0"/>
        <w:autoSpaceDE/>
        <w:autoSpaceDN/>
        <w:bidi w:val="0"/>
        <w:adjustRightInd w:val="0"/>
        <w:snapToGrid w:val="0"/>
        <w:spacing w:line="460" w:lineRule="exact"/>
        <w:ind w:firstLine="2520" w:firstLineChars="9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＝0.5144（万元）</w:t>
      </w:r>
    </w:p>
    <w:p w14:paraId="6DD769B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1998年，已使用年限约为28年，剩余使用年限22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＝25.7223×（1-2%）÷（28+22）</w:t>
      </w:r>
    </w:p>
    <w:p w14:paraId="43F0EC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＝0.5042（万元）</w:t>
      </w:r>
    </w:p>
    <w:p w14:paraId="55DF11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＝25.7223-年折旧费×已使用年限</w:t>
      </w:r>
    </w:p>
    <w:p w14:paraId="63B88B0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＝25.7223-0.5042×28</w:t>
      </w:r>
    </w:p>
    <w:p w14:paraId="7B3E59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＝11.6047（万元）</w:t>
      </w:r>
    </w:p>
    <w:p w14:paraId="299E94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＝11.6047×2%</w:t>
      </w:r>
    </w:p>
    <w:p w14:paraId="033A52B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＝0.0232（万元）</w:t>
      </w:r>
    </w:p>
    <w:p w14:paraId="4127948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autoSpaceDE/>
        <w:autoSpaceDN/>
        <w:bidi w:val="0"/>
        <w:adjustRightInd w:val="0"/>
        <w:snapToGrid w:val="0"/>
        <w:spacing w:line="460" w:lineRule="exact"/>
        <w:ind w:firstLine="2520" w:firstLineChars="9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＝2.5470×4%×50%</w:t>
      </w:r>
    </w:p>
    <w:p w14:paraId="4CAB0B96">
      <w:pPr>
        <w:keepNext w:val="0"/>
        <w:keepLines w:val="0"/>
        <w:pageBreakBefore w:val="0"/>
        <w:widowControl w:val="0"/>
        <w:kinsoku/>
        <w:wordWrap/>
        <w:overflowPunct/>
        <w:topLinePunct w:val="0"/>
        <w:autoSpaceDE/>
        <w:autoSpaceDN/>
        <w:bidi w:val="0"/>
        <w:adjustRightInd w:val="0"/>
        <w:snapToGrid w:val="0"/>
        <w:spacing w:line="460" w:lineRule="exact"/>
        <w:ind w:firstLine="2520" w:firstLineChars="9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＝0.0509（万元）</w:t>
      </w:r>
    </w:p>
    <w:p w14:paraId="0F5FA4A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房地出租年总费用＝经营管理费+经营维修费+房屋年保险费+房屋出租年应交税金＝0.0509+0.5144+0.0232+0.0509＝0.6394（万元）</w:t>
      </w:r>
    </w:p>
    <w:p w14:paraId="4368597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＝2.5470-0.6394</w:t>
      </w:r>
    </w:p>
    <w:p w14:paraId="57761BD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＝1.9076（万元）</w:t>
      </w:r>
    </w:p>
    <w:p w14:paraId="6A17CAF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3"/>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16</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＝11.6047×8.5%</w:t>
      </w:r>
    </w:p>
    <w:p w14:paraId="77B982C7">
      <w:pPr>
        <w:keepNext w:val="0"/>
        <w:keepLines w:val="0"/>
        <w:pageBreakBefore w:val="0"/>
        <w:widowControl w:val="0"/>
        <w:kinsoku/>
        <w:wordWrap/>
        <w:overflowPunct/>
        <w:topLinePunct w:val="0"/>
        <w:bidi w:val="0"/>
        <w:adjustRightInd w:val="0"/>
        <w:snapToGrid w:val="0"/>
        <w:spacing w:line="460" w:lineRule="exact"/>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＝0.9864（万元）</w:t>
      </w:r>
    </w:p>
    <w:p w14:paraId="7F46D56A">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＝1.9076-0.9864</w:t>
      </w:r>
    </w:p>
    <w:p w14:paraId="1B141CE7">
      <w:pPr>
        <w:keepNext w:val="0"/>
        <w:keepLines w:val="0"/>
        <w:pageBreakBefore w:val="0"/>
        <w:widowControl w:val="0"/>
        <w:kinsoku/>
        <w:wordWrap/>
        <w:overflowPunct/>
        <w:topLinePunct w:val="0"/>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＝0.9212（万元）</w:t>
      </w:r>
    </w:p>
    <w:p w14:paraId="30386674">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＝0.9212÷6.5%×[1-1/（1+6.5%）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bidi w:val="0"/>
        <w:adjustRightInd w:val="0"/>
        <w:snapToGrid w:val="0"/>
        <w:spacing w:line="460" w:lineRule="exact"/>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＝13.9994（万元）</w:t>
      </w:r>
    </w:p>
    <w:p w14:paraId="58CC3B76">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＝13.9994×10000÷50</w:t>
      </w:r>
    </w:p>
    <w:p w14:paraId="224783B6">
      <w:pPr>
        <w:keepNext w:val="0"/>
        <w:keepLines w:val="0"/>
        <w:pageBreakBefore w:val="0"/>
        <w:widowControl w:val="0"/>
        <w:kinsoku/>
        <w:wordWrap/>
        <w:overflowPunct/>
        <w:topLinePunct w:val="0"/>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＝2799.9（元/平方米）</w:t>
      </w:r>
    </w:p>
    <w:p w14:paraId="1792EDD9">
      <w:pPr>
        <w:keepNext w:val="0"/>
        <w:keepLines w:val="0"/>
        <w:pageBreakBefore w:val="0"/>
        <w:widowControl w:val="0"/>
        <w:kinsoku/>
        <w:wordWrap/>
        <w:overflowPunct/>
        <w:topLinePunct w:val="0"/>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收益还原法法测算地价的结果为：估价对象于估价期日2026年6月1日，在设定土地用途，设定土地使用年限，设定土地开发程度，现状利用条件下的国有土地出让使用权价格为住宅用地2799.9元/平方米。</w:t>
      </w:r>
    </w:p>
    <w:p w14:paraId="4265A839">
      <w:pPr>
        <w:keepNext w:val="0"/>
        <w:keepLines w:val="0"/>
        <w:pageBreakBefore w:val="0"/>
        <w:widowControl w:val="0"/>
        <w:kinsoku/>
        <w:wordWrap/>
        <w:overflowPunct/>
        <w:topLinePunct w:val="0"/>
        <w:autoSpaceDE w:val="0"/>
        <w:autoSpaceDN w:val="0"/>
        <w:bidi w:val="0"/>
        <w:adjustRightInd w:val="0"/>
        <w:snapToGrid w:val="0"/>
        <w:spacing w:line="460" w:lineRule="exact"/>
        <w:ind w:firstLine="562" w:firstLineChars="200"/>
        <w:textAlignment w:val="auto"/>
        <w:outlineLvl w:val="1"/>
        <w:rPr>
          <w:rFonts w:hint="eastAsia" w:ascii="仿宋_GB2312" w:hAnsi="仿宋_GB2312" w:eastAsia="仿宋_GB2312" w:cs="仿宋_GB2312"/>
          <w:b/>
          <w:bCs/>
          <w:color w:val="000000"/>
          <w:spacing w:val="0"/>
          <w:kern w:val="2"/>
          <w:sz w:val="28"/>
          <w:szCs w:val="28"/>
          <w:highlight w:val="none"/>
          <w:lang w:val="en-US" w:eastAsia="zh-CN" w:bidi="ar-SA"/>
        </w:rPr>
      </w:pPr>
      <w:bookmarkStart w:id="72" w:name="_Toc7875"/>
      <w:r>
        <w:rPr>
          <w:rFonts w:hint="eastAsia" w:ascii="仿宋_GB2312" w:hAnsi="仿宋_GB2312" w:eastAsia="仿宋_GB2312" w:cs="仿宋_GB2312"/>
          <w:b/>
          <w:bCs/>
          <w:color w:val="000000"/>
          <w:spacing w:val="0"/>
          <w:kern w:val="2"/>
          <w:sz w:val="28"/>
          <w:szCs w:val="28"/>
          <w:highlight w:val="none"/>
          <w:lang w:val="en-US" w:eastAsia="zh-CN" w:bidi="ar-SA"/>
        </w:rPr>
        <w:t>三、地价的确定</w:t>
      </w:r>
      <w:bookmarkEnd w:id="70"/>
      <w:bookmarkEnd w:id="71"/>
      <w:bookmarkEnd w:id="72"/>
    </w:p>
    <w:p w14:paraId="2059083B">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1、地价的确定</w:t>
      </w:r>
    </w:p>
    <w:p w14:paraId="48E093A6">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w:t>
      </w:r>
    </w:p>
    <w:p w14:paraId="0ABD6B58">
      <w:pPr>
        <w:pStyle w:val="5"/>
        <w:keepNext w:val="0"/>
        <w:keepLines w:val="0"/>
        <w:pageBreakBefore w:val="0"/>
        <w:widowControl w:val="0"/>
        <w:kinsoku/>
        <w:wordWrap/>
        <w:overflowPunct w:val="0"/>
        <w:topLinePunct w:val="0"/>
        <w:autoSpaceDE w:val="0"/>
        <w:autoSpaceDN w:val="0"/>
        <w:bidi w:val="0"/>
        <w:adjustRightInd w:val="0"/>
        <w:snapToGrid w:val="0"/>
        <w:spacing w:line="460" w:lineRule="exact"/>
        <w:ind w:left="0" w:leftChars="0"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szCs w:val="28"/>
        </w:rPr>
        <w:t>收益还原法是在估算估价对象在未来每年预期纯收益（正常年纯收益）的基础上，以一定的土地还原率，将评估对象在未来每年的纯收益折算为估价期日收益总和的一种方法。因此该方法的测算结果能够比较真实的反映待估宗地的客观合理的市场价格。</w:t>
      </w:r>
    </w:p>
    <w:p w14:paraId="4F4D75E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napToGrid w:val="0"/>
          <w:color w:val="000000"/>
          <w:kern w:val="0"/>
          <w:sz w:val="28"/>
          <w:szCs w:val="28"/>
          <w:highlight w:val="none"/>
        </w:rPr>
        <w:t>通过对当地土地市场和土地价格的分析和两种方法的可靠性综合分析，根据项目特点，综合考虑宗地所在区域的地价水平，确定以</w:t>
      </w:r>
      <w:r>
        <w:rPr>
          <w:rFonts w:hint="eastAsia" w:ascii="仿宋_GB2312" w:hAnsi="仿宋_GB2312" w:eastAsia="仿宋_GB2312" w:cs="仿宋_GB2312"/>
          <w:snapToGrid w:val="0"/>
          <w:color w:val="000000"/>
          <w:kern w:val="0"/>
          <w:sz w:val="28"/>
          <w:szCs w:val="28"/>
          <w:highlight w:val="none"/>
          <w:lang w:val="en-US" w:eastAsia="zh-CN"/>
        </w:rPr>
        <w:t>收益还原法</w:t>
      </w:r>
      <w:r>
        <w:rPr>
          <w:rFonts w:hint="eastAsia" w:ascii="仿宋_GB2312" w:hAnsi="仿宋_GB2312" w:eastAsia="仿宋_GB2312" w:cs="仿宋_GB2312"/>
          <w:snapToGrid w:val="0"/>
          <w:color w:val="000000"/>
          <w:kern w:val="0"/>
          <w:sz w:val="28"/>
          <w:szCs w:val="28"/>
          <w:highlight w:val="none"/>
        </w:rPr>
        <w:t>的评估结果作为本次评估的最终结果。</w:t>
      </w:r>
    </w:p>
    <w:p w14:paraId="129B1C55">
      <w:pPr>
        <w:pStyle w:val="13"/>
        <w:keepNext w:val="0"/>
        <w:keepLines w:val="0"/>
        <w:pageBreakBefore w:val="0"/>
        <w:widowControl w:val="0"/>
        <w:kinsoku w:val="0"/>
        <w:wordWrap/>
        <w:overflowPunct w:val="0"/>
        <w:topLinePunct w:val="0"/>
        <w:autoSpaceDE w:val="0"/>
        <w:autoSpaceDN w:val="0"/>
        <w:bidi w:val="0"/>
        <w:adjustRightInd w:val="0"/>
        <w:snapToGrid w:val="0"/>
        <w:spacing w:line="480" w:lineRule="exact"/>
        <w:ind w:left="0" w:leftChars="0" w:firstLine="0" w:firstLineChars="0"/>
        <w:jc w:val="center"/>
        <w:textAlignment w:val="baseline"/>
        <w:rPr>
          <w:rFonts w:hint="eastAsia" w:ascii="仿宋_GB2312" w:hAnsi="仿宋_GB2312" w:eastAsia="仿宋_GB2312" w:cs="仿宋_GB2312"/>
          <w:b w:val="0"/>
          <w:bCs w:val="0"/>
          <w:color w:val="auto"/>
          <w:kern w:val="2"/>
          <w:sz w:val="28"/>
          <w:szCs w:val="28"/>
          <w:highlight w:val="none"/>
          <w:lang w:val="en-US" w:eastAsia="zh-CN" w:bidi="ar-SA"/>
        </w:rPr>
      </w:pPr>
      <w:r>
        <w:rPr>
          <w:rFonts w:hint="eastAsia" w:ascii="仿宋_GB2312" w:hAnsi="仿宋_GB2312" w:eastAsia="仿宋_GB2312" w:cs="仿宋_GB2312"/>
          <w:b w:val="0"/>
          <w:bCs w:val="0"/>
          <w:color w:val="auto"/>
          <w:kern w:val="2"/>
          <w:sz w:val="28"/>
          <w:szCs w:val="28"/>
          <w:highlight w:val="none"/>
          <w:lang w:val="en-US" w:eastAsia="zh-CN" w:bidi="ar-SA"/>
        </w:rPr>
        <w:t>表</w:t>
      </w:r>
      <w:r>
        <w:rPr>
          <w:rFonts w:hint="eastAsia" w:ascii="仿宋_GB2312" w:hAnsi="仿宋_GB2312" w:cs="仿宋_GB2312"/>
          <w:b w:val="0"/>
          <w:bCs w:val="0"/>
          <w:color w:val="auto"/>
          <w:kern w:val="2"/>
          <w:sz w:val="28"/>
          <w:szCs w:val="28"/>
          <w:highlight w:val="none"/>
          <w:lang w:val="en-US" w:eastAsia="zh-CN" w:bidi="ar-SA"/>
        </w:rPr>
        <w:t>3</w:t>
      </w:r>
      <w:r>
        <w:rPr>
          <w:rFonts w:hint="eastAsia" w:ascii="仿宋_GB2312" w:hAnsi="仿宋_GB2312" w:eastAsia="仿宋_GB2312" w:cs="仿宋_GB2312"/>
          <w:b w:val="0"/>
          <w:bCs w:val="0"/>
          <w:color w:val="auto"/>
          <w:kern w:val="2"/>
          <w:sz w:val="28"/>
          <w:szCs w:val="28"/>
          <w:highlight w:val="none"/>
          <w:lang w:val="en-US" w:eastAsia="zh-CN" w:bidi="ar-SA"/>
        </w:rPr>
        <w:t>-</w:t>
      </w:r>
      <w:r>
        <w:rPr>
          <w:rFonts w:hint="eastAsia" w:ascii="仿宋_GB2312" w:hAnsi="仿宋_GB2312" w:cs="仿宋_GB2312"/>
          <w:b w:val="0"/>
          <w:bCs w:val="0"/>
          <w:color w:val="auto"/>
          <w:kern w:val="2"/>
          <w:sz w:val="28"/>
          <w:szCs w:val="28"/>
          <w:highlight w:val="none"/>
          <w:lang w:val="en-US" w:eastAsia="zh-CN" w:bidi="ar-SA"/>
        </w:rPr>
        <w:t>1估价对象地价</w:t>
      </w:r>
      <w:r>
        <w:rPr>
          <w:rFonts w:hint="eastAsia" w:ascii="仿宋_GB2312" w:hAnsi="仿宋_GB2312" w:eastAsia="仿宋_GB2312" w:cs="仿宋_GB2312"/>
          <w:b w:val="0"/>
          <w:bCs w:val="0"/>
          <w:color w:val="auto"/>
          <w:kern w:val="2"/>
          <w:sz w:val="28"/>
          <w:szCs w:val="28"/>
          <w:highlight w:val="none"/>
          <w:lang w:val="en-US" w:eastAsia="zh-CN" w:bidi="ar-SA"/>
        </w:rPr>
        <w:t>表</w:t>
      </w:r>
    </w:p>
    <w:tbl>
      <w:tblPr>
        <w:tblStyle w:val="14"/>
        <w:tblW w:w="542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2"/>
        <w:gridCol w:w="675"/>
        <w:gridCol w:w="1080"/>
        <w:gridCol w:w="615"/>
        <w:gridCol w:w="1065"/>
        <w:gridCol w:w="476"/>
        <w:gridCol w:w="1132"/>
        <w:gridCol w:w="846"/>
        <w:gridCol w:w="886"/>
        <w:gridCol w:w="816"/>
      </w:tblGrid>
      <w:tr w14:paraId="4AEC3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3" w:type="pct"/>
            <w:vMerge w:val="restart"/>
            <w:tcBorders>
              <w:top w:val="single" w:color="000000" w:sz="4" w:space="0"/>
              <w:left w:val="single" w:color="000000" w:sz="4" w:space="0"/>
              <w:bottom w:val="single" w:color="000000" w:sz="4" w:space="0"/>
              <w:right w:val="single" w:color="000000" w:sz="4" w:space="0"/>
              <w:tl2br w:val="nil"/>
            </w:tcBorders>
            <w:shd w:val="clear" w:color="auto" w:fill="FFFFFF"/>
            <w:noWrap w:val="0"/>
            <w:vAlign w:val="center"/>
          </w:tcPr>
          <w:p w14:paraId="1EEA925C">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r>
              <w:rPr>
                <w:rFonts w:hint="eastAsia" w:ascii="仿宋_GB2312" w:hAnsi="仿宋_GB2312" w:eastAsia="仿宋_GB2312" w:cs="仿宋_GB2312"/>
                <w:b w:val="0"/>
                <w:bCs w:val="0"/>
                <w:snapToGrid w:val="0"/>
                <w:color w:val="000000"/>
                <w:sz w:val="20"/>
                <w:szCs w:val="20"/>
                <w:highlight w:val="none"/>
              </w:rPr>
              <w:t>评估项目</w:t>
            </w:r>
          </w:p>
        </w:tc>
        <w:tc>
          <w:tcPr>
            <w:tcW w:w="365" w:type="pct"/>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9F09BEE">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r>
              <w:rPr>
                <w:rFonts w:hint="eastAsia" w:ascii="仿宋_GB2312" w:hAnsi="仿宋_GB2312" w:eastAsia="仿宋_GB2312" w:cs="仿宋_GB2312"/>
                <w:b w:val="0"/>
                <w:bCs w:val="0"/>
                <w:snapToGrid w:val="0"/>
                <w:color w:val="000000"/>
                <w:sz w:val="20"/>
                <w:szCs w:val="20"/>
                <w:highlight w:val="none"/>
              </w:rPr>
              <w:t>用途</w:t>
            </w:r>
          </w:p>
        </w:tc>
        <w:tc>
          <w:tcPr>
            <w:tcW w:w="916" w:type="pct"/>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6D5DD0B">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成本逼近法</w:t>
            </w:r>
          </w:p>
        </w:tc>
        <w:tc>
          <w:tcPr>
            <w:tcW w:w="833" w:type="pct"/>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605DCB7">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eastAsia="zh-CN"/>
              </w:rPr>
            </w:pPr>
            <w:r>
              <w:rPr>
                <w:rFonts w:hint="eastAsia" w:ascii="仿宋_GB2312" w:hAnsi="仿宋_GB2312" w:eastAsia="仿宋_GB2312" w:cs="仿宋_GB2312"/>
                <w:b w:val="0"/>
                <w:bCs w:val="0"/>
                <w:snapToGrid w:val="0"/>
                <w:color w:val="000000"/>
                <w:sz w:val="20"/>
                <w:szCs w:val="20"/>
                <w:highlight w:val="none"/>
                <w:lang w:val="en-US" w:eastAsia="zh-CN"/>
              </w:rPr>
              <w:t>收益还原法</w:t>
            </w:r>
          </w:p>
        </w:tc>
        <w:tc>
          <w:tcPr>
            <w:tcW w:w="612" w:type="pct"/>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E9D374D">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eastAsia="zh-CN"/>
              </w:rPr>
            </w:pPr>
            <w:r>
              <w:rPr>
                <w:rFonts w:hint="eastAsia" w:ascii="仿宋_GB2312" w:hAnsi="仿宋_GB2312" w:eastAsia="仿宋_GB2312" w:cs="仿宋_GB2312"/>
                <w:b w:val="0"/>
                <w:bCs w:val="0"/>
                <w:snapToGrid w:val="0"/>
                <w:color w:val="000000"/>
                <w:sz w:val="20"/>
                <w:szCs w:val="20"/>
                <w:highlight w:val="none"/>
              </w:rPr>
              <w:t>确定土地单价</w:t>
            </w:r>
            <w:r>
              <w:rPr>
                <w:rFonts w:hint="eastAsia" w:ascii="仿宋_GB2312" w:hAnsi="仿宋_GB2312" w:eastAsia="仿宋_GB2312" w:cs="仿宋_GB2312"/>
                <w:b w:val="0"/>
                <w:bCs w:val="0"/>
                <w:snapToGrid w:val="0"/>
                <w:color w:val="000000"/>
                <w:sz w:val="20"/>
                <w:szCs w:val="20"/>
                <w:highlight w:val="none"/>
                <w:lang w:val="en-US" w:eastAsia="zh-CN"/>
              </w:rPr>
              <w:t>(</w:t>
            </w:r>
            <w:r>
              <w:rPr>
                <w:rFonts w:hint="eastAsia" w:ascii="仿宋_GB2312" w:hAnsi="仿宋_GB2312" w:eastAsia="仿宋_GB2312" w:cs="仿宋_GB2312"/>
                <w:b w:val="0"/>
                <w:bCs w:val="0"/>
                <w:snapToGrid w:val="0"/>
                <w:color w:val="000000"/>
                <w:sz w:val="20"/>
                <w:szCs w:val="20"/>
                <w:highlight w:val="none"/>
              </w:rPr>
              <w:t>元/ m</w:t>
            </w:r>
            <w:r>
              <w:rPr>
                <w:rFonts w:hint="eastAsia" w:ascii="仿宋_GB2312" w:hAnsi="仿宋_GB2312" w:eastAsia="仿宋_GB2312" w:cs="仿宋_GB2312"/>
                <w:b w:val="0"/>
                <w:bCs w:val="0"/>
                <w:snapToGrid w:val="0"/>
                <w:color w:val="000000"/>
                <w:sz w:val="20"/>
                <w:szCs w:val="20"/>
                <w:highlight w:val="none"/>
                <w:vertAlign w:val="superscript"/>
              </w:rPr>
              <w:t>2</w:t>
            </w:r>
            <w:r>
              <w:rPr>
                <w:rFonts w:hint="eastAsia" w:ascii="仿宋_GB2312" w:hAnsi="仿宋_GB2312" w:eastAsia="仿宋_GB2312" w:cs="仿宋_GB2312"/>
                <w:b w:val="0"/>
                <w:bCs w:val="0"/>
                <w:snapToGrid w:val="0"/>
                <w:color w:val="000000"/>
                <w:sz w:val="20"/>
                <w:szCs w:val="20"/>
                <w:highlight w:val="none"/>
                <w:lang w:val="en-US" w:eastAsia="zh-CN"/>
              </w:rPr>
              <w:t>)</w:t>
            </w:r>
          </w:p>
        </w:tc>
        <w:tc>
          <w:tcPr>
            <w:tcW w:w="457" w:type="pct"/>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EEBC509">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r>
              <w:rPr>
                <w:rFonts w:hint="eastAsia" w:ascii="仿宋_GB2312" w:hAnsi="仿宋_GB2312" w:eastAsia="仿宋_GB2312" w:cs="仿宋_GB2312"/>
                <w:b w:val="0"/>
                <w:bCs w:val="0"/>
                <w:snapToGrid w:val="0"/>
                <w:color w:val="000000"/>
                <w:sz w:val="20"/>
                <w:szCs w:val="20"/>
                <w:highlight w:val="none"/>
              </w:rPr>
              <w:t>土地面积（m</w:t>
            </w:r>
            <w:r>
              <w:rPr>
                <w:rFonts w:hint="eastAsia" w:ascii="仿宋_GB2312" w:hAnsi="仿宋_GB2312" w:eastAsia="仿宋_GB2312" w:cs="仿宋_GB2312"/>
                <w:b w:val="0"/>
                <w:bCs w:val="0"/>
                <w:snapToGrid w:val="0"/>
                <w:color w:val="000000"/>
                <w:sz w:val="20"/>
                <w:szCs w:val="20"/>
                <w:highlight w:val="none"/>
                <w:vertAlign w:val="superscript"/>
              </w:rPr>
              <w:t>2</w:t>
            </w:r>
            <w:r>
              <w:rPr>
                <w:rFonts w:hint="eastAsia" w:ascii="仿宋_GB2312" w:hAnsi="仿宋_GB2312" w:eastAsia="仿宋_GB2312" w:cs="仿宋_GB2312"/>
                <w:b w:val="0"/>
                <w:bCs w:val="0"/>
                <w:snapToGrid w:val="0"/>
                <w:color w:val="000000"/>
                <w:sz w:val="20"/>
                <w:szCs w:val="20"/>
                <w:highlight w:val="none"/>
              </w:rPr>
              <w:t>）</w:t>
            </w:r>
          </w:p>
        </w:tc>
        <w:tc>
          <w:tcPr>
            <w:tcW w:w="479" w:type="pct"/>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B40361">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eastAsia="zh-CN"/>
              </w:rPr>
            </w:pPr>
            <w:r>
              <w:rPr>
                <w:rFonts w:hint="eastAsia" w:ascii="仿宋_GB2312" w:hAnsi="仿宋_GB2312" w:eastAsia="仿宋_GB2312" w:cs="仿宋_GB2312"/>
                <w:b w:val="0"/>
                <w:bCs w:val="0"/>
                <w:snapToGrid w:val="0"/>
                <w:color w:val="000000"/>
                <w:sz w:val="20"/>
                <w:szCs w:val="20"/>
                <w:highlight w:val="none"/>
              </w:rPr>
              <w:t>土地总价</w:t>
            </w:r>
            <w:r>
              <w:rPr>
                <w:rFonts w:hint="eastAsia" w:ascii="仿宋_GB2312" w:hAnsi="仿宋_GB2312" w:eastAsia="仿宋_GB2312" w:cs="仿宋_GB2312"/>
                <w:b w:val="0"/>
                <w:bCs w:val="0"/>
                <w:snapToGrid w:val="0"/>
                <w:color w:val="000000"/>
                <w:sz w:val="20"/>
                <w:szCs w:val="20"/>
                <w:highlight w:val="none"/>
                <w:lang w:val="en-US" w:eastAsia="zh-CN"/>
              </w:rPr>
              <w:t>(</w:t>
            </w:r>
            <w:r>
              <w:rPr>
                <w:rFonts w:hint="eastAsia" w:ascii="仿宋_GB2312" w:hAnsi="仿宋_GB2312" w:eastAsia="仿宋_GB2312" w:cs="仿宋_GB2312"/>
                <w:b w:val="0"/>
                <w:bCs w:val="0"/>
                <w:snapToGrid w:val="0"/>
                <w:color w:val="000000"/>
                <w:sz w:val="20"/>
                <w:szCs w:val="20"/>
                <w:highlight w:val="none"/>
              </w:rPr>
              <w:t>万元</w:t>
            </w:r>
            <w:r>
              <w:rPr>
                <w:rFonts w:hint="eastAsia" w:ascii="仿宋_GB2312" w:hAnsi="仿宋_GB2312" w:eastAsia="仿宋_GB2312" w:cs="仿宋_GB2312"/>
                <w:b w:val="0"/>
                <w:bCs w:val="0"/>
                <w:snapToGrid w:val="0"/>
                <w:color w:val="000000"/>
                <w:sz w:val="20"/>
                <w:szCs w:val="20"/>
                <w:highlight w:val="none"/>
                <w:lang w:val="en-US" w:eastAsia="zh-CN"/>
              </w:rPr>
              <w:t>)</w:t>
            </w:r>
          </w:p>
        </w:tc>
        <w:tc>
          <w:tcPr>
            <w:tcW w:w="441" w:type="pct"/>
            <w:vMerge w:val="restart"/>
            <w:tcBorders>
              <w:top w:val="single" w:color="000000" w:sz="4" w:space="0"/>
              <w:left w:val="single" w:color="000000" w:sz="4" w:space="0"/>
              <w:right w:val="single" w:color="000000" w:sz="4" w:space="0"/>
            </w:tcBorders>
            <w:shd w:val="clear" w:color="auto" w:fill="FFFFFF"/>
            <w:noWrap w:val="0"/>
            <w:vAlign w:val="center"/>
          </w:tcPr>
          <w:p w14:paraId="0B776FE3">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楼面地价(元/</w:t>
            </w:r>
            <w:r>
              <w:rPr>
                <w:rFonts w:hint="eastAsia" w:ascii="仿宋_GB2312" w:hAnsi="仿宋_GB2312" w:eastAsia="仿宋_GB2312" w:cs="仿宋_GB2312"/>
                <w:b w:val="0"/>
                <w:bCs w:val="0"/>
                <w:snapToGrid w:val="0"/>
                <w:color w:val="000000"/>
                <w:sz w:val="20"/>
                <w:szCs w:val="20"/>
                <w:highlight w:val="none"/>
              </w:rPr>
              <w:t>m</w:t>
            </w:r>
            <w:r>
              <w:rPr>
                <w:rFonts w:hint="eastAsia" w:ascii="仿宋_GB2312" w:hAnsi="仿宋_GB2312" w:eastAsia="仿宋_GB2312" w:cs="仿宋_GB2312"/>
                <w:b w:val="0"/>
                <w:bCs w:val="0"/>
                <w:snapToGrid w:val="0"/>
                <w:color w:val="000000"/>
                <w:sz w:val="20"/>
                <w:szCs w:val="20"/>
                <w:highlight w:val="none"/>
                <w:vertAlign w:val="superscript"/>
              </w:rPr>
              <w:t>2</w:t>
            </w:r>
            <w:r>
              <w:rPr>
                <w:rFonts w:hint="eastAsia" w:ascii="仿宋_GB2312" w:hAnsi="仿宋_GB2312" w:eastAsia="仿宋_GB2312" w:cs="仿宋_GB2312"/>
                <w:b w:val="0"/>
                <w:bCs w:val="0"/>
                <w:snapToGrid w:val="0"/>
                <w:color w:val="000000"/>
                <w:sz w:val="20"/>
                <w:szCs w:val="20"/>
                <w:highlight w:val="none"/>
                <w:lang w:val="en-US" w:eastAsia="zh-CN"/>
              </w:rPr>
              <w:t>)</w:t>
            </w:r>
          </w:p>
        </w:tc>
      </w:tr>
      <w:tr w14:paraId="23C0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jc w:val="center"/>
        </w:trPr>
        <w:tc>
          <w:tcPr>
            <w:tcW w:w="893"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616A341">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p>
        </w:tc>
        <w:tc>
          <w:tcPr>
            <w:tcW w:w="365"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EEC7BE">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p>
        </w:tc>
        <w:tc>
          <w:tcPr>
            <w:tcW w:w="58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AA286">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eastAsia="zh-CN"/>
              </w:rPr>
            </w:pPr>
            <w:r>
              <w:rPr>
                <w:rFonts w:hint="eastAsia" w:ascii="仿宋_GB2312" w:hAnsi="仿宋_GB2312" w:eastAsia="仿宋_GB2312" w:cs="仿宋_GB2312"/>
                <w:b w:val="0"/>
                <w:bCs w:val="0"/>
                <w:snapToGrid w:val="0"/>
                <w:color w:val="000000"/>
                <w:sz w:val="20"/>
                <w:szCs w:val="20"/>
                <w:highlight w:val="none"/>
              </w:rPr>
              <w:t>土地单价</w:t>
            </w:r>
            <w:r>
              <w:rPr>
                <w:rFonts w:hint="eastAsia" w:ascii="仿宋_GB2312" w:hAnsi="仿宋_GB2312" w:eastAsia="仿宋_GB2312" w:cs="仿宋_GB2312"/>
                <w:b w:val="0"/>
                <w:bCs w:val="0"/>
                <w:snapToGrid w:val="0"/>
                <w:color w:val="000000"/>
                <w:sz w:val="20"/>
                <w:szCs w:val="20"/>
                <w:highlight w:val="none"/>
                <w:lang w:val="en-US" w:eastAsia="zh-CN"/>
              </w:rPr>
              <w:t>(</w:t>
            </w:r>
            <w:r>
              <w:rPr>
                <w:rFonts w:hint="eastAsia" w:ascii="仿宋_GB2312" w:hAnsi="仿宋_GB2312" w:eastAsia="仿宋_GB2312" w:cs="仿宋_GB2312"/>
                <w:b w:val="0"/>
                <w:bCs w:val="0"/>
                <w:snapToGrid w:val="0"/>
                <w:color w:val="000000"/>
                <w:sz w:val="20"/>
                <w:szCs w:val="20"/>
                <w:highlight w:val="none"/>
              </w:rPr>
              <w:t>元/ m</w:t>
            </w:r>
            <w:r>
              <w:rPr>
                <w:rFonts w:hint="eastAsia" w:ascii="仿宋_GB2312" w:hAnsi="仿宋_GB2312" w:eastAsia="仿宋_GB2312" w:cs="仿宋_GB2312"/>
                <w:b w:val="0"/>
                <w:bCs w:val="0"/>
                <w:snapToGrid w:val="0"/>
                <w:color w:val="000000"/>
                <w:sz w:val="20"/>
                <w:szCs w:val="20"/>
                <w:highlight w:val="none"/>
                <w:vertAlign w:val="superscript"/>
              </w:rPr>
              <w:t>2</w:t>
            </w:r>
            <w:r>
              <w:rPr>
                <w:rFonts w:hint="eastAsia" w:ascii="仿宋_GB2312" w:hAnsi="仿宋_GB2312" w:eastAsia="仿宋_GB2312" w:cs="仿宋_GB2312"/>
                <w:b w:val="0"/>
                <w:bCs w:val="0"/>
                <w:snapToGrid w:val="0"/>
                <w:color w:val="000000"/>
                <w:sz w:val="20"/>
                <w:szCs w:val="20"/>
                <w:highlight w:val="none"/>
                <w:lang w:val="en-US" w:eastAsia="zh-CN"/>
              </w:rPr>
              <w:t>)</w:t>
            </w:r>
          </w:p>
        </w:tc>
        <w:tc>
          <w:tcPr>
            <w:tcW w:w="33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BCF833">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r>
              <w:rPr>
                <w:rFonts w:hint="eastAsia" w:ascii="仿宋_GB2312" w:hAnsi="仿宋_GB2312" w:eastAsia="仿宋_GB2312" w:cs="仿宋_GB2312"/>
                <w:b w:val="0"/>
                <w:bCs w:val="0"/>
                <w:snapToGrid w:val="0"/>
                <w:color w:val="000000"/>
                <w:sz w:val="20"/>
                <w:szCs w:val="20"/>
                <w:highlight w:val="none"/>
              </w:rPr>
              <w:t>权重</w:t>
            </w:r>
          </w:p>
        </w:tc>
        <w:tc>
          <w:tcPr>
            <w:tcW w:w="57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83F5C1">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eastAsia="zh-CN"/>
              </w:rPr>
            </w:pPr>
            <w:r>
              <w:rPr>
                <w:rFonts w:hint="eastAsia" w:ascii="仿宋_GB2312" w:hAnsi="仿宋_GB2312" w:eastAsia="仿宋_GB2312" w:cs="仿宋_GB2312"/>
                <w:b w:val="0"/>
                <w:bCs w:val="0"/>
                <w:snapToGrid w:val="0"/>
                <w:color w:val="000000"/>
                <w:sz w:val="20"/>
                <w:szCs w:val="20"/>
                <w:highlight w:val="none"/>
              </w:rPr>
              <w:t>土地单价</w:t>
            </w:r>
            <w:r>
              <w:rPr>
                <w:rFonts w:hint="eastAsia" w:ascii="仿宋_GB2312" w:hAnsi="仿宋_GB2312" w:eastAsia="仿宋_GB2312" w:cs="仿宋_GB2312"/>
                <w:b w:val="0"/>
                <w:bCs w:val="0"/>
                <w:snapToGrid w:val="0"/>
                <w:color w:val="000000"/>
                <w:sz w:val="20"/>
                <w:szCs w:val="20"/>
                <w:highlight w:val="none"/>
                <w:lang w:val="en-US" w:eastAsia="zh-CN"/>
              </w:rPr>
              <w:t>(</w:t>
            </w:r>
            <w:r>
              <w:rPr>
                <w:rFonts w:hint="eastAsia" w:ascii="仿宋_GB2312" w:hAnsi="仿宋_GB2312" w:eastAsia="仿宋_GB2312" w:cs="仿宋_GB2312"/>
                <w:b w:val="0"/>
                <w:bCs w:val="0"/>
                <w:snapToGrid w:val="0"/>
                <w:color w:val="000000"/>
                <w:sz w:val="20"/>
                <w:szCs w:val="20"/>
                <w:highlight w:val="none"/>
              </w:rPr>
              <w:t>元/ m</w:t>
            </w:r>
            <w:r>
              <w:rPr>
                <w:rFonts w:hint="eastAsia" w:ascii="仿宋_GB2312" w:hAnsi="仿宋_GB2312" w:eastAsia="仿宋_GB2312" w:cs="仿宋_GB2312"/>
                <w:b w:val="0"/>
                <w:bCs w:val="0"/>
                <w:snapToGrid w:val="0"/>
                <w:color w:val="000000"/>
                <w:sz w:val="20"/>
                <w:szCs w:val="20"/>
                <w:highlight w:val="none"/>
                <w:vertAlign w:val="superscript"/>
              </w:rPr>
              <w:t>2</w:t>
            </w:r>
            <w:r>
              <w:rPr>
                <w:rFonts w:hint="eastAsia" w:ascii="仿宋_GB2312" w:hAnsi="仿宋_GB2312" w:eastAsia="仿宋_GB2312" w:cs="仿宋_GB2312"/>
                <w:b w:val="0"/>
                <w:bCs w:val="0"/>
                <w:snapToGrid w:val="0"/>
                <w:color w:val="000000"/>
                <w:sz w:val="20"/>
                <w:szCs w:val="20"/>
                <w:highlight w:val="none"/>
                <w:lang w:val="en-US" w:eastAsia="zh-CN"/>
              </w:rPr>
              <w:t>)</w:t>
            </w:r>
          </w:p>
        </w:tc>
        <w:tc>
          <w:tcPr>
            <w:tcW w:w="25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95971C5">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r>
              <w:rPr>
                <w:rFonts w:hint="eastAsia" w:ascii="仿宋_GB2312" w:hAnsi="仿宋_GB2312" w:eastAsia="仿宋_GB2312" w:cs="仿宋_GB2312"/>
                <w:b w:val="0"/>
                <w:bCs w:val="0"/>
                <w:snapToGrid w:val="0"/>
                <w:color w:val="000000"/>
                <w:sz w:val="20"/>
                <w:szCs w:val="20"/>
                <w:highlight w:val="none"/>
              </w:rPr>
              <w:t>权重</w:t>
            </w:r>
          </w:p>
        </w:tc>
        <w:tc>
          <w:tcPr>
            <w:tcW w:w="612"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2887139">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p>
        </w:tc>
        <w:tc>
          <w:tcPr>
            <w:tcW w:w="457"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E3C3D46">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p>
        </w:tc>
        <w:tc>
          <w:tcPr>
            <w:tcW w:w="479"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FED3298">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p>
        </w:tc>
        <w:tc>
          <w:tcPr>
            <w:tcW w:w="441" w:type="pct"/>
            <w:vMerge w:val="continue"/>
            <w:tcBorders>
              <w:left w:val="single" w:color="000000" w:sz="4" w:space="0"/>
              <w:bottom w:val="single" w:color="000000" w:sz="4" w:space="0"/>
              <w:right w:val="single" w:color="000000" w:sz="4" w:space="0"/>
            </w:tcBorders>
            <w:shd w:val="clear" w:color="auto" w:fill="FFFFFF"/>
            <w:noWrap w:val="0"/>
            <w:vAlign w:val="center"/>
          </w:tcPr>
          <w:p w14:paraId="100E178D">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p>
        </w:tc>
      </w:tr>
      <w:tr w14:paraId="4E663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89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DB87EB5">
            <w:pPr>
              <w:adjustRightInd w:val="0"/>
              <w:snapToGrid w:val="0"/>
              <w:spacing w:line="240" w:lineRule="exact"/>
              <w:jc w:val="center"/>
              <w:rPr>
                <w:rFonts w:hint="default" w:ascii="等线" w:hAnsi="等线" w:eastAsia="等线" w:cs="等线"/>
                <w:b w:val="0"/>
                <w:i w:val="0"/>
                <w:iCs w:val="0"/>
                <w:color w:val="000000"/>
                <w:kern w:val="2"/>
                <w:sz w:val="20"/>
                <w:szCs w:val="20"/>
                <w:u w:val="none"/>
                <w:lang w:val="en-US" w:eastAsia="zh-CN" w:bidi="ar-SA"/>
              </w:rPr>
            </w:pPr>
            <w:r>
              <w:rPr>
                <w:rFonts w:hint="eastAsia" w:ascii="仿宋_GB2312" w:hAnsi="仿宋_GB2312" w:eastAsia="仿宋_GB2312" w:cs="仿宋_GB2312"/>
                <w:b w:val="0"/>
                <w:bCs w:val="0"/>
                <w:snapToGrid w:val="0"/>
                <w:color w:val="000000"/>
                <w:sz w:val="20"/>
                <w:szCs w:val="20"/>
                <w:highlight w:val="none"/>
                <w:lang w:val="en-US" w:eastAsia="zh-CN"/>
              </w:rPr>
              <w:t>道县西洲街道宝珍街六栋九号</w:t>
            </w:r>
          </w:p>
        </w:tc>
        <w:tc>
          <w:tcPr>
            <w:tcW w:w="3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05CF885">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住宅</w:t>
            </w:r>
          </w:p>
          <w:p w14:paraId="7BCA00CE">
            <w:pPr>
              <w:adjustRightInd w:val="0"/>
              <w:snapToGrid w:val="0"/>
              <w:spacing w:line="240" w:lineRule="exact"/>
              <w:jc w:val="center"/>
              <w:rPr>
                <w:rFonts w:hint="eastAsia" w:ascii="仿宋_GB2312" w:hAnsi="仿宋_GB2312" w:eastAsia="仿宋_GB2312" w:cs="仿宋_GB2312"/>
                <w:b w:val="0"/>
                <w:bCs w:val="0"/>
                <w:snapToGrid w:val="0"/>
                <w:color w:val="000000"/>
                <w:sz w:val="20"/>
                <w:szCs w:val="20"/>
                <w:highlight w:val="none"/>
              </w:rPr>
            </w:pPr>
            <w:r>
              <w:rPr>
                <w:rFonts w:hint="eastAsia" w:ascii="仿宋_GB2312" w:hAnsi="仿宋_GB2312" w:eastAsia="仿宋_GB2312" w:cs="仿宋_GB2312"/>
                <w:b w:val="0"/>
                <w:bCs w:val="0"/>
                <w:snapToGrid w:val="0"/>
                <w:color w:val="000000"/>
                <w:sz w:val="20"/>
                <w:szCs w:val="20"/>
                <w:highlight w:val="none"/>
              </w:rPr>
              <w:t>用地</w:t>
            </w:r>
          </w:p>
        </w:tc>
        <w:tc>
          <w:tcPr>
            <w:tcW w:w="58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A9E1C0">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942.5</w:t>
            </w:r>
          </w:p>
        </w:tc>
        <w:tc>
          <w:tcPr>
            <w:tcW w:w="33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4D24260">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0</w:t>
            </w:r>
          </w:p>
        </w:tc>
        <w:tc>
          <w:tcPr>
            <w:tcW w:w="57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C3622F">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2799.9</w:t>
            </w:r>
          </w:p>
        </w:tc>
        <w:tc>
          <w:tcPr>
            <w:tcW w:w="25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6E7BE6">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1</w:t>
            </w:r>
          </w:p>
        </w:tc>
        <w:tc>
          <w:tcPr>
            <w:tcW w:w="612"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30A578">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2800</w:t>
            </w:r>
          </w:p>
        </w:tc>
        <w:tc>
          <w:tcPr>
            <w:tcW w:w="45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D4CA487">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50</w:t>
            </w:r>
          </w:p>
        </w:tc>
        <w:tc>
          <w:tcPr>
            <w:tcW w:w="4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3F78271">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14.0</w:t>
            </w:r>
          </w:p>
        </w:tc>
        <w:tc>
          <w:tcPr>
            <w:tcW w:w="44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9A27388">
            <w:pPr>
              <w:adjustRightInd w:val="0"/>
              <w:snapToGrid w:val="0"/>
              <w:spacing w:line="240" w:lineRule="exact"/>
              <w:jc w:val="center"/>
              <w:rPr>
                <w:rFonts w:hint="default" w:ascii="仿宋_GB2312" w:hAnsi="仿宋_GB2312" w:eastAsia="仿宋_GB2312" w:cs="仿宋_GB2312"/>
                <w:b w:val="0"/>
                <w:bCs w:val="0"/>
                <w:snapToGrid w:val="0"/>
                <w:color w:val="000000"/>
                <w:sz w:val="20"/>
                <w:szCs w:val="20"/>
                <w:highlight w:val="none"/>
                <w:lang w:val="en-US" w:eastAsia="zh-CN"/>
              </w:rPr>
            </w:pPr>
            <w:r>
              <w:rPr>
                <w:rFonts w:hint="eastAsia" w:ascii="仿宋_GB2312" w:hAnsi="仿宋_GB2312" w:eastAsia="仿宋_GB2312" w:cs="仿宋_GB2312"/>
                <w:b w:val="0"/>
                <w:bCs w:val="0"/>
                <w:snapToGrid w:val="0"/>
                <w:color w:val="000000"/>
                <w:sz w:val="20"/>
                <w:szCs w:val="20"/>
                <w:highlight w:val="none"/>
                <w:lang w:val="en-US" w:eastAsia="zh-CN"/>
              </w:rPr>
              <w:t>681.27</w:t>
            </w:r>
          </w:p>
        </w:tc>
      </w:tr>
    </w:tbl>
    <w:p w14:paraId="5FAB202E">
      <w:pPr>
        <w:keepNext w:val="0"/>
        <w:keepLines w:val="0"/>
        <w:pageBreakBefore w:val="0"/>
        <w:widowControl w:val="0"/>
        <w:kinsoku/>
        <w:wordWrap/>
        <w:overflowPunct/>
        <w:topLinePunct w:val="0"/>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2、估价结果</w:t>
      </w:r>
    </w:p>
    <w:p w14:paraId="591331F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kern w:val="2"/>
          <w:sz w:val="28"/>
          <w:highlight w:val="none"/>
          <w:lang w:val="en-US" w:eastAsia="zh-CN" w:bidi="ar-SA"/>
        </w:rPr>
        <w:t>经估价人员现场查勘和对当地不动产市场分析，按照土地估价的基本原则和估价程序，选择合适的估价方法，在公开市场条件下于估价期日2026年6月1日，满足全部地价定义条件下的国有出让土地使用权价格估价结果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（币种：人民币）</w:t>
      </w:r>
      <w:r>
        <w:rPr>
          <w:rFonts w:hint="eastAsia" w:ascii="仿宋_GB2312" w:hAnsi="仿宋_GB2312" w:eastAsia="仿宋_GB2312" w:cs="仿宋_GB2312"/>
          <w:b w:val="0"/>
          <w:bCs w:val="0"/>
          <w:color w:val="000000" w:themeColor="text1"/>
          <w:kern w:val="0"/>
          <w:sz w:val="28"/>
          <w:szCs w:val="28"/>
          <w:highlight w:val="none"/>
          <w:lang w:eastAsia="zh-CN"/>
          <w14:textFill>
            <w14:solidFill>
              <w14:schemeClr w14:val="tx1"/>
            </w14:solidFill>
          </w14:textFill>
        </w:rPr>
        <w:t>：</w:t>
      </w:r>
    </w:p>
    <w:p w14:paraId="02E193D6">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宗地数量：共一宗</w:t>
      </w:r>
    </w:p>
    <w:p w14:paraId="627DC28A">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估价对象</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土地</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总</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面积：</w:t>
      </w:r>
      <w:r>
        <w:rPr>
          <w:rFonts w:hint="eastAsia" w:ascii="仿宋_GB2312" w:hAnsi="仿宋_GB2312" w:eastAsia="仿宋_GB2312" w:cs="仿宋_GB2312"/>
          <w:b/>
          <w:bCs/>
          <w:color w:val="000000" w:themeColor="text1"/>
          <w:kern w:val="0"/>
          <w:sz w:val="28"/>
          <w:szCs w:val="28"/>
          <w:highlight w:val="none"/>
          <w:lang w:val="en-US" w:eastAsia="zh-CN"/>
          <w14:textFill>
            <w14:solidFill>
              <w14:schemeClr w14:val="tx1"/>
            </w14:solidFill>
          </w14:textFill>
        </w:rPr>
        <w:t>50</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平方米</w:t>
      </w:r>
    </w:p>
    <w:p w14:paraId="05F65E0B">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kern w:val="0"/>
          <w:sz w:val="28"/>
          <w:szCs w:val="28"/>
          <w:highlight w:val="none"/>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估价对象土地单价：2800元/平方米</w:t>
      </w:r>
      <w:r>
        <w:rPr>
          <w:rFonts w:hint="eastAsia" w:ascii="仿宋_GB2312" w:hAnsi="仿宋_GB2312" w:eastAsia="仿宋_GB2312" w:cs="仿宋_GB2312"/>
          <w:b/>
          <w:bCs/>
          <w:kern w:val="0"/>
          <w:sz w:val="28"/>
          <w:szCs w:val="28"/>
          <w:highlight w:val="none"/>
        </w:rPr>
        <w:t>（折合</w:t>
      </w:r>
      <w:r>
        <w:rPr>
          <w:rFonts w:hint="eastAsia" w:ascii="仿宋_GB2312" w:hAnsi="仿宋_GB2312" w:eastAsia="仿宋_GB2312" w:cs="仿宋_GB2312"/>
          <w:b/>
          <w:bCs/>
          <w:kern w:val="0"/>
          <w:sz w:val="28"/>
          <w:szCs w:val="28"/>
          <w:highlight w:val="none"/>
          <w:lang w:val="en-US" w:eastAsia="zh-CN"/>
        </w:rPr>
        <w:t>186.67</w:t>
      </w:r>
      <w:r>
        <w:rPr>
          <w:rFonts w:hint="eastAsia" w:ascii="仿宋_GB2312" w:hAnsi="仿宋_GB2312" w:eastAsia="仿宋_GB2312" w:cs="仿宋_GB2312"/>
          <w:b/>
          <w:bCs/>
          <w:kern w:val="0"/>
          <w:sz w:val="28"/>
          <w:szCs w:val="28"/>
          <w:highlight w:val="none"/>
        </w:rPr>
        <w:t>万元/亩）</w:t>
      </w:r>
    </w:p>
    <w:p w14:paraId="49BE5385">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kern w:val="0"/>
          <w:sz w:val="28"/>
          <w:szCs w:val="28"/>
          <w:highlight w:val="none"/>
          <w:lang w:val="en-US" w:eastAsia="zh-CN"/>
        </w:rPr>
      </w:pPr>
      <w:r>
        <w:rPr>
          <w:rFonts w:hint="eastAsia" w:ascii="仿宋_GB2312" w:hAnsi="仿宋_GB2312" w:eastAsia="仿宋_GB2312" w:cs="仿宋_GB2312"/>
          <w:b/>
          <w:bCs/>
          <w:kern w:val="0"/>
          <w:sz w:val="28"/>
          <w:szCs w:val="28"/>
          <w:highlight w:val="none"/>
          <w:lang w:val="en-US" w:eastAsia="zh-CN"/>
        </w:rPr>
        <w:t>估价对象楼面地价：681.27</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元/平方米</w:t>
      </w:r>
    </w:p>
    <w:p w14:paraId="6BC3AFCA">
      <w:pPr>
        <w:keepNext w:val="0"/>
        <w:keepLines w:val="0"/>
        <w:pageBreakBefore w:val="0"/>
        <w:widowControl w:val="0"/>
        <w:kinsoku/>
        <w:wordWrap/>
        <w:overflowPunct/>
        <w:topLinePunct w:val="0"/>
        <w:autoSpaceDE/>
        <w:autoSpaceDN/>
        <w:bidi w:val="0"/>
        <w:spacing w:line="480" w:lineRule="exact"/>
        <w:ind w:left="0" w:leftChars="0" w:firstLine="562" w:firstLineChars="200"/>
        <w:textAlignment w:val="auto"/>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估计对象土地</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总价：</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14.0</w:t>
      </w: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万元</w:t>
      </w:r>
    </w:p>
    <w:p w14:paraId="7B8B839E">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8"/>
          <w:szCs w:val="22"/>
          <w:highlight w:val="none"/>
          <w14:textFill>
            <w14:solidFill>
              <w14:schemeClr w14:val="tx1"/>
            </w14:solidFill>
          </w14:textFill>
        </w:rPr>
        <w:t>大写：</w:t>
      </w: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人民币壹拾肆万元整</w:t>
      </w:r>
    </w:p>
    <w:p w14:paraId="623EA900">
      <w:pPr>
        <w:ind w:firstLine="562" w:firstLineChars="200"/>
        <w:rPr>
          <w:rFonts w:hint="eastAsia" w:ascii="仿宋_GB2312" w:hAnsi="Times New Roman" w:eastAsia="仿宋_GB2312" w:cs="Times New Roman"/>
          <w:b w:val="0"/>
          <w:bCs w:val="0"/>
          <w:color w:val="0070C0"/>
          <w:sz w:val="28"/>
          <w:szCs w:val="22"/>
          <w:highlight w:val="none"/>
          <w:lang w:val="en-US" w:eastAsia="zh-CN"/>
        </w:rPr>
      </w:pPr>
      <w:r>
        <w:rPr>
          <w:rFonts w:hint="eastAsia" w:ascii="仿宋_GB2312" w:hAnsi="仿宋_GB2312" w:eastAsia="仿宋_GB2312" w:cs="仿宋_GB2312"/>
          <w:b/>
          <w:bCs/>
          <w:color w:val="000000" w:themeColor="text1"/>
          <w:kern w:val="0"/>
          <w:sz w:val="28"/>
          <w:szCs w:val="22"/>
          <w:highlight w:val="none"/>
          <w:lang w:val="en-US" w:eastAsia="zh-CN"/>
          <w14:textFill>
            <w14:solidFill>
              <w14:schemeClr w14:val="tx1"/>
            </w14:solidFill>
          </w14:textFill>
        </w:rPr>
        <w:t>详见《土地估价结果一览</w:t>
      </w: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表》</w:t>
      </w:r>
      <w:r>
        <w:rPr>
          <w:rFonts w:hint="eastAsia" w:ascii="仿宋_GB2312" w:hAnsi="Times New Roman" w:eastAsia="仿宋_GB2312" w:cs="Times New Roman"/>
          <w:b w:val="0"/>
          <w:bCs w:val="0"/>
          <w:color w:val="0070C0"/>
          <w:sz w:val="28"/>
          <w:szCs w:val="22"/>
          <w:highlight w:val="none"/>
          <w:lang w:val="en-US" w:eastAsia="zh-CN"/>
        </w:rPr>
        <w:br w:type="page"/>
      </w:r>
    </w:p>
    <w:p w14:paraId="4C744150">
      <w:pPr>
        <w:pStyle w:val="2"/>
        <w:ind w:firstLine="0"/>
        <w:jc w:val="center"/>
        <w:rPr>
          <w:rFonts w:hint="eastAsia" w:asciiTheme="majorEastAsia" w:hAnsiTheme="majorEastAsia" w:eastAsiaTheme="majorEastAsia" w:cstheme="majorEastAsia"/>
          <w:b w:val="0"/>
          <w:bCs w:val="0"/>
          <w:sz w:val="32"/>
          <w:highlight w:val="none"/>
        </w:rPr>
      </w:pPr>
      <w:bookmarkStart w:id="73" w:name="_Toc12225"/>
      <w:r>
        <w:rPr>
          <w:rFonts w:hint="eastAsia" w:asciiTheme="majorEastAsia" w:hAnsiTheme="majorEastAsia" w:eastAsiaTheme="majorEastAsia" w:cstheme="majorEastAsia"/>
          <w:b w:val="0"/>
          <w:bCs w:val="0"/>
          <w:sz w:val="32"/>
          <w:highlight w:val="none"/>
          <w:lang w:val="en-US" w:eastAsia="zh-CN"/>
        </w:rPr>
        <w:t xml:space="preserve">第四部分  </w:t>
      </w:r>
      <w:r>
        <w:rPr>
          <w:rFonts w:hint="eastAsia" w:asciiTheme="majorEastAsia" w:hAnsiTheme="majorEastAsia" w:eastAsiaTheme="majorEastAsia" w:cstheme="majorEastAsia"/>
          <w:b w:val="0"/>
          <w:bCs w:val="0"/>
          <w:sz w:val="32"/>
          <w:highlight w:val="none"/>
        </w:rPr>
        <w:t>附件</w:t>
      </w:r>
      <w:bookmarkEnd w:id="73"/>
    </w:p>
    <w:p w14:paraId="04E47631">
      <w:pPr>
        <w:rPr>
          <w:rFonts w:hint="eastAsia"/>
        </w:rPr>
      </w:pPr>
    </w:p>
    <w:p w14:paraId="30C7251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1.估价对象《评估委托书》；</w:t>
      </w:r>
    </w:p>
    <w:p w14:paraId="1064224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2.估价对象《宗地图》；</w:t>
      </w:r>
    </w:p>
    <w:p w14:paraId="097B28A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3.估价对象《不动产测绘报告书》；</w:t>
      </w:r>
    </w:p>
    <w:p w14:paraId="19C883E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4.估价对象《不动产“登记难”问题专题会议纪要》（道县集中化解工作领导小组办公室，2026年3月11日）；</w:t>
      </w:r>
    </w:p>
    <w:p w14:paraId="720050D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5.估价对象《房屋所有权证存根》（道县房权证道江镇00008864号）；</w:t>
      </w:r>
    </w:p>
    <w:p w14:paraId="2A3B7ED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6.估价对象《房屋所有权证存根》（道县房权证道江镇字第000027号）；</w:t>
      </w:r>
    </w:p>
    <w:p w14:paraId="17C8DE6D">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7.估价对象宗地区域位置示意图；</w:t>
      </w:r>
    </w:p>
    <w:p w14:paraId="410B3146">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8.现场勘查照片；</w:t>
      </w:r>
    </w:p>
    <w:p w14:paraId="66A8159D">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9.现场勘查记录表；</w:t>
      </w:r>
    </w:p>
    <w:p w14:paraId="04D90C6F">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10.土地评估中介机构企业营业执照；</w:t>
      </w:r>
    </w:p>
    <w:p w14:paraId="27C0CC38">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11.土地评估中介机构备案证明；</w:t>
      </w:r>
    </w:p>
    <w:p w14:paraId="2ABC2625">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jc w:val="both"/>
        <w:textAlignment w:val="auto"/>
        <w:rPr>
          <w:rFonts w:hint="eastAsia" w:ascii="仿宋_GB2312" w:eastAsia="仿宋_GB2312"/>
          <w:b w:val="0"/>
          <w:bCs w:val="0"/>
          <w:sz w:val="28"/>
          <w:szCs w:val="28"/>
          <w:highlight w:val="none"/>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12.土地估价师资质证书。</w:t>
      </w:r>
    </w:p>
    <w:p w14:paraId="2F86EEA4">
      <w:pPr>
        <w:pStyle w:val="13"/>
        <w:numPr>
          <w:ilvl w:val="0"/>
          <w:numId w:val="0"/>
        </w:numPr>
        <w:ind w:leftChars="200"/>
        <w:rPr>
          <w:b w:val="0"/>
          <w:bCs w:val="0"/>
          <w:highlight w:val="none"/>
        </w:rPr>
      </w:pPr>
      <w:r>
        <w:rPr>
          <w:rFonts w:hint="eastAsia" w:ascii="仿宋_GB2312" w:eastAsia="仿宋_GB2312"/>
          <w:b w:val="0"/>
          <w:bCs w:val="0"/>
          <w:sz w:val="28"/>
          <w:szCs w:val="28"/>
          <w:highlight w:val="none"/>
        </w:rPr>
        <w:t>（以上资料均为复印件）</w:t>
      </w:r>
      <w:r>
        <w:rPr>
          <w:rFonts w:hint="eastAsia" w:ascii="仿宋" w:hAnsi="仿宋" w:eastAsia="仿宋" w:cs="仿宋"/>
          <w:b w:val="0"/>
          <w:bCs w:val="0"/>
          <w:color w:val="auto"/>
          <w:sz w:val="28"/>
          <w:szCs w:val="28"/>
          <w:highlight w:val="none"/>
          <w:lang w:val="en-US" w:eastAsia="zh-CN"/>
        </w:rPr>
        <w:t xml:space="preserve">  </w:t>
      </w:r>
    </w:p>
    <w:p w14:paraId="3C772F25"/>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体">
    <w:altName w:val="宋体"/>
    <w:panose1 w:val="00000000000000000000"/>
    <w:charset w:val="86"/>
    <w:family w:val="roma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昆仑仿宋">
    <w:altName w:val="黑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4F21D">
    <w:pPr>
      <w:pStyle w:val="9"/>
      <w:pBdr>
        <w:top w:val="single" w:color="auto" w:sz="4" w:space="1"/>
        <w:left w:val="none" w:color="auto" w:sz="0" w:space="0"/>
        <w:bottom w:val="none" w:color="auto" w:sz="0" w:space="0"/>
        <w:right w:val="none" w:color="auto" w:sz="0" w:space="0"/>
        <w:between w:val="none" w:color="auto" w:sz="0" w:space="0"/>
      </w:pBdr>
    </w:pPr>
    <w:r>
      <w:rPr>
        <w:rFonts w:hint="eastAsia" w:ascii="仿宋_GB2312" w:hAnsi="仿宋_GB2312" w:eastAsia="仿宋_GB2312" w:cs="仿宋_GB2312"/>
        <w:spacing w:val="14"/>
        <w:sz w:val="21"/>
        <w:szCs w:val="21"/>
        <w:lang w:eastAsia="zh-CN"/>
      </w:rPr>
      <w:t>湖南兆财不动产规划评估有限公司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B8ED5">
    <w:pPr>
      <w:pStyle w:val="9"/>
    </w:pPr>
    <w:r>
      <w:rPr>
        <w:rFonts w:hint="eastAsia" w:ascii="仿宋_GB2312" w:hAnsi="仿宋_GB2312" w:eastAsia="仿宋_GB2312" w:cs="仿宋_GB2312"/>
        <w:spacing w:val="14"/>
        <w:sz w:val="21"/>
        <w:szCs w:val="21"/>
        <w:lang w:eastAsia="zh-CN"/>
      </w:rPr>
      <w:t>湖南兆财不动产规划评估有限公司</w:t>
    </w:r>
    <w:r>
      <w:rPr>
        <w:sz w:val="18"/>
      </w:rPr>
      <mc:AlternateContent>
        <mc:Choice Requires="wps">
          <w:drawing>
            <wp:anchor distT="0" distB="0" distL="114300" distR="114300" simplePos="0" relativeHeight="251664384" behindDoc="0" locked="0" layoutInCell="1" allowOverlap="1">
              <wp:simplePos x="0" y="0"/>
              <wp:positionH relativeFrom="column">
                <wp:posOffset>-5080</wp:posOffset>
              </wp:positionH>
              <wp:positionV relativeFrom="paragraph">
                <wp:posOffset>-135890</wp:posOffset>
              </wp:positionV>
              <wp:extent cx="5285105" cy="0"/>
              <wp:effectExtent l="0" t="6350" r="0" b="6350"/>
              <wp:wrapNone/>
              <wp:docPr id="1" name="直接连接符 1"/>
              <wp:cNvGraphicFramePr/>
              <a:graphic xmlns:a="http://schemas.openxmlformats.org/drawingml/2006/main">
                <a:graphicData uri="http://schemas.microsoft.com/office/word/2010/wordprocessingShape">
                  <wps:wsp>
                    <wps:cNvCnPr/>
                    <wps:spPr>
                      <a:xfrm>
                        <a:off x="1137920" y="9776460"/>
                        <a:ext cx="52851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10.7pt;height:0pt;width:416.15pt;z-index:251664384;mso-width-relative:page;mso-height-relative:page;" filled="f" stroked="t" coordsize="21600,21600" o:gfxdata="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IX7qjYAAAACQEAAA8AAAAAAAAAAQAgAAAAIgAAAGRycy9kb3ducmV2LnhtbFBLAQIUABQA&#10;AAAIAIdO4kAR1Xac8AEAAL4DAAAOAAAAAAAAAAEAIAAAACcBAABkcnMvZTJvRG9jLnhtbFBLBQYA&#10;AAAABgAGAFkBAACJBQAAAAA=&#10;">
              <v:fill on="f" focussize="0,0"/>
              <v:stroke weight="1pt" color="#000000 [3213]" miterlimit="8"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A4C8F">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9504" behindDoc="0" locked="0" layoutInCell="1" allowOverlap="1">
              <wp:simplePos x="0" y="0"/>
              <wp:positionH relativeFrom="margin">
                <wp:posOffset>5139055</wp:posOffset>
              </wp:positionH>
              <wp:positionV relativeFrom="paragraph">
                <wp:posOffset>19050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C68996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4.65pt;margin-top:1.5pt;height:144pt;width:144pt;mso-position-horizontal-relative:margin;mso-wrap-style:none;z-index:251669504;mso-width-relative:page;mso-height-relative:page;" filled="f" stroked="f" coordsize="21600,21600" o:gfxdata="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8PIEnWAAAACgEAAA8AAAAAAAAAAQAgAAAAIgAAAGRycy9kb3ducmV2LnhtbFBL&#10;AQIUABQAAAAIAIdO4kBfyKa93AIAACQGAAAOAAAAAAAAAAEAIAAAACUBAABkcnMvZTJvRG9jLnht&#10;bFBLBQYAAAAABgAGAFkBAABzBgAAAAA=&#10;">
              <v:fill on="f" focussize="0,0"/>
              <v:stroke on="f" weight="0.5pt"/>
              <v:imagedata o:title=""/>
              <o:lock v:ext="edit" aspectratio="f"/>
              <v:textbox inset="0mm,0mm,0mm,0mm" style="mso-fit-shape-to-text:t;">
                <w:txbxContent>
                  <w:p w14:paraId="7C68996F">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ED7C2">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4696FE">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14:paraId="364696FE">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8143E">
    <w:pPr>
      <w:pStyle w:val="9"/>
      <w:rPr>
        <w:rFonts w:hint="default"/>
        <w:lang w:val="en-US"/>
      </w:rPr>
    </w:pPr>
    <w:r>
      <w:rPr>
        <w:sz w:val="21"/>
      </w:rPr>
      <mc:AlternateContent>
        <mc:Choice Requires="wps">
          <w:drawing>
            <wp:anchor distT="0" distB="0" distL="114300" distR="114300" simplePos="0" relativeHeight="251668480" behindDoc="0" locked="0" layoutInCell="1" allowOverlap="1">
              <wp:simplePos x="0" y="0"/>
              <wp:positionH relativeFrom="margin">
                <wp:posOffset>5081905</wp:posOffset>
              </wp:positionH>
              <wp:positionV relativeFrom="paragraph">
                <wp:posOffset>-57150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B73777">
                          <w:pPr>
                            <w:pStyle w:val="9"/>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0.15pt;margin-top:-4.5pt;height:144pt;width:144pt;mso-position-horizontal-relative:margin;mso-wrap-style:none;z-index:251668480;mso-width-relative:page;mso-height-relative:page;" filled="f" stroked="f" coordsize="21600,21600" o:gfxdata="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0+tcdYAAAALAQAADwAAAAAAAAABACAAAAAiAAAAZHJzL2Rvd25yZXYueG1s&#10;UEsBAhQAFAAAAAgAh07iQEc+bJUzAgAAYwQAAA4AAAAAAAAAAQAgAAAAJQEAAGRycy9lMm9Eb2Mu&#10;eG1sUEsFBgAAAAAGAAYAWQEAAMoFAAAAAA==&#10;">
              <v:fill on="f" focussize="0,0"/>
              <v:stroke on="f" weight="0.5pt"/>
              <v:imagedata o:title=""/>
              <o:lock v:ext="edit" aspectratio="f"/>
              <v:textbox inset="0mm,0mm,0mm,0mm" style="mso-fit-shape-to-text:t;">
                <w:txbxContent>
                  <w:p w14:paraId="14B73777">
                    <w:pPr>
                      <w:pStyle w:val="9"/>
                    </w:pPr>
                    <w:r>
                      <w:fldChar w:fldCharType="begin"/>
                    </w:r>
                    <w:r>
                      <w:instrText xml:space="preserve"> PAGE  \* MERGEFORMAT </w:instrText>
                    </w:r>
                    <w:r>
                      <w:fldChar w:fldCharType="separate"/>
                    </w:r>
                    <w:r>
                      <w:t>6</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r>
      <w:rPr>
        <w:sz w:val="18"/>
      </w:rPr>
      <mc:AlternateContent>
        <mc:Choice Requires="wps">
          <w:drawing>
            <wp:anchor distT="0" distB="0" distL="114300" distR="114300" simplePos="0" relativeHeight="251667456" behindDoc="0" locked="0" layoutInCell="1" allowOverlap="1">
              <wp:simplePos x="0" y="0"/>
              <wp:positionH relativeFrom="column">
                <wp:posOffset>-5080</wp:posOffset>
              </wp:positionH>
              <wp:positionV relativeFrom="paragraph">
                <wp:posOffset>-135890</wp:posOffset>
              </wp:positionV>
              <wp:extent cx="5285105" cy="0"/>
              <wp:effectExtent l="0" t="6350" r="0" b="6350"/>
              <wp:wrapNone/>
              <wp:docPr id="32" name="直接连接符 32"/>
              <wp:cNvGraphicFramePr/>
              <a:graphic xmlns:a="http://schemas.openxmlformats.org/drawingml/2006/main">
                <a:graphicData uri="http://schemas.microsoft.com/office/word/2010/wordprocessingShape">
                  <wps:wsp>
                    <wps:cNvCnPr/>
                    <wps:spPr>
                      <a:xfrm>
                        <a:off x="1137920" y="9776460"/>
                        <a:ext cx="52851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10.7pt;height:0pt;width:416.15pt;z-index:251667456;mso-width-relative:page;mso-height-relative:page;" filled="f" stroked="t" coordsize="21600,21600" o:gfxdata="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0hfuqNgAAAAJAQAADwAAAAAAAAABACAAAAAiAAAAZHJzL2Rvd25yZXYueG1sUEsBAhQA&#10;FAAAAAgAh07iQO4NZBXyAQAAwAMAAA4AAAAAAAAAAQAgAAAAJwEAAGRycy9lMm9Eb2MueG1sUEsF&#10;BgAAAAAGAAYAWQEAAIsFAAAAAA==&#10;">
              <v:fill on="f" focussize="0,0"/>
              <v:stroke weight="1pt" color="#000000 [3213]" miterlimit="8" joinstyle="miter"/>
              <v:imagedata o:title=""/>
              <o:lock v:ext="edit" aspectratio="f"/>
            </v:line>
          </w:pict>
        </mc:Fallback>
      </mc:AlternateContent>
    </w:r>
    <w:r>
      <w:rPr>
        <w:rFonts w:hint="eastAsia" w:ascii="仿宋_GB2312" w:hAnsi="仿宋_GB2312" w:eastAsia="仿宋_GB2312" w:cs="仿宋_GB2312"/>
        <w:spacing w:val="14"/>
        <w:sz w:val="21"/>
        <w:szCs w:val="21"/>
        <w:lang w:val="en-US" w:eastAsia="zh-CN"/>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D29A4">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683B85">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29683B85">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9"/>
      <w:pBdr>
        <w:bottom w:val="single" w:color="auto" w:sz="6" w:space="1"/>
      </w:pBdr>
      <w:rPr>
        <w:rFonts w:ascii="仿宋_GB2312" w:eastAsia="仿宋_GB2312"/>
        <w:sz w:val="21"/>
        <w:szCs w:val="21"/>
      </w:rPr>
    </w:pPr>
  </w:p>
  <w:p w14:paraId="21E1C8DA">
    <w:pPr>
      <w:pStyle w:val="9"/>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57785" cy="131445"/>
              <wp:effectExtent l="0" t="0" r="0" b="0"/>
              <wp:wrapNone/>
              <wp:docPr id="1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MQjOkm+AQAAcw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B4678">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775171">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57775171">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8B2">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1312" behindDoc="0" locked="0" layoutInCell="1" allowOverlap="1">
              <wp:simplePos x="0" y="0"/>
              <wp:positionH relativeFrom="margin">
                <wp:posOffset>5210810</wp:posOffset>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90816">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0.3pt;margin-top:0pt;height:144pt;width:144pt;mso-position-horizontal-relative:margin;mso-wrap-style:none;z-index:251661312;mso-width-relative:page;mso-height-relative:page;" filled="f" stroked="f" coordsize="21600,21600" o:gfxdata="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AwEyhNQAAAAJAQAADwAAAAAAAAABACAAAAAiAAAAZHJzL2Rvd25yZXYueG1sUEsB&#10;AhQAFAAAAAgAh07iQKT72nYyAgAAYwQAAA4AAAAAAAAAAQAgAAAAIwEAAGRycy9lMm9Eb2MueG1s&#10;UEsFBgAAAAAGAAYAWQEAAMcFAAAAAA==&#10;">
              <v:fill on="f" focussize="0,0"/>
              <v:stroke on="f" weight="0.5pt"/>
              <v:imagedata o:title=""/>
              <o:lock v:ext="edit" aspectratio="f"/>
              <v:textbox inset="0mm,0mm,0mm,0mm" style="mso-fit-shape-to-text:t;">
                <w:txbxContent>
                  <w:p w14:paraId="7AA90816">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p w14:paraId="58D6942B">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E6744D">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CE6744D">
                    <w:pPr>
                      <w:pStyle w:val="9"/>
                    </w:pP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D2F87">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91E069">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791E069">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29E6A">
    <w:pPr>
      <w:pStyle w:val="9"/>
      <w:pBdr>
        <w:bottom w:val="single" w:color="auto" w:sz="6" w:space="1"/>
      </w:pBdr>
      <w:rPr>
        <w:rFonts w:ascii="仿宋_GB2312" w:eastAsia="仿宋_GB2312"/>
        <w:sz w:val="21"/>
        <w:szCs w:val="21"/>
      </w:rPr>
    </w:pPr>
  </w:p>
  <w:p w14:paraId="2C4D6E95">
    <w:pPr>
      <w:pStyle w:val="9"/>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4D063D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4D063D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6DE2E">
    <w:pPr>
      <w:pStyle w:val="10"/>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w:t>
    </w:r>
    <w:r>
      <w:rPr>
        <w:rFonts w:hint="eastAsia" w:ascii="仿宋_GB2312" w:hAnsi="仿宋_GB2312" w:eastAsia="仿宋_GB2312" w:cs="仿宋_GB2312"/>
        <w:sz w:val="21"/>
        <w:szCs w:val="21"/>
        <w:lang w:eastAsia="zh-CN"/>
      </w:rPr>
      <w:t>ZC0025</w:t>
    </w:r>
    <w:r>
      <w:rPr>
        <w:rFonts w:hint="eastAsia" w:ascii="仿宋_GB2312" w:hAnsi="仿宋_GB2312" w:eastAsia="仿宋_GB2312" w:cs="仿宋_GB2312"/>
        <w:sz w:val="21"/>
        <w:szCs w:val="21"/>
      </w:rPr>
      <w:t>号</w:t>
    </w:r>
  </w:p>
  <w:p w14:paraId="27A76571">
    <w:pPr>
      <w:pStyle w:val="10"/>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95A1A">
    <w:pPr>
      <w:pStyle w:val="10"/>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w:t>
    </w:r>
    <w:r>
      <w:rPr>
        <w:rFonts w:hint="eastAsia" w:ascii="仿宋_GB2312" w:hAnsi="仿宋_GB2312" w:eastAsia="仿宋_GB2312" w:cs="仿宋_GB2312"/>
        <w:sz w:val="21"/>
        <w:szCs w:val="21"/>
        <w:lang w:eastAsia="zh-CN"/>
      </w:rPr>
      <w:t>ZC0025</w:t>
    </w:r>
    <w:r>
      <w:rPr>
        <w:rFonts w:hint="eastAsia" w:ascii="仿宋_GB2312" w:hAnsi="仿宋_GB2312" w:eastAsia="仿宋_GB2312" w:cs="仿宋_GB2312"/>
        <w:sz w:val="21"/>
        <w:szCs w:val="21"/>
      </w:rPr>
      <w:t>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10"/>
      <w:jc w:val="both"/>
    </w:pP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77782">
    <w:pPr>
      <w:pStyle w:val="10"/>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pPr>
    <w:r>
      <w:rPr>
        <w:rFonts w:hint="eastAsia"/>
      </w:rPr>
      <w:t xml:space="preserve"> </w:t>
    </w: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36</w:t>
    </w:r>
    <w:r>
      <w:rPr>
        <w:rFonts w:hint="eastAsia" w:ascii="仿宋_GB2312" w:hAnsi="仿宋_GB2312" w:eastAsia="仿宋_GB2312" w:cs="仿宋_GB2312"/>
        <w:sz w:val="21"/>
        <w:szCs w:val="21"/>
      </w:rPr>
      <w:t>号</w:t>
    </w:r>
  </w:p>
  <w:p w14:paraId="1C619443">
    <w:pPr>
      <w:pStyle w:val="10"/>
      <w:pBdr>
        <w:top w:val="none" w:color="auto" w:sz="0" w:space="0"/>
        <w:left w:val="none" w:color="auto" w:sz="0" w:space="0"/>
        <w:bottom w:val="none" w:color="auto" w:sz="0" w:space="1"/>
        <w:right w:val="none" w:color="auto" w:sz="0" w:space="0"/>
        <w:between w:val="none" w:color="auto" w:sz="0" w:space="0"/>
      </w:pBdr>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91C2D">
    <w:pPr>
      <w:pStyle w:val="10"/>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技</w:t>
    </w:r>
    <w:r>
      <w:rPr>
        <w:rFonts w:hint="eastAsia" w:ascii="仿宋_GB2312" w:hAnsi="仿宋_GB2312" w:eastAsia="仿宋_GB2312" w:cs="仿宋_GB2312"/>
        <w:sz w:val="21"/>
        <w:szCs w:val="21"/>
      </w:rPr>
      <w:t>）字第</w:t>
    </w:r>
    <w:r>
      <w:rPr>
        <w:rFonts w:hint="eastAsia" w:ascii="仿宋_GB2312" w:hAnsi="仿宋_GB2312" w:eastAsia="仿宋_GB2312" w:cs="仿宋_GB2312"/>
        <w:sz w:val="21"/>
        <w:szCs w:val="21"/>
        <w:lang w:eastAsia="zh-CN"/>
      </w:rPr>
      <w:t>ZC0025</w:t>
    </w:r>
    <w:r>
      <w:rPr>
        <w:rFonts w:hint="eastAsia" w:ascii="仿宋_GB2312" w:hAnsi="仿宋_GB2312" w:eastAsia="仿宋_GB2312" w:cs="仿宋_GB2312"/>
        <w:sz w:val="21"/>
        <w:szCs w:val="21"/>
      </w:rPr>
      <w:t>号</w:t>
    </w:r>
  </w:p>
  <w:p w14:paraId="05AA1E90">
    <w:pPr>
      <w:pStyle w:val="10"/>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E24D6">
    <w:pPr>
      <w:pStyle w:val="10"/>
      <w:jc w:val="both"/>
    </w:pP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D60BDE"/>
    <w:multiLevelType w:val="singleLevel"/>
    <w:tmpl w:val="DBD60BDE"/>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942B7"/>
    <w:rsid w:val="001348D7"/>
    <w:rsid w:val="00BE5764"/>
    <w:rsid w:val="014C38EA"/>
    <w:rsid w:val="01780AE5"/>
    <w:rsid w:val="01973F34"/>
    <w:rsid w:val="020E7C68"/>
    <w:rsid w:val="024D459C"/>
    <w:rsid w:val="02567E5F"/>
    <w:rsid w:val="0295277A"/>
    <w:rsid w:val="02B83768"/>
    <w:rsid w:val="03067533"/>
    <w:rsid w:val="0344786B"/>
    <w:rsid w:val="03464919"/>
    <w:rsid w:val="034B55FF"/>
    <w:rsid w:val="03675440"/>
    <w:rsid w:val="037B196F"/>
    <w:rsid w:val="03C70711"/>
    <w:rsid w:val="03C86237"/>
    <w:rsid w:val="03FF27FE"/>
    <w:rsid w:val="040A4AA1"/>
    <w:rsid w:val="046337FC"/>
    <w:rsid w:val="047667C6"/>
    <w:rsid w:val="052D4EEB"/>
    <w:rsid w:val="0563090D"/>
    <w:rsid w:val="0585230D"/>
    <w:rsid w:val="05943D81"/>
    <w:rsid w:val="05CE5D22"/>
    <w:rsid w:val="062C7DE0"/>
    <w:rsid w:val="066611E0"/>
    <w:rsid w:val="06B0291C"/>
    <w:rsid w:val="073E2571"/>
    <w:rsid w:val="074E79B8"/>
    <w:rsid w:val="07E21FBD"/>
    <w:rsid w:val="08002443"/>
    <w:rsid w:val="0838462F"/>
    <w:rsid w:val="08C7320D"/>
    <w:rsid w:val="08F9256C"/>
    <w:rsid w:val="09BD16D6"/>
    <w:rsid w:val="09DB5391"/>
    <w:rsid w:val="09EA0C98"/>
    <w:rsid w:val="09F72245"/>
    <w:rsid w:val="0A1B17B6"/>
    <w:rsid w:val="0A3A2FC7"/>
    <w:rsid w:val="0A4869AA"/>
    <w:rsid w:val="0A661D09"/>
    <w:rsid w:val="0ABA2D7D"/>
    <w:rsid w:val="0B49165D"/>
    <w:rsid w:val="0C960701"/>
    <w:rsid w:val="0CE40585"/>
    <w:rsid w:val="0D1349C7"/>
    <w:rsid w:val="0D9E3D63"/>
    <w:rsid w:val="0DC70EAD"/>
    <w:rsid w:val="0E1B0281"/>
    <w:rsid w:val="0E665F2D"/>
    <w:rsid w:val="0ED168E7"/>
    <w:rsid w:val="0F08121B"/>
    <w:rsid w:val="0F16079E"/>
    <w:rsid w:val="0F470918"/>
    <w:rsid w:val="0F7A6AC3"/>
    <w:rsid w:val="0F8A6A96"/>
    <w:rsid w:val="102C2609"/>
    <w:rsid w:val="1053332C"/>
    <w:rsid w:val="10932E5E"/>
    <w:rsid w:val="10F17C33"/>
    <w:rsid w:val="11323F23"/>
    <w:rsid w:val="116457F1"/>
    <w:rsid w:val="119836EC"/>
    <w:rsid w:val="12802AFE"/>
    <w:rsid w:val="12897BDB"/>
    <w:rsid w:val="13091EA2"/>
    <w:rsid w:val="133F1FFB"/>
    <w:rsid w:val="13944443"/>
    <w:rsid w:val="141F27D5"/>
    <w:rsid w:val="14302460"/>
    <w:rsid w:val="1487130D"/>
    <w:rsid w:val="15B4486D"/>
    <w:rsid w:val="15FA4976"/>
    <w:rsid w:val="168D3A3C"/>
    <w:rsid w:val="170830C2"/>
    <w:rsid w:val="17154889"/>
    <w:rsid w:val="17333036"/>
    <w:rsid w:val="1775189D"/>
    <w:rsid w:val="17B62B1E"/>
    <w:rsid w:val="17DB4333"/>
    <w:rsid w:val="17EE0FA8"/>
    <w:rsid w:val="180345D6"/>
    <w:rsid w:val="181D494B"/>
    <w:rsid w:val="18470FAD"/>
    <w:rsid w:val="187601CA"/>
    <w:rsid w:val="18CB2B97"/>
    <w:rsid w:val="19490EBC"/>
    <w:rsid w:val="19767ADA"/>
    <w:rsid w:val="19B72B7E"/>
    <w:rsid w:val="19E37A7A"/>
    <w:rsid w:val="1A400DC5"/>
    <w:rsid w:val="1A75131B"/>
    <w:rsid w:val="1AB33345"/>
    <w:rsid w:val="1ACE62BE"/>
    <w:rsid w:val="1ADC6B6A"/>
    <w:rsid w:val="1AE922E3"/>
    <w:rsid w:val="1B74545A"/>
    <w:rsid w:val="1C676ADD"/>
    <w:rsid w:val="1CF450E8"/>
    <w:rsid w:val="1D7C0366"/>
    <w:rsid w:val="1DE17FBB"/>
    <w:rsid w:val="1E035AD7"/>
    <w:rsid w:val="1E0C3460"/>
    <w:rsid w:val="1E1876A1"/>
    <w:rsid w:val="1E7857BB"/>
    <w:rsid w:val="1F044239"/>
    <w:rsid w:val="1F140588"/>
    <w:rsid w:val="1F2F3495"/>
    <w:rsid w:val="1F50752E"/>
    <w:rsid w:val="1F792DAF"/>
    <w:rsid w:val="1FBF0A95"/>
    <w:rsid w:val="1FF241CF"/>
    <w:rsid w:val="204876BD"/>
    <w:rsid w:val="20A033BC"/>
    <w:rsid w:val="20CA46FE"/>
    <w:rsid w:val="20D14525"/>
    <w:rsid w:val="20D858B3"/>
    <w:rsid w:val="21272D6B"/>
    <w:rsid w:val="212E5E1B"/>
    <w:rsid w:val="21991BAE"/>
    <w:rsid w:val="21E32762"/>
    <w:rsid w:val="21FB3F4F"/>
    <w:rsid w:val="22655394"/>
    <w:rsid w:val="22780582"/>
    <w:rsid w:val="22EE4940"/>
    <w:rsid w:val="22F86A05"/>
    <w:rsid w:val="230A28F4"/>
    <w:rsid w:val="24F5112A"/>
    <w:rsid w:val="258E0C37"/>
    <w:rsid w:val="25CD7D55"/>
    <w:rsid w:val="25CF084F"/>
    <w:rsid w:val="25DF1492"/>
    <w:rsid w:val="25E71A49"/>
    <w:rsid w:val="25E82A3D"/>
    <w:rsid w:val="26400114"/>
    <w:rsid w:val="26A3429B"/>
    <w:rsid w:val="26B40B71"/>
    <w:rsid w:val="277C2CC9"/>
    <w:rsid w:val="28072F22"/>
    <w:rsid w:val="282E5418"/>
    <w:rsid w:val="284512ED"/>
    <w:rsid w:val="28D15A0A"/>
    <w:rsid w:val="292C07FD"/>
    <w:rsid w:val="292F5CEF"/>
    <w:rsid w:val="2A2B5D40"/>
    <w:rsid w:val="2A497822"/>
    <w:rsid w:val="2A5B137C"/>
    <w:rsid w:val="2A685EFA"/>
    <w:rsid w:val="2A9C23CA"/>
    <w:rsid w:val="2ABD1D3A"/>
    <w:rsid w:val="2AD06476"/>
    <w:rsid w:val="2B8E0140"/>
    <w:rsid w:val="2BCA276E"/>
    <w:rsid w:val="2CAB01DA"/>
    <w:rsid w:val="2CC84269"/>
    <w:rsid w:val="2D4B565F"/>
    <w:rsid w:val="2D607CB1"/>
    <w:rsid w:val="2DEF0C9A"/>
    <w:rsid w:val="2E69012B"/>
    <w:rsid w:val="2E700367"/>
    <w:rsid w:val="2E7555A0"/>
    <w:rsid w:val="2E9700CF"/>
    <w:rsid w:val="2EA25753"/>
    <w:rsid w:val="2ECC3790"/>
    <w:rsid w:val="30163AD2"/>
    <w:rsid w:val="30E65593"/>
    <w:rsid w:val="3106021B"/>
    <w:rsid w:val="313C1E8F"/>
    <w:rsid w:val="314569CA"/>
    <w:rsid w:val="31D93E5D"/>
    <w:rsid w:val="31EF0CAF"/>
    <w:rsid w:val="32427881"/>
    <w:rsid w:val="32D81D7B"/>
    <w:rsid w:val="33177813"/>
    <w:rsid w:val="337F7039"/>
    <w:rsid w:val="338B103C"/>
    <w:rsid w:val="339E041F"/>
    <w:rsid w:val="34285A89"/>
    <w:rsid w:val="343B0C28"/>
    <w:rsid w:val="347D4D8F"/>
    <w:rsid w:val="35470DDB"/>
    <w:rsid w:val="355F2CA3"/>
    <w:rsid w:val="35915BCB"/>
    <w:rsid w:val="359F29EC"/>
    <w:rsid w:val="35D023FC"/>
    <w:rsid w:val="35DF0B77"/>
    <w:rsid w:val="36421CF5"/>
    <w:rsid w:val="36513CE6"/>
    <w:rsid w:val="36632192"/>
    <w:rsid w:val="367A4581"/>
    <w:rsid w:val="36A515EB"/>
    <w:rsid w:val="37076A9B"/>
    <w:rsid w:val="3757357E"/>
    <w:rsid w:val="379871D0"/>
    <w:rsid w:val="37C75895"/>
    <w:rsid w:val="37F60FE9"/>
    <w:rsid w:val="381C47C8"/>
    <w:rsid w:val="38797940"/>
    <w:rsid w:val="389F3BB5"/>
    <w:rsid w:val="38A26A7B"/>
    <w:rsid w:val="38B84860"/>
    <w:rsid w:val="38CE3014"/>
    <w:rsid w:val="38F31B53"/>
    <w:rsid w:val="390C2D00"/>
    <w:rsid w:val="392A3484"/>
    <w:rsid w:val="392A565E"/>
    <w:rsid w:val="39EF5B36"/>
    <w:rsid w:val="3A0B1E01"/>
    <w:rsid w:val="3A396F6B"/>
    <w:rsid w:val="3ABC7B9C"/>
    <w:rsid w:val="3B26530C"/>
    <w:rsid w:val="3BF57C96"/>
    <w:rsid w:val="3C9A5CBB"/>
    <w:rsid w:val="3CC57E04"/>
    <w:rsid w:val="3D2A34E3"/>
    <w:rsid w:val="3DD1269D"/>
    <w:rsid w:val="3E0A636E"/>
    <w:rsid w:val="3E725142"/>
    <w:rsid w:val="3ED3452C"/>
    <w:rsid w:val="3EF142B8"/>
    <w:rsid w:val="3F2F7F48"/>
    <w:rsid w:val="3F772F6F"/>
    <w:rsid w:val="3F884041"/>
    <w:rsid w:val="40063087"/>
    <w:rsid w:val="40587A46"/>
    <w:rsid w:val="40745DE7"/>
    <w:rsid w:val="408A1E0B"/>
    <w:rsid w:val="40B75122"/>
    <w:rsid w:val="40DD68A1"/>
    <w:rsid w:val="40FC5EA3"/>
    <w:rsid w:val="411900B3"/>
    <w:rsid w:val="412563D7"/>
    <w:rsid w:val="41260850"/>
    <w:rsid w:val="414839ED"/>
    <w:rsid w:val="41AA5776"/>
    <w:rsid w:val="41CE08E1"/>
    <w:rsid w:val="42073DF3"/>
    <w:rsid w:val="427D5E63"/>
    <w:rsid w:val="43150CB3"/>
    <w:rsid w:val="43234E69"/>
    <w:rsid w:val="43707776"/>
    <w:rsid w:val="43BD1647"/>
    <w:rsid w:val="43D67F21"/>
    <w:rsid w:val="43DC72BA"/>
    <w:rsid w:val="44357DC8"/>
    <w:rsid w:val="448B5623"/>
    <w:rsid w:val="44EE2EF8"/>
    <w:rsid w:val="452847AC"/>
    <w:rsid w:val="45824D6D"/>
    <w:rsid w:val="45CF6617"/>
    <w:rsid w:val="45E91B6F"/>
    <w:rsid w:val="46010907"/>
    <w:rsid w:val="4652784F"/>
    <w:rsid w:val="466567D3"/>
    <w:rsid w:val="4678383F"/>
    <w:rsid w:val="46C027C2"/>
    <w:rsid w:val="4702457D"/>
    <w:rsid w:val="471C3E9C"/>
    <w:rsid w:val="47447BCB"/>
    <w:rsid w:val="481608EC"/>
    <w:rsid w:val="483E2E99"/>
    <w:rsid w:val="48576465"/>
    <w:rsid w:val="49075B6C"/>
    <w:rsid w:val="493A2D00"/>
    <w:rsid w:val="499A72FA"/>
    <w:rsid w:val="49BC1967"/>
    <w:rsid w:val="49BE3444"/>
    <w:rsid w:val="4A314103"/>
    <w:rsid w:val="4A375687"/>
    <w:rsid w:val="4A4B4D63"/>
    <w:rsid w:val="4A6A2121"/>
    <w:rsid w:val="4AE11660"/>
    <w:rsid w:val="4BBC17AA"/>
    <w:rsid w:val="4BCD2D26"/>
    <w:rsid w:val="4C3D6D8F"/>
    <w:rsid w:val="4C4F0870"/>
    <w:rsid w:val="4CD020CF"/>
    <w:rsid w:val="4CDD5139"/>
    <w:rsid w:val="4D59639E"/>
    <w:rsid w:val="4D5C3245"/>
    <w:rsid w:val="4DBE3EFF"/>
    <w:rsid w:val="4E324336"/>
    <w:rsid w:val="4E4C1E6E"/>
    <w:rsid w:val="4E586D7B"/>
    <w:rsid w:val="4E93713A"/>
    <w:rsid w:val="4EA230D4"/>
    <w:rsid w:val="4EC07803"/>
    <w:rsid w:val="4EDE515E"/>
    <w:rsid w:val="4F227619"/>
    <w:rsid w:val="4FAA064F"/>
    <w:rsid w:val="4FAC4F65"/>
    <w:rsid w:val="4FB21EFB"/>
    <w:rsid w:val="50870670"/>
    <w:rsid w:val="509B7112"/>
    <w:rsid w:val="50B43398"/>
    <w:rsid w:val="50B67A54"/>
    <w:rsid w:val="50E772C9"/>
    <w:rsid w:val="50F90FC5"/>
    <w:rsid w:val="516266C2"/>
    <w:rsid w:val="516B614C"/>
    <w:rsid w:val="5181771E"/>
    <w:rsid w:val="51D31BF9"/>
    <w:rsid w:val="51D50B14"/>
    <w:rsid w:val="51DD691E"/>
    <w:rsid w:val="52556AA2"/>
    <w:rsid w:val="52BD438B"/>
    <w:rsid w:val="52E37F64"/>
    <w:rsid w:val="53035F10"/>
    <w:rsid w:val="533E519B"/>
    <w:rsid w:val="534D3630"/>
    <w:rsid w:val="537B63EF"/>
    <w:rsid w:val="53B80D53"/>
    <w:rsid w:val="53C06FE9"/>
    <w:rsid w:val="53E27C10"/>
    <w:rsid w:val="546E7D01"/>
    <w:rsid w:val="549472F9"/>
    <w:rsid w:val="54A51975"/>
    <w:rsid w:val="556529F8"/>
    <w:rsid w:val="557D0725"/>
    <w:rsid w:val="560E11B3"/>
    <w:rsid w:val="56216FDE"/>
    <w:rsid w:val="565A678F"/>
    <w:rsid w:val="56E568B0"/>
    <w:rsid w:val="57B66EF2"/>
    <w:rsid w:val="57BB14B0"/>
    <w:rsid w:val="57E24A90"/>
    <w:rsid w:val="585C756F"/>
    <w:rsid w:val="59141C9D"/>
    <w:rsid w:val="59462FFB"/>
    <w:rsid w:val="599F5389"/>
    <w:rsid w:val="59F82547"/>
    <w:rsid w:val="5A4E6C81"/>
    <w:rsid w:val="5A636344"/>
    <w:rsid w:val="5A6A4AC7"/>
    <w:rsid w:val="5AAD7D3D"/>
    <w:rsid w:val="5ACD39D4"/>
    <w:rsid w:val="5ADA1261"/>
    <w:rsid w:val="5B0730E9"/>
    <w:rsid w:val="5B10063D"/>
    <w:rsid w:val="5B567A10"/>
    <w:rsid w:val="5C0B2942"/>
    <w:rsid w:val="5C2F7D76"/>
    <w:rsid w:val="5C7E485A"/>
    <w:rsid w:val="5C972A3D"/>
    <w:rsid w:val="5CE95316"/>
    <w:rsid w:val="5D3F4576"/>
    <w:rsid w:val="5DB61566"/>
    <w:rsid w:val="5DDD1290"/>
    <w:rsid w:val="5E086E60"/>
    <w:rsid w:val="5E174F66"/>
    <w:rsid w:val="5E242673"/>
    <w:rsid w:val="5E280B31"/>
    <w:rsid w:val="5E662FFC"/>
    <w:rsid w:val="5EB50D1A"/>
    <w:rsid w:val="5EE4320C"/>
    <w:rsid w:val="5F0B0627"/>
    <w:rsid w:val="5FF30490"/>
    <w:rsid w:val="5FFC2665"/>
    <w:rsid w:val="5FFE29B9"/>
    <w:rsid w:val="6088294D"/>
    <w:rsid w:val="60EA6962"/>
    <w:rsid w:val="61620180"/>
    <w:rsid w:val="61F14216"/>
    <w:rsid w:val="622D4559"/>
    <w:rsid w:val="62562501"/>
    <w:rsid w:val="62A90444"/>
    <w:rsid w:val="631E6FAE"/>
    <w:rsid w:val="63712386"/>
    <w:rsid w:val="6566200F"/>
    <w:rsid w:val="65B711BB"/>
    <w:rsid w:val="65DC2D1D"/>
    <w:rsid w:val="66087876"/>
    <w:rsid w:val="664224EC"/>
    <w:rsid w:val="66A001EE"/>
    <w:rsid w:val="66B6356E"/>
    <w:rsid w:val="66CD2666"/>
    <w:rsid w:val="676761AE"/>
    <w:rsid w:val="67AB4654"/>
    <w:rsid w:val="68033600"/>
    <w:rsid w:val="68212C69"/>
    <w:rsid w:val="68F55EA4"/>
    <w:rsid w:val="692A3D9F"/>
    <w:rsid w:val="693410C2"/>
    <w:rsid w:val="697E40EB"/>
    <w:rsid w:val="69EC374B"/>
    <w:rsid w:val="69F02E55"/>
    <w:rsid w:val="6AC344AB"/>
    <w:rsid w:val="6AEB3161"/>
    <w:rsid w:val="6B0625EA"/>
    <w:rsid w:val="6B6E08BB"/>
    <w:rsid w:val="6BB362CE"/>
    <w:rsid w:val="6C45559C"/>
    <w:rsid w:val="6CA9147F"/>
    <w:rsid w:val="6CFA0B2E"/>
    <w:rsid w:val="6D041134"/>
    <w:rsid w:val="6D12171A"/>
    <w:rsid w:val="6D21195D"/>
    <w:rsid w:val="6D9143ED"/>
    <w:rsid w:val="6E1C45BE"/>
    <w:rsid w:val="6E207070"/>
    <w:rsid w:val="6E3D7117"/>
    <w:rsid w:val="6E4D0624"/>
    <w:rsid w:val="6E751F61"/>
    <w:rsid w:val="6E937F2A"/>
    <w:rsid w:val="6EB50BBD"/>
    <w:rsid w:val="6EEE3AC1"/>
    <w:rsid w:val="6F35184B"/>
    <w:rsid w:val="6F8A1A3C"/>
    <w:rsid w:val="6F914B78"/>
    <w:rsid w:val="6FE83A4F"/>
    <w:rsid w:val="700E7A48"/>
    <w:rsid w:val="7013153C"/>
    <w:rsid w:val="704423AE"/>
    <w:rsid w:val="70625EA0"/>
    <w:rsid w:val="70B00AAA"/>
    <w:rsid w:val="70C46D83"/>
    <w:rsid w:val="70CD77F9"/>
    <w:rsid w:val="710C47A1"/>
    <w:rsid w:val="715C43E7"/>
    <w:rsid w:val="718F6E95"/>
    <w:rsid w:val="719E23D1"/>
    <w:rsid w:val="71C70D25"/>
    <w:rsid w:val="723D0FE7"/>
    <w:rsid w:val="72606B8E"/>
    <w:rsid w:val="72BE7843"/>
    <w:rsid w:val="73114275"/>
    <w:rsid w:val="73674CC6"/>
    <w:rsid w:val="736C6F37"/>
    <w:rsid w:val="73F36706"/>
    <w:rsid w:val="74477EFB"/>
    <w:rsid w:val="746F1547"/>
    <w:rsid w:val="748E6C33"/>
    <w:rsid w:val="74C42845"/>
    <w:rsid w:val="75DA08FB"/>
    <w:rsid w:val="7630074E"/>
    <w:rsid w:val="76767CB6"/>
    <w:rsid w:val="76A92DB6"/>
    <w:rsid w:val="76FF686B"/>
    <w:rsid w:val="778227D7"/>
    <w:rsid w:val="77AB0781"/>
    <w:rsid w:val="77C978E6"/>
    <w:rsid w:val="77D47D3A"/>
    <w:rsid w:val="78406F03"/>
    <w:rsid w:val="78877BA1"/>
    <w:rsid w:val="78AD22F7"/>
    <w:rsid w:val="7940153E"/>
    <w:rsid w:val="7961380D"/>
    <w:rsid w:val="797A042B"/>
    <w:rsid w:val="799F1707"/>
    <w:rsid w:val="79A100AE"/>
    <w:rsid w:val="79D25A7A"/>
    <w:rsid w:val="7A411C7D"/>
    <w:rsid w:val="7A4B0019"/>
    <w:rsid w:val="7A4F4C9D"/>
    <w:rsid w:val="7A5332FA"/>
    <w:rsid w:val="7A7B5376"/>
    <w:rsid w:val="7AD26045"/>
    <w:rsid w:val="7AD70CC3"/>
    <w:rsid w:val="7AE244DA"/>
    <w:rsid w:val="7AE47D18"/>
    <w:rsid w:val="7AEF6BF7"/>
    <w:rsid w:val="7B753848"/>
    <w:rsid w:val="7BA479E1"/>
    <w:rsid w:val="7BC938EC"/>
    <w:rsid w:val="7BD540D7"/>
    <w:rsid w:val="7BEC4E89"/>
    <w:rsid w:val="7C1A1249"/>
    <w:rsid w:val="7C6247CB"/>
    <w:rsid w:val="7CA05C59"/>
    <w:rsid w:val="7CBB3234"/>
    <w:rsid w:val="7CBF7CC6"/>
    <w:rsid w:val="7CD461A4"/>
    <w:rsid w:val="7D4F0A19"/>
    <w:rsid w:val="7E5E1BDC"/>
    <w:rsid w:val="7E68747F"/>
    <w:rsid w:val="7EA37E2C"/>
    <w:rsid w:val="7F01514B"/>
    <w:rsid w:val="7F1C47E2"/>
    <w:rsid w:val="7F4339B5"/>
    <w:rsid w:val="7F4B6593"/>
    <w:rsid w:val="7FF34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autoSpaceDE w:val="0"/>
      <w:autoSpaceDN w:val="0"/>
      <w:adjustRightInd w:val="0"/>
      <w:spacing w:line="312" w:lineRule="atLeast"/>
      <w:ind w:right="-113" w:firstLine="525"/>
      <w:jc w:val="left"/>
      <w:textAlignment w:val="bottom"/>
      <w:outlineLvl w:val="0"/>
    </w:pPr>
    <w:rPr>
      <w:rFonts w:ascii="仿宋体" w:eastAsia="仿宋体"/>
      <w:kern w:val="0"/>
      <w:sz w:val="28"/>
      <w:szCs w:val="20"/>
    </w:rPr>
  </w:style>
  <w:style w:type="paragraph" w:styleId="3">
    <w:name w:val="heading 2"/>
    <w:basedOn w:val="1"/>
    <w:next w:val="1"/>
    <w:qFormat/>
    <w:uiPriority w:val="0"/>
    <w:pPr>
      <w:keepNext/>
      <w:tabs>
        <w:tab w:val="left" w:pos="975"/>
      </w:tabs>
      <w:adjustRightInd w:val="0"/>
      <w:snapToGrid w:val="0"/>
      <w:ind w:left="975" w:hanging="420"/>
      <w:outlineLvl w:val="1"/>
    </w:pPr>
    <w:rPr>
      <w:rFonts w:ascii="仿宋_GB2312" w:hAnsi="仿宋_GB2312" w:eastAsia="仿宋_GB2312"/>
      <w:bCs/>
      <w:sz w:val="28"/>
      <w:szCs w:val="20"/>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Indent"/>
    <w:basedOn w:val="1"/>
    <w:next w:val="6"/>
    <w:qFormat/>
    <w:uiPriority w:val="0"/>
    <w:pPr>
      <w:ind w:firstLine="560" w:firstLineChars="200"/>
    </w:pPr>
    <w:rPr>
      <w:rFonts w:eastAsia="仿宋_GB2312"/>
      <w:sz w:val="28"/>
    </w:rPr>
  </w:style>
  <w:style w:type="paragraph" w:styleId="6">
    <w:name w:val="Body Text Indent 2"/>
    <w:basedOn w:val="1"/>
    <w:qFormat/>
    <w:uiPriority w:val="0"/>
    <w:pPr>
      <w:spacing w:line="320" w:lineRule="atLeast"/>
      <w:ind w:right="-22" w:firstLine="600"/>
    </w:pPr>
    <w:rPr>
      <w:rFonts w:ascii="仿宋体" w:hAnsi="Tahoma" w:eastAsia="仿宋体"/>
      <w:spacing w:val="10"/>
      <w:sz w:val="28"/>
      <w:szCs w:val="20"/>
    </w:rPr>
  </w:style>
  <w:style w:type="paragraph" w:styleId="7">
    <w:name w:val="toc 3"/>
    <w:basedOn w:val="1"/>
    <w:next w:val="1"/>
    <w:qFormat/>
    <w:uiPriority w:val="0"/>
    <w:pPr>
      <w:ind w:left="840" w:leftChars="400"/>
    </w:pPr>
  </w:style>
  <w:style w:type="paragraph" w:styleId="8">
    <w:name w:val="Plain Text"/>
    <w:basedOn w:val="1"/>
    <w:qFormat/>
    <w:uiPriority w:val="0"/>
    <w:rPr>
      <w:rFonts w:ascii="宋体"/>
      <w:sz w:val="28"/>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Body Text First Indent 2"/>
    <w:basedOn w:val="5"/>
    <w:next w:val="1"/>
    <w:qFormat/>
    <w:uiPriority w:val="0"/>
    <w:pPr>
      <w:ind w:firstLine="420" w:firstLineChars="200"/>
    </w:p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customStyle="1" w:styleId="18">
    <w:name w:val="列出段落1"/>
    <w:basedOn w:val="19"/>
    <w:autoRedefine/>
    <w:qFormat/>
    <w:uiPriority w:val="0"/>
    <w:pPr>
      <w:ind w:firstLine="420" w:firstLineChars="200"/>
    </w:pPr>
  </w:style>
  <w:style w:type="paragraph" w:customStyle="1" w:styleId="19">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0">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21">
    <w:name w:val="四号仿宋28磅"/>
    <w:basedOn w:val="1"/>
    <w:autoRedefine/>
    <w:qFormat/>
    <w:uiPriority w:val="0"/>
    <w:pPr>
      <w:spacing w:line="560" w:lineRule="exact"/>
      <w:ind w:firstLine="200" w:firstLineChars="200"/>
    </w:pPr>
    <w:rPr>
      <w:rFonts w:ascii="仿宋_GB2312" w:eastAsia="仿宋_GB2312"/>
      <w:sz w:val="28"/>
    </w:rPr>
  </w:style>
  <w:style w:type="character" w:customStyle="1" w:styleId="22">
    <w:name w:val="font11"/>
    <w:basedOn w:val="16"/>
    <w:qFormat/>
    <w:uiPriority w:val="0"/>
    <w:rPr>
      <w:rFonts w:hint="default" w:ascii="Times New Roman" w:hAnsi="Times New Roman" w:cs="Times New Roman"/>
      <w:color w:val="000000"/>
      <w:sz w:val="21"/>
      <w:szCs w:val="21"/>
      <w:u w:val="none"/>
    </w:rPr>
  </w:style>
  <w:style w:type="paragraph" w:customStyle="1" w:styleId="23">
    <w:name w:val="List Paragraph"/>
    <w:basedOn w:val="1"/>
    <w:qFormat/>
    <w:uiPriority w:val="0"/>
    <w:pPr>
      <w:ind w:firstLine="420" w:firstLineChars="200"/>
    </w:pPr>
  </w:style>
  <w:style w:type="character" w:customStyle="1" w:styleId="24">
    <w:name w:val="font51"/>
    <w:basedOn w:val="16"/>
    <w:qFormat/>
    <w:uiPriority w:val="0"/>
    <w:rPr>
      <w:rFonts w:hint="eastAsia" w:ascii="仿宋_GB2312" w:eastAsia="仿宋_GB2312" w:cs="仿宋_GB2312"/>
      <w:color w:val="000000"/>
      <w:sz w:val="21"/>
      <w:szCs w:val="21"/>
      <w:u w:val="none"/>
    </w:rPr>
  </w:style>
  <w:style w:type="character" w:customStyle="1" w:styleId="25">
    <w:name w:val="font71"/>
    <w:basedOn w:val="16"/>
    <w:qFormat/>
    <w:uiPriority w:val="0"/>
    <w:rPr>
      <w:rFonts w:hint="default" w:ascii="Times New Roman" w:hAnsi="Times New Roman" w:cs="Times New Roman"/>
      <w:color w:val="000000"/>
      <w:sz w:val="21"/>
      <w:szCs w:val="21"/>
      <w:u w:val="none"/>
    </w:rPr>
  </w:style>
  <w:style w:type="character" w:customStyle="1" w:styleId="26">
    <w:name w:val="font21"/>
    <w:basedOn w:val="16"/>
    <w:qFormat/>
    <w:uiPriority w:val="0"/>
    <w:rPr>
      <w:rFonts w:hint="eastAsia" w:ascii="宋体" w:hAnsi="宋体" w:eastAsia="宋体" w:cs="宋体"/>
      <w:color w:val="000000"/>
      <w:sz w:val="18"/>
      <w:szCs w:val="18"/>
      <w:u w:val="none"/>
    </w:rPr>
  </w:style>
  <w:style w:type="character" w:customStyle="1" w:styleId="27">
    <w:name w:val="font81"/>
    <w:basedOn w:val="16"/>
    <w:qFormat/>
    <w:uiPriority w:val="0"/>
    <w:rPr>
      <w:rFonts w:hint="default" w:ascii="Times New Roman" w:hAnsi="Times New Roman" w:cs="Times New Roman"/>
      <w:color w:val="000000"/>
      <w:sz w:val="18"/>
      <w:szCs w:val="18"/>
      <w:u w:val="none"/>
    </w:rPr>
  </w:style>
  <w:style w:type="character" w:customStyle="1" w:styleId="28">
    <w:name w:val="font91"/>
    <w:basedOn w:val="16"/>
    <w:qFormat/>
    <w:uiPriority w:val="0"/>
    <w:rPr>
      <w:rFonts w:hint="default" w:ascii="Times New Roman" w:hAnsi="Times New Roman" w:cs="Times New Roman"/>
      <w:color w:val="000000"/>
      <w:sz w:val="18"/>
      <w:szCs w:val="18"/>
      <w:u w:val="none"/>
    </w:rPr>
  </w:style>
  <w:style w:type="character" w:customStyle="1" w:styleId="29">
    <w:name w:val="font101"/>
    <w:basedOn w:val="16"/>
    <w:qFormat/>
    <w:uiPriority w:val="0"/>
    <w:rPr>
      <w:rFonts w:hint="default" w:ascii="Times New Roman" w:hAnsi="Times New Roman" w:cs="Times New Roman"/>
      <w:color w:val="000000"/>
      <w:sz w:val="18"/>
      <w:szCs w:val="18"/>
      <w:u w:val="none"/>
      <w:vertAlign w:val="superscript"/>
    </w:rPr>
  </w:style>
  <w:style w:type="character" w:customStyle="1" w:styleId="30">
    <w:name w:val="font111"/>
    <w:basedOn w:val="16"/>
    <w:qFormat/>
    <w:uiPriority w:val="0"/>
    <w:rPr>
      <w:rFonts w:hint="default" w:ascii="Times New Roman" w:hAnsi="Times New Roman" w:cs="Times New Roman"/>
      <w:color w:val="000000"/>
      <w:sz w:val="20"/>
      <w:szCs w:val="20"/>
      <w:u w:val="none"/>
    </w:rPr>
  </w:style>
  <w:style w:type="character" w:customStyle="1" w:styleId="31">
    <w:name w:val="font112"/>
    <w:basedOn w:val="16"/>
    <w:qFormat/>
    <w:uiPriority w:val="0"/>
    <w:rPr>
      <w:rFonts w:hint="default" w:ascii="Times New Roman" w:hAnsi="Times New Roman" w:cs="Times New Roman"/>
      <w:color w:val="000000"/>
      <w:sz w:val="20"/>
      <w:szCs w:val="20"/>
      <w:u w:val="none"/>
    </w:rPr>
  </w:style>
  <w:style w:type="paragraph" w:customStyle="1" w:styleId="32">
    <w:name w:val="样式7"/>
    <w:basedOn w:val="1"/>
    <w:qFormat/>
    <w:uiPriority w:val="0"/>
    <w:pPr>
      <w:spacing w:line="360" w:lineRule="auto"/>
      <w:ind w:firstLine="567"/>
    </w:pPr>
    <w:rPr>
      <w:rFonts w:ascii="仿宋_GB2312" w:eastAsia="仿宋_GB2312"/>
      <w:sz w:val="28"/>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14.png"/><Relationship Id="rId42" Type="http://schemas.openxmlformats.org/officeDocument/2006/relationships/image" Target="media/image13.jpeg"/><Relationship Id="rId41" Type="http://schemas.openxmlformats.org/officeDocument/2006/relationships/image" Target="media/image12.png"/><Relationship Id="rId40" Type="http://schemas.openxmlformats.org/officeDocument/2006/relationships/image" Target="media/image11.jpeg"/><Relationship Id="rId4" Type="http://schemas.openxmlformats.org/officeDocument/2006/relationships/header" Target="header2.xml"/><Relationship Id="rId39" Type="http://schemas.openxmlformats.org/officeDocument/2006/relationships/image" Target="media/image10.png"/><Relationship Id="rId38" Type="http://schemas.openxmlformats.org/officeDocument/2006/relationships/image" Target="media/image9.jpeg"/><Relationship Id="rId37" Type="http://schemas.openxmlformats.org/officeDocument/2006/relationships/image" Target="media/image8.wmf"/><Relationship Id="rId36" Type="http://schemas.openxmlformats.org/officeDocument/2006/relationships/oleObject" Target="embeddings/oleObject5.bin"/><Relationship Id="rId35" Type="http://schemas.openxmlformats.org/officeDocument/2006/relationships/image" Target="media/image7.wmf"/><Relationship Id="rId34" Type="http://schemas.openxmlformats.org/officeDocument/2006/relationships/oleObject" Target="embeddings/oleObject4.bin"/><Relationship Id="rId33" Type="http://schemas.openxmlformats.org/officeDocument/2006/relationships/image" Target="media/image6.wmf"/><Relationship Id="rId32" Type="http://schemas.openxmlformats.org/officeDocument/2006/relationships/oleObject" Target="embeddings/oleObject3.bin"/><Relationship Id="rId31" Type="http://schemas.openxmlformats.org/officeDocument/2006/relationships/image" Target="media/image5.wmf"/><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4.wmf"/><Relationship Id="rId28" Type="http://schemas.openxmlformats.org/officeDocument/2006/relationships/oleObject" Target="embeddings/oleObject1.bin"/><Relationship Id="rId27" Type="http://schemas.openxmlformats.org/officeDocument/2006/relationships/chart" Target="charts/chart4.xml"/><Relationship Id="rId26" Type="http://schemas.openxmlformats.org/officeDocument/2006/relationships/image" Target="media/image3.emf"/><Relationship Id="rId25" Type="http://schemas.openxmlformats.org/officeDocument/2006/relationships/chart" Target="charts/chart3.xml"/><Relationship Id="rId24" Type="http://schemas.openxmlformats.org/officeDocument/2006/relationships/chart" Target="charts/chart2.xml"/><Relationship Id="rId23" Type="http://schemas.openxmlformats.org/officeDocument/2006/relationships/chart" Target="charts/chart1.xml"/><Relationship Id="rId22" Type="http://schemas.openxmlformats.org/officeDocument/2006/relationships/image" Target="media/image2.jpe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header" Target="header6.xml"/><Relationship Id="rId17" Type="http://schemas.openxmlformats.org/officeDocument/2006/relationships/footer" Target="footer10.xml"/><Relationship Id="rId16" Type="http://schemas.openxmlformats.org/officeDocument/2006/relationships/header" Target="header5.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header" Target="header4.xml"/><Relationship Id="rId12" Type="http://schemas.openxmlformats.org/officeDocument/2006/relationships/footer" Target="footer7.xml"/><Relationship Id="rId11" Type="http://schemas.openxmlformats.org/officeDocument/2006/relationships/header" Target="header3.xml"/><Relationship Id="rId10" Type="http://schemas.openxmlformats.org/officeDocument/2006/relationships/footer" Target="footer6.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12304;01&#12305;&#22303;&#22320;&#25151;&#20135;&#35780;&#20272;&#25253;&#21578;\&#20854;&#20182;\&#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12304;01&#12305;&#22303;&#22320;&#25151;&#20135;&#35780;&#20272;&#25253;&#21578;\&#20854;&#20182;\&#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1085676913015"/>
          <c:y val="0.0509259259259259"/>
          <c:w val="0.830137344669719"/>
          <c:h val="0.778101851851852"/>
        </c:manualLayout>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196206671026815"/>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[道县土地市场分析.xlsx]土地市场分析!$A$22:$A$27</c:f>
              <c:numCache>
                <c:formatCode>General</c:formatCode>
                <c:ptCount val="6"/>
                <c:pt idx="0">
                  <c:v>2020</c:v>
                </c:pt>
                <c:pt idx="1">
                  <c:v>2021</c:v>
                </c:pt>
                <c:pt idx="2">
                  <c:v>2022</c:v>
                </c:pt>
                <c:pt idx="3">
                  <c:v>2023</c:v>
                </c:pt>
                <c:pt idx="4">
                  <c:v>2024</c:v>
                </c:pt>
                <c:pt idx="5">
                  <c:v>2025</c:v>
                </c:pt>
              </c:numCache>
            </c:numRef>
          </c:cat>
          <c:val>
            <c:numRef>
              <c:f>[道县土地市场分析.xlsx]土地市场分析!$B$22:$B$27</c:f>
              <c:numCache>
                <c:formatCode>0.00_ </c:formatCode>
                <c:ptCount val="6"/>
                <c:pt idx="0">
                  <c:v>91.77</c:v>
                </c:pt>
                <c:pt idx="1">
                  <c:v>100.84</c:v>
                </c:pt>
                <c:pt idx="2">
                  <c:v>67.23</c:v>
                </c:pt>
                <c:pt idx="3">
                  <c:v>20.42</c:v>
                </c:pt>
                <c:pt idx="4" c:formatCode="General">
                  <c:v>134.88</c:v>
                </c:pt>
                <c:pt idx="5" c:formatCode="General">
                  <c:v>13.87</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13734466971877"/>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[道县土地市场分析.xlsx]土地市场分析!$A$22:$A$27</c:f>
              <c:numCache>
                <c:formatCode>General</c:formatCode>
                <c:ptCount val="6"/>
                <c:pt idx="0">
                  <c:v>2020</c:v>
                </c:pt>
                <c:pt idx="1">
                  <c:v>2021</c:v>
                </c:pt>
                <c:pt idx="2">
                  <c:v>2022</c:v>
                </c:pt>
                <c:pt idx="3">
                  <c:v>2023</c:v>
                </c:pt>
                <c:pt idx="4">
                  <c:v>2024</c:v>
                </c:pt>
                <c:pt idx="5">
                  <c:v>2025</c:v>
                </c:pt>
              </c:numCache>
            </c:numRef>
          </c:cat>
          <c:val>
            <c:numRef>
              <c:f>[道县土地市场分析.xlsx]土地市场分析!$C$22:$C$27</c:f>
              <c:numCache>
                <c:formatCode>0.00_ </c:formatCode>
                <c:ptCount val="6"/>
                <c:pt idx="0">
                  <c:v>164.63</c:v>
                </c:pt>
                <c:pt idx="1">
                  <c:v>83.89</c:v>
                </c:pt>
                <c:pt idx="2">
                  <c:v>94.4</c:v>
                </c:pt>
                <c:pt idx="3">
                  <c:v>181.51</c:v>
                </c:pt>
                <c:pt idx="4" c:formatCode="General">
                  <c:v>32.85</c:v>
                </c:pt>
                <c:pt idx="5" c:formatCode="General">
                  <c:v>71.14</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[道县土地市场分析.xlsx]土地市场分析!$A$22:$A$27</c:f>
              <c:numCache>
                <c:formatCode>General</c:formatCode>
                <c:ptCount val="6"/>
                <c:pt idx="0">
                  <c:v>2020</c:v>
                </c:pt>
                <c:pt idx="1">
                  <c:v>2021</c:v>
                </c:pt>
                <c:pt idx="2">
                  <c:v>2022</c:v>
                </c:pt>
                <c:pt idx="3">
                  <c:v>2023</c:v>
                </c:pt>
                <c:pt idx="4">
                  <c:v>2024</c:v>
                </c:pt>
                <c:pt idx="5">
                  <c:v>2025</c:v>
                </c:pt>
              </c:numCache>
            </c:numRef>
          </c:cat>
          <c:val>
            <c:numRef>
              <c:f>[道县土地市场分析.xlsx]土地市场分析!$D$22:$D$27</c:f>
              <c:numCache>
                <c:formatCode>0.00_ </c:formatCode>
                <c:ptCount val="6"/>
                <c:pt idx="0">
                  <c:v>256.4</c:v>
                </c:pt>
                <c:pt idx="1">
                  <c:v>184.73</c:v>
                </c:pt>
                <c:pt idx="2">
                  <c:v>161.63</c:v>
                </c:pt>
                <c:pt idx="3">
                  <c:v>201.93</c:v>
                </c:pt>
                <c:pt idx="4">
                  <c:v>167.73</c:v>
                </c:pt>
                <c:pt idx="5" c:formatCode="General">
                  <c:v>85.01</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039241334205363"/>
              <c:y val="0.00694444444444444"/>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manualLayout>
          <c:xMode val="edge"/>
          <c:yMode val="edge"/>
          <c:x val="0.332962720732505"/>
          <c:y val="0.91597222222222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195193722413"/>
          <c:y val="0.0635778635778636"/>
          <c:w val="0.406571848945561"/>
          <c:h val="0.853539253539253"/>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[道县土地市场分析.xlsx]土地市场分析!$O$23:$O$28</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[道县土地市场分析.xlsx]土地市场分析!$P$23:$P$28</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[道县土地市场分析.xlsx]土地市场分析!$O$23:$O$28</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[道县土地市场分析.xlsx]土地市场分析!$Q$23:$Q$28</c:f>
              <c:numCache>
                <c:formatCode>0.00%</c:formatCode>
                <c:ptCount val="6"/>
                <c:pt idx="0">
                  <c:v>0.0252</c:v>
                </c:pt>
                <c:pt idx="1">
                  <c:v>0.1671</c:v>
                </c:pt>
                <c:pt idx="2">
                  <c:v>0.2623</c:v>
                </c:pt>
                <c:pt idx="3">
                  <c:v>0.2402</c:v>
                </c:pt>
                <c:pt idx="4">
                  <c:v>0.0069</c:v>
                </c:pt>
                <c:pt idx="5">
                  <c:v>0.2983</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50021773842"/>
          <c:y val="0.201252936570086"/>
          <c:w val="0.242415444912179"/>
          <c:h val="0.771078047507178"/>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146</Pages>
  <Words>9763</Words>
  <Characters>11122</Characters>
  <Lines>0</Lines>
  <Paragraphs>0</Paragraphs>
  <TotalTime>0</TotalTime>
  <ScaleCrop>false</ScaleCrop>
  <LinksUpToDate>false</LinksUpToDate>
  <CharactersWithSpaces>11652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2026-05-20T00:32:00Z</dcterms:created>
  <dc:creator>谊信</dc:creator>
  <cp:lastModifiedBy>曾彗</cp:lastModifiedBy>
  <dcterms:modified xsi:type="dcterms:W3CDTF">2026-06-08T10:22:06Z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eyJoZGlkIjoiYzg2ZDFhZjAxODU1NmRlODQ1YThmY2VjYmViZjg0YjgiLCJ1c2VySWQiOiIyNTc4NTE1ODcifQ==</vt:lpwstr>
  </property>
  <property fmtid="{D5CDD505-2E9C-101B-9397-08002B2CF9AE}" pid="4" name="ICV">
    <vt:lpwstr>621B6E6270CB4CE39B2882D95397DBEF_13</vt:lpwstr>
  </property>
</Properties>
</file>