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rPr>
        <w:t>{{ project_name }}</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三、</w:t>
      </w:r>
      <w:r>
        <w:rPr>
          <w:rFonts w:hint="eastAsia" w:ascii="仿宋_GB2312" w:eastAsia="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pPr>
        <w:spacing w:before="0" w:after="120" w:line="46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rPr>
        <w:t>估价机构：{{ appraisal_org }}                                                          估价期日：{{ valuation_date }}</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rPr>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rPr>
      </w:r>
    </w:p>
    <w:p w14:paraId="329D4C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
        <w:rPr>
          <w:rFonts w:ascii="仿宋_GB2312" w:hAnsi="仿宋_GB2312" w:eastAsia="仿宋_GB2312" w:cs="仿宋_GB2312"/>
          <w:color w:val="000000"/>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
        <w:rPr>
          <w:rFonts w:ascii="仿宋_GB2312" w:hAnsi="仿宋_GB2312" w:eastAsia="仿宋_GB2312" w:cs="仿宋_GB2312"/>
          <w:color w:val="000000"/>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color w:val="000000" w:themeColor="text1"/>
          <w:sz w:val="28"/>
          <w:szCs w:val="30"/>
          <w:highlight w:val="none"/>
          <w:lang w:val="en-US" w:eastAsia="zh-CN"/>
          <w14:textFill>
            <w14:solidFill>
              <w14:schemeClr w14:val="tx1"/>
            </w14:solidFill>
          </w14:textFill>
        </w:rPr>
      </w:r>
      <w:r>
        <w:rPr>
          <w:rFonts w:hint="eastAsia" w:ascii="仿宋_GB2312" w:eastAsia="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pPr>
        <w:spacing w:before="0" w:after="0" w:line="46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pPr>
        <w:spacing w:before="0" w:after="0" w:line="46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60" w:lineRule="exact"/>
        <w:ind w:left="561" w:firstLine="0"/>
      </w:pPr>
      <w:r>
        <w:rPr>
          <w:rFonts w:ascii="仿宋_GB2312" w:hAnsi="仿宋_GB2312" w:eastAsia="仿宋_GB2312" w:cs="仿宋_GB2312"/>
          <w:sz w:val="28"/>
        </w:rPr>
        <w:t>{{ land_use_status_desc }}</w:t>
      </w:r>
    </w:p>
    <w:p>
      <w:pPr>
        <w:spacing w:before="0" w:after="0" w:line="46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60" w:lineRule="exact"/>
        <w:ind w:left="561" w:firstLine="0"/>
      </w:pPr>
      <w:r>
        <w:rPr>
          <w:rFonts w:ascii="仿宋_GB2312" w:hAnsi="仿宋_GB2312" w:eastAsia="仿宋_GB2312" w:cs="仿宋_GB2312"/>
          <w:sz w:val="28"/>
        </w:rPr>
        <w:t>{{ valuation_method_reasons }}</w:t>
      </w:r>
    </w:p>
    <w:p>
      <w:pPr>
        <w:spacing w:before="0" w:after="0" w:line="46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r>
        <w:t>★基准地价系数修正法</w:t>
      </w:r>
    </w:p>
    <w:p>
      <w:r>
        <w:t>{{ benchmark_corr_method_intro }}</w:t>
      </w:r>
    </w:p>
    <w:p>
      <w:r>
        <w:t>★剩余法</w:t>
      </w:r>
    </w:p>
    <w:p>
      <w:r>
        <w:t>{{ residual_method_intro }}</w:t>
      </w:r>
    </w:p>
    <w:p>
      <w:pPr>
        <w:spacing w:before="0" w:after="0" w:line="460" w:lineRule="exact"/>
        <w:ind w:left="561" w:firstLine="0"/>
      </w:pPr>
      <w:r>
        <w:rPr>
          <w:rFonts w:ascii="仿宋_GB2312" w:hAnsi="仿宋_GB2312" w:eastAsia="仿宋_GB2312" w:cs="仿宋_GB2312"/>
          <w:sz w:val="28"/>
        </w:rPr>
        <w:t>{{ final_price_determination }}</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120" w:line="46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400" w:lineRule="exact" w:before="0" w:after="24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rPr>
        <w:t>{{ project_name }}（{{ county_name }}）</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color w:val="000000" w:themeColor="text1"/>
          <w:sz w:val="28"/>
          <w:szCs w:val="30"/>
          <w:highlight w:val="none"/>
          <w:lang w:val="en-US" w:eastAsia="zh-CN"/>
          <w14:textFill>
            <w14:solidFill>
              <w14:schemeClr w14:val="tx1"/>
            </w14:solidFill>
          </w14:textFill>
        </w:rPr>
      </w:r>
      <w:r>
        <w:rPr>
          <w:rFonts w:hint="eastAsia" w:ascii="仿宋_GB2312" w:eastAsia="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八、</w:t>
      </w:r>
      <w:r>
        <w:rPr>
          <w:rFonts w:hint="eastAsia" w:ascii="仿宋_GB2312" w:eastAsia="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pPr>
        <w:spacing w:before="0" w:after="120" w:line="46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十二</w:t>
      </w:r>
      <w:r>
        <w:rPr>
          <w:rFonts w:hint="eastAsia" w:ascii="仿宋_GB2312" w:eastAsia="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rPr>
        <w:t>估价机构：{{ appraisal_org }}                                                                                估价期日：{{ valuation_date }}</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rPr>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rPr>
      </w:r>
    </w:p>
    <w:p w14:paraId="3B16025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
        <w:rPr>
          <w:rFonts w:ascii="仿宋_GB2312" w:hAnsi="仿宋_GB2312" w:eastAsia="仿宋_GB2312" w:cs="仿宋_GB2312"/>
          <w:color w:val="000000"/>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
        <w:rPr>
          <w:rFonts w:ascii="仿宋_GB2312" w:hAnsi="仿宋_GB2312" w:eastAsia="仿宋_GB2312" w:cs="仿宋_GB2312"/>
          <w:color w:val="000000"/>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pPr>
        <w:spacing w:before="0" w:after="0" w:line="46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pPr>
        <w:spacing w:before="0" w:after="0" w:line="46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60" w:lineRule="exact"/>
        <w:ind w:left="561" w:firstLine="0"/>
      </w:pPr>
      <w:r>
        <w:rPr>
          <w:rFonts w:ascii="仿宋_GB2312" w:hAnsi="仿宋_GB2312" w:eastAsia="仿宋_GB2312" w:cs="仿宋_GB2312"/>
          <w:sz w:val="28"/>
        </w:rPr>
        <w:t>{{ land_use_status_desc }}</w:t>
      </w:r>
    </w:p>
    <w:p>
      <w:pPr>
        <w:spacing w:before="0" w:after="0" w:line="46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60" w:lineRule="exact"/>
        <w:ind w:left="561" w:firstLine="0"/>
      </w:pPr>
      <w:r>
        <w:rPr>
          <w:rFonts w:ascii="仿宋_GB2312" w:hAnsi="仿宋_GB2312" w:eastAsia="仿宋_GB2312" w:cs="仿宋_GB2312"/>
          <w:sz w:val="28"/>
        </w:rPr>
        <w:t>{{ valuation_method_reasons }}</w:t>
      </w:r>
    </w:p>
    <w:p>
      <w:pPr>
        <w:spacing w:before="0" w:after="0" w:line="46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（二）估价过程</w:t>
      </w:r>
    </w:p>
    <w:p w14:paraId="467CA4E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w:t>
      </w:r>
      <w:r>
        <w:rPr>
          <w:rFonts w:hint="eastAsia" w:ascii="仿宋_GB2312" w:eastAsia="仿宋_GB2312" w:cs="Times New Roman"/>
          <w:b/>
          <w:bCs/>
          <w:color w:val="000000" w:themeColor="text1"/>
          <w:sz w:val="28"/>
          <w:szCs w:val="30"/>
          <w:highlight w:val="none"/>
          <w:lang w:val="en-US" w:eastAsia="zh-CN"/>
          <w14:textFill>
            <w14:solidFill>
              <w14:schemeClr w14:val="tx1"/>
            </w14:solidFill>
          </w14:textFill>
        </w:rPr>
        <w:t>成本逼近</w:t>
      </w: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法</w:t>
      </w:r>
    </w:p>
    <w:p w14:paraId="0910535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t>{{ cost_approx_method_intro }}</w:t>
      </w:r>
    </w:p>
    <w:p w14:paraId="30B9D8A1">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B0008F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t>{{ cost_approx_process_intro }}</w:t>
      </w:r>
    </w:p>
    <w:p w14:paraId="7635C4C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Times New Roman" w:hAnsi="Times New Roman" w:eastAsia="仿宋_GB2312" w:cs="Times New Roman"/>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40" w:lineRule="exact"/>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40" w:lineRule="exact"/>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根据</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spacing w:before="120" w:beforeLines="50" w:after="120" w:afterLines="5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40" w:lineRule="exact"/>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300" w:lineRule="auto"/>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color w:val="000000" w:themeColor="text1"/>
          <w:sz w:val="28"/>
          <w:szCs w:val="28"/>
          <w:highlight w:val="none"/>
          <w:lang w:val="en-US" w:eastAsia="zh-CN"/>
          <w14:textFill>
            <w14:solidFill>
              <w14:schemeClr w14:val="tx1"/>
            </w14:solidFill>
          </w14:textFill>
        </w:rPr>
        <w:t>永州市道县工业</w:t>
      </w:r>
      <w:r>
        <w:rPr>
          <w:rFonts w:eastAsia="仿宋_GB2312"/>
          <w:color w:val="000000" w:themeColor="text1"/>
          <w:sz w:val="28"/>
          <w:szCs w:val="28"/>
          <w:highlight w:val="none"/>
          <w14:textFill>
            <w14:solidFill>
              <w14:schemeClr w14:val="tx1"/>
            </w14:solidFill>
          </w14:textFill>
        </w:rPr>
        <w:t>用地的增值收益情况的调查，</w:t>
      </w:r>
      <w:r>
        <w:rPr>
          <w:rFonts w:hint="eastAsia" w:eastAsia="仿宋_GB2312"/>
          <w:color w:val="000000" w:themeColor="text1"/>
          <w:sz w:val="28"/>
          <w:szCs w:val="28"/>
          <w:highlight w:val="none"/>
          <w:lang w:val="en-US" w:eastAsia="zh-CN"/>
          <w14:textFill>
            <w14:solidFill>
              <w14:schemeClr w14:val="tx1"/>
            </w14:solidFill>
          </w14:textFill>
        </w:rPr>
        <w:t>永州市道县</w:t>
      </w:r>
      <w:r>
        <w:rPr>
          <w:rFonts w:eastAsia="仿宋_GB2312"/>
          <w:color w:val="000000" w:themeColor="text1"/>
          <w:sz w:val="28"/>
          <w:szCs w:val="28"/>
          <w:highlight w:val="none"/>
          <w14:textFill>
            <w14:solidFill>
              <w14:schemeClr w14:val="tx1"/>
            </w14:solidFill>
          </w14:textFill>
        </w:rPr>
        <w:t>公用</w:t>
      </w:r>
      <w:r>
        <w:rPr>
          <w:rFonts w:hint="eastAsia" w:eastAsia="仿宋_GB2312"/>
          <w:color w:val="000000" w:themeColor="text1"/>
          <w:sz w:val="28"/>
          <w:szCs w:val="28"/>
          <w:highlight w:val="none"/>
          <w:lang w:val="en-US" w:eastAsia="zh-CN"/>
          <w14:textFill>
            <w14:solidFill>
              <w14:schemeClr w14:val="tx1"/>
            </w14:solidFill>
          </w14:textFill>
        </w:rPr>
        <w:t>工业用地</w:t>
      </w:r>
      <w:r>
        <w:rPr>
          <w:rFonts w:eastAsia="仿宋_GB2312"/>
          <w:color w:val="000000" w:themeColor="text1"/>
          <w:sz w:val="28"/>
          <w:szCs w:val="28"/>
          <w:highlight w:val="none"/>
          <w14:textFill>
            <w14:solidFill>
              <w14:schemeClr w14:val="tx1"/>
            </w14:solidFill>
          </w14:textFill>
        </w:rPr>
        <w:t>增值收益率为土地成本价格的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60" w:lineRule="exact"/>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 w:hAnsi="仿宋" w:eastAsia="仿宋"/>
          <w:snapToGrid w:val="0"/>
          <w:color w:val="000000" w:themeColor="text1"/>
          <w:kern w:val="0"/>
          <w:sz w:val="28"/>
          <w:szCs w:val="28"/>
          <w:highlight w:val="none"/>
          <w14:textFill>
            <w14:solidFill>
              <w14:schemeClr w14:val="tx1"/>
            </w14:solidFill>
          </w14:textFill>
        </w:rPr>
        <w:t>土地还原率确定</w:t>
      </w:r>
      <w:r>
        <w:rPr>
          <w:rFonts w:ascii="仿宋" w:hAnsi="仿宋" w:eastAsia="仿宋"/>
          <w:snapToGrid w:val="0"/>
          <w:color w:val="000000" w:themeColor="text1"/>
          <w:kern w:val="0"/>
          <w:sz w:val="28"/>
          <w:szCs w:val="28"/>
          <w:highlight w:val="none"/>
          <w14:textFill>
            <w14:solidFill>
              <w14:schemeClr w14:val="tx1"/>
            </w14:solidFill>
          </w14:textFill>
        </w:rPr>
        <w:t>过程</w:t>
      </w:r>
      <w:r>
        <w:rPr>
          <w:rFonts w:hint="eastAsia" w:ascii="仿宋" w:hAnsi="仿宋" w:eastAsia="仿宋"/>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60" w:lineRule="exact"/>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spacing w:line="440" w:lineRule="exact"/>
        <w:ind w:firstLine="560" w:firstLineChars="200"/>
        <w:jc w:val="center"/>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val="0"/>
        <w:keepLines w:val="0"/>
        <w:pageBreakBefore w:val="0"/>
        <w:widowControl w:val="0"/>
        <w:kinsoku/>
        <w:wordWrap/>
        <w:overflowPunct/>
        <w:topLinePunct w:val="0"/>
        <w:autoSpaceDE/>
        <w:autoSpaceDN/>
        <w:bidi w:val="0"/>
        <w:adjustRightInd/>
        <w:spacing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表</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val="0"/>
        <w:keepLines w:val="0"/>
        <w:pageBreakBefore w:val="0"/>
        <w:widowControl w:val="0"/>
        <w:kinsoku/>
        <w:wordWrap/>
        <w:overflowPunct/>
        <w:topLinePunct w:val="0"/>
        <w:autoSpaceDE/>
        <w:autoSpaceDN/>
        <w:bidi w:val="0"/>
        <w:adjustRightInd w:val="0"/>
        <w:snapToGrid w:val="0"/>
        <w:spacing w:line="460" w:lineRule="exact"/>
        <w:ind w:left="0" w:firstLine="562" w:firstLineChars="200"/>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t>{{ market_comp_method_intro }}</w:t>
      </w:r>
    </w:p>
    <w:p w14:paraId="068C25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2.比较实例选择</w:t>
      </w:r>
    </w:p>
    <w:p>
      <w:r>
        <w:t>{{ market_comp_step1_instances }}</w:t>
      </w:r>
    </w:p>
    <w:p w14:paraId="0AC229D4">
      <w:pPr>
        <w:overflowPunct w:val="0"/>
        <w:autoSpaceDE w:val="0"/>
        <w:autoSpaceDN w:val="0"/>
        <w:snapToGrid w:val="0"/>
        <w:spacing w:line="480" w:lineRule="exact"/>
        <w:ind w:firstLine="555"/>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w:t>
      </w:r>
      <w:r>
        <w:rPr>
          <w:rFonts w:eastAsia="仿宋_GB2312"/>
          <w:b/>
          <w:bCs/>
          <w:color w:val="000000" w:themeColor="text1"/>
          <w:highlight w:val="none"/>
          <w14:textFill>
            <w14:solidFill>
              <w14:schemeClr w14:val="tx1"/>
            </w14:solidFill>
          </w14:textFill>
        </w:rPr>
        <w:t>成交公告（来源：中国土地市场网）</w:t>
      </w:r>
    </w:p>
    <w:p w14:paraId="03607D26">
      <w:pPr>
        <w:pStyle w:val="14"/>
        <w:ind w:firstLine="422"/>
        <w:jc w:val="center"/>
        <w:outlineLvl w:val="9"/>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比较实例B</w:t>
      </w:r>
      <w:r>
        <w:rPr>
          <w:rFonts w:eastAsia="仿宋_GB2312"/>
          <w:b/>
          <w:bCs/>
          <w:color w:val="000000" w:themeColor="text1"/>
          <w:highlight w:val="none"/>
          <w14:textFill>
            <w14:solidFill>
              <w14:schemeClr w14:val="tx1"/>
            </w14:solidFill>
          </w14:textFill>
        </w:rPr>
        <w:t>成交公告（来源：中国土地市场网）</w:t>
      </w:r>
    </w:p>
    <w:p w14:paraId="102E8177">
      <w:pPr>
        <w:pStyle w:val="14"/>
        <w:ind w:left="0" w:leftChars="0" w:firstLine="0" w:firstLineChars="0"/>
        <w:jc w:val="center"/>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b/>
          <w:color w:val="000000" w:themeColor="text1"/>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br w:type="page"/>
      </w:r>
      <w:r>
        <w:rPr>
          <w:rFonts w:eastAsia="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ind w:firstLine="0" w:firstLineChars="0"/>
        <w:jc w:val="center"/>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w:t>
      </w:r>
      <w:r>
        <w:rPr>
          <w:rFonts w:eastAsia="仿宋_GB2312"/>
          <w:b/>
          <w:bCs/>
          <w:color w:val="000000" w:themeColor="text1"/>
          <w:highlight w:val="none"/>
          <w14:textFill>
            <w14:solidFill>
              <w14:schemeClr w14:val="tx1"/>
            </w14:solidFill>
          </w14:textFill>
        </w:rPr>
        <w:t>成交公告（来源：中国土地市场网）</w:t>
      </w:r>
    </w:p>
    <w:p w14:paraId="4ED4690A">
      <w:pPr>
        <w:pStyle w:val="14"/>
        <w:ind w:firstLine="422"/>
        <w:jc w:val="center"/>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begin"/>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separate"/>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⑧</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end"/>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r>
        <w:t>比较因素条件指数及修正依据由当前报告冻结的结构化市场比较法分析生成。</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r>
        <w:t>{{ market_comp_step4_solve }}</w:t>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60" w:lineRule="exact"/>
        <w:ind w:left="561" w:firstLine="0"/>
      </w:pPr>
      <w:r>
        <w:rPr>
          <w:rFonts w:ascii="仿宋_GB2312" w:hAnsi="仿宋_GB2312" w:eastAsia="仿宋_GB2312" w:cs="仿宋_GB2312"/>
          <w:sz w:val="28"/>
        </w:rPr>
        <w:t>{{ final_price_determination }}</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120" w:line="46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400" w:lineRule="exact" w:before="0" w:after="24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